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1.xml" ContentType="application/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officeDocument/2006/relationships/extended-properties" Target="docProps/app.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22.8.0 -->
  <w:body>
    <w:p w:rsidR="007A1406" w:rsidRPr="007A1406" w:rsidP="003D1BCA">
      <w:pPr>
        <w:rPr>
          <w:rtl/>
        </w:rPr>
      </w:pPr>
      <w:bookmarkStart w:id="0" w:name="_Hlk217461871"/>
    </w:p>
    <w:p w:rsidR="00AA5065" w:rsidRPr="00AA5065" w:rsidP="00860D89">
      <w:pPr>
        <w:pStyle w:val="Heading1"/>
        <w:spacing w:line="269" w:lineRule="auto"/>
        <w:rPr>
          <w:rFonts w:eastAsia="Times New Roman"/>
          <w:rtl/>
        </w:rPr>
      </w:pPr>
      <w:r w:rsidRPr="00AA5065">
        <w:rPr>
          <w:rFonts w:eastAsia="Times New Roman" w:hint="cs"/>
          <w:rtl/>
        </w:rPr>
        <w:t>היבטי משילות בנגב - ביקורת מעקב מורחבת</w:t>
      </w:r>
    </w:p>
    <w:p w:rsidR="00AA5065" w:rsidRPr="00C65E5E" w:rsidP="00C65E5E">
      <w:pPr>
        <w:spacing w:line="269" w:lineRule="auto"/>
        <w:ind w:left="-567"/>
        <w:rPr>
          <w:rFonts w:eastAsia="Calibri"/>
          <w:sz w:val="16"/>
          <w:szCs w:val="16"/>
          <w:rtl/>
        </w:rPr>
      </w:pPr>
    </w:p>
    <w:p w:rsidR="00AA5065" w:rsidRPr="00AA5065" w:rsidP="00860D89">
      <w:pPr>
        <w:keepNext/>
        <w:keepLines/>
        <w:spacing w:line="269" w:lineRule="auto"/>
        <w:outlineLvl w:val="2"/>
        <w:rPr>
          <w:rFonts w:eastAsia="Times New Roman"/>
          <w:bCs/>
          <w:szCs w:val="28"/>
          <w:u w:val="single"/>
          <w:rtl/>
        </w:rPr>
      </w:pPr>
      <w:r w:rsidRPr="00AA5065">
        <w:rPr>
          <w:rFonts w:eastAsia="Times New Roman" w:hint="eastAsia"/>
          <w:bCs/>
          <w:szCs w:val="28"/>
          <w:u w:val="single"/>
          <w:rtl/>
        </w:rPr>
        <w:t>מבוא</w:t>
      </w:r>
    </w:p>
    <w:p w:rsidR="00AA5065" w:rsidRPr="00E07D80" w:rsidP="00860D89">
      <w:pPr>
        <w:spacing w:line="269" w:lineRule="auto"/>
        <w:ind w:left="-567"/>
        <w:rPr>
          <w:rFonts w:eastAsia="Calibri"/>
          <w:sz w:val="16"/>
          <w:szCs w:val="16"/>
          <w:rtl/>
        </w:rPr>
      </w:pPr>
    </w:p>
    <w:p w:rsidR="00AA5065" w:rsidRPr="00AA5065" w:rsidP="00860D89">
      <w:pPr>
        <w:spacing w:line="269" w:lineRule="auto"/>
        <w:rPr>
          <w:rFonts w:eastAsia="Calibri"/>
          <w:szCs w:val="20"/>
          <w:rtl/>
        </w:rPr>
      </w:pPr>
      <w:bookmarkStart w:id="1" w:name="_Hlk204860904"/>
      <w:r w:rsidRPr="00AA5065">
        <w:rPr>
          <w:rFonts w:eastAsia="Calibri" w:hint="cs"/>
          <w:rtl/>
        </w:rPr>
        <w:t xml:space="preserve">משילות מוגדרת כיכולתה של המדינה, באמצעות הרשויות הממלכתיות שלה, לפעול בגדר סמכויותיה ולהוציא אל הפועל את מדיניותה באופן אפקטיבי ויעיל. מונח זה מבטא את כושר הביצוע של הממשלה למלא את תפקידיה בהצלחה. </w:t>
      </w:r>
      <w:r w:rsidRPr="00AA5065">
        <w:rPr>
          <w:rFonts w:eastAsia="Calibri"/>
          <w:rtl/>
        </w:rPr>
        <w:t xml:space="preserve">היעדר משילות </w:t>
      </w:r>
      <w:r w:rsidRPr="00AA5065">
        <w:rPr>
          <w:rFonts w:eastAsia="Calibri" w:hint="cs"/>
          <w:rtl/>
        </w:rPr>
        <w:t>משתקף</w:t>
      </w:r>
      <w:r w:rsidRPr="00AA5065">
        <w:rPr>
          <w:rFonts w:eastAsia="Calibri"/>
          <w:rtl/>
        </w:rPr>
        <w:t xml:space="preserve"> בין היתר</w:t>
      </w:r>
      <w:r w:rsidRPr="00AA5065">
        <w:rPr>
          <w:rFonts w:eastAsia="Calibri" w:hint="cs"/>
          <w:rtl/>
        </w:rPr>
        <w:t xml:space="preserve"> בהיעדר אכיפה והרתעה מצד המדינה, בכשלים במימוש </w:t>
      </w:r>
      <w:r w:rsidRPr="00AA5065">
        <w:rPr>
          <w:rFonts w:eastAsia="Calibri"/>
          <w:rtl/>
        </w:rPr>
        <w:t>החלטות שהתקבלו כדין</w:t>
      </w:r>
      <w:r w:rsidRPr="00AA5065">
        <w:rPr>
          <w:rFonts w:eastAsia="Calibri" w:hint="cs"/>
          <w:rtl/>
        </w:rPr>
        <w:t>, באי-מתן</w:t>
      </w:r>
      <w:r w:rsidRPr="00AA5065">
        <w:rPr>
          <w:rFonts w:eastAsia="Calibri"/>
          <w:rtl/>
        </w:rPr>
        <w:t xml:space="preserve"> שירותים </w:t>
      </w:r>
      <w:r w:rsidRPr="00AA5065">
        <w:rPr>
          <w:rFonts w:eastAsia="Calibri" w:hint="cs"/>
          <w:rtl/>
        </w:rPr>
        <w:t xml:space="preserve">ציבוריים </w:t>
      </w:r>
      <w:r w:rsidRPr="00AA5065">
        <w:rPr>
          <w:rFonts w:eastAsia="Calibri"/>
          <w:rtl/>
        </w:rPr>
        <w:t>ש</w:t>
      </w:r>
      <w:r w:rsidRPr="00AA5065">
        <w:rPr>
          <w:rFonts w:eastAsia="Calibri" w:hint="cs"/>
          <w:rtl/>
        </w:rPr>
        <w:t>המדינה</w:t>
      </w:r>
      <w:r w:rsidRPr="00AA5065">
        <w:rPr>
          <w:rFonts w:eastAsia="Calibri"/>
          <w:rtl/>
        </w:rPr>
        <w:t xml:space="preserve"> מחויבת </w:t>
      </w:r>
      <w:r w:rsidRPr="00AA5065">
        <w:rPr>
          <w:rFonts w:eastAsia="Calibri" w:hint="cs"/>
          <w:rtl/>
        </w:rPr>
        <w:t>לספקם</w:t>
      </w:r>
      <w:r w:rsidRPr="00AA5065">
        <w:rPr>
          <w:rFonts w:eastAsia="Calibri"/>
          <w:rtl/>
        </w:rPr>
        <w:t xml:space="preserve"> ו</w:t>
      </w:r>
      <w:r w:rsidRPr="00AA5065">
        <w:rPr>
          <w:rFonts w:eastAsia="Calibri" w:hint="cs"/>
          <w:rtl/>
        </w:rPr>
        <w:t>בהתרופפות</w:t>
      </w:r>
      <w:r w:rsidRPr="00AA5065">
        <w:rPr>
          <w:rFonts w:eastAsia="Calibri"/>
          <w:rtl/>
        </w:rPr>
        <w:t xml:space="preserve"> הסדר החברתי</w:t>
      </w:r>
      <w:r w:rsidRPr="00AA5065">
        <w:rPr>
          <w:rFonts w:eastAsia="Calibri" w:hint="cs"/>
          <w:rtl/>
        </w:rPr>
        <w:t>. מצב זה אף מוביל לכך שהאזרחים</w:t>
      </w:r>
      <w:r w:rsidRPr="00AA5065">
        <w:rPr>
          <w:rFonts w:eastAsia="Calibri"/>
          <w:rtl/>
        </w:rPr>
        <w:t xml:space="preserve"> אינם מקיימים את חובותיהם האזרחיות </w:t>
      </w:r>
      <w:r w:rsidRPr="00AA5065">
        <w:rPr>
          <w:rFonts w:eastAsia="Calibri" w:hint="cs"/>
          <w:rtl/>
        </w:rPr>
        <w:t>במידה המצופה מהם</w:t>
      </w:r>
      <w:r w:rsidRPr="00AA5065">
        <w:rPr>
          <w:rFonts w:eastAsia="Calibri"/>
          <w:rtl/>
        </w:rPr>
        <w:t>.</w:t>
      </w:r>
    </w:p>
    <w:bookmarkEnd w:id="1"/>
    <w:p w:rsidR="00AA5065" w:rsidRPr="007A1406" w:rsidP="00860D89">
      <w:pPr>
        <w:spacing w:line="269" w:lineRule="auto"/>
        <w:ind w:left="-567"/>
        <w:rPr>
          <w:rFonts w:eastAsia="Calibri"/>
          <w:sz w:val="16"/>
          <w:szCs w:val="16"/>
          <w:rtl/>
        </w:rPr>
      </w:pPr>
    </w:p>
    <w:p w:rsidR="00AA5065" w:rsidRPr="00AA5065" w:rsidP="00860D89">
      <w:pPr>
        <w:spacing w:line="269" w:lineRule="auto"/>
        <w:rPr>
          <w:rFonts w:eastAsia="Calibri"/>
          <w:rtl/>
        </w:rPr>
      </w:pPr>
      <w:r w:rsidRPr="00AA5065">
        <w:rPr>
          <w:rFonts w:eastAsia="Calibri" w:hint="cs"/>
          <w:rtl/>
        </w:rPr>
        <w:t>היעדר משילות פוגע ביכולת ההרתעה של גורמי האכיפה כלפי פורעי החוק, דבר שמשפיע ישירות על תחושת הביטחון של אזרחי המדינה ותושביה ועל מידת האמון שהם נותנים במוסדות המדינה, ויש לו השלכות כלכליות חמורות, ובכלל זה תשלומי קצבאות שלא כדין, תשלומי מס בחסר, פגיעות כלכליות בבתי עסק נורמטיביים עקב איומים עליהם, גידול בפעילות כלכלית בלתי חוקית כמו סחר בסמים ועוד.</w:t>
      </w:r>
    </w:p>
    <w:p w:rsidR="00AA5065" w:rsidRPr="007A1406" w:rsidP="00860D89">
      <w:pPr>
        <w:spacing w:line="269" w:lineRule="auto"/>
        <w:ind w:left="-567"/>
        <w:rPr>
          <w:rFonts w:eastAsia="Calibri"/>
          <w:sz w:val="16"/>
          <w:szCs w:val="16"/>
          <w:rtl/>
        </w:rPr>
      </w:pPr>
    </w:p>
    <w:p w:rsidR="00AA5065" w:rsidRPr="00AA5065" w:rsidP="00860D89">
      <w:pPr>
        <w:spacing w:line="269" w:lineRule="auto"/>
        <w:rPr>
          <w:rFonts w:eastAsia="Calibri"/>
          <w:rtl/>
        </w:rPr>
      </w:pPr>
      <w:r w:rsidRPr="00AA5065">
        <w:rPr>
          <w:rFonts w:eastAsia="Calibri"/>
          <w:rtl/>
        </w:rPr>
        <w:t>המשילות של המדינה</w:t>
      </w:r>
      <w:r w:rsidRPr="00AA5065">
        <w:rPr>
          <w:rFonts w:eastAsia="Calibri" w:hint="cs"/>
          <w:rtl/>
        </w:rPr>
        <w:t xml:space="preserve"> בנגב</w:t>
      </w:r>
      <w:r w:rsidRPr="00AA5065">
        <w:rPr>
          <w:rFonts w:eastAsia="Calibri"/>
          <w:rtl/>
        </w:rPr>
        <w:t xml:space="preserve"> </w:t>
      </w:r>
      <w:r w:rsidRPr="00AA5065">
        <w:rPr>
          <w:rFonts w:eastAsia="Calibri" w:hint="cs"/>
          <w:rtl/>
        </w:rPr>
        <w:t>ו</w:t>
      </w:r>
      <w:r w:rsidRPr="00AA5065">
        <w:rPr>
          <w:rFonts w:eastAsia="Calibri"/>
          <w:rtl/>
        </w:rPr>
        <w:t xml:space="preserve">בכל </w:t>
      </w:r>
      <w:r w:rsidRPr="00AA5065">
        <w:rPr>
          <w:rFonts w:eastAsia="Calibri" w:hint="cs"/>
          <w:rtl/>
        </w:rPr>
        <w:t>רחבי</w:t>
      </w:r>
      <w:r w:rsidRPr="00AA5065">
        <w:rPr>
          <w:rFonts w:eastAsia="Calibri"/>
          <w:rtl/>
        </w:rPr>
        <w:t xml:space="preserve"> הארץ </w:t>
      </w:r>
      <w:r w:rsidRPr="00AA5065">
        <w:rPr>
          <w:rFonts w:eastAsia="Calibri" w:hint="cs"/>
          <w:rtl/>
        </w:rPr>
        <w:t>הכרחית כדי לקיים חיים סדירים ויחסים נאותים בין כל רובדי האוכלוסייה השונים, והיא נדרשת</w:t>
      </w:r>
      <w:r w:rsidRPr="00AA5065">
        <w:rPr>
          <w:rFonts w:eastAsia="Calibri"/>
          <w:rtl/>
        </w:rPr>
        <w:t xml:space="preserve"> </w:t>
      </w:r>
      <w:r w:rsidRPr="00AA5065">
        <w:rPr>
          <w:rFonts w:eastAsia="Calibri" w:hint="cs"/>
          <w:rtl/>
        </w:rPr>
        <w:t>כדי להבטיח</w:t>
      </w:r>
      <w:r w:rsidRPr="00AA5065">
        <w:rPr>
          <w:rFonts w:eastAsia="Calibri"/>
          <w:rtl/>
        </w:rPr>
        <w:t xml:space="preserve"> מתן שירותים תקינים וסדירים לכ</w:t>
      </w:r>
      <w:r w:rsidRPr="00AA5065">
        <w:rPr>
          <w:rFonts w:eastAsia="Calibri" w:hint="cs"/>
          <w:rtl/>
        </w:rPr>
        <w:t>ל</w:t>
      </w:r>
      <w:r w:rsidRPr="00AA5065">
        <w:rPr>
          <w:rFonts w:eastAsia="Calibri"/>
          <w:rtl/>
        </w:rPr>
        <w:t xml:space="preserve">ל </w:t>
      </w:r>
      <w:r w:rsidRPr="00AA5065">
        <w:rPr>
          <w:rFonts w:eastAsia="Calibri" w:hint="cs"/>
          <w:rtl/>
        </w:rPr>
        <w:t>ה</w:t>
      </w:r>
      <w:r w:rsidRPr="00AA5065">
        <w:rPr>
          <w:rFonts w:eastAsia="Calibri"/>
          <w:rtl/>
        </w:rPr>
        <w:t>תושבי</w:t>
      </w:r>
      <w:r w:rsidRPr="00AA5065">
        <w:rPr>
          <w:rFonts w:eastAsia="Calibri" w:hint="cs"/>
          <w:rtl/>
        </w:rPr>
        <w:t>ם</w:t>
      </w:r>
      <w:r w:rsidRPr="00AA5065">
        <w:rPr>
          <w:rFonts w:eastAsia="Calibri"/>
          <w:rtl/>
        </w:rPr>
        <w:t xml:space="preserve"> </w:t>
      </w:r>
      <w:r w:rsidRPr="00AA5065">
        <w:rPr>
          <w:rFonts w:eastAsia="Calibri" w:hint="cs"/>
          <w:rtl/>
        </w:rPr>
        <w:t>מכל המינים והדתות</w:t>
      </w:r>
      <w:r w:rsidRPr="00AA5065">
        <w:rPr>
          <w:rFonts w:eastAsia="Calibri"/>
          <w:rtl/>
        </w:rPr>
        <w:t>.</w:t>
      </w:r>
    </w:p>
    <w:p w:rsidR="00AA5065" w:rsidRPr="007A1406" w:rsidP="00860D89">
      <w:pPr>
        <w:spacing w:line="269" w:lineRule="auto"/>
        <w:ind w:left="-567"/>
        <w:rPr>
          <w:rFonts w:eastAsia="Calibri"/>
          <w:sz w:val="16"/>
          <w:szCs w:val="16"/>
          <w:rtl/>
        </w:rPr>
      </w:pPr>
    </w:p>
    <w:p w:rsidR="00AA5065" w:rsidRPr="00AA5065" w:rsidP="00860D89">
      <w:pPr>
        <w:spacing w:line="269" w:lineRule="auto"/>
        <w:rPr>
          <w:rFonts w:eastAsia="Calibri"/>
          <w:rtl/>
        </w:rPr>
      </w:pPr>
      <w:r w:rsidRPr="00AA5065">
        <w:rPr>
          <w:rFonts w:eastAsia="Calibri" w:hint="eastAsia"/>
          <w:rtl/>
        </w:rPr>
        <w:t>מחוז</w:t>
      </w:r>
      <w:r w:rsidRPr="00AA5065">
        <w:rPr>
          <w:rFonts w:eastAsia="Calibri"/>
          <w:rtl/>
        </w:rPr>
        <w:t xml:space="preserve"> </w:t>
      </w:r>
      <w:r w:rsidRPr="00AA5065">
        <w:rPr>
          <w:rFonts w:eastAsia="Calibri" w:hint="eastAsia"/>
          <w:rtl/>
        </w:rPr>
        <w:t>דרום</w:t>
      </w:r>
      <w:r w:rsidRPr="00AA5065">
        <w:rPr>
          <w:rFonts w:eastAsia="Calibri"/>
          <w:rtl/>
        </w:rPr>
        <w:t xml:space="preserve"> הוא הגדול ביותר מבין ששת מחוזותיה האדמיניסטרטיביים של מדינת ישראל, והוא כולל את כל שטחי הנגב ועמק הערבה. שטחו הכולל 14,185 ק</w:t>
      </w:r>
      <w:r w:rsidRPr="00AA5065">
        <w:rPr>
          <w:rFonts w:eastAsia="Calibri" w:hint="cs"/>
          <w:rtl/>
        </w:rPr>
        <w:t>"מ</w:t>
      </w:r>
      <w:r w:rsidRPr="00AA5065">
        <w:rPr>
          <w:rFonts w:eastAsia="Calibri"/>
          <w:rtl/>
        </w:rPr>
        <w:t xml:space="preserve"> רבוע, רובו מדברי. על פי נתוני הלשכה המרכזית לסטטיסטיקה (להלן - </w:t>
      </w:r>
      <w:r w:rsidRPr="00AA5065">
        <w:rPr>
          <w:rFonts w:eastAsia="Calibri" w:hint="eastAsia"/>
          <w:rtl/>
        </w:rPr>
        <w:t>הלמ</w:t>
      </w:r>
      <w:r w:rsidRPr="00AA5065">
        <w:rPr>
          <w:rFonts w:eastAsia="Calibri"/>
          <w:rtl/>
        </w:rPr>
        <w:t xml:space="preserve">"ס) </w:t>
      </w:r>
      <w:r w:rsidRPr="00AA5065">
        <w:rPr>
          <w:rFonts w:eastAsia="Calibri" w:hint="eastAsia"/>
          <w:rtl/>
        </w:rPr>
        <w:t>לשנת</w:t>
      </w:r>
      <w:r w:rsidRPr="00AA5065">
        <w:rPr>
          <w:rFonts w:eastAsia="Calibri"/>
          <w:rtl/>
        </w:rPr>
        <w:t xml:space="preserve"> 2023, </w:t>
      </w:r>
      <w:r w:rsidRPr="00AA5065">
        <w:rPr>
          <w:rFonts w:eastAsia="Calibri" w:hint="eastAsia"/>
          <w:rtl/>
        </w:rPr>
        <w:t>אוכלוסיית</w:t>
      </w:r>
      <w:r w:rsidRPr="00AA5065">
        <w:rPr>
          <w:rFonts w:eastAsia="Calibri"/>
          <w:rtl/>
        </w:rPr>
        <w:t xml:space="preserve"> </w:t>
      </w:r>
      <w:r w:rsidRPr="00AA5065">
        <w:rPr>
          <w:rFonts w:eastAsia="Calibri" w:hint="eastAsia"/>
          <w:rtl/>
        </w:rPr>
        <w:t>המחוז</w:t>
      </w:r>
      <w:r w:rsidRPr="00AA5065">
        <w:rPr>
          <w:rFonts w:eastAsia="Calibri"/>
          <w:rtl/>
        </w:rPr>
        <w:t xml:space="preserve"> </w:t>
      </w:r>
      <w:r w:rsidRPr="00AA5065">
        <w:rPr>
          <w:rFonts w:eastAsia="Calibri" w:hint="cs"/>
          <w:rtl/>
        </w:rPr>
        <w:t>מונה</w:t>
      </w:r>
      <w:r w:rsidRPr="00AA5065">
        <w:rPr>
          <w:rFonts w:eastAsia="Calibri"/>
          <w:rtl/>
        </w:rPr>
        <w:t xml:space="preserve"> </w:t>
      </w:r>
      <w:r w:rsidRPr="00AA5065">
        <w:rPr>
          <w:rFonts w:eastAsia="Calibri" w:hint="eastAsia"/>
          <w:rtl/>
        </w:rPr>
        <w:t>כ</w:t>
      </w:r>
      <w:r w:rsidRPr="00AA5065">
        <w:rPr>
          <w:rFonts w:eastAsia="Calibri"/>
          <w:rtl/>
        </w:rPr>
        <w:t xml:space="preserve">-1.45 מיליון נפש. </w:t>
      </w:r>
    </w:p>
    <w:p w:rsidR="00AA5065" w:rsidRPr="007A1406" w:rsidP="00860D89">
      <w:pPr>
        <w:spacing w:line="269" w:lineRule="auto"/>
        <w:ind w:left="-567"/>
        <w:rPr>
          <w:rFonts w:eastAsia="Calibri"/>
          <w:sz w:val="16"/>
          <w:szCs w:val="16"/>
          <w:rtl/>
        </w:rPr>
      </w:pPr>
    </w:p>
    <w:p w:rsidR="00AA5065" w:rsidRPr="00AA5065" w:rsidP="00860D89">
      <w:pPr>
        <w:spacing w:line="269" w:lineRule="auto"/>
        <w:rPr>
          <w:rFonts w:eastAsia="Calibri"/>
          <w:rtl/>
        </w:rPr>
      </w:pPr>
      <w:bookmarkStart w:id="2" w:name="_Hlk204860926"/>
      <w:r w:rsidRPr="00AA5065">
        <w:rPr>
          <w:rFonts w:eastAsia="Calibri" w:hint="cs"/>
          <w:rtl/>
        </w:rPr>
        <w:t>אוכלוסיית הבדואים בנגב גדלה פי שישה בשנים 1995 עד 2023 ובכ-20% בשנים 2018 עד 2023. בסוף שנת 2023 מנתה אוכלוסייה זו כ-325,000 איש לפי נתוני הלמ"ס, ושיעור הצעירים (בני 0 - 17) בקרבה היה גבוה ביותר: 48.6%. לפי נתוני רשות האוכלוסין וההגירה (להלן - רשות האוכלוסין) מתגוררים במחוז הדרום כ-315,000 בדואים</w:t>
      </w:r>
      <w:r>
        <w:rPr>
          <w:rFonts w:eastAsia="Calibri"/>
          <w:vertAlign w:val="superscript"/>
          <w:rtl/>
        </w:rPr>
        <w:footnoteReference w:id="2"/>
      </w:r>
      <w:r w:rsidRPr="00AA5065">
        <w:rPr>
          <w:rFonts w:eastAsia="Calibri" w:hint="cs"/>
          <w:rtl/>
        </w:rPr>
        <w:t>, שהם כ-20% מכלל האוכלוסייה במחוז</w:t>
      </w:r>
      <w:r>
        <w:rPr>
          <w:rFonts w:eastAsia="Calibri"/>
          <w:vertAlign w:val="superscript"/>
          <w:rtl/>
          <w:lang w:eastAsia="he-IL"/>
        </w:rPr>
        <w:footnoteReference w:id="3"/>
      </w:r>
      <w:r w:rsidRPr="00AA5065">
        <w:rPr>
          <w:rFonts w:eastAsia="Calibri" w:hint="cs"/>
          <w:rtl/>
        </w:rPr>
        <w:t>. כ-72% מהבדואים בנגב חיים ב-18 יישובים מוכרים</w:t>
      </w:r>
      <w:r>
        <w:rPr>
          <w:rFonts w:eastAsia="Calibri"/>
          <w:vertAlign w:val="superscript"/>
          <w:rtl/>
          <w:lang w:eastAsia="he-IL"/>
        </w:rPr>
        <w:footnoteReference w:id="4"/>
      </w:r>
      <w:r w:rsidRPr="00AA5065">
        <w:rPr>
          <w:rFonts w:eastAsia="Calibri" w:hint="cs"/>
          <w:rtl/>
        </w:rPr>
        <w:t>, ו-28% חיים מחוץ ליישובים המוכרים (להלן - פזורה).</w:t>
      </w:r>
    </w:p>
    <w:bookmarkEnd w:id="2"/>
    <w:p w:rsidR="00AA5065" w:rsidRPr="007A1406" w:rsidP="00860D89">
      <w:pPr>
        <w:spacing w:line="269" w:lineRule="auto"/>
        <w:ind w:left="-567"/>
        <w:rPr>
          <w:rFonts w:eastAsia="Calibri"/>
          <w:sz w:val="16"/>
          <w:szCs w:val="16"/>
          <w:rtl/>
        </w:rPr>
      </w:pPr>
    </w:p>
    <w:p w:rsidR="00AA5065" w:rsidRPr="00AA5065" w:rsidP="00860D89">
      <w:pPr>
        <w:spacing w:line="269" w:lineRule="auto"/>
        <w:rPr>
          <w:rFonts w:eastAsia="Calibri"/>
          <w:rtl/>
        </w:rPr>
      </w:pPr>
      <w:r w:rsidRPr="00AA5065">
        <w:rPr>
          <w:rFonts w:eastAsia="Calibri" w:hint="cs"/>
          <w:rtl/>
        </w:rPr>
        <w:t>להלן בלוח 1 ההתפתחות הדמוגרפית של אוכלוסייה זו בין השנים 1995 - 2023, ושיעור הצעירים (בני 0 - 17) מתוכה.</w:t>
      </w:r>
    </w:p>
    <w:p w:rsidR="00AA5065" w:rsidRPr="00AA5065" w:rsidP="00860D89">
      <w:pPr>
        <w:spacing w:line="269" w:lineRule="auto"/>
        <w:ind w:left="-567"/>
        <w:rPr>
          <w:rFonts w:eastAsia="Calibri"/>
          <w:szCs w:val="20"/>
          <w:rtl/>
          <w:lang w:eastAsia="he-IL"/>
        </w:rPr>
      </w:pPr>
    </w:p>
    <w:p w:rsidR="00AA5065" w:rsidRPr="00AA5065" w:rsidP="00860D89">
      <w:pPr>
        <w:spacing w:line="269" w:lineRule="auto"/>
        <w:jc w:val="center"/>
        <w:rPr>
          <w:rFonts w:eastAsia="Calibri"/>
          <w:b/>
          <w:bCs/>
          <w:rtl/>
          <w:lang w:eastAsia="he-IL"/>
        </w:rPr>
      </w:pPr>
      <w:r w:rsidRPr="00AA5065">
        <w:rPr>
          <w:rFonts w:eastAsia="Calibri" w:hint="cs"/>
          <w:rtl/>
        </w:rPr>
        <w:t xml:space="preserve">לוח 1: </w:t>
      </w:r>
      <w:r w:rsidRPr="00AA5065">
        <w:rPr>
          <w:rFonts w:eastAsia="Calibri" w:hint="cs"/>
          <w:b/>
          <w:bCs/>
          <w:rtl/>
        </w:rPr>
        <w:t xml:space="preserve">ההתפתחות הדמוגרפית של האוכלוסייה </w:t>
      </w:r>
      <w:r w:rsidRPr="00AA5065">
        <w:rPr>
          <w:rFonts w:eastAsia="Calibri" w:hint="cs"/>
          <w:b/>
          <w:bCs/>
          <w:rtl/>
          <w:lang w:eastAsia="he-IL"/>
        </w:rPr>
        <w:t xml:space="preserve">ושיעור הצעירים מתוכה, </w:t>
      </w:r>
      <w:r w:rsidRPr="00AA5065">
        <w:rPr>
          <w:rFonts w:eastAsia="Calibri" w:hint="cs"/>
          <w:b/>
          <w:bCs/>
          <w:rtl/>
        </w:rPr>
        <w:t>1995</w:t>
      </w:r>
      <w:r w:rsidRPr="00AA5065">
        <w:rPr>
          <w:rFonts w:eastAsia="Calibri" w:hint="cs"/>
          <w:b/>
          <w:bCs/>
          <w:rtl/>
          <w:lang w:eastAsia="he-IL"/>
        </w:rPr>
        <w:t xml:space="preserve"> - 2023</w:t>
      </w:r>
    </w:p>
    <w:tbl>
      <w:tblPr>
        <w:tblStyle w:val="5-11"/>
        <w:bidiVisual/>
        <w:tblW w:w="5578" w:type="dxa"/>
        <w:jc w:val="center"/>
        <w:tblLook w:val="04A0"/>
      </w:tblPr>
      <w:tblGrid>
        <w:gridCol w:w="935"/>
        <w:gridCol w:w="1651"/>
        <w:gridCol w:w="1322"/>
        <w:gridCol w:w="1670"/>
      </w:tblGrid>
      <w:tr w:rsidTr="00860D89">
        <w:tblPrEx>
          <w:tblW w:w="5578" w:type="dxa"/>
          <w:jc w:val="center"/>
          <w:tblLook w:val="04A0"/>
        </w:tblPrEx>
        <w:trPr>
          <w:trHeight w:val="277"/>
          <w:jc w:val="center"/>
        </w:trPr>
        <w:tc>
          <w:tcPr>
            <w:tcW w:w="935" w:type="dxa"/>
            <w:noWrap/>
            <w:hideMark/>
          </w:tcPr>
          <w:p w:rsidR="00AA5065" w:rsidRPr="00AA5065" w:rsidP="00860D89">
            <w:pPr>
              <w:bidi w:val="0"/>
              <w:spacing w:line="269" w:lineRule="auto"/>
              <w:jc w:val="center"/>
              <w:rPr>
                <w:rFonts w:ascii="David" w:eastAsia="Calibri" w:hAnsi="David"/>
                <w:color w:val="000000"/>
                <w:sz w:val="22"/>
                <w:szCs w:val="22"/>
                <w:rtl/>
                <w:lang w:bidi="ar-SA"/>
              </w:rPr>
            </w:pPr>
            <w:r w:rsidRPr="00AA5065">
              <w:rPr>
                <w:rFonts w:ascii="David" w:eastAsia="Calibri" w:hAnsi="David"/>
                <w:color w:val="000000"/>
                <w:sz w:val="22"/>
                <w:szCs w:val="22"/>
                <w:rtl/>
              </w:rPr>
              <w:t>סוף שנה</w:t>
            </w:r>
          </w:p>
        </w:tc>
        <w:tc>
          <w:tcPr>
            <w:tcW w:w="1651"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tl/>
              </w:rPr>
              <w:t>סה"כ אוכלוסייה</w:t>
            </w:r>
          </w:p>
        </w:tc>
        <w:tc>
          <w:tcPr>
            <w:tcW w:w="1322" w:type="dxa"/>
            <w:noWrap/>
            <w:hideMark/>
          </w:tcPr>
          <w:p w:rsidR="00AA5065" w:rsidRPr="00AA5065" w:rsidP="00860D89">
            <w:pPr>
              <w:bidi w:val="0"/>
              <w:spacing w:line="269" w:lineRule="auto"/>
              <w:jc w:val="center"/>
              <w:rPr>
                <w:rFonts w:ascii="David" w:eastAsia="Calibri" w:hAnsi="David"/>
                <w:color w:val="000000"/>
                <w:sz w:val="22"/>
                <w:szCs w:val="22"/>
                <w:rtl/>
                <w:lang w:bidi="ar-SA"/>
              </w:rPr>
            </w:pPr>
            <w:r w:rsidRPr="00AA5065">
              <w:rPr>
                <w:rFonts w:ascii="David" w:eastAsia="Calibri" w:hAnsi="David"/>
                <w:color w:val="000000"/>
                <w:sz w:val="22"/>
                <w:szCs w:val="22"/>
                <w:rtl/>
              </w:rPr>
              <w:t>בני 0</w:t>
            </w:r>
            <w:r w:rsidRPr="00AA5065">
              <w:rPr>
                <w:rFonts w:ascii="David" w:eastAsia="Calibri" w:hAnsi="David" w:hint="cs"/>
                <w:color w:val="000000"/>
                <w:sz w:val="22"/>
                <w:szCs w:val="22"/>
                <w:rtl/>
              </w:rPr>
              <w:t xml:space="preserve"> </w:t>
            </w:r>
            <w:r w:rsidRPr="00AA5065">
              <w:rPr>
                <w:rFonts w:ascii="David" w:eastAsia="Calibri" w:hAnsi="David"/>
                <w:color w:val="000000"/>
                <w:sz w:val="22"/>
                <w:szCs w:val="22"/>
                <w:rtl/>
              </w:rPr>
              <w:t>-</w:t>
            </w:r>
            <w:r w:rsidRPr="00AA5065">
              <w:rPr>
                <w:rFonts w:ascii="David" w:eastAsia="Calibri" w:hAnsi="David" w:hint="cs"/>
                <w:color w:val="000000"/>
                <w:sz w:val="22"/>
                <w:szCs w:val="22"/>
                <w:rtl/>
              </w:rPr>
              <w:t xml:space="preserve"> </w:t>
            </w:r>
            <w:r w:rsidRPr="00AA5065">
              <w:rPr>
                <w:rFonts w:ascii="David" w:eastAsia="Calibri" w:hAnsi="David"/>
                <w:color w:val="000000"/>
                <w:sz w:val="22"/>
                <w:szCs w:val="22"/>
                <w:rtl/>
              </w:rPr>
              <w:t>17</w:t>
            </w:r>
          </w:p>
        </w:tc>
        <w:tc>
          <w:tcPr>
            <w:tcW w:w="1670" w:type="dxa"/>
            <w:noWrap/>
            <w:hideMark/>
          </w:tcPr>
          <w:p w:rsidR="00AA5065" w:rsidRPr="00AA5065" w:rsidP="00860D89">
            <w:pPr>
              <w:bidi w:val="0"/>
              <w:spacing w:line="269" w:lineRule="auto"/>
              <w:jc w:val="center"/>
              <w:rPr>
                <w:rFonts w:ascii="David" w:eastAsia="Calibri" w:hAnsi="David"/>
                <w:color w:val="000000"/>
                <w:sz w:val="22"/>
                <w:szCs w:val="22"/>
                <w:rtl/>
                <w:lang w:bidi="ar-SA"/>
              </w:rPr>
            </w:pPr>
            <w:r w:rsidRPr="00AA5065">
              <w:rPr>
                <w:rFonts w:ascii="David" w:eastAsia="Calibri" w:hAnsi="David" w:hint="cs"/>
                <w:color w:val="000000"/>
                <w:sz w:val="22"/>
                <w:szCs w:val="22"/>
                <w:rtl/>
              </w:rPr>
              <w:t>שיעור</w:t>
            </w:r>
            <w:r w:rsidRPr="00AA5065">
              <w:rPr>
                <w:rFonts w:ascii="David" w:eastAsia="Calibri" w:hAnsi="David"/>
                <w:color w:val="000000"/>
                <w:sz w:val="22"/>
                <w:szCs w:val="22"/>
                <w:rtl/>
              </w:rPr>
              <w:t xml:space="preserve"> בני 0</w:t>
            </w:r>
            <w:r w:rsidRPr="00AA5065">
              <w:rPr>
                <w:rFonts w:ascii="David" w:eastAsia="Calibri" w:hAnsi="David" w:hint="cs"/>
                <w:color w:val="000000"/>
                <w:sz w:val="22"/>
                <w:szCs w:val="22"/>
                <w:rtl/>
              </w:rPr>
              <w:t xml:space="preserve"> </w:t>
            </w:r>
            <w:r w:rsidRPr="00AA5065">
              <w:rPr>
                <w:rFonts w:ascii="David" w:eastAsia="Calibri" w:hAnsi="David"/>
                <w:color w:val="000000"/>
                <w:sz w:val="22"/>
                <w:szCs w:val="22"/>
                <w:rtl/>
              </w:rPr>
              <w:t>-</w:t>
            </w:r>
            <w:r w:rsidRPr="00AA5065">
              <w:rPr>
                <w:rFonts w:ascii="David" w:eastAsia="Calibri" w:hAnsi="David" w:hint="cs"/>
                <w:color w:val="000000"/>
                <w:sz w:val="22"/>
                <w:szCs w:val="22"/>
                <w:rtl/>
              </w:rPr>
              <w:t xml:space="preserve"> </w:t>
            </w:r>
            <w:r w:rsidRPr="00AA5065">
              <w:rPr>
                <w:rFonts w:ascii="David" w:eastAsia="Calibri" w:hAnsi="David"/>
                <w:color w:val="000000"/>
                <w:sz w:val="22"/>
                <w:szCs w:val="22"/>
                <w:rtl/>
              </w:rPr>
              <w:t>17</w:t>
            </w:r>
          </w:p>
        </w:tc>
      </w:tr>
      <w:tr w:rsidTr="00860D89">
        <w:tblPrEx>
          <w:tblW w:w="5578" w:type="dxa"/>
          <w:jc w:val="center"/>
          <w:tblLook w:val="04A0"/>
        </w:tblPrEx>
        <w:trPr>
          <w:trHeight w:val="277"/>
          <w:jc w:val="center"/>
        </w:trPr>
        <w:tc>
          <w:tcPr>
            <w:tcW w:w="935" w:type="dxa"/>
            <w:noWrap/>
            <w:hideMark/>
          </w:tcPr>
          <w:p w:rsidR="00AA5065" w:rsidRPr="00AA5065" w:rsidP="00860D89">
            <w:pPr>
              <w:bidi w:val="0"/>
              <w:spacing w:line="269" w:lineRule="auto"/>
              <w:jc w:val="right"/>
              <w:rPr>
                <w:rFonts w:ascii="David" w:eastAsia="Calibri" w:hAnsi="David"/>
                <w:color w:val="000000"/>
                <w:sz w:val="22"/>
                <w:szCs w:val="22"/>
                <w:lang w:bidi="ar-SA"/>
              </w:rPr>
            </w:pPr>
            <w:r w:rsidRPr="00AA5065">
              <w:rPr>
                <w:rFonts w:ascii="David" w:eastAsia="Calibri" w:hAnsi="David"/>
                <w:color w:val="000000"/>
                <w:sz w:val="22"/>
                <w:szCs w:val="22"/>
              </w:rPr>
              <w:t>2023</w:t>
            </w:r>
          </w:p>
        </w:tc>
        <w:tc>
          <w:tcPr>
            <w:tcW w:w="1651"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325,678</w:t>
            </w:r>
          </w:p>
        </w:tc>
        <w:tc>
          <w:tcPr>
            <w:tcW w:w="132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158,131</w:t>
            </w:r>
          </w:p>
        </w:tc>
        <w:tc>
          <w:tcPr>
            <w:tcW w:w="167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48.6</w:t>
            </w:r>
          </w:p>
        </w:tc>
      </w:tr>
      <w:tr w:rsidTr="00860D89">
        <w:tblPrEx>
          <w:tblW w:w="5578" w:type="dxa"/>
          <w:jc w:val="center"/>
          <w:tblLook w:val="04A0"/>
        </w:tblPrEx>
        <w:trPr>
          <w:trHeight w:val="277"/>
          <w:jc w:val="center"/>
        </w:trPr>
        <w:tc>
          <w:tcPr>
            <w:tcW w:w="93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2018</w:t>
            </w:r>
          </w:p>
        </w:tc>
        <w:tc>
          <w:tcPr>
            <w:tcW w:w="16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269,863</w:t>
            </w:r>
          </w:p>
        </w:tc>
        <w:tc>
          <w:tcPr>
            <w:tcW w:w="132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141,101</w:t>
            </w:r>
          </w:p>
        </w:tc>
        <w:tc>
          <w:tcPr>
            <w:tcW w:w="167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52.3</w:t>
            </w:r>
          </w:p>
        </w:tc>
      </w:tr>
      <w:tr w:rsidTr="00860D89">
        <w:tblPrEx>
          <w:tblW w:w="5578" w:type="dxa"/>
          <w:jc w:val="center"/>
          <w:tblLook w:val="04A0"/>
        </w:tblPrEx>
        <w:trPr>
          <w:trHeight w:val="277"/>
          <w:jc w:val="center"/>
        </w:trPr>
        <w:tc>
          <w:tcPr>
            <w:tcW w:w="93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2013</w:t>
            </w:r>
          </w:p>
        </w:tc>
        <w:tc>
          <w:tcPr>
            <w:tcW w:w="16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223,268</w:t>
            </w:r>
          </w:p>
        </w:tc>
        <w:tc>
          <w:tcPr>
            <w:tcW w:w="132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124,036</w:t>
            </w:r>
          </w:p>
        </w:tc>
        <w:tc>
          <w:tcPr>
            <w:tcW w:w="167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55.6</w:t>
            </w:r>
          </w:p>
        </w:tc>
      </w:tr>
      <w:tr w:rsidTr="00860D89">
        <w:tblPrEx>
          <w:tblW w:w="5578" w:type="dxa"/>
          <w:jc w:val="center"/>
          <w:tblLook w:val="04A0"/>
        </w:tblPrEx>
        <w:trPr>
          <w:trHeight w:val="277"/>
          <w:jc w:val="center"/>
        </w:trPr>
        <w:tc>
          <w:tcPr>
            <w:tcW w:w="93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2008</w:t>
            </w:r>
          </w:p>
        </w:tc>
        <w:tc>
          <w:tcPr>
            <w:tcW w:w="16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143,187</w:t>
            </w:r>
          </w:p>
        </w:tc>
        <w:tc>
          <w:tcPr>
            <w:tcW w:w="132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83,032</w:t>
            </w:r>
          </w:p>
        </w:tc>
        <w:tc>
          <w:tcPr>
            <w:tcW w:w="167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58</w:t>
            </w:r>
          </w:p>
        </w:tc>
      </w:tr>
      <w:tr w:rsidTr="00860D89">
        <w:tblPrEx>
          <w:tblW w:w="5578" w:type="dxa"/>
          <w:jc w:val="center"/>
          <w:tblLook w:val="04A0"/>
        </w:tblPrEx>
        <w:trPr>
          <w:trHeight w:val="277"/>
          <w:jc w:val="center"/>
        </w:trPr>
        <w:tc>
          <w:tcPr>
            <w:tcW w:w="93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2003</w:t>
            </w:r>
          </w:p>
        </w:tc>
        <w:tc>
          <w:tcPr>
            <w:tcW w:w="1651"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136,157</w:t>
            </w:r>
          </w:p>
        </w:tc>
        <w:tc>
          <w:tcPr>
            <w:tcW w:w="132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85,695</w:t>
            </w:r>
          </w:p>
        </w:tc>
        <w:tc>
          <w:tcPr>
            <w:tcW w:w="167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62.9</w:t>
            </w:r>
          </w:p>
        </w:tc>
      </w:tr>
      <w:tr w:rsidTr="00860D89">
        <w:tblPrEx>
          <w:tblW w:w="5578" w:type="dxa"/>
          <w:jc w:val="center"/>
          <w:tblLook w:val="04A0"/>
        </w:tblPrEx>
        <w:trPr>
          <w:trHeight w:val="277"/>
          <w:jc w:val="center"/>
        </w:trPr>
        <w:tc>
          <w:tcPr>
            <w:tcW w:w="93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1998</w:t>
            </w:r>
          </w:p>
        </w:tc>
        <w:tc>
          <w:tcPr>
            <w:tcW w:w="16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102,466</w:t>
            </w:r>
          </w:p>
        </w:tc>
        <w:tc>
          <w:tcPr>
            <w:tcW w:w="132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64,298</w:t>
            </w:r>
          </w:p>
        </w:tc>
        <w:tc>
          <w:tcPr>
            <w:tcW w:w="167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62.8</w:t>
            </w:r>
          </w:p>
        </w:tc>
      </w:tr>
      <w:tr w:rsidTr="00860D89">
        <w:tblPrEx>
          <w:tblW w:w="5578" w:type="dxa"/>
          <w:jc w:val="center"/>
          <w:tblLook w:val="04A0"/>
        </w:tblPrEx>
        <w:trPr>
          <w:trHeight w:val="277"/>
          <w:jc w:val="center"/>
        </w:trPr>
        <w:tc>
          <w:tcPr>
            <w:tcW w:w="93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1995</w:t>
            </w:r>
          </w:p>
        </w:tc>
        <w:tc>
          <w:tcPr>
            <w:tcW w:w="16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52,410</w:t>
            </w:r>
          </w:p>
        </w:tc>
        <w:tc>
          <w:tcPr>
            <w:tcW w:w="132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32,266</w:t>
            </w:r>
          </w:p>
        </w:tc>
        <w:tc>
          <w:tcPr>
            <w:tcW w:w="167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61.6</w:t>
            </w:r>
          </w:p>
        </w:tc>
      </w:tr>
    </w:tbl>
    <w:p w:rsidR="00AA5065" w:rsidRPr="00AA5065" w:rsidP="00860D89">
      <w:pPr>
        <w:spacing w:line="269" w:lineRule="auto"/>
        <w:jc w:val="left"/>
        <w:rPr>
          <w:rFonts w:ascii="David" w:eastAsia="Calibri" w:hAnsi="David"/>
          <w:szCs w:val="20"/>
          <w:rtl/>
        </w:rPr>
      </w:pPr>
      <w:r w:rsidRPr="00AA5065">
        <w:rPr>
          <w:rFonts w:ascii="David" w:eastAsia="Calibri" w:hAnsi="David"/>
          <w:szCs w:val="20"/>
          <w:rtl/>
        </w:rPr>
        <w:t>המקור: נתוני הלמ"ס, אגף דמוגרפיה ומפקד.</w:t>
      </w:r>
    </w:p>
    <w:p w:rsidR="00AA5065" w:rsidRPr="00AA5065" w:rsidP="00860D89">
      <w:pPr>
        <w:spacing w:line="269" w:lineRule="auto"/>
        <w:rPr>
          <w:rFonts w:eastAsia="Calibri"/>
        </w:rPr>
      </w:pPr>
      <w:r w:rsidRPr="00AA5065">
        <w:rPr>
          <w:rFonts w:eastAsia="Calibri" w:hint="cs"/>
          <w:rtl/>
        </w:rPr>
        <w:t>מהלוח עולה כי מספר הצעירים בקרב אוכלוסייה זו וחלקם היחסי בה גבוה מהמקובל ונע בשנים האחרונות סביב 50% (לשם השוואה - חלקם היחסי של בני 0 - 17 בכלל האוכלוסייה בישראל הוא 32.4% נכון לסוף שנת 2024). לנתון זה השפעה על התנהלותה של האוכלוסייה הבדואית בנגב.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bookmarkStart w:id="3" w:name="_Hlk204860965"/>
      <w:r w:rsidRPr="00AA5065">
        <w:rPr>
          <w:rFonts w:eastAsia="Calibri" w:hint="cs"/>
          <w:rtl/>
        </w:rPr>
        <w:t>נכון לתקופת הביקורת (אוגוסט עד דצמבר 2024) מונה אוכלוסיית הפזורה כ-70,000 עד 90,000 נפש, והיא מתגוררת מחוץ לתחומי היישובים המוכרים, מחוץ לתחום שיפוטו של השלטון המקומי, ובמגורים במבנים בלתי חוקיים הפזורים ברחבי הנגב. כמו כן, הקונפליקט בין אוכלוסייה זו לבין המדינה הולך ומעמיק נוכח תופעת ה"פלסטניזציה</w:t>
      </w:r>
      <w:bookmarkEnd w:id="3"/>
      <w:r w:rsidRPr="00AA5065">
        <w:rPr>
          <w:rFonts w:eastAsia="Calibri" w:hint="cs"/>
          <w:rtl/>
        </w:rPr>
        <w:t xml:space="preserve">" </w:t>
      </w:r>
      <w:r w:rsidRPr="00AA5065">
        <w:rPr>
          <w:rFonts w:eastAsia="Calibri"/>
          <w:rtl/>
        </w:rPr>
        <w:t>שמשמעותה התגברות הזיקה</w:t>
      </w:r>
      <w:r>
        <w:rPr>
          <w:rFonts w:eastAsia="Calibri"/>
          <w:vertAlign w:val="superscript"/>
          <w:rtl/>
        </w:rPr>
        <w:footnoteReference w:id="5"/>
      </w:r>
      <w:r w:rsidRPr="00AA5065">
        <w:rPr>
          <w:rFonts w:eastAsia="Calibri" w:hint="cs"/>
          <w:rtl/>
        </w:rPr>
        <w:t xml:space="preserve"> </w:t>
      </w:r>
      <w:r w:rsidRPr="00AA5065">
        <w:rPr>
          <w:rFonts w:eastAsia="Calibri"/>
          <w:rtl/>
        </w:rPr>
        <w:t>לאוכלוסיית הפלסטינים תושבי איו"ש, וזאת כתוצאה מנישואים לנשים פלסטיניות ‏‏מרחבי יו"ש</w:t>
      </w:r>
      <w:r w:rsidRPr="00AA5065">
        <w:rPr>
          <w:rFonts w:eastAsia="Calibri" w:hint="cs"/>
          <w:rtl/>
        </w:rPr>
        <w:t xml:space="preserve"> ומעזה</w:t>
      </w:r>
      <w:r w:rsidRPr="00AA5065">
        <w:rPr>
          <w:rFonts w:eastAsia="Calibri"/>
          <w:rtl/>
        </w:rPr>
        <w:t>, אי-ידיעה של השפה העברית, היחלשות הזיקה למדינת ישראל ומוסדותיה וחשיפה ‏להסתה נגד ‏המדינה ולאירועי אלימות מסוגים שונים.‏</w:t>
      </w:r>
    </w:p>
    <w:p w:rsidR="00AA5065" w:rsidRPr="00AA5065" w:rsidP="00860D89">
      <w:pPr>
        <w:spacing w:line="269" w:lineRule="auto"/>
        <w:rPr>
          <w:rFonts w:eastAsia="Calibri"/>
          <w:rtl/>
        </w:rPr>
      </w:pPr>
    </w:p>
    <w:p w:rsidR="00AA5065" w:rsidRPr="00AA5065" w:rsidP="007A1406">
      <w:pPr>
        <w:keepNext/>
        <w:keepLines/>
        <w:spacing w:before="120" w:line="269" w:lineRule="auto"/>
        <w:outlineLvl w:val="2"/>
        <w:rPr>
          <w:rFonts w:eastAsia="Times New Roman"/>
          <w:bCs/>
          <w:szCs w:val="28"/>
          <w:u w:val="single"/>
          <w:rtl/>
        </w:rPr>
      </w:pPr>
      <w:bookmarkStart w:id="4" w:name="_Hlk214961860"/>
      <w:r w:rsidRPr="00AA5065">
        <w:rPr>
          <w:rFonts w:eastAsia="Times New Roman" w:hint="eastAsia"/>
          <w:bCs/>
          <w:szCs w:val="28"/>
          <w:u w:val="single"/>
          <w:rtl/>
        </w:rPr>
        <w:t>פעולות</w:t>
      </w:r>
      <w:r w:rsidRPr="00AA5065">
        <w:rPr>
          <w:rFonts w:eastAsia="Times New Roman"/>
          <w:bCs/>
          <w:szCs w:val="28"/>
          <w:u w:val="single"/>
          <w:rtl/>
        </w:rPr>
        <w:t xml:space="preserve"> </w:t>
      </w:r>
      <w:r w:rsidRPr="00AA5065">
        <w:rPr>
          <w:rFonts w:eastAsia="Times New Roman" w:hint="eastAsia"/>
          <w:bCs/>
          <w:szCs w:val="28"/>
          <w:u w:val="single"/>
          <w:rtl/>
        </w:rPr>
        <w:t>הביקורת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בשנת 2021 פורסם </w:t>
      </w:r>
      <w:hyperlink r:id="rId6" w:history="1">
        <w:r w:rsidRPr="00AA5065">
          <w:rPr>
            <w:rFonts w:eastAsia="Calibri" w:hint="cs"/>
            <w:rtl/>
          </w:rPr>
          <w:t>דוח שנתי 72א</w:t>
        </w:r>
      </w:hyperlink>
      <w:r w:rsidRPr="00AA5065">
        <w:rPr>
          <w:rFonts w:eastAsia="Calibri" w:hint="cs"/>
          <w:rtl/>
        </w:rPr>
        <w:t xml:space="preserve"> של משרד מבקר המדינה בנושא "היבטי משילות בנגב"</w:t>
      </w:r>
      <w:r>
        <w:rPr>
          <w:rFonts w:eastAsia="Calibri"/>
          <w:vertAlign w:val="superscript"/>
          <w:rtl/>
        </w:rPr>
        <w:footnoteReference w:id="6"/>
      </w:r>
      <w:r w:rsidRPr="00AA5065">
        <w:rPr>
          <w:rFonts w:eastAsia="Calibri" w:hint="cs"/>
          <w:rtl/>
        </w:rPr>
        <w:t xml:space="preserve"> (להלן - הדוח הקודם או דוח הביקורת הקודם). </w:t>
      </w:r>
      <w:r w:rsidRPr="00AA5065">
        <w:rPr>
          <w:rFonts w:eastAsia="Calibri" w:hint="eastAsia"/>
          <w:rtl/>
        </w:rPr>
        <w:t>בחודשים</w:t>
      </w:r>
      <w:r w:rsidRPr="00AA5065">
        <w:rPr>
          <w:rFonts w:eastAsia="Calibri"/>
          <w:rtl/>
        </w:rPr>
        <w:t xml:space="preserve"> </w:t>
      </w:r>
      <w:r w:rsidRPr="00AA5065">
        <w:rPr>
          <w:rFonts w:eastAsia="Calibri" w:hint="cs"/>
          <w:rtl/>
        </w:rPr>
        <w:t xml:space="preserve">אוגוסט עד </w:t>
      </w:r>
      <w:r w:rsidRPr="00AA5065">
        <w:rPr>
          <w:rFonts w:eastAsia="Calibri"/>
          <w:rtl/>
        </w:rPr>
        <w:t>דצמבר 202</w:t>
      </w:r>
      <w:r w:rsidRPr="00AA5065">
        <w:rPr>
          <w:rFonts w:eastAsia="Calibri" w:hint="cs"/>
          <w:rtl/>
        </w:rPr>
        <w:t>4</w:t>
      </w:r>
      <w:r w:rsidRPr="00AA5065">
        <w:rPr>
          <w:rFonts w:eastAsia="Calibri"/>
          <w:rtl/>
        </w:rPr>
        <w:t xml:space="preserve"> </w:t>
      </w:r>
      <w:r w:rsidRPr="00AA5065">
        <w:rPr>
          <w:rFonts w:eastAsia="Calibri" w:hint="eastAsia"/>
          <w:rtl/>
        </w:rPr>
        <w:t>בדק</w:t>
      </w:r>
      <w:r w:rsidRPr="00AA5065">
        <w:rPr>
          <w:rFonts w:eastAsia="Calibri"/>
          <w:rtl/>
        </w:rPr>
        <w:t xml:space="preserve"> </w:t>
      </w:r>
      <w:r w:rsidRPr="00AA5065">
        <w:rPr>
          <w:rFonts w:eastAsia="Calibri" w:hint="eastAsia"/>
          <w:rtl/>
        </w:rPr>
        <w:t>משרד</w:t>
      </w:r>
      <w:r w:rsidRPr="00AA5065">
        <w:rPr>
          <w:rFonts w:eastAsia="Calibri"/>
          <w:rtl/>
        </w:rPr>
        <w:t xml:space="preserve"> </w:t>
      </w:r>
      <w:r w:rsidRPr="00AA5065">
        <w:rPr>
          <w:rFonts w:eastAsia="Calibri" w:hint="eastAsia"/>
          <w:rtl/>
        </w:rPr>
        <w:t>מבקר</w:t>
      </w:r>
      <w:r w:rsidRPr="00AA5065">
        <w:rPr>
          <w:rFonts w:eastAsia="Calibri"/>
          <w:rtl/>
        </w:rPr>
        <w:t xml:space="preserve"> </w:t>
      </w:r>
      <w:r w:rsidRPr="00AA5065">
        <w:rPr>
          <w:rFonts w:eastAsia="Calibri" w:hint="eastAsia"/>
          <w:rtl/>
        </w:rPr>
        <w:t>המדינה</w:t>
      </w:r>
      <w:r w:rsidRPr="00AA5065">
        <w:rPr>
          <w:rFonts w:eastAsia="Calibri"/>
          <w:rtl/>
        </w:rPr>
        <w:t xml:space="preserve"> </w:t>
      </w:r>
      <w:r w:rsidRPr="00AA5065">
        <w:rPr>
          <w:rFonts w:eastAsia="Calibri" w:hint="cs"/>
          <w:rtl/>
        </w:rPr>
        <w:t>את תיקון חלק מהליקויים ואת יישום חלק מההמלצות שהועלו בדוח הקודם בנושאים האלה: בדיקת תושבות, הטיפול בעבירות פוליגמיה, תשלומי קצבאות, הליכי אכיפה וגבייה של חובות מס, פגיעה באיכות הסביבה, פגיעה בתשתיות של חברות ממשלתיות ופרטיות, שמירה על ביטחון הנפש והרכוש, פיקוח על חוקי התנועה ואכיפתם, פלישה לשטחי אש צה"ליים והצורך במידע מרוכז ואמין ובגורם מתכלל.</w:t>
      </w:r>
      <w:r w:rsidRPr="00AA5065">
        <w:rPr>
          <w:rFonts w:eastAsia="Calibri"/>
          <w:rtl/>
        </w:rPr>
        <w:t xml:space="preserve"> הביקורת נעשתה ב</w:t>
      </w:r>
      <w:r w:rsidRPr="00AA5065">
        <w:rPr>
          <w:rFonts w:eastAsia="Calibri" w:hint="cs"/>
          <w:rtl/>
        </w:rPr>
        <w:t>משרד להגנת הסביבה (להלן - המשרד להג"ס), בחברת החשמל לישראל (להלן - חח"י), במקורות חברת מים בע"מ (להלן - חברת מקורות), בחברת תשתיות אנרגיה בע"מ (להלן - תש"א), בתאגיד המים נווה מדבר, ברשות האוכלוסין, במוסד לביטוח לאומי (להלן - בט"ל), ברשות המיסים בישראל (להלן - רשות המיסים), ברשות לפיתוח והתיישבות הבדואים בנגב, ברשות הטבע והגנים (להלן - רט"ג), ברשות המעברים היבשתיים במשרד הביטחון (להלן - רמי"ם), במשטרת ישראל ובמשרד המשפטים. בדיקות השלמה נעשו במשרד העבודה, בלמ"ס, בעיריית באר שבע, במועצה המקומית להבים, במועצת אל-קסום ובמועצת נווה מדבר</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בהתאם לסעיפים 21א ו-21ג לחוק מבקר המדינה על ראשי הגופים המבוקרים להקים צוותי תיקון ליקויים, על צוותים אלו לדון בנושא תיקון הליקויים שהעלתה הביקורת ולקבל החלטות בנושא. על ראש הגוף המבוקר לדווח למבקר המדינה על החלטות צוותי תיקון הליקויים בתוך 105 יום ממועד פרסום דוח הביקורת. ממצאי דוח הביקורת הקודם נשלחו ל-44 גופים מבוקרים.</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להלן תרשים 1 המציג את מספר הליקויים בכל גוף מבוקר ואת מספר הליקויים אשר הגוף המבוקר ענה עליהם.</w:t>
      </w:r>
    </w:p>
    <w:p w:rsidR="00AA5065" w:rsidRPr="00AA5065" w:rsidP="00860D89">
      <w:pPr>
        <w:bidi w:val="0"/>
        <w:spacing w:line="269" w:lineRule="auto"/>
        <w:rPr>
          <w:rFonts w:eastAsia="Calibri"/>
        </w:rPr>
      </w:pPr>
      <w:r w:rsidRPr="00AA5065">
        <w:rPr>
          <w:rFonts w:eastAsia="Calibri"/>
          <w:rtl/>
        </w:rPr>
        <w:br w:type="page"/>
      </w:r>
    </w:p>
    <w:p w:rsidR="00AA5065" w:rsidRPr="00AA5065" w:rsidP="00860D89">
      <w:pPr>
        <w:spacing w:line="269" w:lineRule="auto"/>
        <w:ind w:left="-567"/>
        <w:rPr>
          <w:rFonts w:eastAsia="Calibri" w:hint="cs"/>
          <w:szCs w:val="20"/>
          <w:rtl/>
        </w:rPr>
      </w:pPr>
    </w:p>
    <w:p w:rsidR="00AA5065" w:rsidRPr="00AA5065" w:rsidP="00860D89">
      <w:pPr>
        <w:spacing w:line="269" w:lineRule="auto"/>
        <w:jc w:val="center"/>
        <w:rPr>
          <w:rFonts w:eastAsia="Calibri"/>
          <w:rtl/>
        </w:rPr>
      </w:pPr>
      <w:bookmarkStart w:id="5" w:name="_Hlk205372970"/>
      <w:r w:rsidRPr="00AA5065">
        <w:rPr>
          <w:rFonts w:eastAsia="Calibri" w:hint="cs"/>
          <w:rtl/>
        </w:rPr>
        <w:t xml:space="preserve">תרשים 1: </w:t>
      </w:r>
      <w:r w:rsidRPr="00AA5065">
        <w:rPr>
          <w:rFonts w:eastAsia="Calibri" w:hint="eastAsia"/>
          <w:b/>
          <w:bCs/>
          <w:rtl/>
        </w:rPr>
        <w:t>מענה</w:t>
      </w:r>
      <w:r w:rsidRPr="00AA5065">
        <w:rPr>
          <w:rFonts w:eastAsia="Calibri"/>
          <w:b/>
          <w:bCs/>
          <w:rtl/>
        </w:rPr>
        <w:t xml:space="preserve"> </w:t>
      </w:r>
      <w:r w:rsidRPr="00AA5065">
        <w:rPr>
          <w:rFonts w:eastAsia="Calibri" w:hint="eastAsia"/>
          <w:b/>
          <w:bCs/>
          <w:rtl/>
        </w:rPr>
        <w:t>מכלל</w:t>
      </w:r>
      <w:r w:rsidRPr="00AA5065">
        <w:rPr>
          <w:rFonts w:eastAsia="Calibri"/>
          <w:b/>
          <w:bCs/>
          <w:rtl/>
        </w:rPr>
        <w:t xml:space="preserve"> </w:t>
      </w:r>
      <w:r w:rsidRPr="00AA5065">
        <w:rPr>
          <w:rFonts w:eastAsia="Calibri" w:hint="eastAsia"/>
          <w:b/>
          <w:bCs/>
          <w:rtl/>
        </w:rPr>
        <w:t>הגופים</w:t>
      </w:r>
      <w:r w:rsidRPr="00AA5065">
        <w:rPr>
          <w:rFonts w:eastAsia="Calibri"/>
          <w:b/>
          <w:bCs/>
          <w:rtl/>
        </w:rPr>
        <w:t xml:space="preserve"> </w:t>
      </w:r>
      <w:r w:rsidRPr="00AA5065">
        <w:rPr>
          <w:rFonts w:eastAsia="Calibri" w:hint="eastAsia"/>
          <w:b/>
          <w:bCs/>
          <w:rtl/>
        </w:rPr>
        <w:t>המבוקרים</w:t>
      </w:r>
    </w:p>
    <w:bookmarkEnd w:id="5"/>
    <w:p w:rsidR="00AA5065" w:rsidRPr="00AA5065" w:rsidP="00860D89">
      <w:pPr>
        <w:spacing w:line="269" w:lineRule="auto"/>
        <w:jc w:val="center"/>
        <w:rPr>
          <w:rFonts w:eastAsia="Calibri"/>
        </w:rPr>
      </w:pPr>
      <w:r w:rsidRPr="00AA5065">
        <w:rPr>
          <w:rFonts w:eastAsia="Calibri"/>
          <w:noProof/>
        </w:rPr>
        <w:drawing>
          <wp:inline distT="0" distB="0" distL="0" distR="0">
            <wp:extent cx="4562475" cy="7124700"/>
            <wp:effectExtent l="0" t="0" r="9525" b="0"/>
            <wp:docPr id="344773232" name="תמונה 344773232" descr="תוכן התרשים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73232" name=""/>
                    <pic:cNvPicPr/>
                  </pic:nvPicPr>
                  <pic:blipFill>
                    <a:blip xmlns:r="http://schemas.openxmlformats.org/officeDocument/2006/relationships" r:embed="rId7"/>
                    <a:srcRect l="9108"/>
                    <a:stretch>
                      <a:fillRect/>
                    </a:stretch>
                  </pic:blipFill>
                  <pic:spPr bwMode="auto">
                    <a:xfrm>
                      <a:off x="0" y="0"/>
                      <a:ext cx="4562475" cy="71247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eastAsia"/>
          <w:b/>
          <w:bCs/>
          <w:rtl/>
        </w:rPr>
        <w:t>מהתרשים</w:t>
      </w:r>
      <w:r w:rsidRPr="00AA5065">
        <w:rPr>
          <w:rFonts w:eastAsia="Calibri"/>
          <w:b/>
          <w:bCs/>
          <w:rtl/>
        </w:rPr>
        <w:t xml:space="preserve"> עולה כי נכון למועד סיום הביקורת</w:t>
      </w:r>
      <w:r w:rsidRPr="00AA5065">
        <w:rPr>
          <w:rFonts w:eastAsia="Calibri" w:hint="cs"/>
          <w:b/>
          <w:bCs/>
          <w:rtl/>
        </w:rPr>
        <w:t xml:space="preserve"> </w:t>
      </w:r>
      <w:r w:rsidRPr="00AA5065">
        <w:rPr>
          <w:rFonts w:eastAsia="Calibri" w:hint="eastAsia"/>
          <w:b/>
          <w:bCs/>
          <w:rtl/>
        </w:rPr>
        <w:t>התקבל</w:t>
      </w:r>
      <w:r w:rsidRPr="00AA5065">
        <w:rPr>
          <w:rFonts w:eastAsia="Calibri"/>
          <w:b/>
          <w:bCs/>
          <w:rtl/>
        </w:rPr>
        <w:t xml:space="preserve"> </w:t>
      </w:r>
      <w:r w:rsidRPr="00AA5065">
        <w:rPr>
          <w:rFonts w:eastAsia="Calibri" w:hint="eastAsia"/>
          <w:b/>
          <w:bCs/>
          <w:rtl/>
        </w:rPr>
        <w:t>מענה</w:t>
      </w:r>
      <w:r w:rsidRPr="00AA5065">
        <w:rPr>
          <w:rFonts w:eastAsia="Calibri" w:hint="cs"/>
          <w:b/>
          <w:bCs/>
          <w:rtl/>
        </w:rPr>
        <w:t xml:space="preserve"> על דוח הביקורת הקודם</w:t>
      </w:r>
      <w:r w:rsidRPr="00AA5065">
        <w:rPr>
          <w:rFonts w:eastAsia="Calibri"/>
          <w:b/>
          <w:bCs/>
          <w:rtl/>
        </w:rPr>
        <w:t xml:space="preserve"> </w:t>
      </w:r>
      <w:r w:rsidRPr="00AA5065">
        <w:rPr>
          <w:rFonts w:eastAsia="Calibri" w:hint="eastAsia"/>
          <w:b/>
          <w:bCs/>
          <w:rtl/>
        </w:rPr>
        <w:t>מ</w:t>
      </w:r>
      <w:r w:rsidRPr="00AA5065">
        <w:rPr>
          <w:rFonts w:eastAsia="Calibri"/>
          <w:b/>
          <w:bCs/>
          <w:rtl/>
        </w:rPr>
        <w:t>-</w:t>
      </w:r>
      <w:r w:rsidRPr="00AA5065">
        <w:rPr>
          <w:rFonts w:eastAsia="Calibri" w:hint="cs"/>
          <w:b/>
          <w:bCs/>
          <w:rtl/>
        </w:rPr>
        <w:t>18</w:t>
      </w:r>
      <w:r w:rsidRPr="00AA5065">
        <w:rPr>
          <w:rFonts w:eastAsia="Calibri"/>
          <w:b/>
          <w:bCs/>
          <w:rtl/>
        </w:rPr>
        <w:t xml:space="preserve"> </w:t>
      </w:r>
      <w:r w:rsidRPr="00AA5065">
        <w:rPr>
          <w:rFonts w:eastAsia="Calibri" w:hint="eastAsia"/>
          <w:b/>
          <w:bCs/>
          <w:rtl/>
        </w:rPr>
        <w:t>גופים</w:t>
      </w:r>
      <w:r w:rsidRPr="00AA5065">
        <w:rPr>
          <w:rFonts w:eastAsia="Calibri"/>
          <w:b/>
          <w:bCs/>
          <w:rtl/>
        </w:rPr>
        <w:t xml:space="preserve"> </w:t>
      </w:r>
      <w:r w:rsidRPr="00AA5065">
        <w:rPr>
          <w:rFonts w:eastAsia="Calibri" w:hint="eastAsia"/>
          <w:b/>
          <w:bCs/>
          <w:rtl/>
        </w:rPr>
        <w:t>מבוקרים</w:t>
      </w:r>
      <w:r w:rsidRPr="00AA5065">
        <w:rPr>
          <w:rFonts w:eastAsia="Calibri"/>
          <w:b/>
          <w:bCs/>
          <w:rtl/>
        </w:rPr>
        <w:t xml:space="preserve"> </w:t>
      </w:r>
      <w:r w:rsidRPr="00AA5065">
        <w:rPr>
          <w:rFonts w:eastAsia="Calibri" w:hint="eastAsia"/>
          <w:b/>
          <w:bCs/>
          <w:rtl/>
        </w:rPr>
        <w:t>בלבד</w:t>
      </w:r>
      <w:r w:rsidRPr="00AA5065">
        <w:rPr>
          <w:rFonts w:eastAsia="Calibri"/>
          <w:b/>
          <w:bCs/>
          <w:rtl/>
        </w:rPr>
        <w:t xml:space="preserve"> (</w:t>
      </w:r>
      <w:r w:rsidRPr="00AA5065">
        <w:rPr>
          <w:rFonts w:eastAsia="Calibri" w:hint="cs"/>
          <w:b/>
          <w:bCs/>
          <w:rtl/>
        </w:rPr>
        <w:t>41</w:t>
      </w:r>
      <w:r w:rsidRPr="00AA5065">
        <w:rPr>
          <w:rFonts w:eastAsia="Calibri"/>
          <w:b/>
          <w:bCs/>
          <w:rtl/>
        </w:rPr>
        <w:t xml:space="preserve">%). </w:t>
      </w:r>
      <w:r w:rsidRPr="00AA5065">
        <w:rPr>
          <w:rFonts w:eastAsia="Calibri" w:hint="eastAsia"/>
          <w:b/>
          <w:bCs/>
          <w:rtl/>
        </w:rPr>
        <w:t>הועברו</w:t>
      </w:r>
      <w:r w:rsidRPr="00AA5065">
        <w:rPr>
          <w:rFonts w:eastAsia="Calibri"/>
          <w:b/>
          <w:bCs/>
          <w:rtl/>
        </w:rPr>
        <w:t xml:space="preserve"> </w:t>
      </w:r>
      <w:r w:rsidRPr="00AA5065">
        <w:rPr>
          <w:rFonts w:eastAsia="Calibri" w:hint="cs"/>
          <w:b/>
          <w:bCs/>
          <w:rtl/>
        </w:rPr>
        <w:t>ב</w:t>
      </w:r>
      <w:r w:rsidRPr="00AA5065">
        <w:rPr>
          <w:rFonts w:eastAsia="Calibri" w:hint="eastAsia"/>
          <w:b/>
          <w:bCs/>
          <w:rtl/>
        </w:rPr>
        <w:t>סך</w:t>
      </w:r>
      <w:r w:rsidRPr="00AA5065">
        <w:rPr>
          <w:rFonts w:eastAsia="Calibri"/>
          <w:b/>
          <w:bCs/>
          <w:rtl/>
        </w:rPr>
        <w:t xml:space="preserve"> </w:t>
      </w:r>
      <w:r w:rsidRPr="00AA5065">
        <w:rPr>
          <w:rFonts w:eastAsia="Calibri" w:hint="eastAsia"/>
          <w:b/>
          <w:bCs/>
          <w:rtl/>
        </w:rPr>
        <w:t>הכ</w:t>
      </w:r>
      <w:r w:rsidRPr="00AA5065">
        <w:rPr>
          <w:rFonts w:eastAsia="Calibri" w:hint="cs"/>
          <w:b/>
          <w:bCs/>
          <w:rtl/>
        </w:rPr>
        <w:t>ו</w:t>
      </w:r>
      <w:r w:rsidRPr="00AA5065">
        <w:rPr>
          <w:rFonts w:eastAsia="Calibri" w:hint="eastAsia"/>
          <w:b/>
          <w:bCs/>
          <w:rtl/>
        </w:rPr>
        <w:t>ל</w:t>
      </w:r>
      <w:r w:rsidRPr="00AA5065">
        <w:rPr>
          <w:rFonts w:eastAsia="Calibri"/>
          <w:b/>
          <w:bCs/>
          <w:rtl/>
        </w:rPr>
        <w:t xml:space="preserve"> </w:t>
      </w:r>
      <w:r w:rsidRPr="00AA5065">
        <w:rPr>
          <w:rFonts w:eastAsia="Calibri" w:hint="cs"/>
          <w:b/>
          <w:bCs/>
          <w:rtl/>
        </w:rPr>
        <w:t>346</w:t>
      </w:r>
      <w:r w:rsidRPr="00AA5065">
        <w:rPr>
          <w:rFonts w:eastAsia="Calibri"/>
          <w:b/>
          <w:bCs/>
          <w:rtl/>
        </w:rPr>
        <w:t xml:space="preserve"> </w:t>
      </w:r>
      <w:r w:rsidRPr="00AA5065">
        <w:rPr>
          <w:rFonts w:eastAsia="Calibri" w:hint="eastAsia"/>
          <w:b/>
          <w:bCs/>
          <w:rtl/>
        </w:rPr>
        <w:t>ליקויים</w:t>
      </w:r>
      <w:r w:rsidRPr="00AA5065">
        <w:rPr>
          <w:rFonts w:eastAsia="Calibri"/>
          <w:b/>
          <w:bCs/>
          <w:rtl/>
        </w:rPr>
        <w:t xml:space="preserve"> </w:t>
      </w:r>
      <w:r w:rsidRPr="00AA5065">
        <w:rPr>
          <w:rFonts w:eastAsia="Calibri" w:hint="eastAsia"/>
          <w:b/>
          <w:bCs/>
          <w:rtl/>
        </w:rPr>
        <w:t>לגופים</w:t>
      </w:r>
      <w:r w:rsidRPr="00AA5065">
        <w:rPr>
          <w:rFonts w:eastAsia="Calibri"/>
          <w:b/>
          <w:bCs/>
          <w:rtl/>
        </w:rPr>
        <w:t xml:space="preserve"> </w:t>
      </w:r>
      <w:r w:rsidRPr="00AA5065">
        <w:rPr>
          <w:rFonts w:eastAsia="Calibri" w:hint="eastAsia"/>
          <w:b/>
          <w:bCs/>
          <w:rtl/>
        </w:rPr>
        <w:t>המבוקרים</w:t>
      </w:r>
      <w:r w:rsidRPr="00AA5065">
        <w:rPr>
          <w:rFonts w:eastAsia="Calibri" w:hint="cs"/>
          <w:b/>
          <w:bCs/>
          <w:rtl/>
        </w:rPr>
        <w:t>,</w:t>
      </w:r>
      <w:r w:rsidRPr="00AA5065">
        <w:rPr>
          <w:rFonts w:eastAsia="Calibri"/>
          <w:b/>
          <w:bCs/>
          <w:rtl/>
        </w:rPr>
        <w:t xml:space="preserve"> </w:t>
      </w:r>
      <w:r w:rsidRPr="00AA5065">
        <w:rPr>
          <w:rFonts w:eastAsia="Calibri" w:hint="eastAsia"/>
          <w:b/>
          <w:bCs/>
          <w:rtl/>
        </w:rPr>
        <w:t>והתקבל</w:t>
      </w:r>
      <w:r w:rsidRPr="00AA5065">
        <w:rPr>
          <w:rFonts w:eastAsia="Calibri"/>
          <w:b/>
          <w:bCs/>
          <w:rtl/>
        </w:rPr>
        <w:t xml:space="preserve"> </w:t>
      </w:r>
      <w:r w:rsidRPr="00AA5065">
        <w:rPr>
          <w:rFonts w:eastAsia="Calibri" w:hint="eastAsia"/>
          <w:b/>
          <w:bCs/>
          <w:rtl/>
        </w:rPr>
        <w:t>מענה</w:t>
      </w:r>
      <w:r w:rsidRPr="00AA5065">
        <w:rPr>
          <w:rFonts w:eastAsia="Calibri"/>
          <w:b/>
          <w:bCs/>
          <w:rtl/>
        </w:rPr>
        <w:t xml:space="preserve"> </w:t>
      </w:r>
      <w:r w:rsidRPr="00AA5065">
        <w:rPr>
          <w:rFonts w:eastAsia="Calibri" w:hint="eastAsia"/>
          <w:b/>
          <w:bCs/>
          <w:rtl/>
        </w:rPr>
        <w:t>על</w:t>
      </w:r>
      <w:r w:rsidRPr="00AA5065">
        <w:rPr>
          <w:rFonts w:eastAsia="Calibri"/>
          <w:b/>
          <w:bCs/>
          <w:rtl/>
        </w:rPr>
        <w:t xml:space="preserve"> </w:t>
      </w:r>
      <w:r w:rsidRPr="00AA5065">
        <w:rPr>
          <w:rFonts w:eastAsia="Calibri" w:hint="cs"/>
          <w:b/>
          <w:bCs/>
          <w:rtl/>
        </w:rPr>
        <w:t>91</w:t>
      </w:r>
      <w:r w:rsidRPr="00AA5065">
        <w:rPr>
          <w:rFonts w:eastAsia="Calibri"/>
          <w:b/>
          <w:bCs/>
          <w:rtl/>
        </w:rPr>
        <w:t xml:space="preserve"> </w:t>
      </w:r>
      <w:r w:rsidRPr="00AA5065">
        <w:rPr>
          <w:rFonts w:eastAsia="Calibri" w:hint="eastAsia"/>
          <w:b/>
          <w:bCs/>
          <w:rtl/>
        </w:rPr>
        <w:t>ליקויים</w:t>
      </w:r>
      <w:r w:rsidRPr="00AA5065">
        <w:rPr>
          <w:rFonts w:eastAsia="Calibri"/>
          <w:b/>
          <w:bCs/>
          <w:rtl/>
        </w:rPr>
        <w:t xml:space="preserve"> (כ-</w:t>
      </w:r>
      <w:r w:rsidRPr="00AA5065">
        <w:rPr>
          <w:rFonts w:eastAsia="Calibri" w:hint="cs"/>
          <w:b/>
          <w:bCs/>
          <w:rtl/>
        </w:rPr>
        <w:t>26</w:t>
      </w:r>
      <w:r w:rsidRPr="00AA5065">
        <w:rPr>
          <w:rFonts w:eastAsia="Calibri"/>
          <w:b/>
          <w:bCs/>
          <w:rtl/>
        </w:rPr>
        <w:t xml:space="preserve">%). </w:t>
      </w:r>
      <w:r w:rsidRPr="00AA5065">
        <w:rPr>
          <w:rFonts w:eastAsia="Calibri" w:hint="eastAsia"/>
          <w:b/>
          <w:bCs/>
          <w:rtl/>
        </w:rPr>
        <w:t>כל</w:t>
      </w:r>
      <w:r w:rsidRPr="00AA5065">
        <w:rPr>
          <w:rFonts w:eastAsia="Calibri"/>
          <w:b/>
          <w:bCs/>
          <w:rtl/>
        </w:rPr>
        <w:t xml:space="preserve"> </w:t>
      </w:r>
      <w:r w:rsidRPr="00AA5065">
        <w:rPr>
          <w:rFonts w:eastAsia="Calibri" w:hint="eastAsia"/>
          <w:b/>
          <w:bCs/>
          <w:rtl/>
        </w:rPr>
        <w:t>הגופים</w:t>
      </w:r>
      <w:r w:rsidRPr="00AA5065">
        <w:rPr>
          <w:rFonts w:eastAsia="Calibri"/>
          <w:b/>
          <w:bCs/>
          <w:rtl/>
        </w:rPr>
        <w:t xml:space="preserve"> </w:t>
      </w:r>
      <w:r w:rsidRPr="00AA5065">
        <w:rPr>
          <w:rFonts w:eastAsia="Calibri" w:hint="eastAsia"/>
          <w:b/>
          <w:bCs/>
          <w:rtl/>
        </w:rPr>
        <w:t>המבוקרים</w:t>
      </w:r>
      <w:r w:rsidRPr="00AA5065">
        <w:rPr>
          <w:rFonts w:eastAsia="Calibri"/>
          <w:b/>
          <w:bCs/>
          <w:rtl/>
        </w:rPr>
        <w:t xml:space="preserve"> </w:t>
      </w:r>
      <w:r w:rsidRPr="00AA5065">
        <w:rPr>
          <w:rFonts w:eastAsia="Calibri" w:hint="eastAsia"/>
          <w:b/>
          <w:bCs/>
          <w:rtl/>
        </w:rPr>
        <w:t>שדיווחו</w:t>
      </w:r>
      <w:r w:rsidRPr="00AA5065">
        <w:rPr>
          <w:rFonts w:eastAsia="Calibri"/>
          <w:b/>
          <w:bCs/>
          <w:rtl/>
        </w:rPr>
        <w:t xml:space="preserve"> </w:t>
      </w:r>
      <w:r w:rsidRPr="00AA5065">
        <w:rPr>
          <w:rFonts w:eastAsia="Calibri" w:hint="eastAsia"/>
          <w:b/>
          <w:bCs/>
          <w:rtl/>
        </w:rPr>
        <w:t>למבקר</w:t>
      </w:r>
      <w:r w:rsidRPr="00AA5065">
        <w:rPr>
          <w:rFonts w:eastAsia="Calibri"/>
          <w:b/>
          <w:bCs/>
          <w:rtl/>
        </w:rPr>
        <w:t xml:space="preserve"> </w:t>
      </w:r>
      <w:r w:rsidRPr="00AA5065">
        <w:rPr>
          <w:rFonts w:eastAsia="Calibri" w:hint="eastAsia"/>
          <w:b/>
          <w:bCs/>
          <w:rtl/>
        </w:rPr>
        <w:t>המדינה</w:t>
      </w:r>
      <w:r w:rsidRPr="00AA5065">
        <w:rPr>
          <w:rFonts w:eastAsia="Calibri"/>
          <w:b/>
          <w:bCs/>
          <w:rtl/>
        </w:rPr>
        <w:t xml:space="preserve"> </w:t>
      </w:r>
      <w:r w:rsidRPr="00AA5065">
        <w:rPr>
          <w:rFonts w:eastAsia="Calibri" w:hint="eastAsia"/>
          <w:b/>
          <w:bCs/>
          <w:rtl/>
        </w:rPr>
        <w:t>על</w:t>
      </w:r>
      <w:r w:rsidRPr="00AA5065">
        <w:rPr>
          <w:rFonts w:eastAsia="Calibri"/>
          <w:b/>
          <w:bCs/>
          <w:rtl/>
        </w:rPr>
        <w:t xml:space="preserve"> </w:t>
      </w:r>
      <w:r w:rsidRPr="00AA5065">
        <w:rPr>
          <w:rFonts w:eastAsia="Calibri" w:hint="eastAsia"/>
          <w:b/>
          <w:bCs/>
          <w:rtl/>
        </w:rPr>
        <w:t>תיקון</w:t>
      </w:r>
      <w:r w:rsidRPr="00AA5065">
        <w:rPr>
          <w:rFonts w:eastAsia="Calibri"/>
          <w:b/>
          <w:bCs/>
          <w:rtl/>
        </w:rPr>
        <w:t xml:space="preserve"> </w:t>
      </w:r>
      <w:r w:rsidRPr="00AA5065">
        <w:rPr>
          <w:rFonts w:eastAsia="Calibri" w:hint="eastAsia"/>
          <w:b/>
          <w:bCs/>
          <w:rtl/>
        </w:rPr>
        <w:t>ליקויים</w:t>
      </w:r>
      <w:r w:rsidRPr="00AA5065">
        <w:rPr>
          <w:rFonts w:eastAsia="Calibri"/>
          <w:b/>
          <w:bCs/>
          <w:rtl/>
        </w:rPr>
        <w:t xml:space="preserve"> </w:t>
      </w:r>
      <w:r w:rsidRPr="00AA5065">
        <w:rPr>
          <w:rFonts w:eastAsia="Calibri" w:hint="eastAsia"/>
          <w:b/>
          <w:bCs/>
          <w:rtl/>
        </w:rPr>
        <w:t>דיווחו</w:t>
      </w:r>
      <w:r w:rsidRPr="00AA5065">
        <w:rPr>
          <w:rFonts w:eastAsia="Calibri"/>
          <w:b/>
          <w:bCs/>
          <w:rtl/>
        </w:rPr>
        <w:t xml:space="preserve"> </w:t>
      </w:r>
      <w:r w:rsidRPr="00AA5065">
        <w:rPr>
          <w:rFonts w:eastAsia="Calibri" w:hint="eastAsia"/>
          <w:b/>
          <w:bCs/>
          <w:rtl/>
        </w:rPr>
        <w:t>על</w:t>
      </w:r>
      <w:r w:rsidRPr="00AA5065">
        <w:rPr>
          <w:rFonts w:eastAsia="Calibri"/>
          <w:b/>
          <w:bCs/>
          <w:rtl/>
        </w:rPr>
        <w:t xml:space="preserve"> </w:t>
      </w:r>
      <w:r w:rsidRPr="00AA5065">
        <w:rPr>
          <w:rFonts w:eastAsia="Calibri" w:hint="eastAsia"/>
          <w:b/>
          <w:bCs/>
          <w:rtl/>
        </w:rPr>
        <w:t>כלל</w:t>
      </w:r>
      <w:r w:rsidRPr="00AA5065">
        <w:rPr>
          <w:rFonts w:eastAsia="Calibri"/>
          <w:b/>
          <w:bCs/>
          <w:rtl/>
        </w:rPr>
        <w:t xml:space="preserve"> </w:t>
      </w:r>
      <w:r w:rsidRPr="00AA5065">
        <w:rPr>
          <w:rFonts w:eastAsia="Calibri" w:hint="eastAsia"/>
          <w:b/>
          <w:bCs/>
          <w:rtl/>
        </w:rPr>
        <w:t>הליקויים</w:t>
      </w:r>
      <w:r w:rsidRPr="00AA5065">
        <w:rPr>
          <w:rFonts w:eastAsia="Calibri"/>
          <w:b/>
          <w:bCs/>
          <w:rtl/>
        </w:rPr>
        <w:t xml:space="preserve"> </w:t>
      </w:r>
      <w:r w:rsidRPr="00AA5065">
        <w:rPr>
          <w:rFonts w:eastAsia="Calibri" w:hint="eastAsia"/>
          <w:b/>
          <w:bCs/>
          <w:rtl/>
        </w:rPr>
        <w:t>שהועברו</w:t>
      </w:r>
      <w:r w:rsidRPr="00AA5065">
        <w:rPr>
          <w:rFonts w:eastAsia="Calibri"/>
          <w:b/>
          <w:bCs/>
          <w:rtl/>
        </w:rPr>
        <w:t xml:space="preserve">, </w:t>
      </w:r>
      <w:r w:rsidRPr="00AA5065">
        <w:rPr>
          <w:rFonts w:eastAsia="Calibri" w:hint="eastAsia"/>
          <w:b/>
          <w:bCs/>
          <w:rtl/>
        </w:rPr>
        <w:t>למעט</w:t>
      </w:r>
      <w:r w:rsidRPr="00AA5065">
        <w:rPr>
          <w:rFonts w:eastAsia="Calibri"/>
          <w:b/>
          <w:bCs/>
          <w:rtl/>
        </w:rPr>
        <w:t xml:space="preserve"> </w:t>
      </w:r>
      <w:r w:rsidRPr="00AA5065">
        <w:rPr>
          <w:rFonts w:eastAsia="Calibri" w:hint="eastAsia"/>
          <w:b/>
          <w:bCs/>
          <w:rtl/>
        </w:rPr>
        <w:t>רשות</w:t>
      </w:r>
      <w:r w:rsidRPr="00AA5065">
        <w:rPr>
          <w:rFonts w:eastAsia="Calibri"/>
          <w:b/>
          <w:bCs/>
          <w:rtl/>
        </w:rPr>
        <w:t xml:space="preserve"> </w:t>
      </w:r>
      <w:r w:rsidRPr="00AA5065">
        <w:rPr>
          <w:rFonts w:eastAsia="Calibri" w:hint="eastAsia"/>
          <w:b/>
          <w:bCs/>
          <w:rtl/>
        </w:rPr>
        <w:t>המיסים</w:t>
      </w:r>
      <w:r w:rsidRPr="00AA5065">
        <w:rPr>
          <w:rFonts w:eastAsia="Calibri"/>
          <w:b/>
          <w:bCs/>
          <w:rtl/>
        </w:rPr>
        <w:t xml:space="preserve"> </w:t>
      </w:r>
      <w:r w:rsidRPr="00AA5065">
        <w:rPr>
          <w:rFonts w:eastAsia="Calibri" w:hint="eastAsia"/>
          <w:b/>
          <w:bCs/>
          <w:rtl/>
        </w:rPr>
        <w:t>אשר</w:t>
      </w:r>
      <w:r w:rsidRPr="00AA5065">
        <w:rPr>
          <w:rFonts w:eastAsia="Calibri"/>
          <w:b/>
          <w:bCs/>
          <w:rtl/>
        </w:rPr>
        <w:t xml:space="preserve"> </w:t>
      </w:r>
      <w:r w:rsidRPr="00AA5065">
        <w:rPr>
          <w:rFonts w:eastAsia="Calibri" w:hint="eastAsia"/>
          <w:b/>
          <w:bCs/>
          <w:rtl/>
        </w:rPr>
        <w:t>דיווחה</w:t>
      </w:r>
      <w:r w:rsidRPr="00AA5065">
        <w:rPr>
          <w:rFonts w:eastAsia="Calibri"/>
          <w:b/>
          <w:bCs/>
          <w:rtl/>
        </w:rPr>
        <w:t xml:space="preserve"> </w:t>
      </w:r>
      <w:r w:rsidRPr="00AA5065">
        <w:rPr>
          <w:rFonts w:eastAsia="Calibri" w:hint="eastAsia"/>
          <w:b/>
          <w:bCs/>
          <w:rtl/>
        </w:rPr>
        <w:t>על</w:t>
      </w:r>
      <w:r w:rsidRPr="00AA5065">
        <w:rPr>
          <w:rFonts w:eastAsia="Calibri"/>
          <w:b/>
          <w:bCs/>
          <w:rtl/>
        </w:rPr>
        <w:t xml:space="preserve"> 8 </w:t>
      </w:r>
      <w:r w:rsidRPr="00AA5065">
        <w:rPr>
          <w:rFonts w:eastAsia="Calibri" w:hint="eastAsia"/>
          <w:b/>
          <w:bCs/>
          <w:rtl/>
        </w:rPr>
        <w:t>ליקויים</w:t>
      </w:r>
      <w:r w:rsidRPr="00AA5065">
        <w:rPr>
          <w:rFonts w:eastAsia="Calibri"/>
          <w:b/>
          <w:bCs/>
          <w:rtl/>
        </w:rPr>
        <w:t xml:space="preserve"> </w:t>
      </w:r>
      <w:r w:rsidRPr="00AA5065">
        <w:rPr>
          <w:rFonts w:eastAsia="Calibri" w:hint="eastAsia"/>
          <w:b/>
          <w:bCs/>
          <w:rtl/>
        </w:rPr>
        <w:t>מתוך</w:t>
      </w:r>
      <w:r w:rsidRPr="00AA5065">
        <w:rPr>
          <w:rFonts w:eastAsia="Calibri"/>
          <w:b/>
          <w:bCs/>
          <w:rtl/>
        </w:rPr>
        <w:t xml:space="preserve"> 11 (73%)</w:t>
      </w:r>
      <w:r w:rsidRPr="00AA5065">
        <w:rPr>
          <w:rFonts w:eastAsia="Calibri" w:hint="cs"/>
          <w:b/>
          <w:bCs/>
          <w:rtl/>
        </w:rPr>
        <w:t xml:space="preserve"> והמשרד לביטחון הפנים אשר דיווח על 4 ליקויים מתוך 5 (80%).</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eastAsia"/>
          <w:b/>
          <w:bCs/>
          <w:rtl/>
        </w:rPr>
        <w:t>בביקורת</w:t>
      </w:r>
      <w:r w:rsidRPr="00AA5065">
        <w:rPr>
          <w:rFonts w:eastAsia="Calibri"/>
          <w:b/>
          <w:bCs/>
          <w:rtl/>
        </w:rPr>
        <w:t xml:space="preserve"> הקודמת </w:t>
      </w:r>
      <w:r w:rsidRPr="00AA5065">
        <w:rPr>
          <w:rFonts w:eastAsia="Calibri" w:hint="eastAsia"/>
          <w:b/>
          <w:bCs/>
          <w:rtl/>
        </w:rPr>
        <w:t>נמצאו</w:t>
      </w:r>
      <w:r w:rsidRPr="00AA5065">
        <w:rPr>
          <w:rFonts w:eastAsia="Calibri"/>
          <w:b/>
          <w:bCs/>
          <w:rtl/>
        </w:rPr>
        <w:t xml:space="preserve"> </w:t>
      </w:r>
      <w:r w:rsidRPr="00AA5065">
        <w:rPr>
          <w:rFonts w:eastAsia="Calibri" w:hint="eastAsia"/>
          <w:b/>
          <w:bCs/>
          <w:rtl/>
        </w:rPr>
        <w:t>ונשלחו</w:t>
      </w:r>
      <w:r w:rsidRPr="00AA5065">
        <w:rPr>
          <w:rFonts w:eastAsia="Calibri"/>
          <w:b/>
          <w:bCs/>
          <w:rtl/>
        </w:rPr>
        <w:t xml:space="preserve"> </w:t>
      </w:r>
      <w:r w:rsidRPr="00AA5065">
        <w:rPr>
          <w:rFonts w:eastAsia="Calibri" w:hint="eastAsia"/>
          <w:b/>
          <w:bCs/>
          <w:rtl/>
        </w:rPr>
        <w:t>ליקויים</w:t>
      </w:r>
      <w:r w:rsidRPr="00AA5065">
        <w:rPr>
          <w:rFonts w:eastAsia="Calibri"/>
          <w:b/>
          <w:bCs/>
          <w:rtl/>
        </w:rPr>
        <w:t xml:space="preserve"> </w:t>
      </w:r>
      <w:r w:rsidRPr="00AA5065">
        <w:rPr>
          <w:rFonts w:eastAsia="Calibri" w:hint="eastAsia"/>
          <w:b/>
          <w:bCs/>
          <w:rtl/>
        </w:rPr>
        <w:t>ל</w:t>
      </w:r>
      <w:r w:rsidRPr="00AA5065">
        <w:rPr>
          <w:rFonts w:eastAsia="Calibri"/>
          <w:b/>
          <w:bCs/>
          <w:rtl/>
        </w:rPr>
        <w:t>-</w:t>
      </w:r>
      <w:r w:rsidRPr="00AA5065">
        <w:rPr>
          <w:rFonts w:eastAsia="Calibri" w:hint="cs"/>
          <w:b/>
          <w:bCs/>
          <w:rtl/>
        </w:rPr>
        <w:t>44</w:t>
      </w:r>
      <w:r w:rsidRPr="00AA5065">
        <w:rPr>
          <w:rFonts w:eastAsia="Calibri"/>
          <w:b/>
          <w:bCs/>
          <w:rtl/>
        </w:rPr>
        <w:t xml:space="preserve"> </w:t>
      </w:r>
      <w:r w:rsidRPr="00AA5065">
        <w:rPr>
          <w:rFonts w:eastAsia="Calibri" w:hint="eastAsia"/>
          <w:b/>
          <w:bCs/>
          <w:rtl/>
        </w:rPr>
        <w:t>גופים</w:t>
      </w:r>
      <w:r w:rsidRPr="00AA5065">
        <w:rPr>
          <w:rFonts w:eastAsia="Calibri"/>
          <w:b/>
          <w:bCs/>
          <w:rtl/>
        </w:rPr>
        <w:t xml:space="preserve"> </w:t>
      </w:r>
      <w:r w:rsidRPr="00AA5065">
        <w:rPr>
          <w:rFonts w:eastAsia="Calibri" w:hint="eastAsia"/>
          <w:b/>
          <w:bCs/>
          <w:rtl/>
        </w:rPr>
        <w:t>מבוקרים</w:t>
      </w:r>
      <w:r w:rsidRPr="00AA5065">
        <w:rPr>
          <w:rFonts w:eastAsia="Calibri" w:hint="cs"/>
          <w:b/>
          <w:bCs/>
          <w:rtl/>
        </w:rPr>
        <w:t>;</w:t>
      </w:r>
      <w:r w:rsidRPr="00AA5065">
        <w:rPr>
          <w:rFonts w:eastAsia="Calibri"/>
          <w:b/>
          <w:bCs/>
          <w:rtl/>
        </w:rPr>
        <w:t xml:space="preserve"> </w:t>
      </w:r>
      <w:r w:rsidRPr="00AA5065">
        <w:rPr>
          <w:rFonts w:eastAsia="Calibri" w:hint="eastAsia"/>
          <w:b/>
          <w:bCs/>
          <w:rtl/>
        </w:rPr>
        <w:t>בביקורת</w:t>
      </w:r>
      <w:r w:rsidRPr="00AA5065">
        <w:rPr>
          <w:rFonts w:eastAsia="Calibri"/>
          <w:b/>
          <w:bCs/>
          <w:rtl/>
        </w:rPr>
        <w:t xml:space="preserve"> </w:t>
      </w:r>
      <w:r w:rsidRPr="00AA5065">
        <w:rPr>
          <w:rFonts w:eastAsia="Calibri" w:hint="eastAsia"/>
          <w:b/>
          <w:bCs/>
          <w:rtl/>
        </w:rPr>
        <w:t>המעקב</w:t>
      </w:r>
      <w:r w:rsidRPr="00AA5065">
        <w:rPr>
          <w:rFonts w:eastAsia="Calibri"/>
          <w:b/>
          <w:bCs/>
          <w:rtl/>
        </w:rPr>
        <w:t xml:space="preserve"> </w:t>
      </w:r>
      <w:r w:rsidRPr="00AA5065">
        <w:rPr>
          <w:rFonts w:eastAsia="Calibri" w:hint="eastAsia"/>
          <w:b/>
          <w:bCs/>
          <w:rtl/>
        </w:rPr>
        <w:t>נמצא</w:t>
      </w:r>
      <w:r w:rsidRPr="00AA5065">
        <w:rPr>
          <w:rFonts w:eastAsia="Calibri"/>
          <w:b/>
          <w:bCs/>
          <w:rtl/>
        </w:rPr>
        <w:t xml:space="preserve"> </w:t>
      </w:r>
      <w:r w:rsidRPr="00AA5065">
        <w:rPr>
          <w:rFonts w:eastAsia="Calibri" w:hint="eastAsia"/>
          <w:b/>
          <w:bCs/>
          <w:rtl/>
        </w:rPr>
        <w:t>כי</w:t>
      </w:r>
      <w:r w:rsidRPr="00AA5065">
        <w:rPr>
          <w:rFonts w:eastAsia="Calibri"/>
          <w:b/>
          <w:bCs/>
          <w:rtl/>
        </w:rPr>
        <w:t xml:space="preserve"> </w:t>
      </w:r>
      <w:r w:rsidRPr="00AA5065">
        <w:rPr>
          <w:rFonts w:eastAsia="Calibri" w:hint="eastAsia"/>
          <w:b/>
          <w:bCs/>
          <w:rtl/>
        </w:rPr>
        <w:t>התקבל</w:t>
      </w:r>
      <w:r w:rsidRPr="00AA5065">
        <w:rPr>
          <w:rFonts w:eastAsia="Calibri"/>
          <w:b/>
          <w:bCs/>
          <w:rtl/>
        </w:rPr>
        <w:t xml:space="preserve"> </w:t>
      </w:r>
      <w:r w:rsidRPr="00AA5065">
        <w:rPr>
          <w:rFonts w:eastAsia="Calibri" w:hint="eastAsia"/>
          <w:b/>
          <w:bCs/>
          <w:rtl/>
        </w:rPr>
        <w:t>מענה</w:t>
      </w:r>
      <w:r w:rsidRPr="00AA5065">
        <w:rPr>
          <w:rFonts w:eastAsia="Calibri"/>
          <w:b/>
          <w:bCs/>
          <w:rtl/>
        </w:rPr>
        <w:t xml:space="preserve"> </w:t>
      </w:r>
      <w:r w:rsidRPr="00AA5065">
        <w:rPr>
          <w:rFonts w:eastAsia="Calibri" w:hint="eastAsia"/>
          <w:b/>
          <w:bCs/>
          <w:rtl/>
        </w:rPr>
        <w:t>מ</w:t>
      </w:r>
      <w:r w:rsidRPr="00AA5065">
        <w:rPr>
          <w:rFonts w:eastAsia="Calibri" w:hint="cs"/>
          <w:b/>
          <w:bCs/>
          <w:rtl/>
        </w:rPr>
        <w:t>-18</w:t>
      </w:r>
      <w:r w:rsidRPr="00AA5065">
        <w:rPr>
          <w:rFonts w:eastAsia="Calibri"/>
          <w:b/>
          <w:bCs/>
          <w:rtl/>
        </w:rPr>
        <w:t xml:space="preserve"> </w:t>
      </w:r>
      <w:r w:rsidRPr="00AA5065">
        <w:rPr>
          <w:rFonts w:eastAsia="Calibri" w:hint="eastAsia"/>
          <w:b/>
          <w:bCs/>
          <w:rtl/>
        </w:rPr>
        <w:t>גופים</w:t>
      </w:r>
      <w:r w:rsidRPr="00AA5065">
        <w:rPr>
          <w:rFonts w:eastAsia="Calibri"/>
          <w:b/>
          <w:bCs/>
          <w:rtl/>
        </w:rPr>
        <w:t xml:space="preserve"> </w:t>
      </w:r>
      <w:r w:rsidRPr="00AA5065">
        <w:rPr>
          <w:rFonts w:eastAsia="Calibri" w:hint="eastAsia"/>
          <w:b/>
          <w:bCs/>
          <w:rtl/>
        </w:rPr>
        <w:t>מבוקרים</w:t>
      </w:r>
      <w:r w:rsidRPr="00AA5065">
        <w:rPr>
          <w:rFonts w:eastAsia="Calibri"/>
          <w:b/>
          <w:bCs/>
          <w:rtl/>
        </w:rPr>
        <w:t xml:space="preserve"> </w:t>
      </w:r>
      <w:r w:rsidRPr="00AA5065">
        <w:rPr>
          <w:rFonts w:eastAsia="Calibri" w:hint="eastAsia"/>
          <w:b/>
          <w:bCs/>
          <w:rtl/>
        </w:rPr>
        <w:t>בלבד</w:t>
      </w:r>
      <w:r w:rsidRPr="00AA5065">
        <w:rPr>
          <w:rFonts w:eastAsia="Calibri"/>
          <w:b/>
          <w:bCs/>
          <w:rtl/>
        </w:rPr>
        <w:t xml:space="preserve">, </w:t>
      </w:r>
      <w:r w:rsidRPr="00AA5065">
        <w:rPr>
          <w:rFonts w:eastAsia="Calibri" w:hint="cs"/>
          <w:b/>
          <w:bCs/>
          <w:rtl/>
        </w:rPr>
        <w:t xml:space="preserve">26 גופים לא דיווחו </w:t>
      </w:r>
      <w:r w:rsidRPr="00AA5065">
        <w:rPr>
          <w:rFonts w:eastAsia="Calibri"/>
          <w:b/>
          <w:bCs/>
          <w:rtl/>
        </w:rPr>
        <w:t>למבקר המדינה על החלטות צוותי תיקון הליקויים</w:t>
      </w:r>
      <w:r w:rsidRPr="00AA5065">
        <w:rPr>
          <w:rFonts w:eastAsia="Calibri" w:hint="cs"/>
          <w:b/>
          <w:bCs/>
          <w:rtl/>
        </w:rPr>
        <w:t>,</w:t>
      </w:r>
      <w:r w:rsidRPr="00AA5065">
        <w:rPr>
          <w:rFonts w:eastAsia="Calibri"/>
          <w:b/>
          <w:bCs/>
          <w:rtl/>
        </w:rPr>
        <w:t xml:space="preserve"> וזאת כאמור בניגוד לסעיפים 21א ו-21ג לחוק מבקר המדינה, הקובעים כי על ראש הגוף המבוקר לדווח </w:t>
      </w:r>
      <w:r w:rsidRPr="00AA5065">
        <w:rPr>
          <w:rFonts w:eastAsia="Calibri" w:hint="cs"/>
          <w:b/>
          <w:bCs/>
          <w:rtl/>
        </w:rPr>
        <w:t xml:space="preserve">על כך </w:t>
      </w:r>
      <w:r w:rsidRPr="00AA5065">
        <w:rPr>
          <w:rFonts w:eastAsia="Calibri"/>
          <w:b/>
          <w:bCs/>
          <w:rtl/>
        </w:rPr>
        <w:t>בתוך 105 יום ‏ממועד פרסום דוח הביקורת.</w:t>
      </w:r>
    </w:p>
    <w:bookmarkEnd w:id="4"/>
    <w:p w:rsidR="00AA5065" w:rsidRPr="00AA5065" w:rsidP="00860D89">
      <w:pPr>
        <w:spacing w:line="269" w:lineRule="auto"/>
        <w:rPr>
          <w:rFonts w:eastAsia="Calibri"/>
          <w:rtl/>
        </w:rPr>
      </w:pPr>
    </w:p>
    <w:p w:rsidR="00AA5065" w:rsidRPr="00AA5065" w:rsidP="007A1406">
      <w:pPr>
        <w:keepNext/>
        <w:keepLines/>
        <w:spacing w:before="120" w:line="269" w:lineRule="auto"/>
        <w:jc w:val="center"/>
        <w:outlineLvl w:val="1"/>
        <w:rPr>
          <w:rFonts w:eastAsia="Times New Roman"/>
          <w:bCs/>
          <w:szCs w:val="32"/>
          <w:rtl/>
        </w:rPr>
      </w:pPr>
      <w:r w:rsidRPr="00AA5065">
        <w:rPr>
          <w:rFonts w:eastAsia="Times New Roman" w:hint="cs"/>
          <w:bCs/>
          <w:szCs w:val="32"/>
          <w:rtl/>
        </w:rPr>
        <w:t>שער ראשון: אכיפה ובריאות הציבור</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cs"/>
          <w:sz w:val="24"/>
          <w:rtl/>
        </w:rPr>
        <w:t xml:space="preserve">כאמור </w:t>
      </w:r>
      <w:r w:rsidRPr="00AA5065">
        <w:rPr>
          <w:rFonts w:ascii="David" w:eastAsia="Calibri" w:hAnsi="David"/>
          <w:sz w:val="24"/>
          <w:rtl/>
        </w:rPr>
        <w:t xml:space="preserve">מידת המשילות נאמדת באופן שבו התושבים מקיימים את הוראות החוק. ככל שהמדינה נאלצת להשקיע משאבים רבים יותר באכיפת החוק, כך מידת המשילות נמוכה יותר. ריבוי האירועים בנגב שהם בעלי אופי עברייני, </w:t>
      </w:r>
      <w:r w:rsidRPr="00AA5065">
        <w:rPr>
          <w:rFonts w:ascii="David" w:eastAsia="Calibri" w:hAnsi="David" w:hint="cs"/>
          <w:sz w:val="24"/>
          <w:rtl/>
        </w:rPr>
        <w:t>אשר</w:t>
      </w:r>
      <w:r w:rsidRPr="00AA5065">
        <w:rPr>
          <w:rFonts w:ascii="David" w:eastAsia="Calibri" w:hAnsi="David"/>
          <w:sz w:val="24"/>
          <w:rtl/>
        </w:rPr>
        <w:t xml:space="preserve"> פ</w:t>
      </w:r>
      <w:r w:rsidRPr="00AA5065">
        <w:rPr>
          <w:rFonts w:ascii="David" w:eastAsia="Calibri" w:hAnsi="David" w:hint="cs"/>
          <w:sz w:val="24"/>
          <w:rtl/>
        </w:rPr>
        <w:t>וגעים</w:t>
      </w:r>
      <w:r w:rsidRPr="00AA5065">
        <w:rPr>
          <w:rFonts w:ascii="David" w:eastAsia="Calibri" w:hAnsi="David"/>
          <w:sz w:val="24"/>
          <w:rtl/>
        </w:rPr>
        <w:t xml:space="preserve"> בתושבים ובבריאותם, ו</w:t>
      </w:r>
      <w:r w:rsidRPr="00AA5065">
        <w:rPr>
          <w:rFonts w:ascii="David" w:eastAsia="Calibri" w:hAnsi="David" w:hint="cs"/>
          <w:sz w:val="24"/>
          <w:rtl/>
        </w:rPr>
        <w:t>היעדר</w:t>
      </w:r>
      <w:r w:rsidRPr="00AA5065">
        <w:rPr>
          <w:rFonts w:ascii="David" w:eastAsia="Calibri" w:hAnsi="David"/>
          <w:sz w:val="24"/>
          <w:rtl/>
        </w:rPr>
        <w:t xml:space="preserve"> תחנות משטרה לטיפול בהפרות החוק</w:t>
      </w:r>
      <w:r w:rsidRPr="00AA5065">
        <w:rPr>
          <w:rFonts w:ascii="David" w:eastAsia="Calibri" w:hAnsi="David" w:hint="cs"/>
          <w:sz w:val="24"/>
          <w:rtl/>
        </w:rPr>
        <w:t>,</w:t>
      </w:r>
      <w:r w:rsidRPr="00AA5065">
        <w:rPr>
          <w:rFonts w:ascii="David" w:eastAsia="Calibri" w:hAnsi="David"/>
          <w:sz w:val="24"/>
          <w:rtl/>
        </w:rPr>
        <w:t xml:space="preserve"> מעידים על רמת משילות נמוכה.</w:t>
      </w:r>
    </w:p>
    <w:p w:rsidR="00AA5065" w:rsidRPr="00AA5065" w:rsidP="00860D89">
      <w:pPr>
        <w:spacing w:line="269" w:lineRule="auto"/>
        <w:rPr>
          <w:rFonts w:eastAsia="Calibri"/>
          <w:rtl/>
        </w:rPr>
      </w:pPr>
    </w:p>
    <w:p w:rsidR="00AA5065" w:rsidRPr="00AA5065" w:rsidP="00860D89">
      <w:pPr>
        <w:keepNext/>
        <w:keepLines/>
        <w:spacing w:line="269" w:lineRule="auto"/>
        <w:outlineLvl w:val="2"/>
        <w:rPr>
          <w:rFonts w:ascii="David" w:eastAsia="Times New Roman" w:hAnsi="David"/>
          <w:b/>
          <w:sz w:val="24"/>
          <w:u w:val="single"/>
          <w:rtl/>
        </w:rPr>
      </w:pPr>
      <w:r w:rsidRPr="00AA5065">
        <w:rPr>
          <w:rFonts w:ascii="David" w:eastAsia="Times New Roman" w:hAnsi="David" w:hint="cs"/>
          <w:bCs/>
          <w:szCs w:val="28"/>
          <w:u w:val="single"/>
          <w:rtl/>
        </w:rPr>
        <w:t>הטיפול ב</w:t>
      </w:r>
      <w:r w:rsidRPr="00AA5065">
        <w:rPr>
          <w:rFonts w:ascii="David" w:eastAsia="Times New Roman" w:hAnsi="David"/>
          <w:bCs/>
          <w:szCs w:val="28"/>
          <w:u w:val="single"/>
          <w:rtl/>
        </w:rPr>
        <w:t xml:space="preserve">עבירות פוליגמיה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sz w:val="24"/>
          <w:rtl/>
        </w:rPr>
        <w:t>הפוליגמיה (נישואין ליותר מבן זוג אחד</w:t>
      </w:r>
      <w:r w:rsidRPr="00AA5065">
        <w:rPr>
          <w:rFonts w:ascii="David" w:eastAsia="Calibri" w:hAnsi="David" w:hint="cs"/>
          <w:sz w:val="24"/>
          <w:rtl/>
        </w:rPr>
        <w:t>)</w:t>
      </w:r>
      <w:r w:rsidRPr="00AA5065">
        <w:rPr>
          <w:rFonts w:ascii="David" w:eastAsia="Calibri" w:hAnsi="David"/>
          <w:sz w:val="24"/>
          <w:rtl/>
        </w:rPr>
        <w:t>, היא תופעה נפוצה בקרב החברה הבדואית בישראל ואף מהווה נורמה חברתית בקרב האוכלוסייה הבדואית במיוחד במחוז הדרום</w:t>
      </w:r>
      <w:r>
        <w:rPr>
          <w:rFonts w:ascii="David" w:eastAsia="Calibri" w:hAnsi="David"/>
          <w:sz w:val="24"/>
          <w:vertAlign w:val="superscript"/>
          <w:rtl/>
        </w:rPr>
        <w:footnoteReference w:id="7"/>
      </w:r>
      <w:r w:rsidRPr="00AA5065">
        <w:rPr>
          <w:rFonts w:ascii="David" w:eastAsia="Calibri" w:hAnsi="David"/>
          <w:sz w:val="24"/>
          <w:rtl/>
        </w:rPr>
        <w:t>.</w:t>
      </w:r>
      <w:r w:rsidRPr="00AA5065">
        <w:rPr>
          <w:rFonts w:ascii="David" w:eastAsia="Calibri" w:hAnsi="David" w:hint="cs"/>
          <w:sz w:val="24"/>
          <w:rtl/>
        </w:rPr>
        <w:t xml:space="preserve"> החוק הישראלי אוסר על פוליגמיה</w:t>
      </w:r>
      <w:r>
        <w:rPr>
          <w:rFonts w:ascii="David" w:eastAsia="Calibri" w:hAnsi="David"/>
          <w:sz w:val="24"/>
          <w:vertAlign w:val="superscript"/>
          <w:rtl/>
        </w:rPr>
        <w:footnoteReference w:id="8"/>
      </w:r>
      <w:r w:rsidRPr="00AA5065">
        <w:rPr>
          <w:rFonts w:ascii="David" w:eastAsia="Calibri" w:hAnsi="David" w:hint="cs"/>
          <w:sz w:val="24"/>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sz w:val="24"/>
          <w:rtl/>
        </w:rPr>
        <w:t xml:space="preserve">על פי </w:t>
      </w:r>
      <w:r w:rsidRPr="00AA5065">
        <w:rPr>
          <w:rFonts w:ascii="David" w:eastAsia="Calibri" w:hAnsi="David"/>
          <w:rtl/>
        </w:rPr>
        <w:t>מחקרים</w:t>
      </w:r>
      <w:r w:rsidRPr="00AA5065">
        <w:rPr>
          <w:rFonts w:ascii="David" w:eastAsia="Calibri" w:hAnsi="David"/>
          <w:sz w:val="24"/>
          <w:rtl/>
        </w:rPr>
        <w:t>,</w:t>
      </w:r>
      <w:r w:rsidRPr="00AA5065">
        <w:rPr>
          <w:rFonts w:ascii="David" w:eastAsia="Calibri" w:hAnsi="David" w:hint="cs"/>
          <w:sz w:val="24"/>
          <w:rtl/>
        </w:rPr>
        <w:t xml:space="preserve"> לפוליגמיה השלכות שליליות, ובהן פגיעה כלכלית בתא המשפחתי</w:t>
      </w:r>
      <w:r w:rsidRPr="00AA5065">
        <w:rPr>
          <w:rFonts w:ascii="David" w:eastAsia="Calibri" w:hAnsi="David"/>
          <w:sz w:val="24"/>
          <w:rtl/>
        </w:rPr>
        <w:t xml:space="preserve">, נזקים פסיכולוגיים ונפשיים, מאבקים בתוך המשפחה, פגיעה בכבוד האישה ובמעמדה, אלימות כלפי נשים, </w:t>
      </w:r>
      <w:r w:rsidRPr="00AA5065">
        <w:rPr>
          <w:rFonts w:ascii="David" w:eastAsia="Calibri" w:hAnsi="David"/>
          <w:rtl/>
        </w:rPr>
        <w:t>פגיעה בילדים, יצירת נוער שוליים ועוד.</w:t>
      </w:r>
      <w:r w:rsidRPr="00AA5065">
        <w:rPr>
          <w:rFonts w:ascii="David" w:eastAsia="Calibri" w:hAnsi="David"/>
          <w:sz w:val="24"/>
          <w:rtl/>
        </w:rPr>
        <w:t xml:space="preserve"> </w:t>
      </w:r>
      <w:r w:rsidRPr="00AA5065">
        <w:rPr>
          <w:rFonts w:ascii="David" w:eastAsia="Calibri" w:hAnsi="David"/>
          <w:rtl/>
        </w:rPr>
        <w:t>קורבנותיה העיקריים של הפוליגמיה הן נשים וילדים</w:t>
      </w:r>
      <w:r w:rsidRPr="00AA5065">
        <w:rPr>
          <w:rFonts w:ascii="David" w:eastAsia="Calibri" w:hAnsi="David"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rtl/>
        </w:rPr>
        <w:t>לפוליגמיה השלכות רוחביות נוספות</w:t>
      </w:r>
      <w:r w:rsidRPr="00AA5065">
        <w:rPr>
          <w:rFonts w:ascii="David" w:eastAsia="Calibri" w:hAnsi="David" w:hint="cs"/>
          <w:rtl/>
        </w:rPr>
        <w:t>,</w:t>
      </w:r>
      <w:r w:rsidRPr="00AA5065">
        <w:rPr>
          <w:rFonts w:ascii="David" w:eastAsia="Calibri" w:hAnsi="David"/>
          <w:rtl/>
        </w:rPr>
        <w:t xml:space="preserve"> כגון הקצאת משאבים מצד המדינה </w:t>
      </w:r>
      <w:r w:rsidRPr="00AA5065">
        <w:rPr>
          <w:rFonts w:ascii="David" w:eastAsia="Calibri" w:hAnsi="David" w:hint="cs"/>
          <w:rtl/>
        </w:rPr>
        <w:t>ו</w:t>
      </w:r>
      <w:r w:rsidRPr="00AA5065">
        <w:rPr>
          <w:rFonts w:ascii="David" w:eastAsia="Calibri" w:hAnsi="David"/>
          <w:rtl/>
        </w:rPr>
        <w:t xml:space="preserve">פגיעה בערכי מדינת ישראל כמדינת חוק דמוקרטית, </w:t>
      </w:r>
      <w:r w:rsidRPr="00AA5065">
        <w:rPr>
          <w:rFonts w:ascii="David" w:eastAsia="Calibri" w:hAnsi="David" w:hint="cs"/>
          <w:rtl/>
        </w:rPr>
        <w:t xml:space="preserve">וכן </w:t>
      </w:r>
      <w:r w:rsidRPr="00AA5065">
        <w:rPr>
          <w:rFonts w:ascii="David" w:eastAsia="Calibri" w:hAnsi="David"/>
          <w:rtl/>
        </w:rPr>
        <w:t xml:space="preserve">ביצוע עבירות נלוות </w:t>
      </w:r>
      <w:r w:rsidRPr="00AA5065">
        <w:rPr>
          <w:rFonts w:ascii="David" w:eastAsia="Calibri" w:hAnsi="David" w:hint="cs"/>
          <w:rtl/>
        </w:rPr>
        <w:t xml:space="preserve">כמו </w:t>
      </w:r>
      <w:r w:rsidRPr="00AA5065">
        <w:rPr>
          <w:rFonts w:ascii="David" w:eastAsia="Calibri" w:hAnsi="David"/>
          <w:rtl/>
        </w:rPr>
        <w:t xml:space="preserve">נישואי קטינות, שהייה בלתי חוקית </w:t>
      </w:r>
      <w:r w:rsidRPr="00AA5065">
        <w:rPr>
          <w:rFonts w:ascii="David" w:eastAsia="Calibri" w:hAnsi="David" w:hint="cs"/>
          <w:rtl/>
        </w:rPr>
        <w:t xml:space="preserve">בישראל </w:t>
      </w:r>
      <w:r w:rsidRPr="00AA5065">
        <w:rPr>
          <w:rFonts w:ascii="David" w:eastAsia="Calibri" w:hAnsi="David"/>
          <w:rtl/>
        </w:rPr>
        <w:t>במקרים של נישואין שניים לאישה מהרשות הפלסטינית, דיווחים פיקטיביים לרשויות המדינה ועוד</w:t>
      </w:r>
      <w:r w:rsidRPr="00AA5065">
        <w:rPr>
          <w:rFonts w:ascii="David" w:eastAsia="Calibri" w:hAnsi="David"/>
          <w:sz w:val="24"/>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sz w:val="24"/>
          <w:rtl/>
        </w:rPr>
        <w:t>בהחלטת ממשלה מינואר 2017</w:t>
      </w:r>
      <w:r>
        <w:rPr>
          <w:rFonts w:ascii="David" w:eastAsia="Calibri" w:hAnsi="David"/>
          <w:sz w:val="24"/>
          <w:vertAlign w:val="superscript"/>
          <w:rtl/>
        </w:rPr>
        <w:footnoteReference w:id="9"/>
      </w:r>
      <w:r w:rsidRPr="00AA5065">
        <w:rPr>
          <w:rFonts w:ascii="David" w:eastAsia="Calibri" w:hAnsi="David"/>
          <w:sz w:val="24"/>
          <w:rtl/>
        </w:rPr>
        <w:t xml:space="preserve"> הוחלט להקים צוות בין-משרדי בראשות מנכ"לית משרד המשפטים דאז, שיבחן הכנת תוכנית פעולה להתמודדות עם השלכותיה השליליות של תופעת הפוליגמיה.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Times New Roman" w:hAnsi="David"/>
          <w:sz w:val="24"/>
          <w:rtl/>
        </w:rPr>
      </w:pPr>
      <w:r w:rsidRPr="00AA5065">
        <w:rPr>
          <w:rFonts w:ascii="David" w:eastAsia="Calibri" w:hAnsi="David"/>
          <w:sz w:val="24"/>
          <w:rtl/>
        </w:rPr>
        <w:t>ביולי 2018 פורסם דוח הצוות הבין-משרדי האמור לעיל (להלן - דוח פלמור)</w:t>
      </w:r>
      <w:r>
        <w:rPr>
          <w:rFonts w:ascii="David" w:eastAsia="Calibri" w:hAnsi="David"/>
          <w:sz w:val="24"/>
          <w:vertAlign w:val="superscript"/>
          <w:rtl/>
        </w:rPr>
        <w:footnoteReference w:id="10"/>
      </w:r>
      <w:r w:rsidRPr="00AA5065">
        <w:rPr>
          <w:rFonts w:ascii="David" w:eastAsia="Calibri" w:hAnsi="David" w:hint="cs"/>
          <w:sz w:val="24"/>
          <w:rtl/>
        </w:rPr>
        <w:t>,</w:t>
      </w:r>
      <w:r w:rsidRPr="00AA5065">
        <w:rPr>
          <w:rFonts w:ascii="David" w:eastAsia="Calibri" w:hAnsi="David"/>
          <w:sz w:val="24"/>
          <w:rtl/>
        </w:rPr>
        <w:t xml:space="preserve"> </w:t>
      </w:r>
      <w:r w:rsidRPr="00AA5065">
        <w:rPr>
          <w:rFonts w:ascii="David" w:eastAsia="Calibri" w:hAnsi="David" w:hint="cs"/>
          <w:sz w:val="24"/>
          <w:rtl/>
        </w:rPr>
        <w:t>ו</w:t>
      </w:r>
      <w:r w:rsidRPr="00AA5065">
        <w:rPr>
          <w:rFonts w:ascii="David" w:eastAsia="Calibri" w:hAnsi="David"/>
          <w:sz w:val="24"/>
          <w:rtl/>
        </w:rPr>
        <w:t>בו צוין בין היתר: "לצד העלייה הברורה והחדה בהיקף הפוליגמיה בעשורים האחרונים, השתנה האופי של המשפחה הפוליגמית והמחויבות של הגברים לנשים הראשונות נעלמה לחלוטין. כאשר הגבר נושא אישה חדשה, הוא בדרך כלל עובר לגור איתה בבית חדש והאישה הראשונה נותרת ללא תמיכה כלכלית". עוד צוין בדוח כי "</w:t>
      </w:r>
      <w:r w:rsidRPr="00AA5065">
        <w:rPr>
          <w:rFonts w:ascii="David" w:eastAsia="Times New Roman" w:hAnsi="David"/>
          <w:sz w:val="24"/>
          <w:rtl/>
        </w:rPr>
        <w:t>חרף ההכרה המערכתית בהשלכות הפוגעניות של עבירת ריבוי הנישואין, וכן העובדה כי מדובר בתופעה חברתית מושרשת, הרי שבמהלך השנים עבירה זו נאכפה באופן מועט".</w:t>
      </w:r>
    </w:p>
    <w:p w:rsidR="00AA5065" w:rsidRPr="00AA5065" w:rsidP="00860D89">
      <w:pPr>
        <w:spacing w:line="269" w:lineRule="auto"/>
        <w:rPr>
          <w:rFonts w:eastAsia="Calibri"/>
          <w:rtl/>
        </w:rPr>
      </w:pPr>
    </w:p>
    <w:p w:rsidR="00AA5065" w:rsidRPr="00AA5065" w:rsidP="00860D89">
      <w:pPr>
        <w:keepNext/>
        <w:keepLines/>
        <w:spacing w:line="269" w:lineRule="auto"/>
        <w:outlineLvl w:val="3"/>
        <w:rPr>
          <w:rFonts w:eastAsia="Times New Roman"/>
          <w:bCs/>
          <w:szCs w:val="26"/>
          <w:rtl/>
        </w:rPr>
      </w:pPr>
      <w:bookmarkStart w:id="7" w:name="_Hlk204852927"/>
      <w:r w:rsidRPr="00AA5065">
        <w:rPr>
          <w:rFonts w:eastAsia="Times New Roman" w:hint="eastAsia"/>
          <w:bCs/>
          <w:szCs w:val="26"/>
          <w:rtl/>
        </w:rPr>
        <w:t>היקף</w:t>
      </w:r>
      <w:r w:rsidRPr="00AA5065">
        <w:rPr>
          <w:rFonts w:eastAsia="Times New Roman"/>
          <w:bCs/>
          <w:szCs w:val="26"/>
          <w:rtl/>
        </w:rPr>
        <w:t xml:space="preserve"> </w:t>
      </w:r>
      <w:r w:rsidRPr="00AA5065">
        <w:rPr>
          <w:rFonts w:eastAsia="Times New Roman" w:hint="eastAsia"/>
          <w:bCs/>
          <w:szCs w:val="26"/>
          <w:rtl/>
        </w:rPr>
        <w:t>תופעת</w:t>
      </w:r>
      <w:r w:rsidRPr="00AA5065">
        <w:rPr>
          <w:rFonts w:eastAsia="Times New Roman"/>
          <w:bCs/>
          <w:szCs w:val="26"/>
          <w:rtl/>
        </w:rPr>
        <w:t xml:space="preserve"> </w:t>
      </w:r>
      <w:r w:rsidRPr="00AA5065">
        <w:rPr>
          <w:rFonts w:eastAsia="Times New Roman" w:hint="eastAsia"/>
          <w:bCs/>
          <w:szCs w:val="26"/>
          <w:rtl/>
        </w:rPr>
        <w:t>הפוליגמיה</w:t>
      </w:r>
    </w:p>
    <w:p w:rsidR="00AA5065" w:rsidRPr="00AA5065" w:rsidP="00860D89">
      <w:pPr>
        <w:spacing w:line="269" w:lineRule="auto"/>
        <w:ind w:left="-567"/>
        <w:rPr>
          <w:rFonts w:eastAsia="Calibri"/>
          <w:szCs w:val="20"/>
          <w:rtl/>
        </w:rPr>
      </w:pPr>
    </w:p>
    <w:bookmarkEnd w:id="7"/>
    <w:p w:rsidR="00AA5065" w:rsidRPr="00AA5065" w:rsidP="00860D89">
      <w:pPr>
        <w:spacing w:line="269" w:lineRule="auto"/>
        <w:rPr>
          <w:rFonts w:ascii="David" w:eastAsia="Calibri" w:hAnsi="David"/>
          <w:i/>
          <w:iCs/>
          <w:sz w:val="24"/>
          <w:rtl/>
        </w:rPr>
      </w:pPr>
      <w:r w:rsidRPr="00AA5065">
        <w:rPr>
          <w:rFonts w:ascii="David" w:eastAsia="Calibri" w:hAnsi="David" w:hint="cs"/>
          <w:sz w:val="24"/>
          <w:rtl/>
        </w:rPr>
        <w:t xml:space="preserve">נתונים מהימנים על היקף תופעת הפוליגמיה רלוונטיים למשרדי ממשלה וגופים ציבוריים שונים, כגון הרשות לפיתוח והתיישבות הבדואים בנגב (להלן - רשות ההסדרה), המשטרה ומשרד הרווחה. </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i/>
          <w:iCs/>
          <w:sz w:val="24"/>
          <w:rtl/>
        </w:rPr>
      </w:pPr>
      <w:r w:rsidRPr="00AA5065">
        <w:rPr>
          <w:rFonts w:ascii="David" w:eastAsia="Calibri" w:hAnsi="David"/>
          <w:sz w:val="24"/>
          <w:rtl/>
        </w:rPr>
        <w:t xml:space="preserve">בדוח הקודם </w:t>
      </w:r>
      <w:r w:rsidRPr="00AA5065">
        <w:rPr>
          <w:rFonts w:ascii="David" w:eastAsia="Calibri" w:hAnsi="David" w:hint="cs"/>
          <w:sz w:val="24"/>
          <w:rtl/>
        </w:rPr>
        <w:t>צוין</w:t>
      </w:r>
      <w:r w:rsidRPr="00AA5065">
        <w:rPr>
          <w:rFonts w:ascii="David" w:eastAsia="Calibri" w:hAnsi="David"/>
          <w:sz w:val="24"/>
          <w:rtl/>
        </w:rPr>
        <w:t xml:space="preserve"> כי בהתאם לנתוני הלמ"ס יש </w:t>
      </w:r>
      <w:r w:rsidRPr="00AA5065">
        <w:rPr>
          <w:rFonts w:ascii="David" w:eastAsia="Calibri" w:hAnsi="David" w:hint="cs"/>
          <w:sz w:val="24"/>
          <w:rtl/>
        </w:rPr>
        <w:t>בנגב</w:t>
      </w:r>
      <w:r w:rsidRPr="00AA5065">
        <w:rPr>
          <w:rFonts w:ascii="David" w:eastAsia="Calibri" w:hAnsi="David"/>
          <w:sz w:val="24"/>
          <w:rtl/>
        </w:rPr>
        <w:t xml:space="preserve"> כ-14,000 נשים </w:t>
      </w:r>
      <w:bookmarkStart w:id="8" w:name="_Hlk212548246"/>
      <w:r w:rsidRPr="00AA5065">
        <w:rPr>
          <w:rFonts w:ascii="David" w:eastAsia="Calibri" w:hAnsi="David" w:hint="cs"/>
          <w:sz w:val="24"/>
          <w:rtl/>
        </w:rPr>
        <w:t>בתאים משפחתיים פוליגמיים</w:t>
      </w:r>
      <w:r w:rsidRPr="00AA5065">
        <w:rPr>
          <w:rFonts w:ascii="David" w:eastAsia="Calibri" w:hAnsi="David"/>
          <w:sz w:val="24"/>
          <w:rtl/>
        </w:rPr>
        <w:t xml:space="preserve"> </w:t>
      </w:r>
      <w:bookmarkEnd w:id="8"/>
      <w:r w:rsidRPr="00AA5065">
        <w:rPr>
          <w:rFonts w:ascii="David" w:eastAsia="Calibri" w:hAnsi="David"/>
          <w:sz w:val="24"/>
          <w:rtl/>
        </w:rPr>
        <w:t>ו-6,179 גברים פוליגמיים בנגב, ולכ-67% מהגברים הפוליגמיים יש יותר מ-9 ילדים</w:t>
      </w:r>
      <w:r w:rsidRPr="00AA5065">
        <w:rPr>
          <w:rFonts w:ascii="David" w:eastAsia="Calibri" w:hAnsi="David" w:hint="cs"/>
          <w:sz w:val="24"/>
          <w:rtl/>
        </w:rPr>
        <w:t>.</w:t>
      </w:r>
      <w:r w:rsidRPr="00AA5065">
        <w:rPr>
          <w:rFonts w:ascii="David" w:eastAsia="Calibri" w:hAnsi="David"/>
          <w:sz w:val="24"/>
          <w:rtl/>
        </w:rPr>
        <w:t xml:space="preserve"> </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eastAsia"/>
          <w:bCs/>
          <w:spacing w:val="40"/>
          <w:rtl/>
        </w:rPr>
        <w:t>ביקורת</w:t>
      </w:r>
      <w:r w:rsidRPr="00AA5065">
        <w:rPr>
          <w:rFonts w:eastAsia="Times New Roman"/>
          <w:bCs/>
          <w:spacing w:val="40"/>
          <w:rtl/>
        </w:rPr>
        <w:t xml:space="preserve"> </w:t>
      </w:r>
      <w:r w:rsidRPr="00AA5065">
        <w:rPr>
          <w:rFonts w:eastAsia="Times New Roman" w:hint="eastAsia"/>
          <w:bCs/>
          <w:spacing w:val="40"/>
          <w:rtl/>
        </w:rPr>
        <w:t>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cs"/>
          <w:rtl/>
        </w:rPr>
        <w:t>בב</w:t>
      </w:r>
      <w:r w:rsidRPr="00AA5065">
        <w:rPr>
          <w:rFonts w:ascii="David" w:eastAsia="Calibri" w:hAnsi="David"/>
          <w:rtl/>
        </w:rPr>
        <w:t>יקורת המעקב</w:t>
      </w:r>
      <w:r w:rsidRPr="00AA5065">
        <w:rPr>
          <w:rFonts w:ascii="David" w:eastAsia="Calibri" w:hAnsi="David"/>
          <w:sz w:val="24"/>
          <w:rtl/>
        </w:rPr>
        <w:t xml:space="preserve"> נמצא</w:t>
      </w:r>
      <w:r w:rsidRPr="00AA5065">
        <w:rPr>
          <w:rFonts w:ascii="David" w:eastAsia="Calibri" w:hAnsi="David" w:hint="cs"/>
          <w:sz w:val="24"/>
          <w:rtl/>
        </w:rPr>
        <w:t xml:space="preserve"> כי</w:t>
      </w:r>
      <w:r w:rsidRPr="00AA5065">
        <w:rPr>
          <w:rFonts w:ascii="David" w:eastAsia="Calibri" w:hAnsi="David"/>
          <w:sz w:val="24"/>
          <w:rtl/>
        </w:rPr>
        <w:t xml:space="preserve"> </w:t>
      </w:r>
      <w:r w:rsidRPr="00AA5065">
        <w:rPr>
          <w:rFonts w:ascii="David" w:eastAsia="Calibri" w:hAnsi="David" w:hint="cs"/>
          <w:sz w:val="24"/>
          <w:rtl/>
        </w:rPr>
        <w:t xml:space="preserve">בשנים 2016 - 2021 חל </w:t>
      </w:r>
      <w:r w:rsidRPr="00AA5065">
        <w:rPr>
          <w:rFonts w:ascii="David" w:eastAsia="Calibri" w:hAnsi="David"/>
          <w:sz w:val="24"/>
          <w:rtl/>
        </w:rPr>
        <w:t>גידול של כ-</w:t>
      </w:r>
      <w:r w:rsidRPr="00AA5065">
        <w:rPr>
          <w:rFonts w:ascii="David" w:eastAsia="Calibri" w:hAnsi="David" w:hint="cs"/>
          <w:sz w:val="24"/>
          <w:rtl/>
        </w:rPr>
        <w:t>2,256 נשים ב</w:t>
      </w:r>
      <w:r w:rsidRPr="00AA5065">
        <w:rPr>
          <w:rFonts w:ascii="David" w:eastAsia="Calibri" w:hAnsi="David"/>
          <w:sz w:val="24"/>
          <w:rtl/>
        </w:rPr>
        <w:t xml:space="preserve">תאים משפחתיים פוליגמיים </w:t>
      </w:r>
      <w:r>
        <w:rPr>
          <w:rFonts w:ascii="David" w:eastAsia="Calibri" w:hAnsi="David"/>
          <w:sz w:val="24"/>
          <w:vertAlign w:val="superscript"/>
          <w:rtl/>
        </w:rPr>
        <w:footnoteReference w:id="11"/>
      </w:r>
      <w:r w:rsidRPr="00AA5065">
        <w:rPr>
          <w:rFonts w:ascii="David" w:eastAsia="Calibri" w:hAnsi="David"/>
          <w:sz w:val="24"/>
          <w:rtl/>
        </w:rPr>
        <w:t xml:space="preserve"> (עלי</w:t>
      </w:r>
      <w:r w:rsidRPr="00AA5065">
        <w:rPr>
          <w:rFonts w:ascii="David" w:eastAsia="Calibri" w:hAnsi="David" w:hint="cs"/>
          <w:sz w:val="24"/>
          <w:rtl/>
        </w:rPr>
        <w:t>י</w:t>
      </w:r>
      <w:r w:rsidRPr="00AA5065">
        <w:rPr>
          <w:rFonts w:ascii="David" w:eastAsia="Calibri" w:hAnsi="David"/>
          <w:sz w:val="24"/>
          <w:rtl/>
        </w:rPr>
        <w:t>ה של כ-</w:t>
      </w:r>
      <w:r w:rsidRPr="00AA5065">
        <w:rPr>
          <w:rFonts w:ascii="David" w:eastAsia="Calibri" w:hAnsi="David" w:hint="cs"/>
          <w:sz w:val="24"/>
          <w:rtl/>
        </w:rPr>
        <w:t>16%), ו</w:t>
      </w:r>
      <w:r w:rsidRPr="00AA5065">
        <w:rPr>
          <w:rFonts w:ascii="David" w:eastAsia="Calibri" w:hAnsi="David"/>
          <w:sz w:val="24"/>
          <w:rtl/>
        </w:rPr>
        <w:t xml:space="preserve">כי מתוך </w:t>
      </w:r>
      <w:r w:rsidRPr="00AA5065">
        <w:rPr>
          <w:rFonts w:ascii="David" w:eastAsia="Calibri" w:hAnsi="David" w:hint="cs"/>
          <w:sz w:val="24"/>
          <w:rtl/>
        </w:rPr>
        <w:t>16,256</w:t>
      </w:r>
      <w:r w:rsidRPr="00AA5065">
        <w:rPr>
          <w:rFonts w:ascii="David" w:eastAsia="Calibri" w:hAnsi="David"/>
          <w:sz w:val="24"/>
          <w:rtl/>
        </w:rPr>
        <w:t xml:space="preserve"> נשים </w:t>
      </w:r>
      <w:r w:rsidRPr="00AA5065">
        <w:rPr>
          <w:rFonts w:ascii="David" w:eastAsia="Calibri" w:hAnsi="David" w:hint="cs"/>
          <w:sz w:val="24"/>
          <w:rtl/>
        </w:rPr>
        <w:t>ה</w:t>
      </w:r>
      <w:r w:rsidRPr="00AA5065">
        <w:rPr>
          <w:rFonts w:ascii="David" w:eastAsia="Calibri" w:hAnsi="David"/>
          <w:sz w:val="24"/>
          <w:rtl/>
        </w:rPr>
        <w:t>נשואות לג</w:t>
      </w:r>
      <w:r w:rsidRPr="00AA5065">
        <w:rPr>
          <w:rFonts w:ascii="David" w:eastAsia="Calibri" w:hAnsi="David" w:hint="cs"/>
          <w:sz w:val="24"/>
          <w:rtl/>
        </w:rPr>
        <w:t>ב</w:t>
      </w:r>
      <w:r w:rsidRPr="00AA5065">
        <w:rPr>
          <w:rFonts w:ascii="David" w:eastAsia="Calibri" w:hAnsi="David"/>
          <w:sz w:val="24"/>
          <w:rtl/>
        </w:rPr>
        <w:t xml:space="preserve">רים פוליגמיים, </w:t>
      </w:r>
      <w:r w:rsidRPr="00AA5065">
        <w:rPr>
          <w:rFonts w:ascii="David" w:eastAsia="Calibri" w:hAnsi="David" w:hint="cs"/>
          <w:sz w:val="24"/>
          <w:rtl/>
        </w:rPr>
        <w:t xml:space="preserve">2,423 </w:t>
      </w:r>
      <w:r w:rsidRPr="00AA5065">
        <w:rPr>
          <w:rFonts w:ascii="David" w:eastAsia="Calibri" w:hAnsi="David"/>
          <w:sz w:val="24"/>
          <w:rtl/>
        </w:rPr>
        <w:t xml:space="preserve">נשים (15%) הן מהרשות הפלסטינית. כמו כן, נמצא כי </w:t>
      </w:r>
      <w:r w:rsidRPr="00AA5065">
        <w:rPr>
          <w:rFonts w:ascii="David" w:eastAsia="Calibri" w:hAnsi="David" w:hint="eastAsia"/>
          <w:sz w:val="24"/>
          <w:rtl/>
        </w:rPr>
        <w:t>ישנם</w:t>
      </w:r>
      <w:r w:rsidRPr="00AA5065">
        <w:rPr>
          <w:rFonts w:ascii="David" w:eastAsia="Calibri" w:hAnsi="David" w:hint="cs"/>
          <w:sz w:val="24"/>
          <w:rtl/>
        </w:rPr>
        <w:t xml:space="preserve"> 7,159 </w:t>
      </w:r>
      <w:r w:rsidRPr="00AA5065">
        <w:rPr>
          <w:rFonts w:ascii="David" w:eastAsia="Calibri" w:hAnsi="David"/>
          <w:sz w:val="24"/>
          <w:rtl/>
        </w:rPr>
        <w:t>גברים פוליגמיים</w:t>
      </w:r>
      <w:r>
        <w:rPr>
          <w:rFonts w:ascii="David" w:eastAsia="Calibri" w:hAnsi="David"/>
          <w:sz w:val="24"/>
          <w:vertAlign w:val="superscript"/>
          <w:rtl/>
        </w:rPr>
        <w:footnoteReference w:id="12"/>
      </w:r>
      <w:r w:rsidRPr="00AA5065">
        <w:rPr>
          <w:rFonts w:ascii="David" w:eastAsia="Calibri" w:hAnsi="David"/>
          <w:sz w:val="24"/>
          <w:rtl/>
        </w:rPr>
        <w:t xml:space="preserve">, </w:t>
      </w:r>
      <w:r w:rsidRPr="00AA5065">
        <w:rPr>
          <w:rFonts w:ascii="David" w:eastAsia="Calibri" w:hAnsi="David" w:hint="cs"/>
          <w:sz w:val="24"/>
          <w:rtl/>
        </w:rPr>
        <w:t>גידול</w:t>
      </w:r>
      <w:r w:rsidRPr="00AA5065">
        <w:rPr>
          <w:rFonts w:ascii="David" w:eastAsia="Calibri" w:hAnsi="David"/>
          <w:sz w:val="24"/>
          <w:rtl/>
        </w:rPr>
        <w:t xml:space="preserve"> של כ</w:t>
      </w:r>
      <w:r w:rsidRPr="00AA5065">
        <w:rPr>
          <w:rFonts w:ascii="David" w:eastAsia="Calibri" w:hAnsi="David"/>
          <w:rtl/>
        </w:rPr>
        <w:t>-1,000 גברים פוליגמיים בנגב</w:t>
      </w:r>
      <w:r>
        <w:rPr>
          <w:rFonts w:ascii="David" w:eastAsia="Calibri" w:hAnsi="David"/>
          <w:vertAlign w:val="superscript"/>
          <w:rtl/>
        </w:rPr>
        <w:footnoteReference w:id="13"/>
      </w:r>
      <w:r w:rsidRPr="00AA5065">
        <w:rPr>
          <w:rFonts w:ascii="David" w:eastAsia="Calibri" w:hAnsi="David"/>
          <w:rtl/>
        </w:rPr>
        <w:t>.</w:t>
      </w:r>
      <w:r w:rsidRPr="00AA5065">
        <w:rPr>
          <w:rFonts w:ascii="David" w:eastAsia="Calibri" w:hAnsi="David" w:hint="cs"/>
          <w:sz w:val="24"/>
          <w:rtl/>
        </w:rPr>
        <w:t xml:space="preserve"> עם זאת </w:t>
      </w:r>
      <w:r w:rsidRPr="00AA5065">
        <w:rPr>
          <w:rFonts w:ascii="David" w:eastAsia="Calibri" w:hAnsi="David" w:hint="eastAsia"/>
          <w:sz w:val="24"/>
          <w:rtl/>
        </w:rPr>
        <w:t>שיעור</w:t>
      </w:r>
      <w:r w:rsidRPr="00AA5065">
        <w:rPr>
          <w:rFonts w:ascii="David" w:eastAsia="Calibri" w:hAnsi="David"/>
          <w:sz w:val="24"/>
          <w:rtl/>
        </w:rPr>
        <w:t xml:space="preserve"> </w:t>
      </w:r>
      <w:r w:rsidRPr="00AA5065">
        <w:rPr>
          <w:rFonts w:ascii="David" w:eastAsia="Calibri" w:hAnsi="David" w:hint="eastAsia"/>
          <w:sz w:val="24"/>
          <w:rtl/>
        </w:rPr>
        <w:t>הגברים</w:t>
      </w:r>
      <w:r w:rsidRPr="00AA5065">
        <w:rPr>
          <w:rFonts w:ascii="David" w:eastAsia="Calibri" w:hAnsi="David"/>
          <w:sz w:val="24"/>
          <w:rtl/>
        </w:rPr>
        <w:t xml:space="preserve"> </w:t>
      </w:r>
      <w:r w:rsidRPr="00AA5065">
        <w:rPr>
          <w:rFonts w:ascii="David" w:eastAsia="Calibri" w:hAnsi="David" w:hint="eastAsia"/>
          <w:sz w:val="24"/>
          <w:rtl/>
        </w:rPr>
        <w:t>הפוליגמיים</w:t>
      </w:r>
      <w:r w:rsidRPr="00AA5065">
        <w:rPr>
          <w:rFonts w:ascii="David" w:eastAsia="Calibri" w:hAnsi="David"/>
          <w:sz w:val="24"/>
          <w:rtl/>
        </w:rPr>
        <w:t xml:space="preserve"> </w:t>
      </w:r>
      <w:r w:rsidRPr="00AA5065">
        <w:rPr>
          <w:rFonts w:ascii="David" w:eastAsia="Calibri" w:hAnsi="David" w:hint="cs"/>
          <w:sz w:val="24"/>
          <w:rtl/>
        </w:rPr>
        <w:t>מסך הגברים שיש להם ילדים בנגב</w:t>
      </w:r>
      <w:r w:rsidRPr="00AA5065">
        <w:rPr>
          <w:rFonts w:ascii="David" w:eastAsia="Calibri" w:hAnsi="David"/>
          <w:sz w:val="24"/>
          <w:rtl/>
        </w:rPr>
        <w:t xml:space="preserve"> </w:t>
      </w:r>
      <w:r w:rsidRPr="00AA5065">
        <w:rPr>
          <w:rFonts w:ascii="David" w:eastAsia="Calibri" w:hAnsi="David" w:hint="eastAsia"/>
          <w:sz w:val="24"/>
          <w:rtl/>
        </w:rPr>
        <w:t>ירד</w:t>
      </w:r>
      <w:r w:rsidRPr="00AA5065">
        <w:rPr>
          <w:rFonts w:ascii="David" w:eastAsia="Calibri" w:hAnsi="David"/>
          <w:sz w:val="24"/>
          <w:rtl/>
        </w:rPr>
        <w:t xml:space="preserve"> </w:t>
      </w:r>
      <w:r w:rsidRPr="00AA5065">
        <w:rPr>
          <w:rFonts w:ascii="David" w:eastAsia="Calibri" w:hAnsi="David" w:hint="eastAsia"/>
          <w:sz w:val="24"/>
          <w:rtl/>
        </w:rPr>
        <w:t>בשנים</w:t>
      </w:r>
      <w:r w:rsidRPr="00AA5065">
        <w:rPr>
          <w:rFonts w:ascii="David" w:eastAsia="Calibri" w:hAnsi="David"/>
          <w:sz w:val="24"/>
          <w:rtl/>
        </w:rPr>
        <w:t xml:space="preserve"> 2016</w:t>
      </w:r>
      <w:r w:rsidRPr="00AA5065">
        <w:rPr>
          <w:rFonts w:ascii="David" w:eastAsia="Calibri" w:hAnsi="David" w:hint="cs"/>
          <w:sz w:val="24"/>
          <w:rtl/>
        </w:rPr>
        <w:t xml:space="preserve"> </w:t>
      </w:r>
      <w:r w:rsidRPr="00AA5065">
        <w:rPr>
          <w:rFonts w:ascii="David" w:eastAsia="Calibri" w:hAnsi="David"/>
          <w:sz w:val="24"/>
          <w:rtl/>
        </w:rPr>
        <w:t>-</w:t>
      </w:r>
      <w:r w:rsidRPr="00AA5065">
        <w:rPr>
          <w:rFonts w:ascii="David" w:eastAsia="Calibri" w:hAnsi="David" w:hint="cs"/>
          <w:sz w:val="24"/>
          <w:rtl/>
        </w:rPr>
        <w:t xml:space="preserve"> </w:t>
      </w:r>
      <w:r w:rsidRPr="00AA5065">
        <w:rPr>
          <w:rFonts w:ascii="David" w:eastAsia="Calibri" w:hAnsi="David"/>
          <w:sz w:val="24"/>
          <w:rtl/>
        </w:rPr>
        <w:t xml:space="preserve">2023 </w:t>
      </w:r>
      <w:r w:rsidRPr="00AA5065">
        <w:rPr>
          <w:rFonts w:ascii="David" w:eastAsia="Calibri" w:hAnsi="David" w:hint="eastAsia"/>
          <w:sz w:val="24"/>
          <w:rtl/>
        </w:rPr>
        <w:t>מ</w:t>
      </w:r>
      <w:r w:rsidRPr="00AA5065">
        <w:rPr>
          <w:rFonts w:ascii="David" w:eastAsia="Calibri" w:hAnsi="David"/>
          <w:sz w:val="24"/>
          <w:rtl/>
        </w:rPr>
        <w:t xml:space="preserve">-18.1% </w:t>
      </w:r>
      <w:r w:rsidRPr="00AA5065">
        <w:rPr>
          <w:rFonts w:ascii="David" w:eastAsia="Calibri" w:hAnsi="David" w:hint="eastAsia"/>
          <w:sz w:val="24"/>
          <w:rtl/>
        </w:rPr>
        <w:t>ל</w:t>
      </w:r>
      <w:r w:rsidRPr="00AA5065">
        <w:rPr>
          <w:rFonts w:ascii="David" w:eastAsia="Calibri" w:hAnsi="David"/>
          <w:sz w:val="24"/>
          <w:rtl/>
        </w:rPr>
        <w:t>-15.4%.</w:t>
      </w:r>
      <w:r w:rsidRPr="00AA5065">
        <w:rPr>
          <w:rFonts w:ascii="David" w:eastAsia="Calibri" w:hAnsi="David" w:hint="cs"/>
          <w:sz w:val="24"/>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sz w:val="24"/>
          <w:rtl/>
        </w:rPr>
      </w:pPr>
      <w:bookmarkStart w:id="9" w:name="_Hlk204847458"/>
      <w:r w:rsidRPr="00AA5065">
        <w:rPr>
          <w:rFonts w:ascii="David" w:eastAsia="Calibri" w:hAnsi="David" w:hint="eastAsia"/>
          <w:b/>
          <w:bCs/>
          <w:sz w:val="24"/>
          <w:rtl/>
        </w:rPr>
        <w:t>בביקורת</w:t>
      </w:r>
      <w:r w:rsidRPr="00AA5065">
        <w:rPr>
          <w:rFonts w:ascii="David" w:eastAsia="Calibri" w:hAnsi="David"/>
          <w:b/>
          <w:bCs/>
          <w:sz w:val="24"/>
          <w:rtl/>
        </w:rPr>
        <w:t xml:space="preserve"> </w:t>
      </w:r>
      <w:r w:rsidRPr="00AA5065">
        <w:rPr>
          <w:rFonts w:ascii="David" w:eastAsia="Calibri" w:hAnsi="David" w:hint="eastAsia"/>
          <w:b/>
          <w:bCs/>
          <w:sz w:val="24"/>
          <w:rtl/>
        </w:rPr>
        <w:t>הקודמת</w:t>
      </w:r>
      <w:r w:rsidRPr="00AA5065">
        <w:rPr>
          <w:rFonts w:ascii="David" w:eastAsia="Calibri" w:hAnsi="David"/>
          <w:b/>
          <w:bCs/>
          <w:sz w:val="24"/>
          <w:rtl/>
        </w:rPr>
        <w:t xml:space="preserve"> עלה כי </w:t>
      </w:r>
      <w:r w:rsidRPr="00AA5065">
        <w:rPr>
          <w:rFonts w:ascii="David" w:eastAsia="Calibri" w:hAnsi="David" w:hint="eastAsia"/>
          <w:b/>
          <w:bCs/>
          <w:sz w:val="24"/>
          <w:rtl/>
        </w:rPr>
        <w:t>יש</w:t>
      </w:r>
      <w:r w:rsidRPr="00AA5065">
        <w:rPr>
          <w:rFonts w:ascii="David" w:eastAsia="Calibri" w:hAnsi="David" w:hint="cs"/>
          <w:b/>
          <w:bCs/>
          <w:sz w:val="24"/>
          <w:rtl/>
        </w:rPr>
        <w:t xml:space="preserve"> בנגב</w:t>
      </w:r>
      <w:r w:rsidRPr="00AA5065">
        <w:rPr>
          <w:rFonts w:ascii="David" w:eastAsia="Calibri" w:hAnsi="David"/>
          <w:b/>
          <w:bCs/>
          <w:sz w:val="24"/>
          <w:rtl/>
        </w:rPr>
        <w:t xml:space="preserve"> </w:t>
      </w:r>
      <w:r w:rsidRPr="00AA5065">
        <w:rPr>
          <w:rFonts w:ascii="David" w:eastAsia="Calibri" w:hAnsi="David" w:hint="cs"/>
          <w:b/>
          <w:bCs/>
          <w:sz w:val="24"/>
          <w:rtl/>
        </w:rPr>
        <w:t>כ-</w:t>
      </w:r>
      <w:r w:rsidRPr="00AA5065">
        <w:rPr>
          <w:rFonts w:ascii="David" w:eastAsia="Calibri" w:hAnsi="David"/>
          <w:b/>
          <w:bCs/>
          <w:sz w:val="24"/>
          <w:rtl/>
        </w:rPr>
        <w:t xml:space="preserve">14,000 </w:t>
      </w:r>
      <w:r w:rsidRPr="00AA5065">
        <w:rPr>
          <w:rFonts w:ascii="David" w:eastAsia="Calibri" w:hAnsi="David" w:hint="eastAsia"/>
          <w:b/>
          <w:bCs/>
          <w:sz w:val="24"/>
          <w:rtl/>
        </w:rPr>
        <w:t>נשים</w:t>
      </w:r>
      <w:r w:rsidRPr="00AA5065">
        <w:rPr>
          <w:rFonts w:ascii="David" w:eastAsia="Calibri" w:hAnsi="David"/>
          <w:b/>
          <w:bCs/>
          <w:sz w:val="24"/>
          <w:rtl/>
        </w:rPr>
        <w:t xml:space="preserve"> בתאים משפחתיים פוליגמיים </w:t>
      </w:r>
      <w:r w:rsidRPr="00AA5065">
        <w:rPr>
          <w:rFonts w:ascii="David" w:eastAsia="Calibri" w:hAnsi="David" w:hint="eastAsia"/>
          <w:b/>
          <w:bCs/>
          <w:sz w:val="24"/>
          <w:rtl/>
        </w:rPr>
        <w:t>ו</w:t>
      </w:r>
      <w:r w:rsidRPr="00AA5065">
        <w:rPr>
          <w:rFonts w:ascii="David" w:eastAsia="Calibri" w:hAnsi="David"/>
          <w:b/>
          <w:bCs/>
          <w:sz w:val="24"/>
          <w:rtl/>
        </w:rPr>
        <w:t>-</w:t>
      </w:r>
      <w:r w:rsidRPr="00AA5065">
        <w:rPr>
          <w:rFonts w:ascii="David" w:eastAsia="Calibri" w:hAnsi="David" w:hint="cs"/>
          <w:b/>
          <w:bCs/>
          <w:sz w:val="24"/>
          <w:rtl/>
        </w:rPr>
        <w:t>6,179</w:t>
      </w:r>
      <w:r w:rsidRPr="00AA5065">
        <w:rPr>
          <w:rFonts w:ascii="David" w:eastAsia="Calibri" w:hAnsi="David"/>
          <w:b/>
          <w:bCs/>
          <w:sz w:val="24"/>
          <w:rtl/>
        </w:rPr>
        <w:t xml:space="preserve"> </w:t>
      </w:r>
      <w:r w:rsidRPr="00AA5065">
        <w:rPr>
          <w:rFonts w:ascii="David" w:eastAsia="Calibri" w:hAnsi="David" w:hint="eastAsia"/>
          <w:b/>
          <w:bCs/>
          <w:sz w:val="24"/>
          <w:rtl/>
        </w:rPr>
        <w:t>גברים</w:t>
      </w:r>
      <w:r w:rsidRPr="00AA5065">
        <w:rPr>
          <w:rFonts w:ascii="David" w:eastAsia="Calibri" w:hAnsi="David"/>
          <w:b/>
          <w:bCs/>
          <w:sz w:val="24"/>
          <w:rtl/>
        </w:rPr>
        <w:t xml:space="preserve"> </w:t>
      </w:r>
      <w:r w:rsidRPr="00AA5065">
        <w:rPr>
          <w:rFonts w:ascii="David" w:eastAsia="Calibri" w:hAnsi="David" w:hint="eastAsia"/>
          <w:b/>
          <w:bCs/>
          <w:sz w:val="24"/>
          <w:rtl/>
        </w:rPr>
        <w:t>פוליגמיים</w:t>
      </w:r>
      <w:r w:rsidRPr="00AA5065">
        <w:rPr>
          <w:rFonts w:ascii="David" w:eastAsia="Calibri" w:hAnsi="David" w:hint="cs"/>
          <w:b/>
          <w:bCs/>
          <w:sz w:val="24"/>
          <w:rtl/>
        </w:rPr>
        <w:t>.</w:t>
      </w:r>
      <w:r w:rsidRPr="00AA5065">
        <w:rPr>
          <w:rFonts w:ascii="David" w:eastAsia="Calibri" w:hAnsi="David"/>
          <w:b/>
          <w:bCs/>
          <w:sz w:val="24"/>
          <w:rtl/>
        </w:rPr>
        <w:t xml:space="preserve"> </w:t>
      </w:r>
      <w:r w:rsidRPr="00AA5065">
        <w:rPr>
          <w:rFonts w:ascii="David" w:eastAsia="Calibri" w:hAnsi="David" w:hint="eastAsia"/>
          <w:b/>
          <w:bCs/>
          <w:sz w:val="24"/>
          <w:rtl/>
        </w:rPr>
        <w:t>בביקורת</w:t>
      </w:r>
      <w:r w:rsidRPr="00AA5065">
        <w:rPr>
          <w:rFonts w:ascii="David" w:eastAsia="Calibri" w:hAnsi="David"/>
          <w:b/>
          <w:bCs/>
          <w:sz w:val="24"/>
          <w:rtl/>
        </w:rPr>
        <w:t xml:space="preserve"> </w:t>
      </w:r>
      <w:r w:rsidRPr="00AA5065">
        <w:rPr>
          <w:rFonts w:ascii="David" w:eastAsia="Calibri" w:hAnsi="David" w:hint="eastAsia"/>
          <w:b/>
          <w:bCs/>
          <w:sz w:val="24"/>
          <w:rtl/>
        </w:rPr>
        <w:t>המעקב</w:t>
      </w:r>
      <w:r w:rsidRPr="00AA5065">
        <w:rPr>
          <w:rFonts w:ascii="David" w:eastAsia="Calibri" w:hAnsi="David"/>
          <w:b/>
          <w:bCs/>
          <w:sz w:val="24"/>
          <w:rtl/>
        </w:rPr>
        <w:t xml:space="preserve"> </w:t>
      </w:r>
      <w:r w:rsidRPr="00AA5065">
        <w:rPr>
          <w:rFonts w:ascii="David" w:eastAsia="Calibri" w:hAnsi="David" w:hint="eastAsia"/>
          <w:b/>
          <w:bCs/>
          <w:sz w:val="24"/>
          <w:rtl/>
        </w:rPr>
        <w:t>נמצא</w:t>
      </w:r>
      <w:r w:rsidRPr="00AA5065">
        <w:rPr>
          <w:rFonts w:ascii="David" w:eastAsia="Calibri" w:hAnsi="David"/>
          <w:b/>
          <w:bCs/>
          <w:sz w:val="24"/>
          <w:rtl/>
        </w:rPr>
        <w:t xml:space="preserve"> </w:t>
      </w:r>
      <w:r w:rsidRPr="00AA5065">
        <w:rPr>
          <w:rFonts w:ascii="David" w:eastAsia="Calibri" w:hAnsi="David" w:hint="cs"/>
          <w:b/>
          <w:bCs/>
          <w:sz w:val="24"/>
          <w:rtl/>
        </w:rPr>
        <w:t xml:space="preserve">כי </w:t>
      </w:r>
      <w:r w:rsidRPr="00AA5065">
        <w:rPr>
          <w:rFonts w:ascii="David" w:eastAsia="Calibri" w:hAnsi="David" w:hint="eastAsia"/>
          <w:b/>
          <w:bCs/>
          <w:sz w:val="24"/>
          <w:rtl/>
        </w:rPr>
        <w:t>יש</w:t>
      </w:r>
      <w:r w:rsidRPr="00AA5065">
        <w:rPr>
          <w:rFonts w:ascii="David" w:eastAsia="Calibri" w:hAnsi="David" w:hint="cs"/>
          <w:b/>
          <w:bCs/>
          <w:sz w:val="24"/>
          <w:rtl/>
        </w:rPr>
        <w:t xml:space="preserve"> 16,256</w:t>
      </w:r>
      <w:r w:rsidRPr="00AA5065">
        <w:rPr>
          <w:rFonts w:ascii="David" w:eastAsia="Calibri" w:hAnsi="David"/>
          <w:b/>
          <w:bCs/>
          <w:sz w:val="24"/>
          <w:rtl/>
        </w:rPr>
        <w:t xml:space="preserve"> </w:t>
      </w:r>
      <w:r w:rsidRPr="00AA5065">
        <w:rPr>
          <w:rFonts w:ascii="David" w:eastAsia="Calibri" w:hAnsi="David" w:hint="eastAsia"/>
          <w:b/>
          <w:bCs/>
          <w:sz w:val="24"/>
          <w:rtl/>
        </w:rPr>
        <w:t>נשים</w:t>
      </w:r>
      <w:r w:rsidRPr="00AA5065">
        <w:rPr>
          <w:rFonts w:ascii="David" w:eastAsia="Calibri" w:hAnsi="David"/>
          <w:b/>
          <w:bCs/>
          <w:sz w:val="24"/>
          <w:rtl/>
        </w:rPr>
        <w:t xml:space="preserve"> בתאים משפחתיים פוליגמיים (</w:t>
      </w:r>
      <w:r w:rsidRPr="00AA5065">
        <w:rPr>
          <w:rFonts w:ascii="David" w:eastAsia="Calibri" w:hAnsi="David" w:hint="eastAsia"/>
          <w:b/>
          <w:bCs/>
          <w:sz w:val="24"/>
          <w:rtl/>
        </w:rPr>
        <w:t>עלי</w:t>
      </w:r>
      <w:r w:rsidRPr="00AA5065">
        <w:rPr>
          <w:rFonts w:ascii="David" w:eastAsia="Calibri" w:hAnsi="David" w:hint="cs"/>
          <w:b/>
          <w:bCs/>
          <w:sz w:val="24"/>
          <w:rtl/>
        </w:rPr>
        <w:t>י</w:t>
      </w:r>
      <w:r w:rsidRPr="00AA5065">
        <w:rPr>
          <w:rFonts w:ascii="David" w:eastAsia="Calibri" w:hAnsi="David" w:hint="eastAsia"/>
          <w:b/>
          <w:bCs/>
          <w:sz w:val="24"/>
          <w:rtl/>
        </w:rPr>
        <w:t>ה</w:t>
      </w:r>
      <w:r w:rsidRPr="00AA5065">
        <w:rPr>
          <w:rFonts w:ascii="David" w:eastAsia="Calibri" w:hAnsi="David"/>
          <w:b/>
          <w:bCs/>
          <w:sz w:val="24"/>
          <w:rtl/>
        </w:rPr>
        <w:t xml:space="preserve"> </w:t>
      </w:r>
      <w:r w:rsidRPr="00AA5065">
        <w:rPr>
          <w:rFonts w:ascii="David" w:eastAsia="Calibri" w:hAnsi="David" w:hint="eastAsia"/>
          <w:b/>
          <w:bCs/>
          <w:sz w:val="24"/>
          <w:rtl/>
        </w:rPr>
        <w:t>של</w:t>
      </w:r>
      <w:r w:rsidRPr="00AA5065">
        <w:rPr>
          <w:rFonts w:ascii="David" w:eastAsia="Calibri" w:hAnsi="David"/>
          <w:b/>
          <w:bCs/>
          <w:sz w:val="24"/>
          <w:rtl/>
        </w:rPr>
        <w:t xml:space="preserve"> </w:t>
      </w:r>
      <w:r w:rsidRPr="00AA5065">
        <w:rPr>
          <w:rFonts w:ascii="David" w:eastAsia="Calibri" w:hAnsi="David" w:hint="cs"/>
          <w:b/>
          <w:bCs/>
          <w:sz w:val="24"/>
          <w:rtl/>
        </w:rPr>
        <w:t>16</w:t>
      </w:r>
      <w:r w:rsidRPr="00AA5065">
        <w:rPr>
          <w:rFonts w:ascii="David" w:eastAsia="Calibri" w:hAnsi="David"/>
          <w:b/>
          <w:bCs/>
          <w:sz w:val="24"/>
          <w:rtl/>
        </w:rPr>
        <w:t xml:space="preserve">%), </w:t>
      </w:r>
      <w:r w:rsidRPr="00AA5065">
        <w:rPr>
          <w:rFonts w:ascii="David" w:eastAsia="Calibri" w:hAnsi="David" w:hint="eastAsia"/>
          <w:b/>
          <w:bCs/>
          <w:sz w:val="24"/>
          <w:rtl/>
        </w:rPr>
        <w:t>מהן</w:t>
      </w:r>
      <w:r w:rsidRPr="00AA5065">
        <w:rPr>
          <w:rFonts w:ascii="David" w:eastAsia="Calibri" w:hAnsi="David"/>
          <w:b/>
          <w:bCs/>
          <w:sz w:val="24"/>
          <w:rtl/>
        </w:rPr>
        <w:t xml:space="preserve"> </w:t>
      </w:r>
      <w:r w:rsidRPr="00AA5065">
        <w:rPr>
          <w:rFonts w:ascii="David" w:eastAsia="Calibri" w:hAnsi="David" w:hint="cs"/>
          <w:b/>
          <w:bCs/>
          <w:sz w:val="24"/>
          <w:rtl/>
        </w:rPr>
        <w:t>2,423</w:t>
      </w:r>
      <w:r w:rsidRPr="00AA5065">
        <w:rPr>
          <w:rFonts w:ascii="David" w:eastAsia="Calibri" w:hAnsi="David"/>
          <w:b/>
          <w:bCs/>
          <w:sz w:val="24"/>
          <w:rtl/>
        </w:rPr>
        <w:t xml:space="preserve"> נשים (15%) הן מהרשות הפלסטינית</w:t>
      </w:r>
      <w:r w:rsidRPr="00AA5065">
        <w:rPr>
          <w:rFonts w:ascii="David" w:eastAsia="Calibri" w:hAnsi="David" w:hint="cs"/>
          <w:b/>
          <w:bCs/>
          <w:sz w:val="24"/>
          <w:rtl/>
        </w:rPr>
        <w:t>;</w:t>
      </w:r>
      <w:r w:rsidRPr="00AA5065">
        <w:rPr>
          <w:rFonts w:ascii="David" w:eastAsia="Calibri" w:hAnsi="David"/>
          <w:b/>
          <w:bCs/>
          <w:sz w:val="24"/>
          <w:rtl/>
        </w:rPr>
        <w:t xml:space="preserve"> </w:t>
      </w:r>
      <w:r w:rsidRPr="00AA5065">
        <w:rPr>
          <w:rFonts w:ascii="David" w:eastAsia="Calibri" w:hAnsi="David" w:hint="cs"/>
          <w:b/>
          <w:bCs/>
          <w:sz w:val="24"/>
          <w:rtl/>
        </w:rPr>
        <w:t>כמו כן יש 7,159</w:t>
      </w:r>
      <w:r w:rsidRPr="00AA5065">
        <w:rPr>
          <w:rFonts w:ascii="David" w:eastAsia="Calibri" w:hAnsi="David"/>
          <w:b/>
          <w:bCs/>
          <w:sz w:val="24"/>
          <w:rtl/>
        </w:rPr>
        <w:t xml:space="preserve"> גברים פוליגמיים (על</w:t>
      </w:r>
      <w:r w:rsidRPr="00AA5065">
        <w:rPr>
          <w:rFonts w:ascii="David" w:eastAsia="Calibri" w:hAnsi="David" w:hint="cs"/>
          <w:b/>
          <w:bCs/>
          <w:sz w:val="24"/>
          <w:rtl/>
        </w:rPr>
        <w:t>י</w:t>
      </w:r>
      <w:r w:rsidRPr="00AA5065">
        <w:rPr>
          <w:rFonts w:ascii="David" w:eastAsia="Calibri" w:hAnsi="David"/>
          <w:b/>
          <w:bCs/>
          <w:sz w:val="24"/>
          <w:rtl/>
        </w:rPr>
        <w:t>יה של</w:t>
      </w:r>
      <w:r w:rsidRPr="00AA5065">
        <w:rPr>
          <w:rFonts w:ascii="David" w:eastAsia="Calibri" w:hAnsi="David" w:hint="cs"/>
          <w:b/>
          <w:bCs/>
          <w:sz w:val="24"/>
          <w:rtl/>
        </w:rPr>
        <w:t xml:space="preserve"> 16</w:t>
      </w:r>
      <w:r w:rsidRPr="00AA5065">
        <w:rPr>
          <w:rFonts w:ascii="David" w:eastAsia="Calibri" w:hAnsi="David"/>
          <w:b/>
          <w:bCs/>
          <w:sz w:val="24"/>
          <w:rtl/>
        </w:rPr>
        <w:t>%)</w:t>
      </w:r>
      <w:r w:rsidRPr="00AA5065">
        <w:rPr>
          <w:rFonts w:ascii="David" w:eastAsia="Calibri" w:hAnsi="David" w:hint="cs"/>
          <w:b/>
          <w:bCs/>
          <w:sz w:val="24"/>
          <w:rtl/>
        </w:rPr>
        <w:t xml:space="preserve">. עם זאת </w:t>
      </w:r>
      <w:r w:rsidRPr="00AA5065">
        <w:rPr>
          <w:rFonts w:ascii="David" w:eastAsia="Calibri" w:hAnsi="David" w:hint="eastAsia"/>
          <w:b/>
          <w:bCs/>
          <w:sz w:val="24"/>
          <w:rtl/>
        </w:rPr>
        <w:t>שיעור</w:t>
      </w:r>
      <w:r w:rsidRPr="00AA5065">
        <w:rPr>
          <w:rFonts w:ascii="David" w:eastAsia="Calibri" w:hAnsi="David"/>
          <w:b/>
          <w:bCs/>
          <w:sz w:val="24"/>
          <w:rtl/>
        </w:rPr>
        <w:t xml:space="preserve"> </w:t>
      </w:r>
      <w:r w:rsidRPr="00AA5065">
        <w:rPr>
          <w:rFonts w:ascii="David" w:eastAsia="Calibri" w:hAnsi="David" w:hint="eastAsia"/>
          <w:b/>
          <w:bCs/>
          <w:sz w:val="24"/>
          <w:rtl/>
        </w:rPr>
        <w:t>הגברים</w:t>
      </w:r>
      <w:r w:rsidRPr="00AA5065">
        <w:rPr>
          <w:rFonts w:ascii="David" w:eastAsia="Calibri" w:hAnsi="David"/>
          <w:b/>
          <w:bCs/>
          <w:sz w:val="24"/>
          <w:rtl/>
        </w:rPr>
        <w:t xml:space="preserve"> </w:t>
      </w:r>
      <w:r w:rsidRPr="00AA5065">
        <w:rPr>
          <w:rFonts w:ascii="David" w:eastAsia="Calibri" w:hAnsi="David" w:hint="eastAsia"/>
          <w:b/>
          <w:bCs/>
          <w:sz w:val="24"/>
          <w:rtl/>
        </w:rPr>
        <w:t>הפוליגמיים</w:t>
      </w:r>
      <w:r w:rsidRPr="00AA5065">
        <w:rPr>
          <w:rFonts w:ascii="David" w:eastAsia="Calibri" w:hAnsi="David"/>
          <w:b/>
          <w:bCs/>
          <w:sz w:val="24"/>
          <w:rtl/>
        </w:rPr>
        <w:t xml:space="preserve"> </w:t>
      </w:r>
      <w:r w:rsidRPr="00AA5065">
        <w:rPr>
          <w:rFonts w:ascii="David" w:eastAsia="Calibri" w:hAnsi="David" w:hint="eastAsia"/>
          <w:b/>
          <w:bCs/>
          <w:sz w:val="24"/>
          <w:rtl/>
        </w:rPr>
        <w:t>מסך</w:t>
      </w:r>
      <w:r w:rsidRPr="00AA5065">
        <w:rPr>
          <w:rFonts w:ascii="David" w:eastAsia="Calibri" w:hAnsi="David"/>
          <w:b/>
          <w:bCs/>
          <w:sz w:val="24"/>
          <w:rtl/>
        </w:rPr>
        <w:t xml:space="preserve"> </w:t>
      </w:r>
      <w:r w:rsidRPr="00AA5065">
        <w:rPr>
          <w:rFonts w:ascii="David" w:eastAsia="Calibri" w:hAnsi="David" w:hint="eastAsia"/>
          <w:b/>
          <w:bCs/>
          <w:sz w:val="24"/>
          <w:rtl/>
        </w:rPr>
        <w:t>הגברים</w:t>
      </w:r>
      <w:r w:rsidRPr="00AA5065">
        <w:rPr>
          <w:rFonts w:ascii="David" w:eastAsia="Calibri" w:hAnsi="David"/>
          <w:b/>
          <w:bCs/>
          <w:sz w:val="24"/>
          <w:rtl/>
        </w:rPr>
        <w:t xml:space="preserve"> </w:t>
      </w:r>
      <w:r w:rsidRPr="00AA5065">
        <w:rPr>
          <w:rFonts w:ascii="David" w:eastAsia="Calibri" w:hAnsi="David" w:hint="eastAsia"/>
          <w:b/>
          <w:bCs/>
          <w:sz w:val="24"/>
          <w:rtl/>
        </w:rPr>
        <w:t>שיש</w:t>
      </w:r>
      <w:r w:rsidRPr="00AA5065">
        <w:rPr>
          <w:rFonts w:ascii="David" w:eastAsia="Calibri" w:hAnsi="David"/>
          <w:b/>
          <w:bCs/>
          <w:sz w:val="24"/>
          <w:rtl/>
        </w:rPr>
        <w:t xml:space="preserve"> </w:t>
      </w:r>
      <w:r w:rsidRPr="00AA5065">
        <w:rPr>
          <w:rFonts w:ascii="David" w:eastAsia="Calibri" w:hAnsi="David" w:hint="eastAsia"/>
          <w:b/>
          <w:bCs/>
          <w:sz w:val="24"/>
          <w:rtl/>
        </w:rPr>
        <w:t>להם</w:t>
      </w:r>
      <w:r w:rsidRPr="00AA5065">
        <w:rPr>
          <w:rFonts w:ascii="David" w:eastAsia="Calibri" w:hAnsi="David"/>
          <w:b/>
          <w:bCs/>
          <w:sz w:val="24"/>
          <w:rtl/>
        </w:rPr>
        <w:t xml:space="preserve"> </w:t>
      </w:r>
      <w:r w:rsidRPr="00AA5065">
        <w:rPr>
          <w:rFonts w:ascii="David" w:eastAsia="Calibri" w:hAnsi="David" w:hint="eastAsia"/>
          <w:b/>
          <w:bCs/>
          <w:sz w:val="24"/>
          <w:rtl/>
        </w:rPr>
        <w:t>ילדים</w:t>
      </w:r>
      <w:r w:rsidRPr="00AA5065">
        <w:rPr>
          <w:rFonts w:ascii="David" w:eastAsia="Calibri" w:hAnsi="David"/>
          <w:b/>
          <w:bCs/>
          <w:sz w:val="24"/>
          <w:rtl/>
        </w:rPr>
        <w:t xml:space="preserve"> </w:t>
      </w:r>
      <w:r w:rsidRPr="00AA5065">
        <w:rPr>
          <w:rFonts w:ascii="David" w:eastAsia="Calibri" w:hAnsi="David" w:hint="eastAsia"/>
          <w:b/>
          <w:bCs/>
          <w:sz w:val="24"/>
          <w:rtl/>
        </w:rPr>
        <w:t>בנגב</w:t>
      </w:r>
      <w:r w:rsidRPr="00AA5065">
        <w:rPr>
          <w:rFonts w:ascii="David" w:eastAsia="Calibri" w:hAnsi="David"/>
          <w:b/>
          <w:bCs/>
          <w:sz w:val="24"/>
          <w:rtl/>
        </w:rPr>
        <w:t xml:space="preserve"> </w:t>
      </w:r>
      <w:r w:rsidRPr="00AA5065">
        <w:rPr>
          <w:rFonts w:ascii="David" w:eastAsia="Calibri" w:hAnsi="David" w:hint="eastAsia"/>
          <w:b/>
          <w:bCs/>
          <w:sz w:val="24"/>
          <w:rtl/>
        </w:rPr>
        <w:t>ירד</w:t>
      </w:r>
      <w:r w:rsidRPr="00AA5065">
        <w:rPr>
          <w:rFonts w:ascii="David" w:eastAsia="Calibri" w:hAnsi="David"/>
          <w:b/>
          <w:bCs/>
          <w:sz w:val="24"/>
          <w:rtl/>
        </w:rPr>
        <w:t xml:space="preserve"> </w:t>
      </w:r>
      <w:r w:rsidRPr="00AA5065">
        <w:rPr>
          <w:rFonts w:ascii="David" w:eastAsia="Calibri" w:hAnsi="David" w:hint="eastAsia"/>
          <w:b/>
          <w:bCs/>
          <w:sz w:val="24"/>
          <w:rtl/>
        </w:rPr>
        <w:t>בשנים</w:t>
      </w:r>
      <w:r w:rsidRPr="00AA5065">
        <w:rPr>
          <w:rFonts w:ascii="David" w:eastAsia="Calibri" w:hAnsi="David"/>
          <w:b/>
          <w:bCs/>
          <w:sz w:val="24"/>
          <w:rtl/>
        </w:rPr>
        <w:t xml:space="preserve"> 2016 - 2023 </w:t>
      </w:r>
      <w:r w:rsidRPr="00AA5065">
        <w:rPr>
          <w:rFonts w:ascii="David" w:eastAsia="Calibri" w:hAnsi="David" w:hint="eastAsia"/>
          <w:b/>
          <w:bCs/>
          <w:sz w:val="24"/>
          <w:rtl/>
        </w:rPr>
        <w:t>מ</w:t>
      </w:r>
      <w:r w:rsidRPr="00AA5065">
        <w:rPr>
          <w:rFonts w:ascii="David" w:eastAsia="Calibri" w:hAnsi="David"/>
          <w:b/>
          <w:bCs/>
          <w:sz w:val="24"/>
          <w:rtl/>
        </w:rPr>
        <w:t xml:space="preserve">-18.1% </w:t>
      </w:r>
      <w:r w:rsidRPr="00AA5065">
        <w:rPr>
          <w:rFonts w:ascii="David" w:eastAsia="Calibri" w:hAnsi="David" w:hint="eastAsia"/>
          <w:b/>
          <w:bCs/>
          <w:sz w:val="24"/>
          <w:rtl/>
        </w:rPr>
        <w:t>ל</w:t>
      </w:r>
      <w:r w:rsidRPr="00AA5065">
        <w:rPr>
          <w:rFonts w:ascii="David" w:eastAsia="Calibri" w:hAnsi="David"/>
          <w:b/>
          <w:bCs/>
          <w:sz w:val="24"/>
          <w:rtl/>
        </w:rPr>
        <w:t>-15.4%. ביקורת המעקב ה</w:t>
      </w:r>
      <w:r w:rsidRPr="00AA5065">
        <w:rPr>
          <w:rFonts w:ascii="David" w:eastAsia="Calibri" w:hAnsi="David" w:hint="eastAsia"/>
          <w:b/>
          <w:bCs/>
          <w:sz w:val="24"/>
          <w:rtl/>
        </w:rPr>
        <w:t>עלתה</w:t>
      </w:r>
      <w:r w:rsidRPr="00AA5065">
        <w:rPr>
          <w:rFonts w:ascii="David" w:eastAsia="Calibri" w:hAnsi="David"/>
          <w:b/>
          <w:bCs/>
          <w:sz w:val="24"/>
          <w:rtl/>
        </w:rPr>
        <w:t xml:space="preserve"> כי כעבור </w:t>
      </w:r>
      <w:r w:rsidRPr="00AA5065">
        <w:rPr>
          <w:rFonts w:ascii="David" w:eastAsia="Calibri" w:hAnsi="David" w:hint="cs"/>
          <w:b/>
          <w:bCs/>
          <w:sz w:val="24"/>
          <w:rtl/>
        </w:rPr>
        <w:t>חמש</w:t>
      </w:r>
      <w:r w:rsidRPr="00AA5065">
        <w:rPr>
          <w:rFonts w:ascii="David" w:eastAsia="Calibri" w:hAnsi="David"/>
          <w:b/>
          <w:bCs/>
          <w:sz w:val="24"/>
          <w:rtl/>
        </w:rPr>
        <w:t xml:space="preserve"> שנים </w:t>
      </w:r>
      <w:r w:rsidRPr="00AA5065">
        <w:rPr>
          <w:rFonts w:ascii="David" w:eastAsia="Calibri" w:hAnsi="David" w:hint="cs"/>
          <w:b/>
          <w:bCs/>
          <w:sz w:val="24"/>
          <w:rtl/>
        </w:rPr>
        <w:t>התופעה נמשכת.</w:t>
      </w:r>
    </w:p>
    <w:bookmarkEnd w:id="9"/>
    <w:p w:rsidR="00AA5065" w:rsidRPr="00AA5065" w:rsidP="00860D89">
      <w:pPr>
        <w:spacing w:line="269" w:lineRule="auto"/>
        <w:rPr>
          <w:rFonts w:eastAsia="Calibri"/>
          <w:rtl/>
        </w:rPr>
      </w:pPr>
    </w:p>
    <w:p w:rsidR="00AA5065" w:rsidRPr="00AA5065" w:rsidP="00860D89">
      <w:pPr>
        <w:keepNext/>
        <w:keepLines/>
        <w:spacing w:line="269" w:lineRule="auto"/>
        <w:outlineLvl w:val="3"/>
        <w:rPr>
          <w:rFonts w:eastAsia="Times New Roman"/>
          <w:bCs/>
          <w:szCs w:val="26"/>
          <w:rtl/>
        </w:rPr>
      </w:pPr>
      <w:r w:rsidRPr="00AA5065">
        <w:rPr>
          <w:rFonts w:eastAsia="Times New Roman" w:hint="cs"/>
          <w:bCs/>
          <w:szCs w:val="26"/>
          <w:rtl/>
        </w:rPr>
        <w:t>הקצאת תקן ייעודי בלמ"ס</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sz w:val="24"/>
          <w:rtl/>
        </w:rPr>
      </w:pPr>
      <w:r w:rsidRPr="00AA5065">
        <w:rPr>
          <w:rFonts w:ascii="David" w:eastAsia="Calibri" w:hAnsi="David"/>
          <w:sz w:val="24"/>
          <w:rtl/>
        </w:rPr>
        <w:t>בדוח פלמור</w:t>
      </w:r>
      <w:r>
        <w:rPr>
          <w:rFonts w:ascii="David" w:eastAsia="Calibri" w:hAnsi="David"/>
          <w:sz w:val="24"/>
          <w:vertAlign w:val="superscript"/>
          <w:rtl/>
        </w:rPr>
        <w:footnoteReference w:id="14"/>
      </w:r>
      <w:r w:rsidRPr="00AA5065">
        <w:rPr>
          <w:rFonts w:ascii="David" w:eastAsia="Calibri" w:hAnsi="David"/>
          <w:sz w:val="24"/>
          <w:rtl/>
        </w:rPr>
        <w:t xml:space="preserve"> צוין כי </w:t>
      </w:r>
      <w:r w:rsidRPr="00AA5065">
        <w:rPr>
          <w:rFonts w:ascii="David" w:eastAsia="Calibri" w:hAnsi="David" w:hint="cs"/>
          <w:sz w:val="24"/>
          <w:rtl/>
        </w:rPr>
        <w:t>"</w:t>
      </w:r>
      <w:r w:rsidRPr="00AA5065">
        <w:rPr>
          <w:rFonts w:ascii="David" w:eastAsia="Calibri" w:hAnsi="David"/>
          <w:sz w:val="24"/>
          <w:rtl/>
        </w:rPr>
        <w:t>על מנת לבחון האם וכיצד יש בהמלצות הדו״ח כדי להביא לצמצום התופעה,</w:t>
      </w:r>
      <w:r w:rsidRPr="00AA5065">
        <w:rPr>
          <w:rFonts w:ascii="David" w:eastAsia="Calibri" w:hAnsi="David"/>
          <w:sz w:val="24"/>
        </w:rPr>
        <w:t xml:space="preserve"> </w:t>
      </w:r>
      <w:r w:rsidRPr="00AA5065">
        <w:rPr>
          <w:rFonts w:ascii="David" w:eastAsia="Calibri" w:hAnsi="David"/>
          <w:sz w:val="24"/>
          <w:rtl/>
        </w:rPr>
        <w:t>יידרש ליווי צמוד מטעם הלשכה המרכזית לסטטיסטיקה</w:t>
      </w:r>
      <w:r w:rsidRPr="00AA5065">
        <w:rPr>
          <w:rFonts w:ascii="David" w:eastAsia="Calibri" w:hAnsi="David" w:hint="cs"/>
          <w:sz w:val="24"/>
          <w:rtl/>
        </w:rPr>
        <w:t>",</w:t>
      </w:r>
      <w:r w:rsidRPr="00AA5065">
        <w:rPr>
          <w:rFonts w:ascii="David" w:eastAsia="Calibri" w:hAnsi="David"/>
          <w:sz w:val="24"/>
          <w:rtl/>
        </w:rPr>
        <w:t xml:space="preserve"> והומלץ</w:t>
      </w:r>
      <w:r w:rsidRPr="00AA5065">
        <w:rPr>
          <w:rFonts w:ascii="David" w:eastAsia="Calibri" w:hAnsi="David" w:hint="cs"/>
          <w:sz w:val="24"/>
          <w:rtl/>
        </w:rPr>
        <w:t xml:space="preserve"> כי</w:t>
      </w:r>
      <w:r>
        <w:rPr>
          <w:rFonts w:ascii="David" w:eastAsia="Calibri" w:hAnsi="David"/>
          <w:sz w:val="24"/>
          <w:vertAlign w:val="superscript"/>
          <w:rtl/>
        </w:rPr>
        <w:footnoteReference w:id="15"/>
      </w:r>
      <w:r w:rsidRPr="00AA5065">
        <w:rPr>
          <w:rFonts w:ascii="David" w:eastAsia="Calibri" w:hAnsi="David"/>
          <w:sz w:val="24"/>
          <w:rtl/>
        </w:rPr>
        <w:t xml:space="preserve">: </w:t>
      </w:r>
      <w:r w:rsidRPr="00AA5065">
        <w:rPr>
          <w:rFonts w:ascii="David" w:eastAsia="Calibri" w:hAnsi="David" w:hint="cs"/>
          <w:sz w:val="24"/>
          <w:rtl/>
        </w:rPr>
        <w:t>ה</w:t>
      </w:r>
      <w:r w:rsidRPr="00AA5065">
        <w:rPr>
          <w:rFonts w:ascii="David" w:eastAsia="Calibri" w:hAnsi="David"/>
          <w:sz w:val="24"/>
          <w:rtl/>
        </w:rPr>
        <w:t>"לשכה המרכזית לסטטיסטיקה תלווה את יישום המלצות דו״ח זה באמצעות מחקר</w:t>
      </w:r>
      <w:r w:rsidRPr="00AA5065">
        <w:rPr>
          <w:rFonts w:ascii="David" w:eastAsia="Calibri" w:hAnsi="David" w:hint="cs"/>
          <w:sz w:val="24"/>
          <w:rtl/>
        </w:rPr>
        <w:t>,</w:t>
      </w:r>
      <w:r w:rsidRPr="00AA5065">
        <w:rPr>
          <w:rFonts w:ascii="David" w:eastAsia="Calibri" w:hAnsi="David"/>
          <w:sz w:val="24"/>
          <w:rtl/>
        </w:rPr>
        <w:t xml:space="preserve"> אשר יבחן את האפקטיביות של המלצות אלה והשפעתן על ממדי ואופי התופעה. ליווי זה יחייב הקצאת תקן ייעודי</w:t>
      </w:r>
      <w:r w:rsidRPr="00AA5065">
        <w:rPr>
          <w:rFonts w:ascii="David" w:eastAsia="Calibri" w:hAnsi="David" w:hint="cs"/>
          <w:sz w:val="24"/>
          <w:rtl/>
        </w:rPr>
        <w:t>,</w:t>
      </w:r>
      <w:r w:rsidRPr="00AA5065">
        <w:rPr>
          <w:rFonts w:ascii="David" w:eastAsia="Calibri" w:hAnsi="David"/>
          <w:sz w:val="24"/>
          <w:rtl/>
        </w:rPr>
        <w:t xml:space="preserve"> ותקציב מתאים</w:t>
      </w:r>
      <w:r w:rsidRPr="00AA5065">
        <w:rPr>
          <w:rFonts w:ascii="David" w:eastAsia="Calibri" w:hAnsi="David" w:hint="cs"/>
          <w:sz w:val="24"/>
          <w:rtl/>
        </w:rPr>
        <w:t>,</w:t>
      </w:r>
      <w:r w:rsidRPr="00AA5065">
        <w:rPr>
          <w:rFonts w:ascii="David" w:eastAsia="Calibri" w:hAnsi="David"/>
          <w:sz w:val="24"/>
          <w:rtl/>
        </w:rPr>
        <w:t xml:space="preserve"> עבור הלשכה המרכזית לסטטיסטיקה</w:t>
      </w:r>
      <w:r w:rsidRPr="00AA5065">
        <w:rPr>
          <w:rFonts w:ascii="David" w:eastAsia="Calibri" w:hAnsi="David" w:hint="cs"/>
          <w:sz w:val="24"/>
          <w:rtl/>
        </w:rPr>
        <w:t>".</w:t>
      </w:r>
      <w:r w:rsidRPr="00AA5065">
        <w:rPr>
          <w:rFonts w:ascii="David" w:eastAsia="Calibri" w:hAnsi="David"/>
          <w:sz w:val="24"/>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sz w:val="24"/>
          <w:rtl/>
        </w:rPr>
      </w:pPr>
      <w:r w:rsidRPr="00AA5065">
        <w:rPr>
          <w:rFonts w:ascii="David" w:eastAsia="Calibri" w:hAnsi="David" w:hint="eastAsia"/>
          <w:b/>
          <w:bCs/>
          <w:sz w:val="24"/>
          <w:rtl/>
        </w:rPr>
        <w:t>ביקורת</w:t>
      </w:r>
      <w:r w:rsidRPr="00AA5065">
        <w:rPr>
          <w:rFonts w:ascii="David" w:eastAsia="Calibri" w:hAnsi="David"/>
          <w:b/>
          <w:bCs/>
          <w:sz w:val="24"/>
          <w:rtl/>
        </w:rPr>
        <w:t xml:space="preserve"> המעקב העל</w:t>
      </w:r>
      <w:r w:rsidRPr="00AA5065">
        <w:rPr>
          <w:rFonts w:ascii="David" w:eastAsia="Calibri" w:hAnsi="David" w:hint="eastAsia"/>
          <w:b/>
          <w:bCs/>
          <w:sz w:val="24"/>
          <w:rtl/>
        </w:rPr>
        <w:t>תה</w:t>
      </w:r>
      <w:r w:rsidRPr="00AA5065">
        <w:rPr>
          <w:rFonts w:ascii="David" w:eastAsia="Calibri" w:hAnsi="David"/>
          <w:b/>
          <w:bCs/>
          <w:sz w:val="24"/>
          <w:rtl/>
        </w:rPr>
        <w:t xml:space="preserve"> כי התקן טרם אויש, ואין נתונים אחידים ומהימנים על משפחות פוליגמיות</w:t>
      </w:r>
      <w:r w:rsidRPr="00AA5065">
        <w:rPr>
          <w:rFonts w:ascii="David" w:eastAsia="Calibri" w:hAnsi="David"/>
          <w:b/>
          <w:bCs/>
          <w:i/>
          <w:iCs/>
          <w:sz w:val="24"/>
          <w:rtl/>
        </w:rPr>
        <w:t>.</w:t>
      </w:r>
    </w:p>
    <w:p w:rsidR="00AA5065" w:rsidRPr="00AA5065" w:rsidP="00860D89">
      <w:pPr>
        <w:spacing w:line="269" w:lineRule="auto"/>
        <w:ind w:left="-567"/>
        <w:rPr>
          <w:rFonts w:eastAsia="Calibri"/>
          <w:szCs w:val="20"/>
          <w:rtl/>
        </w:rPr>
      </w:pPr>
      <w:bookmarkStart w:id="10" w:name="_Hlk206147482"/>
    </w:p>
    <w:p w:rsidR="00AA5065" w:rsidRPr="00E96206" w:rsidP="00E96206">
      <w:pPr>
        <w:spacing w:line="269" w:lineRule="auto"/>
        <w:rPr>
          <w:rFonts w:ascii="David" w:eastAsia="Calibri" w:hAnsi="David"/>
          <w:sz w:val="24"/>
        </w:rPr>
      </w:pPr>
      <w:bookmarkStart w:id="11" w:name="_Hlk209015507"/>
      <w:r w:rsidRPr="00AA5065">
        <w:rPr>
          <w:rFonts w:ascii="David" w:eastAsia="Calibri" w:hAnsi="David" w:hint="eastAsia"/>
          <w:sz w:val="24"/>
          <w:rtl/>
        </w:rPr>
        <w:t>הלמ</w:t>
      </w:r>
      <w:r w:rsidRPr="00AA5065">
        <w:rPr>
          <w:rFonts w:ascii="David" w:eastAsia="Calibri" w:hAnsi="David"/>
          <w:sz w:val="24"/>
          <w:rtl/>
        </w:rPr>
        <w:t>"ס</w:t>
      </w:r>
      <w:r w:rsidRPr="00AA5065">
        <w:rPr>
          <w:rFonts w:ascii="David" w:eastAsia="Calibri" w:hAnsi="David" w:hint="cs"/>
          <w:sz w:val="24"/>
          <w:rtl/>
        </w:rPr>
        <w:t xml:space="preserve"> מסרה בתשובתה</w:t>
      </w:r>
      <w:r w:rsidRPr="00AA5065">
        <w:rPr>
          <w:rFonts w:ascii="David" w:eastAsia="Calibri" w:hAnsi="David"/>
          <w:sz w:val="24"/>
          <w:rtl/>
        </w:rPr>
        <w:t xml:space="preserve"> מיום 2.9.25 (להלן - תשובת </w:t>
      </w:r>
      <w:r w:rsidRPr="00AA5065">
        <w:rPr>
          <w:rFonts w:ascii="David" w:eastAsia="Calibri" w:hAnsi="David" w:hint="eastAsia"/>
          <w:sz w:val="24"/>
          <w:rtl/>
        </w:rPr>
        <w:t>הלמ</w:t>
      </w:r>
      <w:r w:rsidRPr="00AA5065">
        <w:rPr>
          <w:rFonts w:ascii="David" w:eastAsia="Calibri" w:hAnsi="David"/>
          <w:sz w:val="24"/>
          <w:rtl/>
        </w:rPr>
        <w:t xml:space="preserve">"ס) </w:t>
      </w:r>
      <w:r w:rsidRPr="00AA5065">
        <w:rPr>
          <w:rFonts w:ascii="David" w:eastAsia="Calibri" w:hAnsi="David" w:hint="eastAsia"/>
          <w:sz w:val="24"/>
          <w:rtl/>
        </w:rPr>
        <w:t>כי</w:t>
      </w:r>
      <w:r w:rsidRPr="00AA5065">
        <w:rPr>
          <w:rFonts w:ascii="David" w:eastAsia="Calibri" w:hAnsi="David"/>
          <w:sz w:val="24"/>
          <w:rtl/>
        </w:rPr>
        <w:t xml:space="preserve"> </w:t>
      </w:r>
      <w:bookmarkEnd w:id="11"/>
      <w:r w:rsidRPr="00AA5065">
        <w:rPr>
          <w:rFonts w:ascii="David" w:eastAsia="Calibri" w:hAnsi="David" w:hint="cs"/>
          <w:sz w:val="24"/>
          <w:rtl/>
        </w:rPr>
        <w:t xml:space="preserve">היא </w:t>
      </w:r>
      <w:r w:rsidRPr="00AA5065">
        <w:rPr>
          <w:rFonts w:ascii="David" w:eastAsia="Calibri" w:hAnsi="David"/>
          <w:sz w:val="24"/>
          <w:rtl/>
        </w:rPr>
        <w:t>לא קיבלה את התקן הייעודי לצורך עריכת מחקר בהתאם ל</w:t>
      </w:r>
      <w:r w:rsidRPr="00AA5065">
        <w:rPr>
          <w:rFonts w:ascii="David" w:eastAsia="Calibri" w:hAnsi="David" w:hint="cs"/>
          <w:sz w:val="24"/>
          <w:rtl/>
        </w:rPr>
        <w:t>המלצות דוח</w:t>
      </w:r>
      <w:r w:rsidRPr="00AA5065">
        <w:rPr>
          <w:rFonts w:ascii="David" w:eastAsia="Calibri" w:hAnsi="David"/>
          <w:sz w:val="24"/>
          <w:rtl/>
        </w:rPr>
        <w:t xml:space="preserve"> פלמור</w:t>
      </w:r>
      <w:r w:rsidRPr="00AA5065">
        <w:rPr>
          <w:rFonts w:ascii="David" w:eastAsia="Calibri" w:hAnsi="David" w:hint="cs"/>
          <w:sz w:val="24"/>
          <w:rtl/>
        </w:rPr>
        <w:t>,</w:t>
      </w:r>
      <w:r w:rsidRPr="00AA5065">
        <w:rPr>
          <w:rFonts w:ascii="David" w:eastAsia="Calibri" w:hAnsi="David"/>
          <w:sz w:val="24"/>
          <w:rtl/>
        </w:rPr>
        <w:t xml:space="preserve"> זאת </w:t>
      </w:r>
      <w:r w:rsidRPr="00AA5065">
        <w:rPr>
          <w:rFonts w:ascii="David" w:eastAsia="Calibri" w:hAnsi="David" w:hint="cs"/>
          <w:sz w:val="24"/>
          <w:rtl/>
        </w:rPr>
        <w:t>מ</w:t>
      </w:r>
      <w:r w:rsidRPr="00AA5065">
        <w:rPr>
          <w:rFonts w:ascii="David" w:eastAsia="Calibri" w:hAnsi="David"/>
          <w:sz w:val="24"/>
          <w:rtl/>
        </w:rPr>
        <w:t>כי</w:t>
      </w:r>
      <w:r w:rsidRPr="00AA5065">
        <w:rPr>
          <w:rFonts w:ascii="David" w:eastAsia="Calibri" w:hAnsi="David" w:hint="cs"/>
          <w:sz w:val="24"/>
          <w:rtl/>
        </w:rPr>
        <w:t>ו</w:t>
      </w:r>
      <w:r w:rsidRPr="00AA5065">
        <w:rPr>
          <w:rFonts w:ascii="David" w:eastAsia="Calibri" w:hAnsi="David"/>
          <w:sz w:val="24"/>
          <w:rtl/>
        </w:rPr>
        <w:t xml:space="preserve">ון </w:t>
      </w:r>
      <w:r w:rsidRPr="00AA5065">
        <w:rPr>
          <w:rFonts w:ascii="David" w:eastAsia="Calibri" w:hAnsi="David" w:hint="cs"/>
          <w:sz w:val="24"/>
          <w:rtl/>
        </w:rPr>
        <w:t>שסוכם</w:t>
      </w:r>
      <w:r w:rsidRPr="00AA5065">
        <w:rPr>
          <w:rFonts w:ascii="David" w:eastAsia="Calibri" w:hAnsi="David"/>
          <w:sz w:val="24"/>
          <w:rtl/>
        </w:rPr>
        <w:t xml:space="preserve"> עם משרד המשפטים </w:t>
      </w:r>
      <w:r w:rsidRPr="00AA5065">
        <w:rPr>
          <w:rFonts w:ascii="David" w:eastAsia="Calibri" w:hAnsi="David" w:hint="cs"/>
          <w:sz w:val="24"/>
          <w:rtl/>
        </w:rPr>
        <w:t xml:space="preserve">כי </w:t>
      </w:r>
      <w:r w:rsidRPr="00AA5065">
        <w:rPr>
          <w:rFonts w:ascii="David" w:eastAsia="Calibri" w:hAnsi="David"/>
          <w:sz w:val="24"/>
          <w:rtl/>
        </w:rPr>
        <w:t xml:space="preserve">ייערך </w:t>
      </w:r>
      <w:r w:rsidRPr="00AA5065">
        <w:rPr>
          <w:rFonts w:ascii="David" w:eastAsia="Calibri" w:hAnsi="David" w:hint="cs"/>
          <w:sz w:val="24"/>
          <w:rtl/>
        </w:rPr>
        <w:t>מחקר באמצעות</w:t>
      </w:r>
      <w:r w:rsidRPr="00AA5065">
        <w:rPr>
          <w:rFonts w:ascii="David" w:eastAsia="Calibri" w:hAnsi="David"/>
          <w:sz w:val="24"/>
          <w:rtl/>
        </w:rPr>
        <w:t xml:space="preserve"> חוקרים ש</w:t>
      </w:r>
      <w:r w:rsidRPr="00AA5065">
        <w:rPr>
          <w:rFonts w:ascii="David" w:eastAsia="Calibri" w:hAnsi="David" w:hint="cs"/>
          <w:sz w:val="24"/>
          <w:rtl/>
        </w:rPr>
        <w:t>י</w:t>
      </w:r>
      <w:r w:rsidRPr="00AA5065">
        <w:rPr>
          <w:rFonts w:ascii="David" w:eastAsia="Calibri" w:hAnsi="David"/>
          <w:sz w:val="24"/>
          <w:rtl/>
        </w:rPr>
        <w:t xml:space="preserve">גויסו על ידי משרד המשפטים. החוקרים צפויים לעבוד עצמאית בחדר מחקר של </w:t>
      </w:r>
      <w:r w:rsidRPr="00AA5065">
        <w:rPr>
          <w:rFonts w:ascii="David" w:eastAsia="Calibri" w:hAnsi="David" w:hint="eastAsia"/>
          <w:sz w:val="24"/>
          <w:rtl/>
        </w:rPr>
        <w:t>הלמ</w:t>
      </w:r>
      <w:r w:rsidRPr="00AA5065">
        <w:rPr>
          <w:rFonts w:ascii="David" w:eastAsia="Calibri" w:hAnsi="David"/>
          <w:sz w:val="24"/>
          <w:rtl/>
        </w:rPr>
        <w:t xml:space="preserve">"ס, </w:t>
      </w:r>
      <w:r w:rsidRPr="00AA5065">
        <w:rPr>
          <w:rFonts w:ascii="David" w:eastAsia="Calibri" w:hAnsi="David" w:hint="eastAsia"/>
          <w:sz w:val="24"/>
          <w:rtl/>
        </w:rPr>
        <w:t>והלמ</w:t>
      </w:r>
      <w:r w:rsidRPr="00AA5065">
        <w:rPr>
          <w:rFonts w:ascii="David" w:eastAsia="Calibri" w:hAnsi="David"/>
          <w:sz w:val="24"/>
          <w:rtl/>
        </w:rPr>
        <w:t xml:space="preserve">"ס תסייע </w:t>
      </w:r>
      <w:r w:rsidRPr="00AA5065">
        <w:rPr>
          <w:rFonts w:ascii="David" w:eastAsia="Calibri" w:hAnsi="David" w:hint="eastAsia"/>
          <w:sz w:val="24"/>
          <w:rtl/>
        </w:rPr>
        <w:t>בהנגשת</w:t>
      </w:r>
      <w:r w:rsidRPr="00AA5065">
        <w:rPr>
          <w:rFonts w:ascii="David" w:eastAsia="Calibri" w:hAnsi="David"/>
          <w:sz w:val="24"/>
          <w:rtl/>
        </w:rPr>
        <w:t xml:space="preserve"> הנתונים הנדרשים לצורך עריכת המחקר</w:t>
      </w:r>
      <w:r w:rsidRPr="00AA5065">
        <w:rPr>
          <w:rFonts w:ascii="David" w:eastAsia="Calibri" w:hAnsi="David" w:hint="cs"/>
          <w:sz w:val="24"/>
          <w:rtl/>
        </w:rPr>
        <w:t>.</w:t>
      </w:r>
      <w:r w:rsidRPr="00AA5065">
        <w:rPr>
          <w:rFonts w:ascii="David" w:eastAsia="Calibri" w:hAnsi="David"/>
          <w:sz w:val="24"/>
          <w:rtl/>
        </w:rPr>
        <w:t xml:space="preserve"> </w:t>
      </w:r>
      <w:r w:rsidRPr="00AA5065">
        <w:rPr>
          <w:rFonts w:ascii="David" w:eastAsia="Calibri" w:hAnsi="David" w:hint="cs"/>
          <w:sz w:val="24"/>
          <w:rtl/>
        </w:rPr>
        <w:t>עוד מסרה</w:t>
      </w:r>
      <w:r w:rsidRPr="00AA5065">
        <w:rPr>
          <w:rFonts w:ascii="David" w:eastAsia="Calibri" w:hAnsi="David"/>
          <w:sz w:val="24"/>
          <w:rtl/>
        </w:rPr>
        <w:t xml:space="preserve"> </w:t>
      </w:r>
      <w:r w:rsidRPr="00AA5065">
        <w:rPr>
          <w:rFonts w:ascii="David" w:eastAsia="Calibri" w:hAnsi="David" w:hint="eastAsia"/>
          <w:sz w:val="24"/>
          <w:rtl/>
        </w:rPr>
        <w:t>הלמ</w:t>
      </w:r>
      <w:r w:rsidRPr="00AA5065">
        <w:rPr>
          <w:rFonts w:ascii="David" w:eastAsia="Calibri" w:hAnsi="David"/>
          <w:sz w:val="24"/>
          <w:rtl/>
        </w:rPr>
        <w:t>"</w:t>
      </w:r>
      <w:r w:rsidRPr="00AA5065">
        <w:rPr>
          <w:rFonts w:ascii="David" w:eastAsia="Calibri" w:hAnsi="David" w:hint="cs"/>
          <w:sz w:val="24"/>
          <w:rtl/>
        </w:rPr>
        <w:t>ס</w:t>
      </w:r>
      <w:r w:rsidRPr="00AA5065">
        <w:rPr>
          <w:rFonts w:ascii="David" w:eastAsia="Calibri" w:hAnsi="David"/>
          <w:sz w:val="24"/>
          <w:rtl/>
        </w:rPr>
        <w:t xml:space="preserve"> </w:t>
      </w:r>
      <w:r w:rsidRPr="00AA5065">
        <w:rPr>
          <w:rFonts w:ascii="David" w:eastAsia="Calibri" w:hAnsi="David" w:hint="cs"/>
          <w:sz w:val="24"/>
          <w:rtl/>
        </w:rPr>
        <w:t xml:space="preserve">כי היא </w:t>
      </w:r>
      <w:r w:rsidRPr="00AA5065">
        <w:rPr>
          <w:rFonts w:ascii="David" w:eastAsia="Calibri" w:hAnsi="David"/>
          <w:sz w:val="24"/>
          <w:rtl/>
        </w:rPr>
        <w:t>מודדת את גודל</w:t>
      </w:r>
      <w:r w:rsidRPr="00AA5065">
        <w:rPr>
          <w:rFonts w:ascii="David" w:eastAsia="Calibri" w:hAnsi="David" w:hint="cs"/>
          <w:sz w:val="24"/>
          <w:rtl/>
        </w:rPr>
        <w:t xml:space="preserve"> תופעת הפוליגמיה</w:t>
      </w:r>
      <w:r w:rsidRPr="00AA5065">
        <w:rPr>
          <w:rFonts w:ascii="David" w:eastAsia="Calibri" w:hAnsi="David"/>
          <w:sz w:val="24"/>
          <w:rtl/>
        </w:rPr>
        <w:t xml:space="preserve"> ומעדכנת את החישובים מ</w:t>
      </w:r>
      <w:r w:rsidRPr="00AA5065">
        <w:rPr>
          <w:rFonts w:ascii="David" w:eastAsia="Calibri" w:hAnsi="David" w:hint="cs"/>
          <w:sz w:val="24"/>
          <w:rtl/>
        </w:rPr>
        <w:t>פעם</w:t>
      </w:r>
      <w:r w:rsidRPr="00AA5065">
        <w:rPr>
          <w:rFonts w:ascii="David" w:eastAsia="Calibri" w:hAnsi="David"/>
          <w:sz w:val="24"/>
          <w:rtl/>
        </w:rPr>
        <w:t xml:space="preserve"> ל</w:t>
      </w:r>
      <w:r w:rsidRPr="00AA5065">
        <w:rPr>
          <w:rFonts w:ascii="David" w:eastAsia="Calibri" w:hAnsi="David" w:hint="cs"/>
          <w:sz w:val="24"/>
          <w:rtl/>
        </w:rPr>
        <w:t>פעם</w:t>
      </w:r>
      <w:r w:rsidRPr="00AA5065">
        <w:rPr>
          <w:rFonts w:ascii="David" w:eastAsia="Calibri" w:hAnsi="David"/>
          <w:sz w:val="24"/>
          <w:rtl/>
        </w:rPr>
        <w:t xml:space="preserve"> בהתאם לבקשת משרד המשפטים, והמידע הסטטיסטי מועבר ישירות למשרד.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eastAsia"/>
          <w:sz w:val="24"/>
          <w:rtl/>
        </w:rPr>
        <w:t>משרד</w:t>
      </w:r>
      <w:r w:rsidRPr="00AA5065">
        <w:rPr>
          <w:rFonts w:ascii="David" w:eastAsia="Calibri" w:hAnsi="David"/>
          <w:sz w:val="24"/>
          <w:rtl/>
        </w:rPr>
        <w:t xml:space="preserve"> </w:t>
      </w:r>
      <w:r w:rsidRPr="00AA5065">
        <w:rPr>
          <w:rFonts w:ascii="David" w:eastAsia="Calibri" w:hAnsi="David" w:hint="eastAsia"/>
          <w:sz w:val="24"/>
          <w:rtl/>
        </w:rPr>
        <w:t>המשפטים</w:t>
      </w:r>
      <w:r w:rsidRPr="00AA5065">
        <w:rPr>
          <w:rFonts w:ascii="David" w:eastAsia="Calibri" w:hAnsi="David"/>
          <w:sz w:val="24"/>
          <w:rtl/>
        </w:rPr>
        <w:t xml:space="preserve"> מסר בתשובתו </w:t>
      </w:r>
      <w:r w:rsidRPr="00AA5065">
        <w:rPr>
          <w:rFonts w:ascii="David" w:eastAsia="Calibri" w:hAnsi="David" w:hint="eastAsia"/>
          <w:sz w:val="24"/>
          <w:rtl/>
        </w:rPr>
        <w:t>כי</w:t>
      </w:r>
      <w:r w:rsidRPr="00AA5065">
        <w:rPr>
          <w:rFonts w:ascii="David" w:eastAsia="Calibri" w:hAnsi="David"/>
          <w:sz w:val="24"/>
          <w:rtl/>
        </w:rPr>
        <w:t xml:space="preserve"> "בהיעדר תקן ייעודי ללמ"ס, החטיבה החברתית קידמה במסגרת החלטת ממשלה 705 מיוני 2023 תקצוב של מחקר נרחב בנושא. בהמשך לכך נבחר ספק שיקדם את המחקר וההתקשרות נמצאת בשלבי אישור אחרונים. הגם שהמחקר צפוי לספק נתונים בה</w:t>
      </w:r>
      <w:r w:rsidRPr="00AA5065">
        <w:rPr>
          <w:rFonts w:ascii="David" w:eastAsia="Calibri" w:hAnsi="David" w:hint="cs"/>
          <w:sz w:val="24"/>
          <w:rtl/>
        </w:rPr>
        <w:t>י</w:t>
      </w:r>
      <w:r w:rsidRPr="00AA5065">
        <w:rPr>
          <w:rFonts w:ascii="David" w:eastAsia="Calibri" w:hAnsi="David"/>
          <w:sz w:val="24"/>
          <w:rtl/>
        </w:rPr>
        <w:t>קף נרחב ומעמיק מזה שהוצג עד היום, אשר יניח תשתית משמעותית להמשך העיסוק בתחום, מדובר במענה נקודתי לשנתיים הקרובות ולא פתרון לצורך במעקב מתמשך וקבוע</w:t>
      </w:r>
      <w:r w:rsidRPr="00AA5065">
        <w:rPr>
          <w:rFonts w:ascii="David" w:eastAsia="Calibri" w:hAnsi="David"/>
          <w:sz w:val="24"/>
        </w:rPr>
        <w:t>.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i/>
          <w:iCs/>
          <w:sz w:val="24"/>
          <w:rtl/>
        </w:rPr>
      </w:pPr>
      <w:r w:rsidRPr="00AA5065">
        <w:rPr>
          <w:rFonts w:ascii="David" w:eastAsia="Calibri" w:hAnsi="David" w:hint="cs"/>
          <w:b/>
          <w:bCs/>
          <w:sz w:val="24"/>
          <w:rtl/>
        </w:rPr>
        <w:t>מומלץ כי למ"ס יבחן את</w:t>
      </w:r>
      <w:r w:rsidRPr="00AA5065">
        <w:rPr>
          <w:rFonts w:ascii="David" w:eastAsia="Calibri" w:hAnsi="David"/>
          <w:b/>
          <w:bCs/>
          <w:sz w:val="24"/>
          <w:rtl/>
        </w:rPr>
        <w:t xml:space="preserve"> המלצות דוח </w:t>
      </w:r>
      <w:r w:rsidRPr="00AA5065">
        <w:rPr>
          <w:rFonts w:ascii="David" w:eastAsia="Calibri" w:hAnsi="David" w:hint="eastAsia"/>
          <w:b/>
          <w:bCs/>
          <w:sz w:val="24"/>
          <w:rtl/>
        </w:rPr>
        <w:t>פלמור</w:t>
      </w:r>
      <w:r w:rsidRPr="00AA5065">
        <w:rPr>
          <w:rFonts w:ascii="David" w:eastAsia="Calibri" w:hAnsi="David" w:hint="cs"/>
          <w:b/>
          <w:bCs/>
          <w:sz w:val="24"/>
          <w:rtl/>
        </w:rPr>
        <w:t xml:space="preserve"> בדבר הקצאת </w:t>
      </w:r>
      <w:r w:rsidRPr="00AA5065">
        <w:rPr>
          <w:rFonts w:ascii="David" w:eastAsia="Calibri" w:hAnsi="David"/>
          <w:b/>
          <w:bCs/>
          <w:sz w:val="24"/>
          <w:rtl/>
        </w:rPr>
        <w:t>תקן י</w:t>
      </w:r>
      <w:r w:rsidRPr="00AA5065">
        <w:rPr>
          <w:rFonts w:ascii="David" w:eastAsia="Calibri" w:hAnsi="David" w:hint="cs"/>
          <w:b/>
          <w:bCs/>
          <w:sz w:val="24"/>
          <w:rtl/>
        </w:rPr>
        <w:t>י</w:t>
      </w:r>
      <w:r w:rsidRPr="00AA5065">
        <w:rPr>
          <w:rFonts w:ascii="David" w:eastAsia="Calibri" w:hAnsi="David"/>
          <w:b/>
          <w:bCs/>
          <w:sz w:val="24"/>
          <w:rtl/>
        </w:rPr>
        <w:t xml:space="preserve">עודי </w:t>
      </w:r>
      <w:r w:rsidRPr="00AA5065">
        <w:rPr>
          <w:rFonts w:ascii="David" w:eastAsia="Calibri" w:hAnsi="David" w:hint="cs"/>
          <w:b/>
          <w:bCs/>
          <w:sz w:val="24"/>
          <w:rtl/>
        </w:rPr>
        <w:t xml:space="preserve">בלמ"ס </w:t>
      </w:r>
      <w:r w:rsidRPr="00AA5065">
        <w:rPr>
          <w:rFonts w:ascii="David" w:eastAsia="Calibri" w:hAnsi="David"/>
          <w:b/>
          <w:bCs/>
          <w:sz w:val="24"/>
          <w:rtl/>
        </w:rPr>
        <w:t>לביצוע פילוחים ואיסוף נתונים בנושא פוליגמיה</w:t>
      </w:r>
      <w:r w:rsidRPr="00AA5065">
        <w:rPr>
          <w:rFonts w:ascii="David" w:eastAsia="Calibri" w:hAnsi="David" w:hint="cs"/>
          <w:b/>
          <w:bCs/>
          <w:sz w:val="24"/>
          <w:rtl/>
        </w:rPr>
        <w:t xml:space="preserve"> ו</w:t>
      </w:r>
      <w:r w:rsidRPr="00AA5065">
        <w:rPr>
          <w:rFonts w:ascii="David" w:eastAsia="Calibri" w:hAnsi="David" w:hint="eastAsia"/>
          <w:b/>
          <w:bCs/>
          <w:sz w:val="24"/>
          <w:rtl/>
        </w:rPr>
        <w:t>י</w:t>
      </w:r>
      <w:r w:rsidRPr="00AA5065">
        <w:rPr>
          <w:rFonts w:ascii="David" w:eastAsia="Calibri" w:hAnsi="David" w:hint="cs"/>
          <w:b/>
          <w:bCs/>
          <w:sz w:val="24"/>
          <w:rtl/>
        </w:rPr>
        <w:t>שקול ליישמה, לצורך מתן מענה מתמשך וקבוע.</w:t>
      </w:r>
      <w:r w:rsidRPr="00AA5065">
        <w:rPr>
          <w:rFonts w:ascii="David" w:eastAsia="Calibri" w:hAnsi="David"/>
          <w:b/>
          <w:bCs/>
          <w:sz w:val="24"/>
          <w:rtl/>
        </w:rPr>
        <w:t xml:space="preserve"> </w:t>
      </w:r>
    </w:p>
    <w:bookmarkEnd w:id="10"/>
    <w:p w:rsidR="00AA5065" w:rsidRPr="00AA5065" w:rsidP="00860D89">
      <w:pPr>
        <w:spacing w:line="269" w:lineRule="auto"/>
        <w:rPr>
          <w:rFonts w:eastAsia="Calibri"/>
          <w:rtl/>
        </w:rPr>
      </w:pPr>
    </w:p>
    <w:p w:rsidR="00AA5065" w:rsidRPr="00AA5065" w:rsidP="00860D89">
      <w:pPr>
        <w:keepNext/>
        <w:keepLines/>
        <w:spacing w:line="269" w:lineRule="auto"/>
        <w:outlineLvl w:val="3"/>
        <w:rPr>
          <w:rFonts w:eastAsia="Times New Roman"/>
          <w:bCs/>
          <w:szCs w:val="26"/>
          <w:rtl/>
        </w:rPr>
      </w:pPr>
      <w:bookmarkStart w:id="12" w:name="_Hlk204855557"/>
      <w:r w:rsidRPr="00AA5065">
        <w:rPr>
          <w:rFonts w:eastAsia="Times New Roman"/>
          <w:bCs/>
          <w:szCs w:val="26"/>
          <w:rtl/>
        </w:rPr>
        <w:t>הטיפול בפוליגמיה על ידי גורמי אכיפת החוק</w:t>
      </w:r>
      <w:bookmarkEnd w:id="12"/>
      <w:r w:rsidRPr="00AA5065">
        <w:rPr>
          <w:rFonts w:eastAsia="Times New Roman"/>
          <w:bCs/>
          <w:szCs w:val="26"/>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הנחיית היועץ המשפטי </w:t>
      </w:r>
      <w:r w:rsidRPr="00AA5065">
        <w:rPr>
          <w:rFonts w:ascii="David" w:eastAsia="Calibri" w:hAnsi="David" w:hint="cs"/>
          <w:rtl/>
        </w:rPr>
        <w:t xml:space="preserve">(להלן - היועמ"ש) </w:t>
      </w:r>
      <w:r w:rsidRPr="00AA5065">
        <w:rPr>
          <w:rFonts w:ascii="David" w:eastAsia="Calibri" w:hAnsi="David"/>
          <w:rtl/>
        </w:rPr>
        <w:t>לממשלה בדבר "עבירת ריבוי נישואין</w:t>
      </w:r>
      <w:r>
        <w:rPr>
          <w:rFonts w:ascii="David" w:eastAsia="Calibri" w:hAnsi="David"/>
          <w:vertAlign w:val="superscript"/>
          <w:rtl/>
        </w:rPr>
        <w:footnoteReference w:id="16"/>
      </w:r>
      <w:r w:rsidRPr="00AA5065">
        <w:rPr>
          <w:rFonts w:ascii="David" w:eastAsia="Calibri" w:hAnsi="David" w:hint="cs"/>
          <w:rtl/>
        </w:rPr>
        <w:t xml:space="preserve"> </w:t>
      </w:r>
      <w:r w:rsidRPr="00AA5065">
        <w:rPr>
          <w:rFonts w:ascii="David" w:eastAsia="Calibri" w:hAnsi="David"/>
          <w:rtl/>
        </w:rPr>
        <w:t>"קובעת כי ככלל, אם נמצאה תשתית ראייתית מספקת לעבירת ריבוי נישואין, יוגש כתב אישום בעבירה זו (סעיף ג.16 להנחיה). עם זאת, לפי ההנחיה "אם נערכו הנישואין הנוספים זמן רב טרם היוודע הדבר לרשויות האכיפה ולא נתקיימו נסיבות לחומרה, כדוגמת ניצול או פגיעה באחת הנשים או בבני משפחה כתוצאה או בקשר עם עבירת הנישואין, יהווה הדבר שיקול במסגרת בחינת העניין הציבורי באכיפה באמצעות כלים מן המשפט הפלילי".</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בדוח הקודם צוין פסק דין</w:t>
      </w:r>
      <w:r>
        <w:rPr>
          <w:rFonts w:ascii="David" w:eastAsia="Calibri" w:hAnsi="David"/>
          <w:vertAlign w:val="superscript"/>
          <w:rtl/>
        </w:rPr>
        <w:footnoteReference w:id="17"/>
      </w:r>
      <w:r w:rsidRPr="00AA5065">
        <w:rPr>
          <w:rFonts w:ascii="David" w:eastAsia="Calibri" w:hAnsi="David" w:hint="cs"/>
          <w:rtl/>
        </w:rPr>
        <w:t xml:space="preserve"> שנידון בבית המשפט העליון </w:t>
      </w:r>
      <w:r w:rsidRPr="00AA5065">
        <w:rPr>
          <w:rFonts w:ascii="David" w:eastAsia="Calibri" w:hAnsi="David"/>
          <w:rtl/>
        </w:rPr>
        <w:t>בבקשת רשות ערעור שהגיש אבו סקיק על פסק דינו של ב</w:t>
      </w:r>
      <w:r w:rsidRPr="00AA5065">
        <w:rPr>
          <w:rFonts w:ascii="David" w:eastAsia="Calibri" w:hAnsi="David" w:hint="cs"/>
          <w:rtl/>
        </w:rPr>
        <w:t>ב</w:t>
      </w:r>
      <w:r w:rsidRPr="00AA5065">
        <w:rPr>
          <w:rFonts w:ascii="David" w:eastAsia="Calibri" w:hAnsi="David"/>
          <w:rtl/>
        </w:rPr>
        <w:t>י</w:t>
      </w:r>
      <w:r w:rsidRPr="00AA5065">
        <w:rPr>
          <w:rFonts w:ascii="David" w:eastAsia="Calibri" w:hAnsi="David" w:hint="cs"/>
          <w:rtl/>
        </w:rPr>
        <w:t xml:space="preserve">ת </w:t>
      </w:r>
      <w:r w:rsidRPr="00AA5065">
        <w:rPr>
          <w:rFonts w:ascii="David" w:eastAsia="Calibri" w:hAnsi="David"/>
          <w:rtl/>
        </w:rPr>
        <w:t>המש</w:t>
      </w:r>
      <w:r w:rsidRPr="00AA5065">
        <w:rPr>
          <w:rFonts w:ascii="David" w:eastAsia="Calibri" w:hAnsi="David" w:hint="cs"/>
          <w:rtl/>
        </w:rPr>
        <w:t>פט</w:t>
      </w:r>
      <w:r w:rsidRPr="00AA5065">
        <w:rPr>
          <w:rFonts w:ascii="David" w:eastAsia="Calibri" w:hAnsi="David"/>
          <w:rtl/>
        </w:rPr>
        <w:t xml:space="preserve"> המחוזי. בסעיף 12 ‏להחלטת בי</w:t>
      </w:r>
      <w:r w:rsidRPr="00AA5065">
        <w:rPr>
          <w:rFonts w:ascii="David" w:eastAsia="Calibri" w:hAnsi="David" w:hint="cs"/>
          <w:rtl/>
        </w:rPr>
        <w:t xml:space="preserve">ת </w:t>
      </w:r>
      <w:r w:rsidRPr="00AA5065">
        <w:rPr>
          <w:rFonts w:ascii="David" w:eastAsia="Calibri" w:hAnsi="David"/>
          <w:rtl/>
        </w:rPr>
        <w:t>המש</w:t>
      </w:r>
      <w:r w:rsidRPr="00AA5065">
        <w:rPr>
          <w:rFonts w:ascii="David" w:eastAsia="Calibri" w:hAnsi="David" w:hint="cs"/>
          <w:rtl/>
        </w:rPr>
        <w:t>פט</w:t>
      </w:r>
      <w:r w:rsidRPr="00AA5065">
        <w:rPr>
          <w:rFonts w:ascii="David" w:eastAsia="Calibri" w:hAnsi="David"/>
          <w:rtl/>
        </w:rPr>
        <w:t xml:space="preserve"> העליון שדחה את הבקשה נכתב מפי השופט אלרון:‏</w:t>
      </w:r>
      <w:r w:rsidRPr="00AA5065">
        <w:rPr>
          <w:rFonts w:ascii="David" w:eastAsia="Calibri" w:hAnsi="David" w:hint="cs"/>
          <w:rtl/>
        </w:rPr>
        <w:t xml:space="preserve"> </w:t>
      </w:r>
      <w:r w:rsidRPr="00AA5065">
        <w:rPr>
          <w:rFonts w:ascii="David" w:eastAsia="Calibri" w:hAnsi="David"/>
          <w:rtl/>
        </w:rPr>
        <w:t>‏"תופעה זו של ריבוי נישואין פגיעתה רבה באוכלוסיית הנשים וגוררת יחד עימה פגיעה במעמד ‏האישה בחברות בהן התופעה נהוגה. זאת, בין היתר בשל פערי מעמדות הנוצרים לא פעם בין ‏הנשים, אשר להם השלכות ניכרות על התפתחותם התקינה של ילדיהן ועל מצבם הבריאותי ‏והרגשי. על רקע השלכותיה המשמעותיות של תופעה חברתית זו, נקבע לא אחת כי יש לנקוט ‏כלפי עבירת ריבוי הנישואין מדיניות ענישה מחמירה ומרתיעה הכוללת עונשי מאסר בפועל ‏מאחורי סורג ובריח, וכי אין להסתפק בריצוי העונש בעבודות שירות (ראו למשל: ע"פ ‏‏4085/91 שיבלי נ' מדינת ישראל [פורסם בנבו] (17.10.1991)). הנחיית היועמ"ש מבקשת ‏לספק מזור לסוגיה חברתית רחבת היקף אשר קורבנותיה רבים, וקולם לעיתים לא נשמע. ‏זאת, תוך הרתעת הרבים מפני ריבוי נישואין על-ידי שינוי מדיניות האכיפה בגין עבירה זו".‏</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פרקליטות מחוז דרום מסרה בתשובתה </w:t>
      </w:r>
      <w:r w:rsidRPr="00AA5065">
        <w:rPr>
          <w:rFonts w:ascii="David" w:eastAsia="Calibri" w:hAnsi="David" w:hint="cs"/>
          <w:rtl/>
        </w:rPr>
        <w:t xml:space="preserve">לדוח הביקורת הקודם </w:t>
      </w:r>
      <w:r w:rsidRPr="00AA5065">
        <w:rPr>
          <w:rFonts w:ascii="David" w:eastAsia="Calibri" w:hAnsi="David"/>
          <w:rtl/>
        </w:rPr>
        <w:t>כי "במקרים בהם מועד ביצוע העבירה ‏היה לפני המועד הקובע [מועד פרסום הנחיית היועמ"ש ב-23.1.17], נתקבלה החלטה לסגור ‏את התיקים בעילה של 'נסיבות העניין אינן מצדיקות המשך חקירה ו/או העמדה לדין', שכן ‏בתיקים אלה - נוכח הנחיית היועמ"ש ועל מנת למנוע טענות אפליה והגנה מן הצדק - לא היה ‏מקום להגשת כתב אישום. מבדיקה שנערכה באשר ל-293 תיקי ריבוי נישואין שנסגרו בעילה ‏של 'נסיבות העניין בכללותן אינן מצדיקות העמדה לדין או המשך חקירה פלילית', בשנים ‏‏2017 - 2018, עולה כי 8 תיקים נסגרו בשל התיישנות משטרתית, וכל היתר נסגרו בשל ‏העובדה שהעבירה בוצעה לפני המועד הקובע... הוגשו... 23 כתבי אישום. 5 תיקים נסתיימו ‏בהרשעה ובעונשי מאסר בפועל ורכיבי ענישה נוספים... תיק אחד נסתיים בזיכוי</w:t>
      </w:r>
      <w:r w:rsidRPr="00AA5065">
        <w:rPr>
          <w:rFonts w:ascii="David" w:eastAsia="Calibri" w:hAnsi="David" w:hint="cs"/>
          <w:rtl/>
        </w:rPr>
        <w:t>,</w:t>
      </w:r>
      <w:r w:rsidRPr="00AA5065">
        <w:rPr>
          <w:rFonts w:ascii="David" w:eastAsia="Calibri" w:hAnsi="David"/>
          <w:rtl/>
        </w:rPr>
        <w:t xml:space="preserve"> והיתר ‏מתנהלים בבית משפט השלום בבאר שבע".‏</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בדוח הקודם צוין כי דוח פלמור כולל המלצה לשקול את תיקונו של סעיף ג.16 להנחיה האמורה ולקבוע כי דיווחי כזב לרשויות המדינה לצורך קבלת גמלאות וטובות הנאה מהווים "נסיבה לחומרה" ומצדיקים אכיפה, אף אם הנישואין הנוספים נערכו זמן רב בטרם היוודע הדבר לרשויות. בדוח הביקורת הומלץ כי ה</w:t>
      </w:r>
      <w:r w:rsidRPr="00AA5065">
        <w:rPr>
          <w:rFonts w:ascii="David" w:eastAsia="Calibri" w:hAnsi="David" w:hint="cs"/>
          <w:rtl/>
        </w:rPr>
        <w:t>יועמ"ש</w:t>
      </w:r>
      <w:r w:rsidRPr="00AA5065">
        <w:rPr>
          <w:rFonts w:ascii="David" w:eastAsia="Calibri" w:hAnsi="David"/>
          <w:rtl/>
        </w:rPr>
        <w:t xml:space="preserve"> ישקול את תיקון ההנחיה לפי ההמלצה האמורה של ועדת פלמור.</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בדוח הקודם הומלץ כי "היועץ המשפטי לממשלה יבחן את יישום הנחייתו בקרב מערכות אכיפת החוק בעניין תופעת הפוליגמיה, וכי משרד המשפטים ומשטרת ישראל יקיימו הליכי הפקת לקחים מכלל תיקי החקירה שנסגרו בשנים 2017 - 2018 ויכינו תוכנית פעולה. בכלל זאת, יבחנו את הצורך בהקצאת משאבים מתאימים לאכיפת האיסור בחוק על ריבוי נישואין ולצמצום תופעה זו, המעוגנת ברבדים עמוקים חברתיים, תרבותיים ודתיים בקרב האוכלוסייה הבדואית בנגב. עוד הומלץ כי משרד המשפטים יבחן את יישום כלל המלצות ועדת פלמור בעניין מיגור תופעת הפוליגמיה באופן סדור ועיתי, ויוודא עמידת כלל הגורמים השונים בהמלצות השונות".</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cs"/>
          <w:rtl/>
        </w:rPr>
        <w:t xml:space="preserve">בביקורת המעקב </w:t>
      </w:r>
      <w:r w:rsidRPr="00AA5065">
        <w:rPr>
          <w:rFonts w:ascii="David" w:eastAsia="Calibri" w:hAnsi="David"/>
          <w:rtl/>
        </w:rPr>
        <w:t xml:space="preserve">נמצא כי בהתאם להמלצה </w:t>
      </w:r>
      <w:r w:rsidRPr="00AA5065">
        <w:rPr>
          <w:rFonts w:ascii="David" w:eastAsia="Calibri" w:hAnsi="David" w:hint="cs"/>
          <w:rtl/>
        </w:rPr>
        <w:t xml:space="preserve">שנקבעה </w:t>
      </w:r>
      <w:r w:rsidRPr="00AA5065">
        <w:rPr>
          <w:rFonts w:ascii="David" w:eastAsia="Calibri" w:hAnsi="David"/>
          <w:rtl/>
        </w:rPr>
        <w:t>בדוח פלמור ו</w:t>
      </w:r>
      <w:r w:rsidRPr="00AA5065">
        <w:rPr>
          <w:rFonts w:ascii="David" w:eastAsia="Calibri" w:hAnsi="David" w:hint="cs"/>
          <w:rtl/>
        </w:rPr>
        <w:t xml:space="preserve">בהתאם להמלצת הדוח הקודם, </w:t>
      </w:r>
      <w:r w:rsidRPr="00AA5065">
        <w:rPr>
          <w:rFonts w:ascii="David" w:eastAsia="Calibri" w:hAnsi="David"/>
          <w:rtl/>
        </w:rPr>
        <w:t xml:space="preserve">היועמ"ש תיקן בשנת 2021 את </w:t>
      </w:r>
      <w:r w:rsidRPr="00AA5065">
        <w:rPr>
          <w:rFonts w:ascii="David" w:eastAsia="Calibri" w:hAnsi="David" w:hint="cs"/>
          <w:rtl/>
        </w:rPr>
        <w:t xml:space="preserve">ס ג.16 </w:t>
      </w:r>
      <w:r w:rsidRPr="00AA5065">
        <w:rPr>
          <w:rFonts w:ascii="David" w:eastAsia="Calibri" w:hAnsi="David"/>
          <w:sz w:val="24"/>
          <w:rtl/>
        </w:rPr>
        <w:t>"</w:t>
      </w:r>
      <w:r w:rsidRPr="00AA5065">
        <w:rPr>
          <w:rFonts w:ascii="David" w:eastAsia="Calibri" w:hAnsi="David" w:hint="cs"/>
          <w:sz w:val="24"/>
          <w:rtl/>
        </w:rPr>
        <w:t>ל</w:t>
      </w:r>
      <w:r w:rsidRPr="00AA5065">
        <w:rPr>
          <w:rFonts w:ascii="David" w:eastAsia="Calibri" w:hAnsi="David"/>
          <w:sz w:val="24"/>
          <w:rtl/>
        </w:rPr>
        <w:t>הנחיית היועמ"ש בדבר עבירת ריבוי נישואין"</w:t>
      </w:r>
      <w:r w:rsidRPr="00AA5065">
        <w:rPr>
          <w:rFonts w:ascii="David" w:eastAsia="Calibri" w:hAnsi="David" w:hint="cs"/>
          <w:sz w:val="24"/>
          <w:rtl/>
        </w:rPr>
        <w:t>,</w:t>
      </w:r>
      <w:r w:rsidRPr="00AA5065">
        <w:rPr>
          <w:rFonts w:ascii="David" w:eastAsia="Calibri" w:hAnsi="David"/>
          <w:sz w:val="24"/>
          <w:rtl/>
        </w:rPr>
        <w:t xml:space="preserve"> וקבע כי הונאת הרשויות או השגת ‏טובות הנאה שלא כדין כתוצאה או בקשר עם עבירת ריבוי הנישואין ‏</w:t>
      </w:r>
      <w:r w:rsidRPr="00AA5065">
        <w:rPr>
          <w:rFonts w:ascii="David" w:eastAsia="Calibri" w:hAnsi="David" w:hint="cs"/>
          <w:sz w:val="24"/>
          <w:rtl/>
        </w:rPr>
        <w:t xml:space="preserve">מהוות </w:t>
      </w:r>
      <w:r w:rsidRPr="00AA5065">
        <w:rPr>
          <w:rFonts w:ascii="David" w:eastAsia="Calibri" w:hAnsi="David"/>
          <w:sz w:val="24"/>
          <w:rtl/>
        </w:rPr>
        <w:t>נסיבות לחומרה</w:t>
      </w:r>
      <w:r w:rsidRPr="00AA5065">
        <w:rPr>
          <w:rFonts w:ascii="David" w:eastAsia="Calibri" w:hAnsi="David" w:hint="cs"/>
          <w:sz w:val="24"/>
          <w:rtl/>
        </w:rPr>
        <w:t xml:space="preserve"> </w:t>
      </w:r>
      <w:r w:rsidRPr="00AA5065">
        <w:rPr>
          <w:rFonts w:ascii="David" w:eastAsia="Calibri" w:hAnsi="David"/>
          <w:sz w:val="24"/>
          <w:rtl/>
        </w:rPr>
        <w:t>שיש לשקול במסגרת בחינת העניין הציבורי באכיפה באמצעות כלים מן המשפט הפלילי, אף ‏במקרה שהנישואין הנוספים נערכו זמן רב בטרם היוודע הדבר לרשויות האכיפה.‏</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eastAsia"/>
          <w:sz w:val="24"/>
          <w:rtl/>
        </w:rPr>
        <w:t>במהלך</w:t>
      </w:r>
      <w:r w:rsidRPr="00AA5065">
        <w:rPr>
          <w:rFonts w:ascii="David" w:eastAsia="Calibri" w:hAnsi="David"/>
          <w:sz w:val="24"/>
          <w:rtl/>
        </w:rPr>
        <w:t xml:space="preserve"> </w:t>
      </w:r>
      <w:r w:rsidRPr="00AA5065">
        <w:rPr>
          <w:rFonts w:ascii="David" w:eastAsia="Calibri" w:hAnsi="David" w:hint="eastAsia"/>
          <w:sz w:val="24"/>
          <w:rtl/>
        </w:rPr>
        <w:t>הביקורת</w:t>
      </w:r>
      <w:r w:rsidRPr="00AA5065">
        <w:rPr>
          <w:rFonts w:ascii="David" w:eastAsia="Calibri" w:hAnsi="David"/>
          <w:sz w:val="24"/>
          <w:rtl/>
        </w:rPr>
        <w:t xml:space="preserve"> </w:t>
      </w:r>
      <w:r w:rsidRPr="00AA5065">
        <w:rPr>
          <w:rFonts w:ascii="David" w:eastAsia="Calibri" w:hAnsi="David" w:hint="cs"/>
          <w:sz w:val="24"/>
          <w:rtl/>
        </w:rPr>
        <w:t>נמסר מהפרקליטות</w:t>
      </w:r>
      <w:r w:rsidRPr="00AA5065">
        <w:rPr>
          <w:rFonts w:ascii="David" w:eastAsia="Calibri" w:hAnsi="David"/>
          <w:sz w:val="24"/>
          <w:rtl/>
        </w:rPr>
        <w:t xml:space="preserve"> כי "על אף ההחמרה בהיקפי התופעה, הנחיית היועמ"ש היא מהותית, ולכן לא ניתן להחיל אחורה". כלומר לא ניתן </w:t>
      </w:r>
      <w:r w:rsidRPr="00AA5065">
        <w:rPr>
          <w:rFonts w:ascii="David" w:eastAsia="Calibri" w:hAnsi="David" w:hint="cs"/>
          <w:sz w:val="24"/>
          <w:rtl/>
        </w:rPr>
        <w:t>להסתמך</w:t>
      </w:r>
      <w:r w:rsidRPr="00AA5065">
        <w:rPr>
          <w:rFonts w:ascii="David" w:eastAsia="Calibri" w:hAnsi="David"/>
          <w:sz w:val="24"/>
          <w:rtl/>
        </w:rPr>
        <w:t xml:space="preserve"> </w:t>
      </w:r>
      <w:r w:rsidRPr="00AA5065">
        <w:rPr>
          <w:rFonts w:ascii="David" w:eastAsia="Calibri" w:hAnsi="David" w:hint="cs"/>
          <w:sz w:val="24"/>
          <w:rtl/>
        </w:rPr>
        <w:t xml:space="preserve">על </w:t>
      </w:r>
      <w:r w:rsidRPr="00AA5065">
        <w:rPr>
          <w:rFonts w:ascii="David" w:eastAsia="Calibri" w:hAnsi="David"/>
          <w:sz w:val="24"/>
          <w:rtl/>
        </w:rPr>
        <w:t>סעיף ג.16 בנוגע לעבירות שבוצעו טרם התיקון.</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sz w:val="24"/>
          <w:rtl/>
        </w:rPr>
      </w:pPr>
      <w:bookmarkStart w:id="13" w:name="_Hlk197612292"/>
      <w:bookmarkStart w:id="14" w:name="_Hlk197425602"/>
      <w:r w:rsidRPr="00AA5065">
        <w:rPr>
          <w:rFonts w:ascii="David" w:eastAsia="Calibri" w:hAnsi="David" w:hint="cs"/>
          <w:b/>
          <w:bCs/>
          <w:sz w:val="24"/>
          <w:rtl/>
        </w:rPr>
        <w:t>בביקורת הקודמת</w:t>
      </w:r>
      <w:r w:rsidRPr="00AA5065">
        <w:rPr>
          <w:rFonts w:ascii="David" w:eastAsia="Calibri" w:hAnsi="David"/>
          <w:b/>
          <w:bCs/>
          <w:sz w:val="24"/>
          <w:rtl/>
        </w:rPr>
        <w:t xml:space="preserve"> </w:t>
      </w:r>
      <w:r w:rsidRPr="00AA5065">
        <w:rPr>
          <w:rFonts w:ascii="David" w:eastAsia="Calibri" w:hAnsi="David" w:hint="cs"/>
          <w:b/>
          <w:bCs/>
          <w:sz w:val="24"/>
          <w:rtl/>
        </w:rPr>
        <w:t>ה</w:t>
      </w:r>
      <w:r w:rsidRPr="00AA5065">
        <w:rPr>
          <w:rFonts w:ascii="David" w:eastAsia="Calibri" w:hAnsi="David"/>
          <w:b/>
          <w:bCs/>
          <w:sz w:val="24"/>
          <w:rtl/>
        </w:rPr>
        <w:t>מליץ</w:t>
      </w:r>
      <w:r w:rsidRPr="00AA5065">
        <w:rPr>
          <w:rFonts w:ascii="David" w:eastAsia="Calibri" w:hAnsi="David" w:hint="cs"/>
          <w:b/>
          <w:bCs/>
          <w:sz w:val="24"/>
          <w:rtl/>
        </w:rPr>
        <w:t xml:space="preserve"> משרד</w:t>
      </w:r>
      <w:r w:rsidRPr="00AA5065">
        <w:rPr>
          <w:rFonts w:ascii="David" w:eastAsia="Calibri" w:hAnsi="David"/>
          <w:b/>
          <w:bCs/>
          <w:sz w:val="24"/>
          <w:rtl/>
        </w:rPr>
        <w:t xml:space="preserve"> מבקר</w:t>
      </w:r>
      <w:r w:rsidRPr="00AA5065">
        <w:rPr>
          <w:rFonts w:ascii="David" w:eastAsia="Calibri" w:hAnsi="David" w:hint="cs"/>
          <w:b/>
          <w:bCs/>
          <w:sz w:val="24"/>
          <w:rtl/>
        </w:rPr>
        <w:t xml:space="preserve"> המדינה</w:t>
      </w:r>
      <w:r w:rsidRPr="00AA5065">
        <w:rPr>
          <w:rFonts w:ascii="David" w:eastAsia="Calibri" w:hAnsi="David"/>
          <w:b/>
          <w:bCs/>
          <w:sz w:val="24"/>
          <w:rtl/>
        </w:rPr>
        <w:t xml:space="preserve"> ‏</w:t>
      </w:r>
      <w:r w:rsidRPr="00AA5065">
        <w:rPr>
          <w:rFonts w:ascii="David" w:eastAsia="Calibri" w:hAnsi="David" w:hint="cs"/>
          <w:b/>
          <w:bCs/>
          <w:sz w:val="24"/>
          <w:rtl/>
        </w:rPr>
        <w:t xml:space="preserve">לשקול את תיקונו של סעיף ג.16 להנחיית </w:t>
      </w:r>
      <w:r w:rsidRPr="00AA5065">
        <w:rPr>
          <w:rFonts w:ascii="David" w:eastAsia="Calibri" w:hAnsi="David"/>
          <w:b/>
          <w:bCs/>
          <w:sz w:val="24"/>
          <w:rtl/>
        </w:rPr>
        <w:t>היועץ המשפטי לממשלה ‏</w:t>
      </w:r>
      <w:r w:rsidRPr="00AA5065">
        <w:rPr>
          <w:rFonts w:ascii="David" w:eastAsia="Calibri" w:hAnsi="David" w:hint="cs"/>
          <w:b/>
          <w:bCs/>
          <w:sz w:val="24"/>
          <w:rtl/>
        </w:rPr>
        <w:t>בדבר עבירת ריבוי נישואין. זאת בהמשך ל</w:t>
      </w:r>
      <w:r w:rsidRPr="00AA5065">
        <w:rPr>
          <w:rFonts w:ascii="David" w:eastAsia="Calibri" w:hAnsi="David"/>
          <w:b/>
          <w:bCs/>
          <w:sz w:val="24"/>
          <w:rtl/>
        </w:rPr>
        <w:t>המלצת ועדת פלמור לשקול ‏לתקן את ‏הסעיף האמור ב</w:t>
      </w:r>
      <w:r w:rsidRPr="00AA5065">
        <w:rPr>
          <w:rFonts w:ascii="David" w:eastAsia="Calibri" w:hAnsi="David" w:hint="cs"/>
          <w:b/>
          <w:bCs/>
          <w:sz w:val="24"/>
          <w:rtl/>
        </w:rPr>
        <w:t>ה</w:t>
      </w:r>
      <w:r w:rsidRPr="00AA5065">
        <w:rPr>
          <w:rFonts w:ascii="David" w:eastAsia="Calibri" w:hAnsi="David"/>
          <w:b/>
          <w:bCs/>
          <w:sz w:val="24"/>
          <w:rtl/>
        </w:rPr>
        <w:t>נחיית היועץ המשפטי לממשלה ולקבוע ‏</w:t>
      </w:r>
      <w:r w:rsidRPr="00AA5065">
        <w:rPr>
          <w:rFonts w:ascii="David" w:eastAsia="Calibri" w:hAnsi="David" w:hint="eastAsia"/>
          <w:b/>
          <w:bCs/>
          <w:sz w:val="24"/>
          <w:rtl/>
        </w:rPr>
        <w:t>כי</w:t>
      </w:r>
      <w:r w:rsidRPr="00AA5065">
        <w:rPr>
          <w:rFonts w:ascii="David" w:eastAsia="Calibri" w:hAnsi="David"/>
          <w:b/>
          <w:bCs/>
          <w:sz w:val="24"/>
          <w:rtl/>
        </w:rPr>
        <w:t xml:space="preserve"> דיווחי כזב לרשויות המדינה לצורך קבלת גמלאות וטובות הנאה </w:t>
      </w:r>
      <w:r w:rsidRPr="00AA5065">
        <w:rPr>
          <w:rFonts w:ascii="David" w:eastAsia="Calibri" w:hAnsi="David" w:hint="eastAsia"/>
          <w:b/>
          <w:bCs/>
          <w:sz w:val="24"/>
          <w:rtl/>
        </w:rPr>
        <w:t>ייחשבו</w:t>
      </w:r>
      <w:r w:rsidRPr="00AA5065">
        <w:rPr>
          <w:rFonts w:ascii="David" w:eastAsia="Calibri" w:hAnsi="David"/>
          <w:b/>
          <w:bCs/>
          <w:sz w:val="24"/>
          <w:rtl/>
        </w:rPr>
        <w:t xml:space="preserve"> "נסיבות </w:t>
      </w:r>
      <w:r w:rsidRPr="00AA5065">
        <w:rPr>
          <w:rFonts w:ascii="David" w:eastAsia="Calibri" w:hAnsi="David" w:hint="eastAsia"/>
          <w:b/>
          <w:bCs/>
          <w:sz w:val="24"/>
          <w:rtl/>
        </w:rPr>
        <w:t>לחומרה</w:t>
      </w:r>
      <w:r w:rsidRPr="00AA5065">
        <w:rPr>
          <w:rFonts w:ascii="David" w:eastAsia="Calibri" w:hAnsi="David"/>
          <w:b/>
          <w:bCs/>
          <w:sz w:val="24"/>
          <w:rtl/>
        </w:rPr>
        <w:t xml:space="preserve">" </w:t>
      </w:r>
      <w:r w:rsidRPr="00AA5065">
        <w:rPr>
          <w:rFonts w:ascii="David" w:eastAsia="Calibri" w:hAnsi="David" w:hint="cs"/>
          <w:b/>
          <w:bCs/>
          <w:sz w:val="24"/>
          <w:rtl/>
        </w:rPr>
        <w:t>שמצדיקות</w:t>
      </w:r>
      <w:r w:rsidRPr="00AA5065">
        <w:rPr>
          <w:rFonts w:ascii="David" w:eastAsia="Calibri" w:hAnsi="David"/>
          <w:b/>
          <w:bCs/>
          <w:sz w:val="24"/>
          <w:rtl/>
        </w:rPr>
        <w:t xml:space="preserve"> </w:t>
      </w:r>
      <w:r w:rsidRPr="00AA5065">
        <w:rPr>
          <w:rFonts w:ascii="David" w:eastAsia="Calibri" w:hAnsi="David" w:hint="eastAsia"/>
          <w:b/>
          <w:bCs/>
          <w:sz w:val="24"/>
          <w:rtl/>
        </w:rPr>
        <w:t>אכיפה</w:t>
      </w:r>
      <w:r w:rsidRPr="00AA5065">
        <w:rPr>
          <w:rFonts w:ascii="David" w:eastAsia="Calibri" w:hAnsi="David"/>
          <w:b/>
          <w:bCs/>
          <w:sz w:val="24"/>
          <w:rtl/>
        </w:rPr>
        <w:t xml:space="preserve"> אף אם הנישואין הנוספים נערכו זמן רב בטרם הדבר </w:t>
      </w:r>
      <w:r w:rsidRPr="00AA5065">
        <w:rPr>
          <w:rFonts w:ascii="David" w:eastAsia="Calibri" w:hAnsi="David" w:hint="cs"/>
          <w:b/>
          <w:bCs/>
          <w:sz w:val="24"/>
          <w:rtl/>
        </w:rPr>
        <w:t xml:space="preserve">נודע </w:t>
      </w:r>
      <w:r w:rsidRPr="00AA5065">
        <w:rPr>
          <w:rFonts w:ascii="David" w:eastAsia="Calibri" w:hAnsi="David"/>
          <w:b/>
          <w:bCs/>
          <w:sz w:val="24"/>
          <w:rtl/>
        </w:rPr>
        <w:t xml:space="preserve">לרשויות. </w:t>
      </w:r>
      <w:r w:rsidRPr="00AA5065">
        <w:rPr>
          <w:rFonts w:ascii="David" w:eastAsia="Calibri" w:hAnsi="David" w:hint="cs"/>
          <w:b/>
          <w:bCs/>
          <w:sz w:val="24"/>
          <w:rtl/>
        </w:rPr>
        <w:t xml:space="preserve">בביקורת המעקב נמצא כי </w:t>
      </w:r>
      <w:r w:rsidRPr="00AA5065">
        <w:rPr>
          <w:rFonts w:ascii="David" w:eastAsia="Calibri" w:hAnsi="David"/>
          <w:b/>
          <w:bCs/>
          <w:sz w:val="24"/>
          <w:rtl/>
        </w:rPr>
        <w:t xml:space="preserve">הליקוי </w:t>
      </w:r>
      <w:r w:rsidRPr="00AA5065">
        <w:rPr>
          <w:rFonts w:ascii="David" w:eastAsia="Calibri" w:hAnsi="David" w:hint="cs"/>
          <w:b/>
          <w:bCs/>
          <w:sz w:val="24"/>
          <w:rtl/>
        </w:rPr>
        <w:t>תוקן באופן מלא</w:t>
      </w:r>
      <w:r w:rsidRPr="00AA5065">
        <w:rPr>
          <w:rFonts w:ascii="David" w:eastAsia="Calibri" w:hAnsi="David"/>
          <w:b/>
          <w:bCs/>
          <w:sz w:val="24"/>
          <w:rtl/>
        </w:rPr>
        <w:t>, אך עם זאת האכיפה לא הוחלה למפרע</w:t>
      </w:r>
      <w:r w:rsidRPr="00AA5065">
        <w:rPr>
          <w:rFonts w:ascii="David" w:eastAsia="Calibri" w:hAnsi="David" w:hint="cs"/>
          <w:b/>
          <w:bCs/>
          <w:sz w:val="24"/>
          <w:rtl/>
        </w:rPr>
        <w:t>.</w:t>
      </w:r>
    </w:p>
    <w:bookmarkEnd w:id="13"/>
    <w:p w:rsidR="00AA5065" w:rsidRPr="00AA5065" w:rsidP="00860D89">
      <w:pPr>
        <w:spacing w:line="269" w:lineRule="auto"/>
        <w:ind w:left="-567"/>
        <w:rPr>
          <w:rFonts w:eastAsia="Calibri"/>
          <w:szCs w:val="20"/>
          <w:rtl/>
        </w:rPr>
      </w:pPr>
    </w:p>
    <w:p w:rsidR="00AA5065" w:rsidRPr="00AA5065" w:rsidP="007A1406">
      <w:pPr>
        <w:keepNext/>
        <w:keepLines/>
        <w:spacing w:before="240" w:line="269" w:lineRule="auto"/>
        <w:ind w:left="397"/>
        <w:jc w:val="center"/>
        <w:rPr>
          <w:rFonts w:ascii="David" w:eastAsia="Calibri" w:hAnsi="David"/>
          <w:b/>
          <w:bCs/>
          <w:sz w:val="24"/>
          <w:rtl/>
        </w:rPr>
      </w:pPr>
      <w:bookmarkStart w:id="15" w:name="_Hlk197612251"/>
      <w:r w:rsidRPr="00AA5065">
        <w:rPr>
          <w:rFonts w:ascii="David" w:eastAsia="Calibri" w:hAnsi="David"/>
          <w:b/>
          <w:bCs/>
          <w:sz w:val="24"/>
          <w:rtl/>
        </w:rPr>
        <w:t>מידת תיקון הליקוי</w:t>
      </w:r>
    </w:p>
    <w:p w:rsidR="00AA5065" w:rsidRPr="00AA5065" w:rsidP="00860D89">
      <w:pPr>
        <w:keepNext/>
        <w:keepLines/>
        <w:spacing w:line="269" w:lineRule="auto"/>
        <w:ind w:left="-1"/>
        <w:jc w:val="center"/>
        <w:rPr>
          <w:rFonts w:ascii="David" w:eastAsia="Calibri" w:hAnsi="David"/>
          <w:b/>
          <w:bCs/>
          <w:sz w:val="24"/>
          <w:rtl/>
        </w:rPr>
      </w:pPr>
      <w:r w:rsidRPr="00AA5065">
        <w:rPr>
          <w:rFonts w:ascii="David" w:eastAsia="Calibri" w:hAnsi="David"/>
          <w:noProof/>
        </w:rPr>
        <w:drawing>
          <wp:inline distT="0" distB="0" distL="0" distR="0">
            <wp:extent cx="3960000" cy="783414"/>
            <wp:effectExtent l="0" t="0" r="0" b="0"/>
            <wp:docPr id="344773184" name="תמונה 34477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73184" name="תמונה 101"/>
                    <pic:cNvPicPr>
                      <a:picLocks noChangeAspect="1" noChangeArrowheads="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0000" cy="783414"/>
                    </a:xfrm>
                    <a:prstGeom prst="rect">
                      <a:avLst/>
                    </a:prstGeom>
                    <a:noFill/>
                    <a:ln>
                      <a:noFill/>
                    </a:ln>
                  </pic:spPr>
                </pic:pic>
              </a:graphicData>
            </a:graphic>
          </wp:inline>
        </w:drawing>
      </w:r>
      <w:bookmarkEnd w:id="14"/>
      <w:bookmarkEnd w:id="15"/>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Pr>
      </w:pPr>
      <w:r w:rsidRPr="00AA5065">
        <w:rPr>
          <w:rFonts w:eastAsia="Calibri" w:hint="cs"/>
          <w:rtl/>
        </w:rPr>
        <w:t>משטרת ישראל מסרה בתשובתה מיום 20.10.25 (להלן - תשובת משטרת ישראל) כי "</w:t>
      </w:r>
      <w:r w:rsidRPr="00AA5065">
        <w:rPr>
          <w:rFonts w:eastAsia="Calibri"/>
          <w:rtl/>
        </w:rPr>
        <w:t>לאחרונה הוגש כתב אישום ראשון ובו עבירה העוסקת בנושא הקצבאות (הצהרה כוזבת בקשר לדמי ביטוח).</w:t>
      </w:r>
      <w:r w:rsidRPr="00AA5065">
        <w:rPr>
          <w:rFonts w:eastAsia="Calibri" w:hint="cs"/>
          <w:rtl/>
        </w:rPr>
        <w:t xml:space="preserve"> </w:t>
      </w:r>
      <w:r w:rsidRPr="00AA5065">
        <w:rPr>
          <w:rFonts w:eastAsia="Calibri"/>
          <w:rtl/>
        </w:rPr>
        <w:t xml:space="preserve">נוסף על כך, מחלק הפוליגמיה נמצא בקשר רציף הכולל קבלת מידע וחומרים מחקירות </w:t>
      </w:r>
      <w:r w:rsidRPr="00AA5065">
        <w:rPr>
          <w:rFonts w:eastAsia="Calibri" w:hint="cs"/>
          <w:rtl/>
        </w:rPr>
        <w:t>בט"ל</w:t>
      </w:r>
      <w:r w:rsidRPr="00AA5065">
        <w:rPr>
          <w:rFonts w:eastAsia="Calibri"/>
          <w:rtl/>
        </w:rPr>
        <w:t xml:space="preserve"> לצורך איתור הפוטנציאלים</w:t>
      </w:r>
      <w:r w:rsidRPr="00AA5065">
        <w:rPr>
          <w:rFonts w:eastAsia="Calibri" w:hint="cs"/>
          <w:rtl/>
        </w:rPr>
        <w:t>"</w:t>
      </w:r>
      <w:r w:rsidRPr="00AA5065">
        <w:rPr>
          <w:rFonts w:eastAsia="Calibri"/>
          <w:rtl/>
        </w:rPr>
        <w:t>.</w:t>
      </w:r>
    </w:p>
    <w:p w:rsidR="00AA5065" w:rsidRPr="00AA5065" w:rsidP="00860D89">
      <w:pPr>
        <w:spacing w:line="269" w:lineRule="auto"/>
        <w:rPr>
          <w:rFonts w:eastAsia="Calibri"/>
          <w:rtl/>
        </w:rPr>
      </w:pPr>
    </w:p>
    <w:p w:rsidR="00771786">
      <w:pPr>
        <w:bidi w:val="0"/>
        <w:spacing w:after="200" w:line="276" w:lineRule="auto"/>
        <w:rPr>
          <w:rFonts w:eastAsia="Times New Roman"/>
          <w:bCs/>
          <w:szCs w:val="26"/>
          <w:rtl/>
        </w:rPr>
      </w:pPr>
      <w:r>
        <w:rPr>
          <w:rFonts w:eastAsia="Times New Roman"/>
          <w:bCs/>
          <w:szCs w:val="26"/>
          <w:rtl/>
        </w:rPr>
        <w:br w:type="page"/>
      </w:r>
    </w:p>
    <w:p w:rsidR="00AA5065" w:rsidRPr="00AA5065" w:rsidP="00860D89">
      <w:pPr>
        <w:keepNext/>
        <w:keepLines/>
        <w:spacing w:line="269" w:lineRule="auto"/>
        <w:outlineLvl w:val="3"/>
        <w:rPr>
          <w:rFonts w:eastAsia="Times New Roman"/>
          <w:bCs/>
          <w:szCs w:val="26"/>
          <w:rtl/>
        </w:rPr>
      </w:pPr>
      <w:r w:rsidRPr="00AA5065">
        <w:rPr>
          <w:rFonts w:eastAsia="Times New Roman" w:hint="cs"/>
          <w:bCs/>
          <w:szCs w:val="26"/>
          <w:rtl/>
        </w:rPr>
        <w:t>סגירת תיקי פוליגמיה</w:t>
      </w:r>
      <w:r w:rsidRPr="00AA5065">
        <w:rPr>
          <w:rFonts w:eastAsia="Times New Roman"/>
          <w:bCs/>
          <w:szCs w:val="26"/>
          <w:rtl/>
        </w:rPr>
        <w:t xml:space="preserve"> </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cs"/>
          <w:rtl/>
        </w:rPr>
        <w:t xml:space="preserve">בביקורת הקודמת </w:t>
      </w:r>
      <w:r w:rsidRPr="00AA5065">
        <w:rPr>
          <w:rFonts w:ascii="David" w:eastAsia="Calibri" w:hAnsi="David"/>
          <w:rtl/>
        </w:rPr>
        <w:t xml:space="preserve">נמצא כי ב-293 מתוך 323 תיקי הפוליגמיה (91%) שנוהלו בפרקליטות מחוז דרום בשנים 2017 </w:t>
      </w:r>
      <w:r w:rsidRPr="00AA5065">
        <w:rPr>
          <w:rFonts w:ascii="David" w:eastAsia="Calibri" w:hAnsi="David" w:hint="cs"/>
          <w:rtl/>
        </w:rPr>
        <w:t>עד</w:t>
      </w:r>
      <w:r w:rsidRPr="00AA5065">
        <w:rPr>
          <w:rFonts w:ascii="David" w:eastAsia="Calibri" w:hAnsi="David"/>
          <w:rtl/>
        </w:rPr>
        <w:t xml:space="preserve"> 2018 עילת הסגירה הייתה "נסיבות העניין אינן מתאימות להעמדה לדין" או "אינן מצדיקות המשך חקירה פלילית". רק 30 תיקים נסגרו באחת העילות האלה: "חוסר אשמה", "חוסר ראיות", "התיישנות", "אין עבירה פלילית".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Pr>
      </w:pPr>
      <w:r w:rsidRPr="00AA5065">
        <w:rPr>
          <w:rFonts w:ascii="David" w:eastAsia="Calibri" w:hAnsi="David" w:hint="cs"/>
          <w:sz w:val="24"/>
          <w:rtl/>
        </w:rPr>
        <w:t xml:space="preserve">המשרד לביטחון הפנים ציין בתשובתו </w:t>
      </w:r>
      <w:r w:rsidRPr="00AA5065">
        <w:rPr>
          <w:rFonts w:ascii="David" w:eastAsia="Calibri" w:hAnsi="David"/>
          <w:sz w:val="24"/>
          <w:rtl/>
        </w:rPr>
        <w:t>מפברואר 2021 ‏</w:t>
      </w:r>
      <w:r w:rsidRPr="00AA5065">
        <w:rPr>
          <w:rFonts w:ascii="David" w:eastAsia="Calibri" w:hAnsi="David" w:hint="cs"/>
          <w:sz w:val="24"/>
          <w:rtl/>
        </w:rPr>
        <w:t xml:space="preserve"> לדוח הקודם כי "[צוות בין-משרדי בראשות המשנה למנכ"ל המשרד לביטחון הפנים גיבש] </w:t>
      </w:r>
      <w:r w:rsidRPr="00AA5065">
        <w:rPr>
          <w:rFonts w:ascii="David" w:eastAsia="Calibri" w:hAnsi="David"/>
          <w:sz w:val="24"/>
          <w:rtl/>
        </w:rPr>
        <w:t>המלצות לעניין הגברת האכיפה כנגד תופעת הפוליגמיה,</w:t>
      </w:r>
      <w:r w:rsidRPr="00AA5065">
        <w:rPr>
          <w:rFonts w:ascii="David" w:eastAsia="Calibri" w:hAnsi="David" w:hint="cs"/>
          <w:sz w:val="24"/>
          <w:rtl/>
        </w:rPr>
        <w:t xml:space="preserve"> </w:t>
      </w:r>
      <w:r w:rsidRPr="00AA5065">
        <w:rPr>
          <w:rFonts w:ascii="David" w:eastAsia="Calibri" w:hAnsi="David"/>
          <w:sz w:val="24"/>
          <w:rtl/>
        </w:rPr>
        <w:t>כדוגמת הגברת האכיפה הפרואקטיבית של המשטרה כנגד השב"חים</w:t>
      </w:r>
      <w:r w:rsidRPr="00AA5065">
        <w:rPr>
          <w:rFonts w:ascii="David" w:eastAsia="Calibri" w:hAnsi="David" w:hint="cs"/>
          <w:sz w:val="24"/>
          <w:rtl/>
        </w:rPr>
        <w:t xml:space="preserve"> </w:t>
      </w:r>
      <w:r w:rsidRPr="00AA5065">
        <w:rPr>
          <w:rFonts w:ascii="David" w:eastAsia="Calibri" w:hAnsi="David"/>
          <w:sz w:val="24"/>
          <w:rtl/>
        </w:rPr>
        <w:t>ועבירת הפוליגמיה, הגברת החקירות בגין עבירות כלכליות נלוות</w:t>
      </w:r>
      <w:r w:rsidRPr="00AA5065">
        <w:rPr>
          <w:rFonts w:ascii="David" w:eastAsia="Calibri" w:hAnsi="David" w:hint="cs"/>
          <w:sz w:val="24"/>
          <w:rtl/>
        </w:rPr>
        <w:t xml:space="preserve"> </w:t>
      </w:r>
      <w:r w:rsidRPr="00AA5065">
        <w:rPr>
          <w:rFonts w:ascii="David" w:eastAsia="Calibri" w:hAnsi="David"/>
          <w:sz w:val="24"/>
          <w:rtl/>
        </w:rPr>
        <w:t>לתופעת הפוליגמיה ובחינת אפשרות לביצוע אכיפה משולבת, הכנסת</w:t>
      </w:r>
      <w:r w:rsidRPr="00AA5065">
        <w:rPr>
          <w:rFonts w:ascii="David" w:eastAsia="Calibri" w:hAnsi="David" w:hint="cs"/>
          <w:sz w:val="24"/>
          <w:rtl/>
        </w:rPr>
        <w:t xml:space="preserve"> </w:t>
      </w:r>
      <w:r w:rsidRPr="00AA5065">
        <w:rPr>
          <w:rFonts w:ascii="David" w:eastAsia="Calibri" w:hAnsi="David"/>
          <w:sz w:val="24"/>
          <w:rtl/>
        </w:rPr>
        <w:t>המאבק בתופעת הפוליגמיה לצי"ח</w:t>
      </w:r>
      <w:r w:rsidRPr="00AA5065">
        <w:rPr>
          <w:rFonts w:ascii="David" w:eastAsia="Calibri" w:hAnsi="David" w:hint="cs"/>
          <w:sz w:val="24"/>
          <w:rtl/>
        </w:rPr>
        <w:t xml:space="preserve"> [ציון ידיעות חיוניות] </w:t>
      </w:r>
      <w:r w:rsidRPr="00AA5065">
        <w:rPr>
          <w:rFonts w:ascii="David" w:eastAsia="Calibri" w:hAnsi="David"/>
          <w:sz w:val="24"/>
          <w:rtl/>
        </w:rPr>
        <w:t>המודיעיני והמחקרי של המשטרה</w:t>
      </w:r>
      <w:r w:rsidRPr="00AA5065">
        <w:rPr>
          <w:rFonts w:ascii="David" w:eastAsia="Calibri" w:hAnsi="David" w:hint="cs"/>
          <w:sz w:val="24"/>
          <w:rtl/>
        </w:rPr>
        <w:t xml:space="preserve"> </w:t>
      </w:r>
      <w:r w:rsidRPr="00AA5065">
        <w:rPr>
          <w:rFonts w:ascii="David" w:eastAsia="Calibri" w:hAnsi="David"/>
          <w:sz w:val="24"/>
          <w:rtl/>
        </w:rPr>
        <w:t>ועוד</w:t>
      </w:r>
      <w:r w:rsidRPr="00AA5065">
        <w:rPr>
          <w:rFonts w:ascii="David" w:eastAsia="Calibri" w:hAnsi="David" w:hint="cs"/>
          <w:sz w:val="24"/>
          <w:rtl/>
        </w:rPr>
        <w:t xml:space="preserve">... </w:t>
      </w:r>
      <w:r w:rsidRPr="00AA5065">
        <w:rPr>
          <w:rFonts w:ascii="David" w:eastAsia="Calibri" w:hAnsi="David"/>
          <w:sz w:val="24"/>
          <w:rtl/>
        </w:rPr>
        <w:t>בעקבות היעדר ממשלה לתקופה ממושכת, ועדת השרים טרם התכנסה</w:t>
      </w:r>
      <w:r w:rsidRPr="00AA5065">
        <w:rPr>
          <w:rFonts w:ascii="David" w:eastAsia="Calibri" w:hAnsi="David" w:hint="cs"/>
          <w:sz w:val="24"/>
          <w:rtl/>
        </w:rPr>
        <w:t xml:space="preserve"> </w:t>
      </w:r>
      <w:r w:rsidRPr="00AA5065">
        <w:rPr>
          <w:rFonts w:ascii="David" w:eastAsia="Calibri" w:hAnsi="David"/>
          <w:sz w:val="24"/>
          <w:rtl/>
        </w:rPr>
        <w:t>והמלצות הצוות הבין משרדי טרם אושרו</w:t>
      </w:r>
      <w:r w:rsidRPr="00AA5065">
        <w:rPr>
          <w:rFonts w:ascii="David" w:eastAsia="Calibri" w:hAnsi="David" w:hint="cs"/>
          <w:sz w:val="24"/>
          <w:rtl/>
        </w:rPr>
        <w:t xml:space="preserve">". </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cs"/>
          <w:rtl/>
        </w:rPr>
        <w:t>ב</w:t>
      </w:r>
      <w:r w:rsidRPr="00AA5065">
        <w:rPr>
          <w:rFonts w:ascii="David" w:eastAsia="Calibri" w:hAnsi="David"/>
          <w:rtl/>
        </w:rPr>
        <w:t xml:space="preserve">ביקורת המעקב </w:t>
      </w:r>
      <w:r w:rsidRPr="00AA5065">
        <w:rPr>
          <w:rFonts w:ascii="David" w:eastAsia="Calibri" w:hAnsi="David"/>
          <w:sz w:val="24"/>
          <w:rtl/>
        </w:rPr>
        <w:t>נמצא כי ב</w:t>
      </w:r>
      <w:r w:rsidRPr="00AA5065">
        <w:rPr>
          <w:rFonts w:ascii="David" w:eastAsia="Calibri" w:hAnsi="David" w:hint="cs"/>
          <w:sz w:val="24"/>
          <w:rtl/>
        </w:rPr>
        <w:t>-</w:t>
      </w:r>
      <w:r w:rsidRPr="00AA5065">
        <w:rPr>
          <w:rFonts w:ascii="David" w:eastAsia="Calibri" w:hAnsi="David"/>
          <w:sz w:val="24"/>
        </w:rPr>
        <w:t>69</w:t>
      </w:r>
      <w:r w:rsidRPr="00AA5065">
        <w:rPr>
          <w:rFonts w:ascii="David" w:eastAsia="Calibri" w:hAnsi="David"/>
          <w:sz w:val="24"/>
          <w:rtl/>
        </w:rPr>
        <w:t xml:space="preserve"> מתוך </w:t>
      </w:r>
      <w:r w:rsidRPr="00AA5065">
        <w:rPr>
          <w:rFonts w:ascii="David" w:eastAsia="Calibri" w:hAnsi="David" w:hint="cs"/>
          <w:sz w:val="24"/>
          <w:rtl/>
        </w:rPr>
        <w:t>130</w:t>
      </w:r>
      <w:r w:rsidRPr="00AA5065">
        <w:rPr>
          <w:rFonts w:ascii="David" w:eastAsia="Calibri" w:hAnsi="David"/>
          <w:sz w:val="24"/>
          <w:rtl/>
        </w:rPr>
        <w:t xml:space="preserve"> </w:t>
      </w:r>
      <w:r w:rsidRPr="00AA5065">
        <w:rPr>
          <w:rFonts w:ascii="David" w:eastAsia="Calibri" w:hAnsi="David" w:hint="cs"/>
          <w:sz w:val="24"/>
          <w:rtl/>
        </w:rPr>
        <w:t xml:space="preserve">חשודים אשר להם נפתחו </w:t>
      </w:r>
      <w:r w:rsidRPr="00AA5065">
        <w:rPr>
          <w:rFonts w:ascii="David" w:eastAsia="Calibri" w:hAnsi="David"/>
          <w:sz w:val="24"/>
          <w:rtl/>
        </w:rPr>
        <w:t>תיקי פוליגמיה (</w:t>
      </w:r>
      <w:r w:rsidRPr="00AA5065">
        <w:rPr>
          <w:rFonts w:ascii="David" w:eastAsia="Calibri" w:hAnsi="David" w:hint="cs"/>
          <w:sz w:val="24"/>
          <w:rtl/>
        </w:rPr>
        <w:t>53</w:t>
      </w:r>
      <w:r w:rsidRPr="00AA5065">
        <w:rPr>
          <w:rFonts w:ascii="David" w:eastAsia="Calibri" w:hAnsi="David"/>
          <w:sz w:val="24"/>
          <w:rtl/>
        </w:rPr>
        <w:t xml:space="preserve">%) </w:t>
      </w:r>
      <w:r w:rsidRPr="00AA5065">
        <w:rPr>
          <w:rFonts w:ascii="David" w:eastAsia="Calibri" w:hAnsi="David"/>
          <w:rtl/>
        </w:rPr>
        <w:t xml:space="preserve">בפרקליטות מחוז דרום </w:t>
      </w:r>
      <w:r w:rsidRPr="00AA5065">
        <w:rPr>
          <w:rFonts w:ascii="David" w:eastAsia="Calibri" w:hAnsi="David" w:hint="cs"/>
          <w:sz w:val="24"/>
          <w:rtl/>
        </w:rPr>
        <w:t>מ-1.1.19</w:t>
      </w:r>
      <w:r w:rsidRPr="00AA5065">
        <w:rPr>
          <w:rFonts w:ascii="David" w:eastAsia="Calibri" w:hAnsi="David"/>
          <w:sz w:val="24"/>
          <w:rtl/>
        </w:rPr>
        <w:t xml:space="preserve"> ועד 13</w:t>
      </w:r>
      <w:r w:rsidRPr="00AA5065">
        <w:rPr>
          <w:rFonts w:ascii="David" w:eastAsia="Calibri" w:hAnsi="David" w:hint="cs"/>
          <w:sz w:val="24"/>
          <w:rtl/>
        </w:rPr>
        <w:t>.</w:t>
      </w:r>
      <w:r w:rsidRPr="00AA5065">
        <w:rPr>
          <w:rFonts w:ascii="David" w:eastAsia="Calibri" w:hAnsi="David"/>
          <w:sz w:val="24"/>
          <w:rtl/>
        </w:rPr>
        <w:t>10</w:t>
      </w:r>
      <w:r w:rsidRPr="00AA5065">
        <w:rPr>
          <w:rFonts w:ascii="David" w:eastAsia="Calibri" w:hAnsi="David" w:hint="cs"/>
          <w:sz w:val="24"/>
          <w:rtl/>
        </w:rPr>
        <w:t>.</w:t>
      </w:r>
      <w:r w:rsidRPr="00AA5065">
        <w:rPr>
          <w:rFonts w:ascii="David" w:eastAsia="Calibri" w:hAnsi="David"/>
          <w:sz w:val="24"/>
          <w:rtl/>
        </w:rPr>
        <w:t xml:space="preserve">24 </w:t>
      </w:r>
      <w:r w:rsidRPr="00AA5065">
        <w:rPr>
          <w:rFonts w:ascii="David" w:eastAsia="Calibri" w:hAnsi="David"/>
          <w:rtl/>
        </w:rPr>
        <w:t xml:space="preserve">עילת הסגירה הייתה "נסיבות העניין אינן מתאימות להעמדה לדין" או "אינן מצדיקות המשך חקירה פלילית". </w:t>
      </w:r>
      <w:r w:rsidRPr="00AA5065">
        <w:rPr>
          <w:rFonts w:ascii="David" w:eastAsia="Calibri" w:hAnsi="David" w:hint="cs"/>
          <w:rtl/>
        </w:rPr>
        <w:t>71</w:t>
      </w:r>
      <w:r w:rsidRPr="00AA5065">
        <w:rPr>
          <w:rFonts w:ascii="David" w:eastAsia="Calibri" w:hAnsi="David"/>
          <w:rtl/>
        </w:rPr>
        <w:t xml:space="preserve"> תיקים נסגרו באחת העילות האלה: "חוסר אשמה", "חוסר ראיות" </w:t>
      </w:r>
      <w:r w:rsidRPr="00AA5065">
        <w:rPr>
          <w:rFonts w:ascii="David" w:eastAsia="Calibri" w:hAnsi="David" w:hint="cs"/>
          <w:rtl/>
        </w:rPr>
        <w:t>ו</w:t>
      </w:r>
      <w:r w:rsidRPr="00AA5065">
        <w:rPr>
          <w:rFonts w:ascii="David" w:eastAsia="Calibri" w:hAnsi="David"/>
          <w:rtl/>
        </w:rPr>
        <w:t>"התיישנות".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sz w:val="24"/>
          <w:rtl/>
        </w:rPr>
      </w:pPr>
      <w:bookmarkStart w:id="16" w:name="_Hlk204849414"/>
      <w:r w:rsidRPr="00AA5065">
        <w:rPr>
          <w:rFonts w:ascii="David" w:eastAsia="Calibri" w:hAnsi="David" w:hint="cs"/>
          <w:b/>
          <w:bCs/>
          <w:sz w:val="24"/>
          <w:rtl/>
        </w:rPr>
        <w:t xml:space="preserve">בביקורת הקודמת הועלה כי 91% מהתיקים העוסקים בפוליגמיה נסגרו בגין העילות </w:t>
      </w:r>
      <w:r w:rsidRPr="00AA5065">
        <w:rPr>
          <w:rFonts w:ascii="David" w:eastAsia="Calibri" w:hAnsi="David"/>
          <w:b/>
          <w:bCs/>
          <w:sz w:val="24"/>
          <w:rtl/>
        </w:rPr>
        <w:t>"נסיבות העניין אינן מתאימות להעמדה לדין" או "אינן מצדיקות המשך חקירה פלילית".</w:t>
      </w:r>
      <w:r w:rsidRPr="00AA5065">
        <w:rPr>
          <w:rFonts w:ascii="David" w:eastAsia="Calibri" w:hAnsi="David" w:hint="cs"/>
          <w:b/>
          <w:bCs/>
          <w:sz w:val="24"/>
          <w:rtl/>
        </w:rPr>
        <w:t xml:space="preserve"> בביקורת המעקב נמצא כי </w:t>
      </w:r>
      <w:r w:rsidRPr="00AA5065">
        <w:rPr>
          <w:rFonts w:ascii="David" w:eastAsia="Calibri" w:hAnsi="David"/>
          <w:b/>
          <w:bCs/>
          <w:sz w:val="24"/>
          <w:rtl/>
        </w:rPr>
        <w:t xml:space="preserve">הליקוי </w:t>
      </w:r>
      <w:r w:rsidRPr="00AA5065">
        <w:rPr>
          <w:rFonts w:ascii="David" w:eastAsia="Calibri" w:hAnsi="David" w:hint="cs"/>
          <w:b/>
          <w:bCs/>
          <w:sz w:val="24"/>
          <w:rtl/>
        </w:rPr>
        <w:t>תוקן במידה רבה; שיעור זה ירד ב-38% והוא 53%.</w:t>
      </w:r>
    </w:p>
    <w:bookmarkEnd w:id="16"/>
    <w:p w:rsidR="00AA5065" w:rsidRPr="00AA5065" w:rsidP="00860D89">
      <w:pPr>
        <w:spacing w:line="269" w:lineRule="auto"/>
        <w:rPr>
          <w:rFonts w:eastAsia="Calibri"/>
          <w:rtl/>
        </w:rPr>
      </w:pPr>
    </w:p>
    <w:p w:rsidR="00AA5065" w:rsidRPr="00AA5065" w:rsidP="00860D89">
      <w:pPr>
        <w:keepNext/>
        <w:keepLines/>
        <w:spacing w:line="269" w:lineRule="auto"/>
        <w:ind w:left="-1"/>
        <w:jc w:val="center"/>
        <w:rPr>
          <w:rFonts w:ascii="David" w:eastAsia="Calibri" w:hAnsi="David"/>
          <w:sz w:val="24"/>
          <w:rtl/>
        </w:rPr>
      </w:pPr>
      <w:r w:rsidRPr="00AA5065">
        <w:rPr>
          <w:rFonts w:ascii="David" w:eastAsia="Calibri" w:hAnsi="David"/>
          <w:b/>
          <w:bCs/>
          <w:sz w:val="24"/>
          <w:rtl/>
        </w:rPr>
        <w:t>מידת תיקון הליקוי</w:t>
      </w:r>
    </w:p>
    <w:p w:rsidR="00AA5065" w:rsidRPr="00AA5065" w:rsidP="00860D89">
      <w:pPr>
        <w:spacing w:line="269" w:lineRule="auto"/>
        <w:jc w:val="center"/>
        <w:rPr>
          <w:rFonts w:ascii="David" w:eastAsia="Calibri" w:hAnsi="David"/>
          <w:sz w:val="24"/>
          <w:rtl/>
        </w:rPr>
      </w:pPr>
      <w:r w:rsidRPr="00AA5065">
        <w:rPr>
          <w:rFonts w:eastAsia="Calibri"/>
          <w:noProof/>
        </w:rPr>
        <w:drawing>
          <wp:anchor distT="0" distB="0" distL="114300" distR="114300" simplePos="0" relativeHeight="251664384" behindDoc="1" locked="0" layoutInCell="1" allowOverlap="1">
            <wp:simplePos x="0" y="0"/>
            <wp:positionH relativeFrom="margin">
              <wp:align>center</wp:align>
            </wp:positionH>
            <wp:positionV relativeFrom="paragraph">
              <wp:posOffset>2844</wp:posOffset>
            </wp:positionV>
            <wp:extent cx="3422650" cy="933450"/>
            <wp:effectExtent l="0" t="0" r="6350" b="0"/>
            <wp:wrapNone/>
            <wp:docPr id="344773187" name="תמונה 34477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73187" name="Picture 11"/>
                    <pic:cNvPicPr>
                      <a:picLocks noChangeAspect="1" noChangeArrowheads="1"/>
                    </pic:cNvPicPr>
                  </pic:nvPicPr>
                  <pic:blipFill>
                    <a:blip xmlns:r="http://schemas.openxmlformats.org/officeDocument/2006/relationships" r:embed="rId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265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065" w:rsidRPr="00AA5065" w:rsidP="00860D89">
      <w:pPr>
        <w:spacing w:line="269" w:lineRule="auto"/>
        <w:rPr>
          <w:rFonts w:eastAsia="Calibri"/>
          <w:rtl/>
        </w:rPr>
      </w:pPr>
    </w:p>
    <w:p w:rsidR="00AA5065" w:rsidRPr="00AA5065" w:rsidP="00860D89">
      <w:pPr>
        <w:spacing w:line="269" w:lineRule="auto"/>
        <w:rPr>
          <w:rFonts w:ascii="David" w:eastAsia="Calibri" w:hAnsi="David"/>
          <w:sz w:val="24"/>
          <w:rtl/>
        </w:rPr>
      </w:pPr>
    </w:p>
    <w:p w:rsidR="00AA5065" w:rsidRPr="00AA5065" w:rsidP="00860D89">
      <w:pPr>
        <w:spacing w:line="269" w:lineRule="auto"/>
        <w:rPr>
          <w:rFonts w:ascii="David" w:eastAsia="Calibri" w:hAnsi="David"/>
          <w:sz w:val="24"/>
          <w:rtl/>
        </w:rPr>
      </w:pPr>
    </w:p>
    <w:p w:rsidR="00AA5065" w:rsidRPr="00AA5065" w:rsidP="00860D89">
      <w:pPr>
        <w:spacing w:line="269" w:lineRule="auto"/>
        <w:rPr>
          <w:rFonts w:ascii="David" w:eastAsia="Calibri" w:hAnsi="David"/>
          <w:sz w:val="24"/>
          <w:rtl/>
        </w:rPr>
      </w:pPr>
    </w:p>
    <w:p w:rsidR="00AA5065" w:rsidRPr="00AA5065" w:rsidP="00860D89">
      <w:pPr>
        <w:spacing w:line="269" w:lineRule="auto"/>
        <w:rPr>
          <w:rFonts w:ascii="David" w:eastAsia="Calibri" w:hAnsi="David"/>
          <w:sz w:val="24"/>
          <w:rtl/>
        </w:rPr>
      </w:pPr>
    </w:p>
    <w:p w:rsidR="00AA5065" w:rsidRPr="00AA5065" w:rsidP="00860D89">
      <w:pPr>
        <w:spacing w:line="269" w:lineRule="auto"/>
        <w:rPr>
          <w:rFonts w:ascii="David" w:eastAsia="Calibri" w:hAnsi="David"/>
          <w:sz w:val="24"/>
          <w:rtl/>
        </w:rPr>
      </w:pPr>
      <w:r w:rsidRPr="00AA5065">
        <w:rPr>
          <w:rFonts w:ascii="David" w:eastAsia="Calibri" w:hAnsi="David" w:hint="eastAsia"/>
          <w:sz w:val="24"/>
          <w:rtl/>
        </w:rPr>
        <w:t>משרד</w:t>
      </w:r>
      <w:r w:rsidRPr="00AA5065">
        <w:rPr>
          <w:rFonts w:ascii="David" w:eastAsia="Calibri" w:hAnsi="David"/>
          <w:sz w:val="24"/>
          <w:rtl/>
        </w:rPr>
        <w:t xml:space="preserve"> </w:t>
      </w:r>
      <w:r w:rsidRPr="00AA5065">
        <w:rPr>
          <w:rFonts w:ascii="David" w:eastAsia="Calibri" w:hAnsi="David" w:hint="eastAsia"/>
          <w:sz w:val="24"/>
          <w:rtl/>
        </w:rPr>
        <w:t>המשפטים</w:t>
      </w:r>
      <w:r w:rsidRPr="00AA5065">
        <w:rPr>
          <w:rFonts w:ascii="David" w:eastAsia="Calibri" w:hAnsi="David"/>
          <w:sz w:val="24"/>
          <w:rtl/>
        </w:rPr>
        <w:t xml:space="preserve"> </w:t>
      </w:r>
      <w:r w:rsidRPr="00AA5065">
        <w:rPr>
          <w:rFonts w:ascii="David" w:eastAsia="Calibri" w:hAnsi="David" w:hint="eastAsia"/>
          <w:sz w:val="24"/>
          <w:rtl/>
        </w:rPr>
        <w:t>מסר</w:t>
      </w:r>
      <w:r w:rsidRPr="00AA5065">
        <w:rPr>
          <w:rFonts w:ascii="David" w:eastAsia="Calibri" w:hAnsi="David"/>
          <w:sz w:val="24"/>
          <w:rtl/>
        </w:rPr>
        <w:t xml:space="preserve"> </w:t>
      </w:r>
      <w:r w:rsidRPr="00AA5065">
        <w:rPr>
          <w:rFonts w:ascii="David" w:eastAsia="Calibri" w:hAnsi="David" w:hint="eastAsia"/>
          <w:sz w:val="24"/>
          <w:rtl/>
        </w:rPr>
        <w:t>בתשובתו</w:t>
      </w:r>
      <w:r w:rsidRPr="00AA5065">
        <w:rPr>
          <w:rFonts w:ascii="David" w:eastAsia="Calibri" w:hAnsi="David"/>
          <w:sz w:val="24"/>
          <w:rtl/>
        </w:rPr>
        <w:t xml:space="preserve"> כי‏</w:t>
      </w:r>
      <w:r w:rsidRPr="00AA5065">
        <w:rPr>
          <w:rFonts w:eastAsia="Calibri"/>
          <w:rtl/>
        </w:rPr>
        <w:t xml:space="preserve"> </w:t>
      </w:r>
      <w:r w:rsidRPr="00AA5065">
        <w:rPr>
          <w:rFonts w:ascii="David" w:eastAsia="Calibri" w:hAnsi="David"/>
          <w:sz w:val="24"/>
          <w:rtl/>
        </w:rPr>
        <w:t>"יש הבדל משמעותי בין העילה של נסיבות העניין אינן מצדיקות המשך חקירה, שהשימוש בה נעשה כאשר החקירה מגיעה ל״מבוי סתום״ שהסיכוי להתגבר עליו נמוך, באופן שאינו מצדיק את המשך החקירה, לבין העילה של נסיבות העניין אינן מצדיקות הליך פלילי, שלא משקפת מצב ראייתי אלא שיש לכאורה ראיות והשיקולים לה</w:t>
      </w:r>
      <w:r w:rsidRPr="00AA5065">
        <w:rPr>
          <w:rFonts w:ascii="David" w:eastAsia="Calibri" w:hAnsi="David" w:hint="eastAsia"/>
          <w:sz w:val="24"/>
          <w:rtl/>
        </w:rPr>
        <w:t>י</w:t>
      </w:r>
      <w:r w:rsidRPr="00AA5065">
        <w:rPr>
          <w:rFonts w:ascii="David" w:eastAsia="Calibri" w:hAnsi="David"/>
          <w:sz w:val="24"/>
          <w:rtl/>
        </w:rPr>
        <w:t>מנע מהגשה הנם של האינטרס הציבורי בכללותו. עוד צוין כי "אין במערכת הממוחשבת אפשרות לדעת כמה מבין התיקים שנסגרו בעילה זו, נסגרו לאור המועד של הנישואין הפוליגמיים וכמה נסגרו מנסיבות אחרות שבגינן לא הייתה הצדקה להעמדה לדין בהתאם לחוק והנחיית פרקליט המדינה בנושא".</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cs"/>
          <w:sz w:val="24"/>
          <w:rtl/>
        </w:rPr>
        <w:t xml:space="preserve">משטרת ישראל מסרה בתשובתה כי התיקים שנגנזו בשנת 2025 הם בעילת "חוסר ראיות" וישנו מיצוי דין מרבי. </w:t>
      </w:r>
    </w:p>
    <w:p w:rsidR="00C82898" w:rsidP="00860D89">
      <w:pPr>
        <w:keepNext/>
        <w:keepLines/>
        <w:spacing w:line="269" w:lineRule="auto"/>
        <w:outlineLvl w:val="3"/>
        <w:rPr>
          <w:rFonts w:eastAsia="Times New Roman"/>
          <w:bCs/>
          <w:szCs w:val="26"/>
          <w:rtl/>
        </w:rPr>
      </w:pPr>
      <w:bookmarkStart w:id="17" w:name="_Hlk204854169"/>
    </w:p>
    <w:p w:rsidR="00C82898">
      <w:pPr>
        <w:bidi w:val="0"/>
        <w:spacing w:after="200" w:line="276" w:lineRule="auto"/>
        <w:rPr>
          <w:rFonts w:eastAsia="Times New Roman"/>
          <w:bCs/>
          <w:szCs w:val="26"/>
        </w:rPr>
      </w:pPr>
      <w:r>
        <w:rPr>
          <w:rFonts w:eastAsia="Times New Roman"/>
          <w:bCs/>
          <w:szCs w:val="26"/>
          <w:rtl/>
        </w:rPr>
        <w:br w:type="page"/>
      </w:r>
    </w:p>
    <w:p w:rsidR="00AA5065" w:rsidRPr="00AA5065" w:rsidP="00860D89">
      <w:pPr>
        <w:keepNext/>
        <w:keepLines/>
        <w:spacing w:line="269" w:lineRule="auto"/>
        <w:outlineLvl w:val="3"/>
        <w:rPr>
          <w:rFonts w:eastAsia="Times New Roman"/>
          <w:bCs/>
          <w:szCs w:val="26"/>
          <w:rtl/>
        </w:rPr>
      </w:pPr>
      <w:r w:rsidRPr="00AA5065">
        <w:rPr>
          <w:rFonts w:eastAsia="Times New Roman" w:hint="cs"/>
          <w:bCs/>
          <w:szCs w:val="26"/>
          <w:rtl/>
        </w:rPr>
        <w:t>הגשת כתבי אישום</w:t>
      </w:r>
      <w:bookmarkEnd w:id="17"/>
      <w:r w:rsidRPr="00AA5065">
        <w:rPr>
          <w:rFonts w:eastAsia="Times New Roman" w:hint="cs"/>
          <w:bCs/>
          <w:szCs w:val="26"/>
          <w:rtl/>
        </w:rPr>
        <w:t xml:space="preserve"> בגין פוליגמיה</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ascii="David" w:eastAsia="Calibri" w:hAnsi="David" w:hint="cs"/>
          <w:rtl/>
        </w:rPr>
        <w:t>בביקורת הקודמת עלה</w:t>
      </w:r>
      <w:r w:rsidRPr="00AA5065">
        <w:rPr>
          <w:rFonts w:ascii="David" w:eastAsia="Calibri" w:hAnsi="David"/>
          <w:rtl/>
        </w:rPr>
        <w:t xml:space="preserve"> כי </w:t>
      </w:r>
      <w:r w:rsidRPr="00AA5065">
        <w:rPr>
          <w:rFonts w:ascii="David" w:eastAsia="Calibri" w:hAnsi="David" w:hint="cs"/>
          <w:rtl/>
        </w:rPr>
        <w:t xml:space="preserve">בשנים 2017 עד מרץ 2020 נפתחו 363 תיקים בגין פוליגמיה: </w:t>
      </w:r>
      <w:r w:rsidRPr="00AA5065">
        <w:rPr>
          <w:rFonts w:ascii="David" w:eastAsia="Calibri" w:hAnsi="David"/>
          <w:rtl/>
        </w:rPr>
        <w:t xml:space="preserve">ב-18 </w:t>
      </w:r>
      <w:r w:rsidRPr="00AA5065">
        <w:rPr>
          <w:rFonts w:ascii="David" w:eastAsia="Calibri" w:hAnsi="David" w:hint="cs"/>
          <w:rtl/>
        </w:rPr>
        <w:t>מהם</w:t>
      </w:r>
      <w:r w:rsidRPr="00AA5065">
        <w:rPr>
          <w:rFonts w:ascii="David" w:eastAsia="Calibri" w:hAnsi="David"/>
          <w:rtl/>
        </w:rPr>
        <w:t xml:space="preserve"> הוגשו כתבי אישום</w:t>
      </w:r>
      <w:r w:rsidRPr="00AA5065">
        <w:rPr>
          <w:rFonts w:ascii="David" w:eastAsia="Calibri" w:hAnsi="David" w:hint="cs"/>
          <w:rtl/>
        </w:rPr>
        <w:t>,</w:t>
      </w:r>
      <w:r w:rsidRPr="00AA5065">
        <w:rPr>
          <w:rFonts w:ascii="David" w:eastAsia="Calibri" w:hAnsi="David"/>
          <w:rtl/>
        </w:rPr>
        <w:t xml:space="preserve"> ואילו 345 </w:t>
      </w:r>
      <w:r w:rsidRPr="00AA5065">
        <w:rPr>
          <w:rFonts w:ascii="David" w:eastAsia="Calibri" w:hAnsi="David" w:hint="cs"/>
          <w:rtl/>
        </w:rPr>
        <w:t>מהם</w:t>
      </w:r>
      <w:r w:rsidRPr="00AA5065">
        <w:rPr>
          <w:rFonts w:ascii="David" w:eastAsia="Calibri" w:hAnsi="David"/>
          <w:rtl/>
        </w:rPr>
        <w:t xml:space="preserve"> נסגרו</w:t>
      </w:r>
      <w:r w:rsidRPr="00AA5065">
        <w:rPr>
          <w:rFonts w:ascii="David" w:eastAsia="Calibri" w:hAnsi="David" w:hint="cs"/>
          <w:rtl/>
        </w:rPr>
        <w:t xml:space="preserve">. </w:t>
      </w:r>
      <w:r w:rsidRPr="00AA5065">
        <w:rPr>
          <w:rFonts w:ascii="David" w:eastAsia="Calibri" w:hAnsi="David"/>
          <w:rtl/>
        </w:rPr>
        <w:t>דהיינו, בכ-5% מהתיקים בלבד הוגשו כתבי אישום</w:t>
      </w:r>
      <w:r w:rsidRPr="00AA5065">
        <w:rPr>
          <w:rFonts w:eastAsia="Calibri" w:hint="cs"/>
          <w:rtl/>
        </w:rPr>
        <w:t>.</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 xml:space="preserve">בביקורת המעקב נמצא </w:t>
      </w:r>
      <w:r w:rsidRPr="00AA5065">
        <w:rPr>
          <w:rFonts w:ascii="David" w:eastAsia="Calibri" w:hAnsi="David"/>
          <w:rtl/>
        </w:rPr>
        <w:t xml:space="preserve">כי </w:t>
      </w:r>
      <w:r w:rsidRPr="00AA5065">
        <w:rPr>
          <w:rFonts w:ascii="David" w:eastAsia="Calibri" w:hAnsi="David" w:hint="cs"/>
          <w:rtl/>
        </w:rPr>
        <w:t xml:space="preserve">בשנים 2022 עד 2024 נפתחו 113 תיקים בגין פוליגמיה ורק </w:t>
      </w:r>
      <w:r w:rsidRPr="00AA5065">
        <w:rPr>
          <w:rFonts w:ascii="David" w:eastAsia="Calibri" w:hAnsi="David"/>
          <w:rtl/>
        </w:rPr>
        <w:t>ב</w:t>
      </w:r>
      <w:r w:rsidRPr="00AA5065">
        <w:rPr>
          <w:rFonts w:ascii="David" w:eastAsia="Calibri" w:hAnsi="David" w:hint="cs"/>
          <w:rtl/>
        </w:rPr>
        <w:t xml:space="preserve">שלושה מהם </w:t>
      </w:r>
      <w:r w:rsidRPr="00AA5065">
        <w:rPr>
          <w:rFonts w:ascii="David" w:eastAsia="Calibri" w:hAnsi="David"/>
          <w:rtl/>
        </w:rPr>
        <w:t xml:space="preserve">הוגשו כתבי אישום </w:t>
      </w:r>
      <w:r w:rsidRPr="00AA5065">
        <w:rPr>
          <w:rFonts w:ascii="David" w:eastAsia="Calibri" w:hAnsi="David" w:hint="cs"/>
          <w:rtl/>
        </w:rPr>
        <w:t>(3</w:t>
      </w:r>
      <w:r w:rsidRPr="00AA5065">
        <w:rPr>
          <w:rFonts w:ascii="David" w:eastAsia="Calibri" w:hAnsi="David"/>
          <w:rtl/>
        </w:rPr>
        <w:t>%</w:t>
      </w:r>
      <w:r w:rsidRPr="00AA5065">
        <w:rPr>
          <w:rFonts w:ascii="David" w:eastAsia="Calibri" w:hAnsi="David"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cs"/>
          <w:rtl/>
        </w:rPr>
        <w:t>לוח</w:t>
      </w:r>
      <w:r w:rsidRPr="00AA5065">
        <w:rPr>
          <w:rFonts w:ascii="David" w:eastAsia="Calibri" w:hAnsi="David"/>
        </w:rPr>
        <w:t xml:space="preserve"> </w:t>
      </w:r>
      <w:r w:rsidRPr="00AA5065">
        <w:rPr>
          <w:rFonts w:ascii="David" w:eastAsia="Calibri" w:hAnsi="David" w:hint="cs"/>
          <w:rtl/>
        </w:rPr>
        <w:t>2</w:t>
      </w:r>
      <w:r w:rsidRPr="00AA5065">
        <w:rPr>
          <w:rFonts w:ascii="David" w:eastAsia="Calibri" w:hAnsi="David"/>
          <w:rtl/>
        </w:rPr>
        <w:t xml:space="preserve"> </w:t>
      </w:r>
      <w:r w:rsidRPr="00AA5065">
        <w:rPr>
          <w:rFonts w:ascii="David" w:eastAsia="Calibri" w:hAnsi="David" w:hint="cs"/>
          <w:rtl/>
        </w:rPr>
        <w:t xml:space="preserve">שלהלן </w:t>
      </w:r>
      <w:r w:rsidRPr="00AA5065">
        <w:rPr>
          <w:rFonts w:ascii="David" w:eastAsia="Calibri" w:hAnsi="David"/>
          <w:rtl/>
        </w:rPr>
        <w:t>מציג את מספר תיקי הפוליגמיה שנפתחו ו</w:t>
      </w:r>
      <w:r w:rsidRPr="00AA5065">
        <w:rPr>
          <w:rFonts w:ascii="David" w:eastAsia="Calibri" w:hAnsi="David" w:hint="cs"/>
          <w:rtl/>
        </w:rPr>
        <w:t xml:space="preserve">את </w:t>
      </w:r>
      <w:r w:rsidRPr="00AA5065">
        <w:rPr>
          <w:rFonts w:ascii="David" w:eastAsia="Calibri" w:hAnsi="David"/>
          <w:rtl/>
        </w:rPr>
        <w:t xml:space="preserve">מספר כתבי </w:t>
      </w:r>
      <w:r w:rsidRPr="00AA5065">
        <w:rPr>
          <w:rFonts w:ascii="David" w:eastAsia="Calibri" w:hAnsi="David" w:hint="cs"/>
          <w:rtl/>
        </w:rPr>
        <w:t>ה</w:t>
      </w:r>
      <w:r w:rsidRPr="00AA5065">
        <w:rPr>
          <w:rFonts w:ascii="David" w:eastAsia="Calibri" w:hAnsi="David"/>
          <w:rtl/>
        </w:rPr>
        <w:t xml:space="preserve">אישום שהוגשו במחוז דרום בשנים 2022 </w:t>
      </w:r>
      <w:r w:rsidRPr="00AA5065">
        <w:rPr>
          <w:rFonts w:ascii="David" w:eastAsia="Calibri" w:hAnsi="David" w:hint="cs"/>
          <w:rtl/>
        </w:rPr>
        <w:t>עד</w:t>
      </w:r>
      <w:r w:rsidRPr="00AA5065">
        <w:rPr>
          <w:rFonts w:ascii="David" w:eastAsia="Calibri" w:hAnsi="David"/>
          <w:rtl/>
        </w:rPr>
        <w:t xml:space="preserve"> 2024.</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ascii="David" w:eastAsia="Calibri" w:hAnsi="David"/>
          <w:rtl/>
        </w:rPr>
      </w:pPr>
      <w:r w:rsidRPr="00AA5065">
        <w:rPr>
          <w:rFonts w:ascii="David" w:eastAsia="Calibri" w:hAnsi="David" w:hint="cs"/>
          <w:rtl/>
        </w:rPr>
        <w:t>לוח 2:</w:t>
      </w:r>
      <w:r w:rsidRPr="00AA5065">
        <w:rPr>
          <w:rFonts w:ascii="David" w:eastAsia="Calibri" w:hAnsi="David"/>
          <w:rtl/>
        </w:rPr>
        <w:t xml:space="preserve"> </w:t>
      </w:r>
      <w:r w:rsidRPr="00AA5065">
        <w:rPr>
          <w:rFonts w:ascii="David" w:eastAsia="Calibri" w:hAnsi="David" w:hint="cs"/>
          <w:b/>
          <w:bCs/>
          <w:rtl/>
        </w:rPr>
        <w:t>תיקי פוליגמיה שנפתחו וכתבי אישום שהוגשו במחוז דרום, 2022 - 2024</w:t>
      </w:r>
    </w:p>
    <w:tbl>
      <w:tblPr>
        <w:tblStyle w:val="5-11"/>
        <w:bidiVisual/>
        <w:tblW w:w="5040" w:type="dxa"/>
        <w:jc w:val="center"/>
        <w:tblLook w:val="04A0"/>
      </w:tblPr>
      <w:tblGrid>
        <w:gridCol w:w="1516"/>
        <w:gridCol w:w="1875"/>
        <w:gridCol w:w="1649"/>
      </w:tblGrid>
      <w:tr w:rsidTr="00AA5065">
        <w:tblPrEx>
          <w:tblW w:w="5040" w:type="dxa"/>
          <w:jc w:val="center"/>
          <w:tblLook w:val="04A0"/>
        </w:tblPrEx>
        <w:trPr>
          <w:trHeight w:val="300"/>
          <w:jc w:val="center"/>
        </w:trPr>
        <w:tc>
          <w:tcPr>
            <w:tcW w:w="0" w:type="dxa"/>
            <w:shd w:val="clear" w:color="auto" w:fill="DBE5F1"/>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שנה</w:t>
            </w:r>
          </w:p>
        </w:tc>
        <w:tc>
          <w:tcPr>
            <w:tcW w:w="0" w:type="dxa"/>
            <w:shd w:val="clear" w:color="auto" w:fill="DBE5F1"/>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color w:val="000000"/>
                <w:sz w:val="22"/>
                <w:szCs w:val="22"/>
                <w:rtl/>
              </w:rPr>
              <w:t>תיקים שנפתחו</w:t>
            </w:r>
          </w:p>
        </w:tc>
        <w:tc>
          <w:tcPr>
            <w:tcW w:w="0" w:type="dxa"/>
            <w:shd w:val="clear" w:color="auto" w:fill="DBE5F1"/>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color w:val="000000"/>
                <w:sz w:val="22"/>
                <w:szCs w:val="22"/>
                <w:rtl/>
              </w:rPr>
              <w:t>כתבי אישום</w:t>
            </w:r>
          </w:p>
        </w:tc>
      </w:tr>
      <w:tr w:rsidTr="00AA5065">
        <w:tblPrEx>
          <w:tblW w:w="5040" w:type="dxa"/>
          <w:jc w:val="center"/>
          <w:tblLook w:val="04A0"/>
        </w:tblPrEx>
        <w:trPr>
          <w:trHeight w:val="285"/>
          <w:jc w:val="center"/>
        </w:trPr>
        <w:tc>
          <w:tcPr>
            <w:tcW w:w="0" w:type="dxa"/>
            <w:shd w:val="clear" w:color="auto" w:fill="DBE5F1"/>
            <w:noWrap/>
            <w:hideMark/>
          </w:tcPr>
          <w:p w:rsidR="00AA5065" w:rsidRPr="00AA5065" w:rsidP="00C82898">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2022</w:t>
            </w:r>
          </w:p>
        </w:tc>
        <w:tc>
          <w:tcPr>
            <w:tcW w:w="0" w:type="dxa"/>
            <w:shd w:val="clear" w:color="auto" w:fill="DBE5F1"/>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24</w:t>
            </w:r>
          </w:p>
        </w:tc>
        <w:tc>
          <w:tcPr>
            <w:tcW w:w="0" w:type="dxa"/>
            <w:shd w:val="clear" w:color="auto" w:fill="DBE5F1"/>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w:t>
            </w:r>
          </w:p>
        </w:tc>
      </w:tr>
      <w:tr w:rsidTr="00AA5065">
        <w:tblPrEx>
          <w:tblW w:w="5040" w:type="dxa"/>
          <w:jc w:val="center"/>
          <w:tblLook w:val="04A0"/>
        </w:tblPrEx>
        <w:trPr>
          <w:trHeight w:val="285"/>
          <w:jc w:val="center"/>
        </w:trPr>
        <w:tc>
          <w:tcPr>
            <w:tcW w:w="0" w:type="dxa"/>
            <w:shd w:val="clear" w:color="auto" w:fill="DBE5F1"/>
            <w:noWrap/>
            <w:hideMark/>
          </w:tcPr>
          <w:p w:rsidR="00AA5065" w:rsidRPr="00AA5065" w:rsidP="00C82898">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2023</w:t>
            </w:r>
          </w:p>
        </w:tc>
        <w:tc>
          <w:tcPr>
            <w:tcW w:w="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25</w:t>
            </w:r>
          </w:p>
        </w:tc>
        <w:tc>
          <w:tcPr>
            <w:tcW w:w="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w:t>
            </w:r>
          </w:p>
        </w:tc>
      </w:tr>
      <w:tr w:rsidTr="00AA5065">
        <w:tblPrEx>
          <w:tblW w:w="5040" w:type="dxa"/>
          <w:jc w:val="center"/>
          <w:tblLook w:val="04A0"/>
        </w:tblPrEx>
        <w:trPr>
          <w:trHeight w:val="285"/>
          <w:jc w:val="center"/>
        </w:trPr>
        <w:tc>
          <w:tcPr>
            <w:tcW w:w="0" w:type="dxa"/>
            <w:shd w:val="clear" w:color="auto" w:fill="DBE5F1"/>
            <w:noWrap/>
            <w:hideMark/>
          </w:tcPr>
          <w:p w:rsidR="00AA5065" w:rsidRPr="00AA5065" w:rsidP="00C82898">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2024</w:t>
            </w:r>
          </w:p>
        </w:tc>
        <w:tc>
          <w:tcPr>
            <w:tcW w:w="0" w:type="dxa"/>
            <w:shd w:val="clear" w:color="auto" w:fill="DBE5F1"/>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64</w:t>
            </w:r>
          </w:p>
        </w:tc>
        <w:tc>
          <w:tcPr>
            <w:tcW w:w="0" w:type="dxa"/>
            <w:shd w:val="clear" w:color="auto" w:fill="DBE5F1"/>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0</w:t>
            </w:r>
          </w:p>
        </w:tc>
      </w:tr>
      <w:tr w:rsidTr="00AA5065">
        <w:tblPrEx>
          <w:tblW w:w="5040" w:type="dxa"/>
          <w:jc w:val="center"/>
          <w:tblLook w:val="04A0"/>
        </w:tblPrEx>
        <w:trPr>
          <w:trHeight w:val="285"/>
          <w:jc w:val="center"/>
        </w:trPr>
        <w:tc>
          <w:tcPr>
            <w:tcW w:w="0" w:type="dxa"/>
            <w:shd w:val="clear" w:color="auto" w:fill="DBE5F1"/>
            <w:noWrap/>
            <w:hideMark/>
          </w:tcPr>
          <w:p w:rsidR="00AA5065" w:rsidRPr="00AA5065" w:rsidP="00C82898">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סה"כ</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113</w:t>
            </w:r>
          </w:p>
        </w:tc>
        <w:tc>
          <w:tcPr>
            <w:tcW w:w="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hint="cs"/>
                <w:color w:val="000000"/>
                <w:sz w:val="22"/>
                <w:szCs w:val="22"/>
                <w:rtl/>
              </w:rPr>
              <w:t>3</w:t>
            </w:r>
          </w:p>
        </w:tc>
      </w:tr>
    </w:tbl>
    <w:p w:rsidR="00AA5065" w:rsidRPr="00AA5065" w:rsidP="00860D89">
      <w:pPr>
        <w:spacing w:line="269" w:lineRule="auto"/>
        <w:jc w:val="left"/>
        <w:rPr>
          <w:rFonts w:ascii="David" w:eastAsia="Calibri" w:hAnsi="David"/>
          <w:szCs w:val="20"/>
          <w:rtl/>
        </w:rPr>
      </w:pPr>
      <w:r w:rsidRPr="00AA5065">
        <w:rPr>
          <w:rFonts w:ascii="David" w:eastAsia="Calibri" w:hAnsi="David" w:hint="eastAsia"/>
          <w:szCs w:val="20"/>
          <w:rtl/>
        </w:rPr>
        <w:t>המקור</w:t>
      </w:r>
      <w:r w:rsidRPr="00AA5065">
        <w:rPr>
          <w:rFonts w:ascii="David" w:eastAsia="Calibri" w:hAnsi="David"/>
          <w:szCs w:val="20"/>
          <w:rtl/>
        </w:rPr>
        <w:t xml:space="preserve">: </w:t>
      </w:r>
      <w:r w:rsidRPr="00AA5065">
        <w:rPr>
          <w:rFonts w:ascii="David" w:eastAsia="Calibri" w:hAnsi="David" w:hint="eastAsia"/>
          <w:szCs w:val="20"/>
          <w:rtl/>
        </w:rPr>
        <w:t>משטרת</w:t>
      </w:r>
      <w:r w:rsidRPr="00AA5065">
        <w:rPr>
          <w:rFonts w:ascii="David" w:eastAsia="Calibri" w:hAnsi="David"/>
          <w:szCs w:val="20"/>
          <w:rtl/>
        </w:rPr>
        <w:t xml:space="preserve"> </w:t>
      </w:r>
      <w:r w:rsidRPr="00AA5065">
        <w:rPr>
          <w:rFonts w:ascii="David" w:eastAsia="Calibri" w:hAnsi="David" w:hint="eastAsia"/>
          <w:szCs w:val="20"/>
          <w:rtl/>
        </w:rPr>
        <w:t>ישראל</w:t>
      </w:r>
      <w:r w:rsidRPr="00AA5065">
        <w:rPr>
          <w:rFonts w:ascii="David" w:eastAsia="Calibri" w:hAnsi="David"/>
          <w:szCs w:val="20"/>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cs"/>
          <w:b/>
          <w:bCs/>
          <w:rtl/>
        </w:rPr>
        <w:t xml:space="preserve">מהלוח עולה כי בשנת 2024 נפתח מספר התיקים הרב ביותר (64), אולם לא הוגשו כתבי אישום כלל.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bookmarkStart w:id="18" w:name="_Hlk204849531"/>
      <w:r w:rsidRPr="00AA5065">
        <w:rPr>
          <w:rFonts w:ascii="David" w:eastAsia="Calibri" w:hAnsi="David" w:hint="cs"/>
          <w:b/>
          <w:bCs/>
          <w:rtl/>
        </w:rPr>
        <w:t xml:space="preserve">בביקורת הקודמת עלה כי רק ב-5% מהתיקים הוגשו כתבי אישום בגין פוליגמיה. בביקורת המעקב נמצא כי הליקוי לא תוקן; </w:t>
      </w:r>
      <w:r w:rsidRPr="00AA5065">
        <w:rPr>
          <w:rFonts w:ascii="David" w:eastAsia="Calibri" w:hAnsi="David" w:hint="eastAsia"/>
          <w:b/>
          <w:bCs/>
          <w:rtl/>
        </w:rPr>
        <w:t>בשנים</w:t>
      </w:r>
      <w:r w:rsidRPr="00AA5065">
        <w:rPr>
          <w:rFonts w:ascii="David" w:eastAsia="Calibri" w:hAnsi="David"/>
          <w:b/>
          <w:bCs/>
          <w:rtl/>
        </w:rPr>
        <w:t xml:space="preserve"> 2022 -</w:t>
      </w:r>
      <w:r w:rsidRPr="00AA5065">
        <w:rPr>
          <w:rFonts w:ascii="David" w:eastAsia="Calibri" w:hAnsi="David" w:hint="cs"/>
          <w:b/>
          <w:bCs/>
        </w:rPr>
        <w:t xml:space="preserve"> </w:t>
      </w:r>
      <w:r w:rsidRPr="00AA5065">
        <w:rPr>
          <w:rFonts w:ascii="David" w:eastAsia="Calibri" w:hAnsi="David"/>
          <w:b/>
          <w:bCs/>
          <w:rtl/>
        </w:rPr>
        <w:t xml:space="preserve">2024 </w:t>
      </w:r>
      <w:r w:rsidRPr="00AA5065">
        <w:rPr>
          <w:rFonts w:ascii="David" w:eastAsia="Calibri" w:hAnsi="David" w:hint="eastAsia"/>
          <w:b/>
          <w:bCs/>
          <w:rtl/>
        </w:rPr>
        <w:t>נפתחו</w:t>
      </w:r>
      <w:r w:rsidRPr="00AA5065">
        <w:rPr>
          <w:rFonts w:ascii="David" w:eastAsia="Calibri" w:hAnsi="David"/>
          <w:b/>
          <w:bCs/>
          <w:rtl/>
        </w:rPr>
        <w:t xml:space="preserve"> 113 </w:t>
      </w:r>
      <w:r w:rsidRPr="00AA5065">
        <w:rPr>
          <w:rFonts w:ascii="David" w:eastAsia="Calibri" w:hAnsi="David" w:hint="eastAsia"/>
          <w:b/>
          <w:bCs/>
          <w:rtl/>
        </w:rPr>
        <w:t>תיקים</w:t>
      </w:r>
      <w:r w:rsidRPr="00AA5065">
        <w:rPr>
          <w:rFonts w:ascii="David" w:eastAsia="Calibri" w:hAnsi="David"/>
          <w:b/>
          <w:bCs/>
          <w:rtl/>
        </w:rPr>
        <w:t xml:space="preserve">, </w:t>
      </w:r>
      <w:r w:rsidRPr="00AA5065">
        <w:rPr>
          <w:rFonts w:ascii="David" w:eastAsia="Calibri" w:hAnsi="David" w:hint="eastAsia"/>
          <w:b/>
          <w:bCs/>
          <w:rtl/>
        </w:rPr>
        <w:t>אך</w:t>
      </w:r>
      <w:r w:rsidRPr="00AA5065">
        <w:rPr>
          <w:rFonts w:ascii="David" w:eastAsia="Calibri" w:hAnsi="David"/>
          <w:b/>
          <w:bCs/>
          <w:rtl/>
        </w:rPr>
        <w:t xml:space="preserve"> </w:t>
      </w:r>
      <w:r w:rsidRPr="00AA5065">
        <w:rPr>
          <w:rFonts w:ascii="David" w:eastAsia="Calibri" w:hAnsi="David" w:hint="cs"/>
          <w:b/>
          <w:bCs/>
          <w:rtl/>
        </w:rPr>
        <w:t>פרקליטות מחוז דרום (פלילי) הגישה</w:t>
      </w:r>
      <w:r w:rsidRPr="00AA5065">
        <w:rPr>
          <w:rFonts w:ascii="David" w:eastAsia="Calibri" w:hAnsi="David"/>
          <w:b/>
          <w:bCs/>
          <w:rtl/>
        </w:rPr>
        <w:t xml:space="preserve"> </w:t>
      </w:r>
      <w:r w:rsidRPr="00AA5065">
        <w:rPr>
          <w:rFonts w:ascii="David" w:eastAsia="Calibri" w:hAnsi="David" w:hint="eastAsia"/>
          <w:b/>
          <w:bCs/>
          <w:rtl/>
        </w:rPr>
        <w:t>רק</w:t>
      </w:r>
      <w:r w:rsidRPr="00AA5065">
        <w:rPr>
          <w:rFonts w:ascii="David" w:eastAsia="Calibri" w:hAnsi="David"/>
          <w:b/>
          <w:bCs/>
          <w:rtl/>
        </w:rPr>
        <w:t xml:space="preserve"> 3 </w:t>
      </w:r>
      <w:r w:rsidRPr="00AA5065">
        <w:rPr>
          <w:rFonts w:ascii="David" w:eastAsia="Calibri" w:hAnsi="David" w:hint="eastAsia"/>
          <w:b/>
          <w:bCs/>
          <w:rtl/>
        </w:rPr>
        <w:t>כתבי</w:t>
      </w:r>
      <w:r w:rsidRPr="00AA5065">
        <w:rPr>
          <w:rFonts w:ascii="David" w:eastAsia="Calibri" w:hAnsi="David"/>
          <w:b/>
          <w:bCs/>
          <w:rtl/>
        </w:rPr>
        <w:t xml:space="preserve"> </w:t>
      </w:r>
      <w:r w:rsidRPr="00AA5065">
        <w:rPr>
          <w:rFonts w:ascii="David" w:eastAsia="Calibri" w:hAnsi="David" w:hint="eastAsia"/>
          <w:b/>
          <w:bCs/>
          <w:rtl/>
        </w:rPr>
        <w:t>אישום</w:t>
      </w:r>
      <w:r w:rsidRPr="00AA5065">
        <w:rPr>
          <w:rFonts w:ascii="David" w:eastAsia="Calibri" w:hAnsi="David"/>
          <w:b/>
          <w:bCs/>
          <w:rtl/>
        </w:rPr>
        <w:t xml:space="preserve">. </w:t>
      </w:r>
      <w:r w:rsidRPr="00AA5065">
        <w:rPr>
          <w:rFonts w:ascii="David" w:eastAsia="Calibri" w:hAnsi="David" w:hint="cs"/>
          <w:b/>
          <w:bCs/>
          <w:rtl/>
        </w:rPr>
        <w:t>לפי</w:t>
      </w:r>
      <w:r w:rsidRPr="00AA5065">
        <w:rPr>
          <w:rFonts w:ascii="David" w:eastAsia="Calibri" w:hAnsi="David" w:hint="eastAsia"/>
          <w:b/>
          <w:bCs/>
          <w:rtl/>
        </w:rPr>
        <w:t>כך</w:t>
      </w:r>
      <w:r w:rsidRPr="00AA5065">
        <w:rPr>
          <w:rFonts w:ascii="David" w:eastAsia="Calibri" w:hAnsi="David" w:hint="cs"/>
          <w:b/>
          <w:bCs/>
          <w:rtl/>
        </w:rPr>
        <w:t xml:space="preserve"> אף חלה ירידה (2%)</w:t>
      </w:r>
      <w:r w:rsidRPr="00AA5065">
        <w:rPr>
          <w:rFonts w:ascii="David" w:eastAsia="Calibri" w:hAnsi="David" w:hint="cs"/>
          <w:b/>
          <w:bCs/>
        </w:rPr>
        <w:t xml:space="preserve"> </w:t>
      </w:r>
      <w:r w:rsidRPr="00AA5065">
        <w:rPr>
          <w:rFonts w:ascii="David" w:eastAsia="Calibri" w:hAnsi="David" w:hint="cs"/>
          <w:b/>
          <w:bCs/>
          <w:rtl/>
        </w:rPr>
        <w:t>בשיעור כתבי האישום שהוגשו (3%) לעומת הביקורת הקודמת, וזאת על אף הקמת מחלק הפוליגמיה במחוז דרום ביום 6.10.</w:t>
      </w:r>
      <w:bookmarkStart w:id="19" w:name="_Hlk204686124"/>
      <w:r w:rsidRPr="00AA5065">
        <w:rPr>
          <w:rFonts w:ascii="David" w:eastAsia="Calibri" w:hAnsi="David" w:hint="cs"/>
          <w:b/>
          <w:bCs/>
          <w:rtl/>
        </w:rPr>
        <w:t>24</w:t>
      </w:r>
      <w:bookmarkEnd w:id="19"/>
      <w:r w:rsidRPr="00AA5065">
        <w:rPr>
          <w:rFonts w:ascii="David" w:eastAsia="Calibri" w:hAnsi="David" w:hint="cs"/>
          <w:b/>
          <w:bCs/>
          <w:rtl/>
        </w:rPr>
        <w:t>.</w:t>
      </w:r>
    </w:p>
    <w:bookmarkEnd w:id="18"/>
    <w:p w:rsidR="00AA5065" w:rsidRPr="00AA5065" w:rsidP="00860D89">
      <w:pPr>
        <w:spacing w:line="269" w:lineRule="auto"/>
        <w:ind w:left="-567"/>
        <w:rPr>
          <w:rFonts w:eastAsia="Calibri"/>
          <w:szCs w:val="20"/>
          <w:rtl/>
        </w:rPr>
      </w:pPr>
    </w:p>
    <w:p w:rsidR="00AA5065" w:rsidRPr="00AA5065" w:rsidP="00860D89">
      <w:pPr>
        <w:keepNext/>
        <w:keepLines/>
        <w:spacing w:line="269" w:lineRule="auto"/>
        <w:ind w:left="-1"/>
        <w:jc w:val="center"/>
        <w:rPr>
          <w:rFonts w:ascii="David" w:eastAsia="Calibri" w:hAnsi="David"/>
          <w:b/>
          <w:bCs/>
          <w:rtl/>
        </w:rPr>
      </w:pPr>
      <w:r w:rsidRPr="00AA5065">
        <w:rPr>
          <w:rFonts w:ascii="David" w:eastAsia="Calibri" w:hAnsi="David"/>
          <w:b/>
          <w:bCs/>
          <w:rtl/>
        </w:rPr>
        <w:t>מידת תיקון הליקוי</w:t>
      </w:r>
    </w:p>
    <w:p w:rsidR="00AA5065" w:rsidRPr="00AA5065" w:rsidP="00860D89">
      <w:pPr>
        <w:spacing w:line="269" w:lineRule="auto"/>
        <w:ind w:left="-1"/>
        <w:jc w:val="center"/>
        <w:rPr>
          <w:rFonts w:ascii="David" w:eastAsia="Calibri" w:hAnsi="David"/>
          <w:b/>
        </w:rPr>
      </w:pPr>
      <w:r w:rsidRPr="00AA5065">
        <w:rPr>
          <w:rFonts w:ascii="David" w:eastAsia="Calibri" w:hAnsi="David"/>
          <w:noProof/>
        </w:rPr>
        <w:drawing>
          <wp:inline distT="0" distB="0" distL="0" distR="0">
            <wp:extent cx="3960000" cy="740487"/>
            <wp:effectExtent l="0" t="0" r="0" b="0"/>
            <wp:docPr id="344773185" name="תמונה 34477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73185" name="תמונה 1095261540"/>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0000" cy="740487"/>
                    </a:xfrm>
                    <a:prstGeom prst="rect">
                      <a:avLst/>
                    </a:prstGeom>
                    <a:noFill/>
                    <a:ln>
                      <a:noFill/>
                    </a:ln>
                  </pic:spPr>
                </pic:pic>
              </a:graphicData>
            </a:graphic>
          </wp:inline>
        </w:drawing>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eastAsia"/>
          <w:b/>
          <w:bCs/>
          <w:rtl/>
        </w:rPr>
        <w:t>מומלץ</w:t>
      </w:r>
      <w:r w:rsidRPr="00AA5065">
        <w:rPr>
          <w:rFonts w:ascii="David" w:eastAsia="Calibri" w:hAnsi="David"/>
          <w:b/>
          <w:bCs/>
          <w:rtl/>
        </w:rPr>
        <w:t xml:space="preserve"> כי </w:t>
      </w:r>
      <w:r w:rsidRPr="00AA5065">
        <w:rPr>
          <w:rFonts w:ascii="David" w:eastAsia="Calibri" w:hAnsi="David" w:hint="eastAsia"/>
          <w:b/>
          <w:bCs/>
          <w:rtl/>
        </w:rPr>
        <w:t>פרקליטות</w:t>
      </w:r>
      <w:r w:rsidRPr="00AA5065">
        <w:rPr>
          <w:rFonts w:ascii="David" w:eastAsia="Calibri" w:hAnsi="David"/>
          <w:b/>
          <w:bCs/>
          <w:rtl/>
        </w:rPr>
        <w:t xml:space="preserve"> המדינה בשיתוף </w:t>
      </w:r>
      <w:r w:rsidRPr="00AA5065">
        <w:rPr>
          <w:rFonts w:ascii="David" w:eastAsia="Calibri" w:hAnsi="David" w:hint="eastAsia"/>
          <w:b/>
          <w:bCs/>
          <w:rtl/>
        </w:rPr>
        <w:t>משטרת</w:t>
      </w:r>
      <w:r w:rsidRPr="00AA5065">
        <w:rPr>
          <w:rFonts w:ascii="David" w:eastAsia="Calibri" w:hAnsi="David"/>
          <w:b/>
          <w:bCs/>
          <w:rtl/>
        </w:rPr>
        <w:t xml:space="preserve"> </w:t>
      </w:r>
      <w:r w:rsidRPr="00AA5065">
        <w:rPr>
          <w:rFonts w:ascii="David" w:eastAsia="Calibri" w:hAnsi="David" w:hint="eastAsia"/>
          <w:b/>
          <w:bCs/>
          <w:rtl/>
        </w:rPr>
        <w:t>ישראל</w:t>
      </w:r>
      <w:r w:rsidRPr="00AA5065">
        <w:rPr>
          <w:rFonts w:ascii="David" w:eastAsia="Calibri" w:hAnsi="David"/>
          <w:b/>
          <w:bCs/>
          <w:rtl/>
        </w:rPr>
        <w:t xml:space="preserve"> </w:t>
      </w:r>
      <w:r w:rsidRPr="00AA5065">
        <w:rPr>
          <w:rFonts w:ascii="David" w:eastAsia="Calibri" w:hAnsi="David" w:hint="eastAsia"/>
          <w:b/>
          <w:bCs/>
          <w:rtl/>
        </w:rPr>
        <w:t>יבחנו</w:t>
      </w:r>
      <w:r w:rsidRPr="00AA5065">
        <w:rPr>
          <w:rFonts w:ascii="David" w:eastAsia="Calibri" w:hAnsi="David"/>
          <w:b/>
          <w:bCs/>
          <w:rtl/>
        </w:rPr>
        <w:t xml:space="preserve"> </w:t>
      </w:r>
      <w:r w:rsidRPr="00AA5065">
        <w:rPr>
          <w:rFonts w:ascii="David" w:eastAsia="Calibri" w:hAnsi="David" w:hint="eastAsia"/>
          <w:b/>
          <w:bCs/>
          <w:rtl/>
        </w:rPr>
        <w:t>את</w:t>
      </w:r>
      <w:r w:rsidRPr="00AA5065">
        <w:rPr>
          <w:rFonts w:ascii="David" w:eastAsia="Calibri" w:hAnsi="David"/>
          <w:b/>
          <w:bCs/>
          <w:rtl/>
        </w:rPr>
        <w:t xml:space="preserve"> </w:t>
      </w:r>
      <w:r w:rsidRPr="00AA5065">
        <w:rPr>
          <w:rFonts w:ascii="David" w:eastAsia="Calibri" w:hAnsi="David" w:hint="eastAsia"/>
          <w:b/>
          <w:bCs/>
          <w:rtl/>
        </w:rPr>
        <w:t>הסיבות</w:t>
      </w:r>
      <w:r w:rsidRPr="00AA5065">
        <w:rPr>
          <w:rFonts w:ascii="David" w:eastAsia="Calibri" w:hAnsi="David"/>
          <w:b/>
          <w:bCs/>
          <w:rtl/>
        </w:rPr>
        <w:t xml:space="preserve"> </w:t>
      </w:r>
      <w:r w:rsidRPr="00AA5065">
        <w:rPr>
          <w:rFonts w:ascii="David" w:eastAsia="Calibri" w:hAnsi="David" w:hint="eastAsia"/>
          <w:b/>
          <w:bCs/>
          <w:rtl/>
        </w:rPr>
        <w:t>לשיעור</w:t>
      </w:r>
      <w:r w:rsidRPr="00AA5065">
        <w:rPr>
          <w:rFonts w:ascii="David" w:eastAsia="Calibri" w:hAnsi="David" w:hint="cs"/>
          <w:b/>
          <w:bCs/>
          <w:rtl/>
        </w:rPr>
        <w:t xml:space="preserve"> ה</w:t>
      </w:r>
      <w:r w:rsidRPr="00AA5065">
        <w:rPr>
          <w:rFonts w:ascii="David" w:eastAsia="Calibri" w:hAnsi="David" w:hint="eastAsia"/>
          <w:b/>
          <w:bCs/>
          <w:rtl/>
        </w:rPr>
        <w:t>נמוך</w:t>
      </w:r>
      <w:r w:rsidRPr="00AA5065">
        <w:rPr>
          <w:rFonts w:ascii="David" w:eastAsia="Calibri" w:hAnsi="David"/>
          <w:b/>
          <w:bCs/>
          <w:rtl/>
        </w:rPr>
        <w:t xml:space="preserve"> </w:t>
      </w:r>
      <w:r w:rsidRPr="00AA5065">
        <w:rPr>
          <w:rFonts w:ascii="David" w:eastAsia="Calibri" w:hAnsi="David" w:hint="cs"/>
          <w:b/>
          <w:bCs/>
          <w:rtl/>
        </w:rPr>
        <w:t xml:space="preserve">של </w:t>
      </w:r>
      <w:r w:rsidRPr="00AA5065">
        <w:rPr>
          <w:rFonts w:ascii="David" w:eastAsia="Calibri" w:hAnsi="David" w:hint="eastAsia"/>
          <w:b/>
          <w:bCs/>
          <w:rtl/>
        </w:rPr>
        <w:t>הגשת</w:t>
      </w:r>
      <w:r w:rsidRPr="00AA5065">
        <w:rPr>
          <w:rFonts w:ascii="David" w:eastAsia="Calibri" w:hAnsi="David"/>
          <w:b/>
          <w:bCs/>
          <w:rtl/>
        </w:rPr>
        <w:t xml:space="preserve"> </w:t>
      </w:r>
      <w:r w:rsidRPr="00AA5065">
        <w:rPr>
          <w:rFonts w:ascii="David" w:eastAsia="Calibri" w:hAnsi="David" w:hint="eastAsia"/>
          <w:b/>
          <w:bCs/>
          <w:rtl/>
        </w:rPr>
        <w:t>כתבי</w:t>
      </w:r>
      <w:r w:rsidRPr="00AA5065">
        <w:rPr>
          <w:rFonts w:ascii="David" w:eastAsia="Calibri" w:hAnsi="David"/>
          <w:b/>
          <w:bCs/>
          <w:rtl/>
        </w:rPr>
        <w:t xml:space="preserve"> </w:t>
      </w:r>
      <w:r w:rsidRPr="00AA5065">
        <w:rPr>
          <w:rFonts w:ascii="David" w:eastAsia="Calibri" w:hAnsi="David" w:hint="eastAsia"/>
          <w:b/>
          <w:bCs/>
          <w:rtl/>
        </w:rPr>
        <w:t>אישום</w:t>
      </w:r>
      <w:r w:rsidRPr="00AA5065">
        <w:rPr>
          <w:rFonts w:ascii="David" w:eastAsia="Calibri" w:hAnsi="David" w:hint="cs"/>
          <w:b/>
          <w:bCs/>
          <w:rtl/>
        </w:rPr>
        <w:t xml:space="preserve"> בגין פוליגמיה ובהתאם יפעלו </w:t>
      </w:r>
      <w:r w:rsidRPr="00AA5065">
        <w:rPr>
          <w:rFonts w:ascii="David" w:eastAsia="Calibri" w:hAnsi="David" w:hint="eastAsia"/>
          <w:b/>
          <w:bCs/>
          <w:rtl/>
        </w:rPr>
        <w:t>להגברת</w:t>
      </w:r>
      <w:r w:rsidRPr="00AA5065">
        <w:rPr>
          <w:rFonts w:ascii="David" w:eastAsia="Calibri" w:hAnsi="David"/>
          <w:b/>
          <w:bCs/>
          <w:rtl/>
        </w:rPr>
        <w:t xml:space="preserve"> </w:t>
      </w:r>
      <w:r w:rsidRPr="00AA5065">
        <w:rPr>
          <w:rFonts w:ascii="David" w:eastAsia="Calibri" w:hAnsi="David" w:hint="eastAsia"/>
          <w:b/>
          <w:bCs/>
          <w:rtl/>
        </w:rPr>
        <w:t>שיתוף</w:t>
      </w:r>
      <w:r w:rsidRPr="00AA5065">
        <w:rPr>
          <w:rFonts w:ascii="David" w:eastAsia="Calibri" w:hAnsi="David"/>
          <w:b/>
          <w:bCs/>
          <w:rtl/>
        </w:rPr>
        <w:t xml:space="preserve"> </w:t>
      </w:r>
      <w:r w:rsidRPr="00AA5065">
        <w:rPr>
          <w:rFonts w:ascii="David" w:eastAsia="Calibri" w:hAnsi="David" w:hint="eastAsia"/>
          <w:b/>
          <w:bCs/>
          <w:rtl/>
        </w:rPr>
        <w:t>הפעולה</w:t>
      </w:r>
      <w:r w:rsidRPr="00AA5065">
        <w:rPr>
          <w:rFonts w:ascii="David" w:eastAsia="Calibri" w:hAnsi="David"/>
          <w:b/>
          <w:bCs/>
          <w:rtl/>
        </w:rPr>
        <w:t xml:space="preserve"> </w:t>
      </w:r>
      <w:r w:rsidRPr="00AA5065">
        <w:rPr>
          <w:rFonts w:ascii="David" w:eastAsia="Calibri" w:hAnsi="David" w:hint="eastAsia"/>
          <w:b/>
          <w:bCs/>
          <w:rtl/>
        </w:rPr>
        <w:t>בינ</w:t>
      </w:r>
      <w:r w:rsidRPr="00AA5065">
        <w:rPr>
          <w:rFonts w:ascii="David" w:eastAsia="Calibri" w:hAnsi="David" w:hint="cs"/>
          <w:b/>
          <w:bCs/>
          <w:rtl/>
        </w:rPr>
        <w:t>י</w:t>
      </w:r>
      <w:r w:rsidRPr="00AA5065">
        <w:rPr>
          <w:rFonts w:ascii="David" w:eastAsia="Calibri" w:hAnsi="David" w:hint="eastAsia"/>
          <w:b/>
          <w:bCs/>
          <w:rtl/>
        </w:rPr>
        <w:t>הם</w:t>
      </w:r>
      <w:r w:rsidRPr="00AA5065">
        <w:rPr>
          <w:rFonts w:ascii="David" w:eastAsia="Calibri" w:hAnsi="David"/>
          <w:b/>
          <w:bCs/>
          <w:rtl/>
        </w:rPr>
        <w:t xml:space="preserve"> במטרה להבטיח אכיפה אפקטיבית ועקבית </w:t>
      </w:r>
      <w:r w:rsidRPr="00AA5065">
        <w:rPr>
          <w:rFonts w:ascii="David" w:eastAsia="Calibri" w:hAnsi="David" w:hint="eastAsia"/>
          <w:b/>
          <w:bCs/>
          <w:rtl/>
        </w:rPr>
        <w:t>ש</w:t>
      </w:r>
      <w:r w:rsidRPr="00AA5065">
        <w:rPr>
          <w:rFonts w:ascii="David" w:eastAsia="Calibri" w:hAnsi="David"/>
          <w:b/>
          <w:bCs/>
          <w:rtl/>
        </w:rPr>
        <w:t xml:space="preserve">תביא לשינוי המצב ‏בשטח.‏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eastAsia"/>
          <w:rtl/>
        </w:rPr>
        <w:t>משרד</w:t>
      </w:r>
      <w:r w:rsidRPr="00AA5065">
        <w:rPr>
          <w:rFonts w:ascii="David" w:eastAsia="Calibri" w:hAnsi="David"/>
          <w:rtl/>
        </w:rPr>
        <w:t xml:space="preserve"> </w:t>
      </w:r>
      <w:r w:rsidRPr="00AA5065">
        <w:rPr>
          <w:rFonts w:ascii="David" w:eastAsia="Calibri" w:hAnsi="David" w:hint="eastAsia"/>
          <w:rtl/>
        </w:rPr>
        <w:t>המשפטים</w:t>
      </w:r>
      <w:r w:rsidRPr="00AA5065">
        <w:rPr>
          <w:rFonts w:ascii="David" w:eastAsia="Calibri" w:hAnsi="David"/>
          <w:rtl/>
        </w:rPr>
        <w:t xml:space="preserve"> </w:t>
      </w:r>
      <w:r w:rsidRPr="00AA5065">
        <w:rPr>
          <w:rFonts w:ascii="David" w:eastAsia="Calibri" w:hAnsi="David" w:hint="eastAsia"/>
          <w:rtl/>
        </w:rPr>
        <w:t>מסר</w:t>
      </w:r>
      <w:r w:rsidRPr="00AA5065">
        <w:rPr>
          <w:rFonts w:ascii="David" w:eastAsia="Calibri" w:hAnsi="David"/>
          <w:rtl/>
        </w:rPr>
        <w:t xml:space="preserve"> </w:t>
      </w:r>
      <w:r w:rsidRPr="00AA5065">
        <w:rPr>
          <w:rFonts w:ascii="David" w:eastAsia="Calibri" w:hAnsi="David" w:hint="eastAsia"/>
          <w:rtl/>
        </w:rPr>
        <w:t>בתשובתו</w:t>
      </w:r>
      <w:r w:rsidRPr="00AA5065">
        <w:rPr>
          <w:rFonts w:ascii="David" w:eastAsia="Calibri" w:hAnsi="David"/>
          <w:rtl/>
        </w:rPr>
        <w:t xml:space="preserve"> </w:t>
      </w:r>
      <w:r w:rsidRPr="00AA5065">
        <w:rPr>
          <w:rFonts w:ascii="David" w:eastAsia="Calibri" w:hAnsi="David" w:hint="eastAsia"/>
          <w:rtl/>
        </w:rPr>
        <w:t>כי</w:t>
      </w:r>
      <w:r w:rsidRPr="00AA5065">
        <w:rPr>
          <w:rFonts w:ascii="David" w:eastAsia="Calibri" w:hAnsi="David"/>
          <w:rtl/>
        </w:rPr>
        <w:t xml:space="preserve"> "ישנם מספר גורמים שהובילו לירידה בהיקף כתבי האישום שהוגשו. ראשית, עומס העבודה במחוז והצורך לתעדף תיקים, הובילו לכך, שתיקים אחרים </w:t>
      </w:r>
      <w:r w:rsidRPr="00AA5065">
        <w:rPr>
          <w:rFonts w:ascii="David" w:eastAsia="Calibri" w:hAnsi="David" w:hint="cs"/>
          <w:rtl/>
        </w:rPr>
        <w:t>-</w:t>
      </w:r>
      <w:r w:rsidRPr="00AA5065">
        <w:rPr>
          <w:rFonts w:ascii="David" w:eastAsia="Calibri" w:hAnsi="David"/>
          <w:rtl/>
        </w:rPr>
        <w:t xml:space="preserve"> כגון אלימות כלפי קטינים בידי הוריהם</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תיקי גננות (</w:t>
      </w:r>
      <w:r w:rsidRPr="00AA5065">
        <w:rPr>
          <w:rFonts w:ascii="David" w:eastAsia="Calibri" w:hAnsi="David"/>
          <w:rtl/>
        </w:rPr>
        <w:t>אלימות כלפי ילדים בגן</w:t>
      </w:r>
      <w:r w:rsidRPr="00AA5065">
        <w:rPr>
          <w:rFonts w:ascii="David" w:eastAsia="Calibri" w:hAnsi="David" w:hint="cs"/>
          <w:rtl/>
        </w:rPr>
        <w:t>)</w:t>
      </w:r>
      <w:r w:rsidRPr="00AA5065">
        <w:rPr>
          <w:rFonts w:ascii="David" w:eastAsia="Calibri" w:hAnsi="David"/>
          <w:rtl/>
        </w:rPr>
        <w:t>, תאונות עבודה קטלניות, תיקי מרמה ושחיתות, ועוד זכו בקדימות לטיפול. עוד נבקש להזכיר כי מדובר בשנים שבהם אירע טבח ה</w:t>
      </w:r>
      <w:r w:rsidRPr="00AA5065">
        <w:rPr>
          <w:rFonts w:ascii="David" w:eastAsia="Calibri" w:hAnsi="David" w:hint="cs"/>
          <w:rtl/>
        </w:rPr>
        <w:t>-</w:t>
      </w:r>
      <w:r w:rsidRPr="00AA5065">
        <w:rPr>
          <w:rFonts w:ascii="David" w:eastAsia="Calibri" w:hAnsi="David"/>
          <w:rtl/>
        </w:rPr>
        <w:t>7/10 על כלל המשמעויות הנוגעות למחוז (ובין היתר גיוס מילואים, נסיבות אישיות של פרקליטות שנאלצו להתפנות ממקום מגוריהם, הקמת צוות הטיפול בפשעי מחבלי החמאס שהוטל על מחוז הדרום ועוד)". נוסף</w:t>
      </w:r>
      <w:r w:rsidRPr="00AA5065">
        <w:rPr>
          <w:rFonts w:ascii="David" w:eastAsia="Calibri" w:hAnsi="David" w:hint="cs"/>
          <w:rtl/>
        </w:rPr>
        <w:t xml:space="preserve"> על כך</w:t>
      </w:r>
      <w:r w:rsidRPr="00AA5065">
        <w:rPr>
          <w:rFonts w:ascii="David" w:eastAsia="Calibri" w:hAnsi="David"/>
          <w:rtl/>
        </w:rPr>
        <w:t xml:space="preserve"> </w:t>
      </w:r>
      <w:r w:rsidRPr="00AA5065">
        <w:rPr>
          <w:rFonts w:ascii="David" w:eastAsia="Calibri" w:hAnsi="David" w:hint="cs"/>
          <w:rtl/>
        </w:rPr>
        <w:t>הוסבר</w:t>
      </w:r>
      <w:r w:rsidRPr="00AA5065">
        <w:rPr>
          <w:rFonts w:ascii="David" w:eastAsia="Calibri" w:hAnsi="David"/>
          <w:rtl/>
        </w:rPr>
        <w:t xml:space="preserve"> כי בתגובה לאמצעי האכיפה של הפרקליטות, עברייני פוליגמיה הפסיקו להירשם בבתי הדין </w:t>
      </w:r>
      <w:r w:rsidRPr="00AA5065">
        <w:rPr>
          <w:rFonts w:ascii="David" w:eastAsia="Calibri" w:hAnsi="David" w:hint="eastAsia"/>
          <w:rtl/>
        </w:rPr>
        <w:t>השרעי</w:t>
      </w:r>
      <w:r w:rsidRPr="00AA5065">
        <w:rPr>
          <w:rFonts w:ascii="David" w:eastAsia="Calibri" w:hAnsi="David"/>
          <w:rtl/>
        </w:rPr>
        <w:t>, אשר מסמכיו היוו מסד ראייתי</w:t>
      </w:r>
      <w:r w:rsidRPr="00AA5065">
        <w:rPr>
          <w:rFonts w:ascii="David" w:eastAsia="Calibri" w:hAnsi="David" w:hint="cs"/>
          <w:rtl/>
        </w:rPr>
        <w:t xml:space="preserve"> </w:t>
      </w:r>
      <w:r w:rsidRPr="00AA5065">
        <w:rPr>
          <w:rFonts w:ascii="David" w:eastAsia="Calibri" w:hAnsi="David"/>
          <w:rtl/>
        </w:rPr>
        <w:t xml:space="preserve">לאישומים שהוגשו בעבר‏. התיקים היום נבנים על מסד ראייתי אחר, מאתגר יותר, נסיבתי יותר, ויש קושי </w:t>
      </w:r>
      <w:r w:rsidRPr="00AA5065">
        <w:rPr>
          <w:rFonts w:ascii="David" w:eastAsia="Calibri" w:hAnsi="David" w:hint="cs"/>
          <w:rtl/>
        </w:rPr>
        <w:t xml:space="preserve">גדול </w:t>
      </w:r>
      <w:r w:rsidRPr="00AA5065">
        <w:rPr>
          <w:rFonts w:ascii="David" w:eastAsia="Calibri" w:hAnsi="David"/>
          <w:rtl/>
        </w:rPr>
        <w:t>יותר להוכיח נישואין פוליגמיים. החקירות היום מורכבות יותר, משך החקירה ארוך יותר</w:t>
      </w:r>
      <w:r w:rsidRPr="00AA5065">
        <w:rPr>
          <w:rFonts w:ascii="David" w:eastAsia="Calibri" w:hAnsi="David" w:hint="cs"/>
          <w:rtl/>
        </w:rPr>
        <w:t>,</w:t>
      </w:r>
      <w:r w:rsidRPr="00AA5065">
        <w:rPr>
          <w:rFonts w:ascii="David" w:eastAsia="Calibri" w:hAnsi="David"/>
          <w:rtl/>
        </w:rPr>
        <w:t xml:space="preserve"> והתשומות שמושקעות </w:t>
      </w:r>
      <w:r w:rsidRPr="00AA5065">
        <w:rPr>
          <w:rFonts w:ascii="David" w:eastAsia="Calibri" w:hAnsi="David" w:hint="cs"/>
          <w:rtl/>
        </w:rPr>
        <w:t>ב</w:t>
      </w:r>
      <w:r w:rsidRPr="00AA5065">
        <w:rPr>
          <w:rFonts w:ascii="David" w:eastAsia="Calibri" w:hAnsi="David"/>
          <w:rtl/>
        </w:rPr>
        <w:t>כל תיק גדולות יותר</w:t>
      </w:r>
      <w:r w:rsidRPr="00AA5065">
        <w:rPr>
          <w:rFonts w:ascii="David" w:eastAsia="Calibri" w:hAnsi="David" w:hint="cs"/>
          <w:rtl/>
        </w:rPr>
        <w:t xml:space="preserve">. </w:t>
      </w:r>
      <w:r w:rsidRPr="00AA5065">
        <w:rPr>
          <w:rFonts w:ascii="David" w:eastAsia="Calibri" w:hAnsi="David"/>
          <w:rtl/>
        </w:rPr>
        <w:t xml:space="preserve">גם מבחינת עבודת הפרקליטות, התיקים מורכבים יותר </w:t>
      </w:r>
      <w:r w:rsidRPr="00AA5065">
        <w:rPr>
          <w:rFonts w:ascii="David" w:eastAsia="Calibri" w:hAnsi="David" w:hint="eastAsia"/>
          <w:rtl/>
        </w:rPr>
        <w:t>ונדרשת</w:t>
      </w:r>
      <w:r w:rsidRPr="00AA5065">
        <w:rPr>
          <w:rFonts w:ascii="David" w:eastAsia="Calibri" w:hAnsi="David"/>
          <w:rtl/>
        </w:rPr>
        <w:t xml:space="preserve"> עבודה רבה יותר. בפרקליטות מחוז דרום הוקצה תקן ייעודי לפרקליט ממונה לתחום הפוליגמיה, אשר פועל בשיתוף פעולה עם מחלק הפוליגמיה, ומתחילת שנת 2025 הוגשו 18 כתבי אישום.</w:t>
      </w:r>
      <w:r w:rsidRPr="00AA5065">
        <w:rPr>
          <w:rFonts w:ascii="David" w:eastAsia="Calibri" w:hAnsi="David" w:hint="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כמו כן, משרד המשפטים ציין בתשובתו כי "</w:t>
      </w:r>
      <w:r w:rsidRPr="00AA5065">
        <w:rPr>
          <w:rFonts w:ascii="David" w:eastAsia="Calibri" w:hAnsi="David"/>
          <w:rtl/>
        </w:rPr>
        <w:t xml:space="preserve">כחלק מפעילותו של הצוות הבין-משרדי לצמצום השלכותיה השליליות של הפוליגמיה, פרקליטות מחוז דרום מובילה צוות משנה בנושא אכיפה, לו שותפים נציגים מכלל משרדי הממשלה הרלוונטיים לרבות משטרת ישראל, החטיבה החברתית, </w:t>
      </w:r>
      <w:r w:rsidRPr="00AA5065">
        <w:rPr>
          <w:rFonts w:ascii="David" w:eastAsia="Calibri" w:hAnsi="David" w:hint="cs"/>
          <w:rtl/>
        </w:rPr>
        <w:t>בט"ל</w:t>
      </w:r>
      <w:r w:rsidRPr="00AA5065">
        <w:rPr>
          <w:rFonts w:ascii="David" w:eastAsia="Calibri" w:hAnsi="David"/>
          <w:rtl/>
        </w:rPr>
        <w:t>, רשות האוכלוסין והפרקליטות האזרחית. מטרתו של הצוות הינה לפעול להגברת אכיפה משולבת ופרואקטיבית, בכלל הרבדים האפשריים. הצוות החל לפעול וגיבש דרך פעולה לקידום האכיפה של עבירת ריבוי הנישואין, בשים לב לתמורות שחלו בהתנהגות הציבור מאז גובש דוח פלמור ובעקבות האכיפה שנלוותה אליו</w:t>
      </w:r>
      <w:r w:rsidRPr="00AA5065">
        <w:rPr>
          <w:rFonts w:ascii="David" w:eastAsia="Calibri" w:hAnsi="David"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משטרת ישראל מסרה בתשובתה כי "</w:t>
      </w:r>
      <w:r w:rsidRPr="00AA5065">
        <w:rPr>
          <w:rFonts w:ascii="David" w:eastAsia="Calibri" w:hAnsi="David"/>
          <w:rtl/>
        </w:rPr>
        <w:t>תופעת הפוליגמיה מצריכה משאבים וידע מקצועי רב ולכן מתוך הבנה כי נחוץ מחלק ייעודי שיעסוק בתחום וכחלק מהעצמת המשילות בנגב הוקם מחלק פוליגמיה בימ"ר דרום. המחלק החל לפעול בשנת 2024</w:t>
      </w:r>
      <w:r w:rsidRPr="00AA5065">
        <w:rPr>
          <w:rFonts w:ascii="David" w:eastAsia="Calibri" w:hAnsi="David" w:hint="cs"/>
          <w:rtl/>
        </w:rPr>
        <w:t xml:space="preserve">... הליך פתיחת תיקים, </w:t>
      </w:r>
      <w:r w:rsidRPr="00AA5065">
        <w:rPr>
          <w:rFonts w:ascii="David" w:eastAsia="Calibri" w:hAnsi="David"/>
          <w:rtl/>
        </w:rPr>
        <w:t>חקירתם והעברתם לעיון פרקליט נמשך מס' חודשים ולכן עד סוף שנת 2024 לא נצפו כתבי אישום.</w:t>
      </w:r>
      <w:r w:rsidRPr="00AA5065">
        <w:rPr>
          <w:rFonts w:ascii="David" w:eastAsia="Calibri" w:hAnsi="David" w:hint="cs"/>
          <w:rtl/>
        </w:rPr>
        <w:t xml:space="preserve"> </w:t>
      </w:r>
      <w:r w:rsidRPr="00AA5065">
        <w:rPr>
          <w:rFonts w:ascii="David" w:eastAsia="Calibri" w:hAnsi="David"/>
          <w:rtl/>
        </w:rPr>
        <w:t>בשנת 2025, מתיקי ימ"ר דרום בלבד הוגשו 15 כתבי אישום.</w:t>
      </w:r>
      <w:r w:rsidRPr="00AA5065">
        <w:rPr>
          <w:rFonts w:ascii="David" w:eastAsia="Calibri" w:hAnsi="David" w:hint="cs"/>
          <w:rtl/>
        </w:rPr>
        <w:t xml:space="preserve"> </w:t>
      </w:r>
      <w:r w:rsidRPr="00AA5065">
        <w:rPr>
          <w:rFonts w:ascii="David" w:eastAsia="Calibri" w:hAnsi="David"/>
          <w:rtl/>
        </w:rPr>
        <w:t>בצירוף תיקים שנפתחו ביחידות אחרות, הוגשו עד</w:t>
      </w:r>
      <w:r w:rsidRPr="00AA5065">
        <w:rPr>
          <w:rFonts w:ascii="David" w:eastAsia="Calibri" w:hAnsi="David" w:hint="cs"/>
          <w:rtl/>
        </w:rPr>
        <w:t xml:space="preserve"> </w:t>
      </w:r>
      <w:r w:rsidRPr="00AA5065">
        <w:rPr>
          <w:rFonts w:ascii="David" w:eastAsia="Calibri" w:hAnsi="David"/>
          <w:rtl/>
        </w:rPr>
        <w:t>כה בשנת 2025 כ-20 כ"א ע"י כלל יחידות המחוז</w:t>
      </w:r>
      <w:r w:rsidRPr="00AA5065">
        <w:rPr>
          <w:rFonts w:ascii="David" w:eastAsia="Calibri" w:hAnsi="David" w:hint="cs"/>
          <w:rtl/>
        </w:rPr>
        <w:t>"</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המשרד לביטחון לאומי מסר בתשובתו כי "</w:t>
      </w:r>
      <w:r w:rsidRPr="00AA5065">
        <w:rPr>
          <w:rFonts w:ascii="David" w:eastAsia="Calibri" w:hAnsi="David"/>
          <w:rtl/>
        </w:rPr>
        <w:t>ערך עבודת מטה למתן המלצות לכלים מנהליים להתמודדות עם תופעת הפוליגמיה, מתוך מטרה לצאת לתוכנית עבודה בין-משרדית לשנת 2026</w:t>
      </w:r>
      <w:r w:rsidRPr="00AA5065">
        <w:rPr>
          <w:rFonts w:ascii="David" w:eastAsia="Calibri" w:hAnsi="David" w:hint="cs"/>
          <w:rtl/>
        </w:rPr>
        <w:t>"</w:t>
      </w:r>
      <w:r w:rsidRPr="00AA5065">
        <w:rPr>
          <w:rFonts w:ascii="David" w:eastAsia="Calibri" w:hAnsi="David"/>
          <w:rtl/>
        </w:rPr>
        <w:t>.</w:t>
      </w:r>
    </w:p>
    <w:p w:rsidR="00AA5065" w:rsidRPr="00AA5065" w:rsidP="00860D89">
      <w:pPr>
        <w:spacing w:line="269" w:lineRule="auto"/>
        <w:rPr>
          <w:rFonts w:eastAsia="Calibri"/>
          <w:rtl/>
        </w:rPr>
      </w:pPr>
    </w:p>
    <w:p w:rsidR="00AA5065" w:rsidRPr="00AA5065" w:rsidP="007A1406">
      <w:pPr>
        <w:keepNext/>
        <w:keepLines/>
        <w:spacing w:before="120" w:line="269" w:lineRule="auto"/>
        <w:outlineLvl w:val="3"/>
        <w:rPr>
          <w:rFonts w:eastAsia="Times New Roman"/>
          <w:bCs/>
          <w:szCs w:val="26"/>
          <w:rtl/>
        </w:rPr>
      </w:pPr>
      <w:r w:rsidRPr="00AA5065">
        <w:rPr>
          <w:rFonts w:eastAsia="Times New Roman" w:hint="cs"/>
          <w:bCs/>
          <w:szCs w:val="26"/>
          <w:rtl/>
        </w:rPr>
        <w:t>טיפול פרקליטות מחוז דרום בתיקי פוליגמיה</w:t>
      </w:r>
    </w:p>
    <w:p w:rsidR="00AA5065" w:rsidRPr="00AA5065" w:rsidP="00860D89">
      <w:pPr>
        <w:spacing w:line="269" w:lineRule="auto"/>
        <w:rPr>
          <w:rFonts w:eastAsia="Calibri"/>
          <w:rtl/>
        </w:rPr>
      </w:pPr>
    </w:p>
    <w:p w:rsidR="00AA5065" w:rsidRPr="00AA5065" w:rsidP="002A07BA">
      <w:pPr>
        <w:pStyle w:val="Heading7"/>
        <w:rPr>
          <w:rFonts w:eastAsia="Times New Roman"/>
          <w:rtl/>
        </w:rPr>
      </w:pPr>
      <w:r w:rsidRPr="00AA5065">
        <w:rPr>
          <w:rFonts w:eastAsia="Times New Roman"/>
          <w:rtl/>
        </w:rPr>
        <w:t xml:space="preserve">הנושא המפורט להלן נבדק לראשונה במסגרת ביקורת זו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בביקורת המעקב נבחן הטיפול בתיקי פוליגמיה שהועברו מהמשטרה לפרקליטות בשנים 2017 עד 2024.</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מאוקטובר 2024 תיקי פוליגמיה מטופלים על ידי יחידה ייעודית שהוקמה בימ"ר</w:t>
      </w:r>
      <w:r>
        <w:rPr>
          <w:rFonts w:ascii="David" w:eastAsia="Calibri" w:hAnsi="David"/>
          <w:vertAlign w:val="superscript"/>
          <w:rtl/>
        </w:rPr>
        <w:footnoteReference w:id="18"/>
      </w:r>
      <w:r w:rsidRPr="00AA5065">
        <w:rPr>
          <w:rFonts w:ascii="David" w:eastAsia="Calibri" w:hAnsi="David" w:hint="cs"/>
          <w:rtl/>
        </w:rPr>
        <w:t xml:space="preserve"> דרום של המשטרה. החוקרים ביחידה מכינים את התיקים בליווי פרקליט מלווה ייעודי. לאחר השלמת עבודת המשטרה מועברים התיקים לפרקליטות בצירוף המלצה לסגירה (גניזה) או להעמדה לדין. תיקים המכילים המלצה להעמדה לדין מועברים לשלב ההכנה ובסופו מתקבלת החלטה בפרקליטות אם להגיש כתב אישום או לא, וזאת לאחר עיון בחומר הראיות.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cs"/>
          <w:rtl/>
        </w:rPr>
        <w:t>לוח 3</w:t>
      </w:r>
      <w:r w:rsidRPr="00AA5065">
        <w:rPr>
          <w:rFonts w:ascii="David" w:eastAsia="Calibri" w:hAnsi="David"/>
          <w:rtl/>
        </w:rPr>
        <w:t xml:space="preserve"> </w:t>
      </w:r>
      <w:r w:rsidRPr="00AA5065">
        <w:rPr>
          <w:rFonts w:ascii="David" w:eastAsia="Calibri" w:hAnsi="David" w:hint="cs"/>
          <w:rtl/>
        </w:rPr>
        <w:t xml:space="preserve">שלהלן </w:t>
      </w:r>
      <w:r w:rsidRPr="00AA5065">
        <w:rPr>
          <w:rFonts w:ascii="David" w:eastAsia="Calibri" w:hAnsi="David"/>
          <w:rtl/>
        </w:rPr>
        <w:t>מציג את מספר תיקי הפוליגמיה שנפתחו</w:t>
      </w:r>
      <w:r>
        <w:rPr>
          <w:rFonts w:ascii="David" w:eastAsia="Calibri" w:hAnsi="David"/>
          <w:vertAlign w:val="superscript"/>
          <w:rtl/>
        </w:rPr>
        <w:footnoteReference w:id="19"/>
      </w:r>
      <w:r w:rsidRPr="00AA5065">
        <w:rPr>
          <w:rFonts w:ascii="David" w:eastAsia="Calibri" w:hAnsi="David"/>
          <w:rtl/>
        </w:rPr>
        <w:t xml:space="preserve"> בפרקליטות מחוז דרום</w:t>
      </w:r>
      <w:r w:rsidRPr="00AA5065">
        <w:rPr>
          <w:rFonts w:ascii="David" w:eastAsia="Calibri" w:hAnsi="David" w:hint="cs"/>
          <w:rtl/>
        </w:rPr>
        <w:t xml:space="preserve"> (פלילי)</w:t>
      </w:r>
      <w:r w:rsidRPr="00AA5065">
        <w:rPr>
          <w:rFonts w:ascii="David" w:eastAsia="Calibri" w:hAnsi="David"/>
          <w:rtl/>
        </w:rPr>
        <w:t>, ו</w:t>
      </w:r>
      <w:r w:rsidRPr="00AA5065">
        <w:rPr>
          <w:rFonts w:ascii="David" w:eastAsia="Calibri" w:hAnsi="David" w:hint="cs"/>
          <w:rtl/>
        </w:rPr>
        <w:t xml:space="preserve">בהם </w:t>
      </w:r>
      <w:r w:rsidRPr="00AA5065">
        <w:rPr>
          <w:rFonts w:ascii="David" w:eastAsia="Calibri" w:hAnsi="David"/>
          <w:rtl/>
        </w:rPr>
        <w:t>תיקים שנגנזו</w:t>
      </w:r>
      <w:r>
        <w:rPr>
          <w:rFonts w:ascii="David" w:eastAsia="Calibri" w:hAnsi="David"/>
          <w:vertAlign w:val="superscript"/>
          <w:rtl/>
        </w:rPr>
        <w:footnoteReference w:id="20"/>
      </w:r>
      <w:r w:rsidRPr="00AA5065">
        <w:rPr>
          <w:rFonts w:ascii="David" w:eastAsia="Calibri" w:hAnsi="David"/>
          <w:rtl/>
        </w:rPr>
        <w:t>,</w:t>
      </w:r>
      <w:r w:rsidRPr="00AA5065">
        <w:rPr>
          <w:rFonts w:ascii="David" w:eastAsia="Calibri" w:hAnsi="David" w:hint="cs"/>
          <w:rtl/>
        </w:rPr>
        <w:t xml:space="preserve"> ה</w:t>
      </w:r>
      <w:r w:rsidRPr="00AA5065">
        <w:rPr>
          <w:rFonts w:ascii="David" w:eastAsia="Calibri" w:hAnsi="David"/>
          <w:rtl/>
        </w:rPr>
        <w:t xml:space="preserve">תיקים </w:t>
      </w:r>
      <w:r w:rsidRPr="00AA5065">
        <w:rPr>
          <w:rFonts w:ascii="David" w:eastAsia="Calibri" w:hAnsi="David" w:hint="cs"/>
          <w:rtl/>
        </w:rPr>
        <w:t>ש</w:t>
      </w:r>
      <w:r w:rsidRPr="00AA5065">
        <w:rPr>
          <w:rFonts w:ascii="David" w:eastAsia="Calibri" w:hAnsi="David"/>
          <w:rtl/>
        </w:rPr>
        <w:t>מתנהלים</w:t>
      </w:r>
      <w:r>
        <w:rPr>
          <w:rFonts w:ascii="David" w:eastAsia="Calibri" w:hAnsi="David"/>
          <w:vertAlign w:val="superscript"/>
          <w:rtl/>
        </w:rPr>
        <w:footnoteReference w:id="21"/>
      </w:r>
      <w:r w:rsidRPr="00AA5065">
        <w:rPr>
          <w:rFonts w:ascii="David" w:eastAsia="Calibri" w:hAnsi="David"/>
          <w:rtl/>
        </w:rPr>
        <w:t xml:space="preserve">, </w:t>
      </w:r>
      <w:r w:rsidRPr="00AA5065">
        <w:rPr>
          <w:rFonts w:ascii="David" w:eastAsia="Calibri" w:hAnsi="David" w:hint="cs"/>
          <w:rtl/>
        </w:rPr>
        <w:t>ה</w:t>
      </w:r>
      <w:r w:rsidRPr="00AA5065">
        <w:rPr>
          <w:rFonts w:ascii="David" w:eastAsia="Calibri" w:hAnsi="David"/>
          <w:rtl/>
        </w:rPr>
        <w:t xml:space="preserve">תיקים שהוחזרו לגוף החוקר, </w:t>
      </w:r>
      <w:r w:rsidRPr="00AA5065">
        <w:rPr>
          <w:rFonts w:ascii="David" w:eastAsia="Calibri" w:hAnsi="David" w:hint="cs"/>
          <w:rtl/>
        </w:rPr>
        <w:t>ה</w:t>
      </w:r>
      <w:r w:rsidRPr="00AA5065">
        <w:rPr>
          <w:rFonts w:ascii="David" w:eastAsia="Calibri" w:hAnsi="David"/>
          <w:rtl/>
        </w:rPr>
        <w:t xml:space="preserve">תיקים </w:t>
      </w:r>
      <w:r w:rsidRPr="00AA5065">
        <w:rPr>
          <w:rFonts w:ascii="David" w:eastAsia="Calibri" w:hAnsi="David" w:hint="cs"/>
          <w:rtl/>
        </w:rPr>
        <w:t xml:space="preserve">שנמצאים </w:t>
      </w:r>
      <w:r w:rsidRPr="00AA5065">
        <w:rPr>
          <w:rFonts w:ascii="David" w:eastAsia="Calibri" w:hAnsi="David"/>
          <w:rtl/>
        </w:rPr>
        <w:t>בשלבי הכנה</w:t>
      </w:r>
      <w:r>
        <w:rPr>
          <w:rFonts w:ascii="David" w:eastAsia="Calibri" w:hAnsi="David"/>
          <w:vertAlign w:val="superscript"/>
          <w:rtl/>
        </w:rPr>
        <w:footnoteReference w:id="22"/>
      </w:r>
      <w:r w:rsidRPr="00AA5065">
        <w:rPr>
          <w:rFonts w:ascii="David" w:eastAsia="Calibri" w:hAnsi="David"/>
          <w:rtl/>
        </w:rPr>
        <w:t xml:space="preserve"> ו</w:t>
      </w:r>
      <w:r w:rsidRPr="00AA5065">
        <w:rPr>
          <w:rFonts w:ascii="David" w:eastAsia="Calibri" w:hAnsi="David" w:hint="cs"/>
          <w:rtl/>
        </w:rPr>
        <w:t>ה</w:t>
      </w:r>
      <w:r w:rsidRPr="00AA5065">
        <w:rPr>
          <w:rFonts w:ascii="David" w:eastAsia="Calibri" w:hAnsi="David"/>
          <w:rtl/>
        </w:rPr>
        <w:t>תיקים שנסגרו לאחר הליך שיפוטי</w:t>
      </w:r>
      <w:r>
        <w:rPr>
          <w:rFonts w:ascii="David" w:eastAsia="Calibri" w:hAnsi="David"/>
          <w:vertAlign w:val="superscript"/>
          <w:rtl/>
        </w:rPr>
        <w:footnoteReference w:id="23"/>
      </w:r>
      <w:r w:rsidRPr="00AA5065">
        <w:rPr>
          <w:rFonts w:ascii="David" w:eastAsia="Calibri" w:hAnsi="David"/>
          <w:rtl/>
        </w:rPr>
        <w:t xml:space="preserve"> במחוז דרום, בחלוקה לשנים 2017 </w:t>
      </w:r>
      <w:r w:rsidRPr="00AA5065">
        <w:rPr>
          <w:rFonts w:ascii="David" w:eastAsia="Calibri" w:hAnsi="David" w:hint="cs"/>
          <w:rtl/>
        </w:rPr>
        <w:t>עד</w:t>
      </w:r>
      <w:r w:rsidRPr="00AA5065">
        <w:rPr>
          <w:rFonts w:ascii="David" w:eastAsia="Calibri" w:hAnsi="David"/>
          <w:rtl/>
        </w:rPr>
        <w:t xml:space="preserve"> 2020 ו-2021 </w:t>
      </w:r>
      <w:r w:rsidRPr="00AA5065">
        <w:rPr>
          <w:rFonts w:ascii="David" w:eastAsia="Calibri" w:hAnsi="David" w:hint="cs"/>
          <w:rtl/>
        </w:rPr>
        <w:t>עד</w:t>
      </w:r>
      <w:r w:rsidRPr="00AA5065">
        <w:rPr>
          <w:rFonts w:ascii="David" w:eastAsia="Calibri" w:hAnsi="David"/>
          <w:rtl/>
        </w:rPr>
        <w:t xml:space="preserve"> 2024.</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ascii="David" w:eastAsia="Calibri" w:hAnsi="David"/>
          <w:b/>
          <w:bCs/>
          <w:rtl/>
        </w:rPr>
      </w:pPr>
      <w:r w:rsidRPr="00AA5065">
        <w:rPr>
          <w:rFonts w:ascii="David" w:eastAsia="Calibri" w:hAnsi="David" w:hint="cs"/>
          <w:rtl/>
        </w:rPr>
        <w:t>לוח 3:</w:t>
      </w:r>
      <w:r w:rsidRPr="00AA5065">
        <w:rPr>
          <w:rFonts w:ascii="David" w:eastAsia="Calibri" w:hAnsi="David"/>
          <w:rtl/>
        </w:rPr>
        <w:t xml:space="preserve"> </w:t>
      </w:r>
      <w:r w:rsidRPr="00AA5065">
        <w:rPr>
          <w:rFonts w:ascii="David" w:eastAsia="Calibri" w:hAnsi="David"/>
          <w:b/>
          <w:bCs/>
          <w:rtl/>
        </w:rPr>
        <w:t xml:space="preserve">תיקי </w:t>
      </w:r>
      <w:r w:rsidRPr="00AA5065">
        <w:rPr>
          <w:rFonts w:ascii="David" w:eastAsia="Calibri" w:hAnsi="David" w:hint="cs"/>
          <w:b/>
          <w:bCs/>
          <w:rtl/>
        </w:rPr>
        <w:t>ה</w:t>
      </w:r>
      <w:r w:rsidRPr="00AA5065">
        <w:rPr>
          <w:rFonts w:ascii="David" w:eastAsia="Calibri" w:hAnsi="David"/>
          <w:b/>
          <w:bCs/>
          <w:rtl/>
        </w:rPr>
        <w:t xml:space="preserve">פוליגמיה שנפתחו </w:t>
      </w:r>
      <w:r w:rsidRPr="00AA5065">
        <w:rPr>
          <w:rFonts w:ascii="David" w:eastAsia="Calibri" w:hAnsi="David" w:hint="cs"/>
          <w:b/>
          <w:bCs/>
          <w:rtl/>
        </w:rPr>
        <w:t>בפרקליטות מחוז דרום (פלילי) ובהם התיקים ש</w:t>
      </w:r>
      <w:r w:rsidRPr="00AA5065">
        <w:rPr>
          <w:rFonts w:ascii="David" w:eastAsia="Calibri" w:hAnsi="David"/>
          <w:b/>
          <w:bCs/>
          <w:rtl/>
        </w:rPr>
        <w:t xml:space="preserve">נגנזו, </w:t>
      </w:r>
      <w:r w:rsidRPr="00AA5065">
        <w:rPr>
          <w:rFonts w:ascii="David" w:eastAsia="Calibri" w:hAnsi="David" w:hint="cs"/>
          <w:b/>
          <w:bCs/>
          <w:rtl/>
        </w:rPr>
        <w:t>ש</w:t>
      </w:r>
      <w:r w:rsidRPr="00AA5065">
        <w:rPr>
          <w:rFonts w:ascii="David" w:eastAsia="Calibri" w:hAnsi="David"/>
          <w:b/>
          <w:bCs/>
          <w:rtl/>
        </w:rPr>
        <w:t xml:space="preserve">מתנהלים, </w:t>
      </w:r>
      <w:r w:rsidRPr="00AA5065">
        <w:rPr>
          <w:rFonts w:ascii="David" w:eastAsia="Calibri" w:hAnsi="David" w:hint="cs"/>
          <w:b/>
          <w:bCs/>
          <w:rtl/>
        </w:rPr>
        <w:t>ש</w:t>
      </w:r>
      <w:r w:rsidRPr="00AA5065">
        <w:rPr>
          <w:rFonts w:ascii="David" w:eastAsia="Calibri" w:hAnsi="David"/>
          <w:b/>
          <w:bCs/>
          <w:rtl/>
        </w:rPr>
        <w:t xml:space="preserve">הוחזרו לגוף החוקר, </w:t>
      </w:r>
      <w:r w:rsidRPr="00AA5065">
        <w:rPr>
          <w:rFonts w:ascii="David" w:eastAsia="Calibri" w:hAnsi="David" w:hint="cs"/>
          <w:b/>
          <w:bCs/>
          <w:rtl/>
        </w:rPr>
        <w:t xml:space="preserve">שנמצאים </w:t>
      </w:r>
      <w:r w:rsidRPr="00AA5065">
        <w:rPr>
          <w:rFonts w:ascii="David" w:eastAsia="Calibri" w:hAnsi="David"/>
          <w:b/>
          <w:bCs/>
          <w:rtl/>
        </w:rPr>
        <w:t>בשלבי הכנה ושנסגרו לאחר הליך שיפוטי במחוז דרום, 2017 - 2020, 2021 - 2024</w:t>
      </w:r>
    </w:p>
    <w:tbl>
      <w:tblPr>
        <w:tblStyle w:val="5-11"/>
        <w:bidiVisual/>
        <w:tblW w:w="8047" w:type="dxa"/>
        <w:tblInd w:w="45" w:type="dxa"/>
        <w:tblLook w:val="04A0"/>
      </w:tblPr>
      <w:tblGrid>
        <w:gridCol w:w="1283"/>
        <w:gridCol w:w="1017"/>
        <w:gridCol w:w="1158"/>
        <w:gridCol w:w="1130"/>
        <w:gridCol w:w="1041"/>
        <w:gridCol w:w="1272"/>
        <w:gridCol w:w="1146"/>
      </w:tblGrid>
      <w:tr w:rsidTr="00AA5065">
        <w:tblPrEx>
          <w:tblW w:w="8047" w:type="dxa"/>
          <w:tblInd w:w="45" w:type="dxa"/>
          <w:tblLook w:val="04A0"/>
        </w:tblPrEx>
        <w:trPr>
          <w:trHeight w:val="924"/>
        </w:trPr>
        <w:tc>
          <w:tcPr>
            <w:tcW w:w="1283" w:type="dxa"/>
            <w:hideMark/>
          </w:tcPr>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תקופה</w:t>
            </w:r>
          </w:p>
        </w:tc>
        <w:tc>
          <w:tcPr>
            <w:tcW w:w="1017"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תיקים שנפתחו</w:t>
            </w:r>
          </w:p>
        </w:tc>
        <w:tc>
          <w:tcPr>
            <w:tcW w:w="1158"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תיקים שנגנזו</w:t>
            </w:r>
          </w:p>
        </w:tc>
        <w:tc>
          <w:tcPr>
            <w:tcW w:w="1130"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התיקים ש</w:t>
            </w:r>
            <w:r w:rsidRPr="00AA5065">
              <w:rPr>
                <w:rFonts w:ascii="David" w:eastAsia="Calibri" w:hAnsi="David"/>
                <w:color w:val="000000"/>
                <w:sz w:val="22"/>
                <w:szCs w:val="22"/>
                <w:rtl/>
              </w:rPr>
              <w:t>מתנהלים</w:t>
            </w:r>
          </w:p>
        </w:tc>
        <w:tc>
          <w:tcPr>
            <w:tcW w:w="1041"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התיקים ש</w:t>
            </w:r>
            <w:r w:rsidRPr="00AA5065">
              <w:rPr>
                <w:rFonts w:ascii="David" w:eastAsia="Calibri" w:hAnsi="David"/>
                <w:color w:val="000000"/>
                <w:sz w:val="22"/>
                <w:szCs w:val="22"/>
                <w:rtl/>
              </w:rPr>
              <w:t>הוחזר</w:t>
            </w:r>
            <w:r w:rsidRPr="00AA5065">
              <w:rPr>
                <w:rFonts w:ascii="David" w:eastAsia="Calibri" w:hAnsi="David" w:hint="cs"/>
                <w:color w:val="000000"/>
                <w:sz w:val="22"/>
                <w:szCs w:val="22"/>
                <w:rtl/>
              </w:rPr>
              <w:t>ו</w:t>
            </w:r>
            <w:r w:rsidRPr="00AA5065">
              <w:rPr>
                <w:rFonts w:ascii="David" w:eastAsia="Calibri" w:hAnsi="David"/>
                <w:color w:val="000000"/>
                <w:sz w:val="22"/>
                <w:szCs w:val="22"/>
                <w:rtl/>
              </w:rPr>
              <w:t xml:space="preserve"> לגוף החוקר</w:t>
            </w:r>
          </w:p>
        </w:tc>
        <w:tc>
          <w:tcPr>
            <w:tcW w:w="1272"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 xml:space="preserve">התיקים שנמצאים </w:t>
            </w:r>
            <w:r w:rsidRPr="00AA5065">
              <w:rPr>
                <w:rFonts w:ascii="David" w:eastAsia="Calibri" w:hAnsi="David"/>
                <w:color w:val="000000"/>
                <w:sz w:val="22"/>
                <w:szCs w:val="22"/>
                <w:rtl/>
              </w:rPr>
              <w:t>בשלב</w:t>
            </w:r>
            <w:r w:rsidRPr="00AA5065">
              <w:rPr>
                <w:rFonts w:ascii="David" w:eastAsia="Calibri" w:hAnsi="David" w:hint="cs"/>
                <w:color w:val="000000"/>
                <w:sz w:val="22"/>
                <w:szCs w:val="22"/>
                <w:rtl/>
              </w:rPr>
              <w:t>י</w:t>
            </w:r>
            <w:r w:rsidRPr="00AA5065">
              <w:rPr>
                <w:rFonts w:ascii="David" w:eastAsia="Calibri" w:hAnsi="David"/>
                <w:color w:val="000000"/>
                <w:sz w:val="22"/>
                <w:szCs w:val="22"/>
                <w:rtl/>
              </w:rPr>
              <w:t xml:space="preserve"> הכנה</w:t>
            </w:r>
          </w:p>
        </w:tc>
        <w:tc>
          <w:tcPr>
            <w:tcW w:w="1146"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התיקים ש</w:t>
            </w:r>
            <w:r w:rsidRPr="00AA5065">
              <w:rPr>
                <w:rFonts w:ascii="David" w:eastAsia="Calibri" w:hAnsi="David"/>
                <w:color w:val="000000"/>
                <w:sz w:val="22"/>
                <w:szCs w:val="22"/>
                <w:rtl/>
              </w:rPr>
              <w:t>נסגרו לאחר הליך שיפוטי</w:t>
            </w:r>
          </w:p>
        </w:tc>
      </w:tr>
      <w:tr w:rsidTr="00AA5065">
        <w:tblPrEx>
          <w:tblW w:w="8047" w:type="dxa"/>
          <w:tblInd w:w="45" w:type="dxa"/>
          <w:tblLook w:val="04A0"/>
        </w:tblPrEx>
        <w:trPr>
          <w:trHeight w:val="542"/>
        </w:trPr>
        <w:tc>
          <w:tcPr>
            <w:tcW w:w="128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2020 - 2017</w:t>
            </w:r>
          </w:p>
        </w:tc>
        <w:tc>
          <w:tcPr>
            <w:tcW w:w="101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386</w:t>
            </w:r>
          </w:p>
        </w:tc>
        <w:tc>
          <w:tcPr>
            <w:tcW w:w="1158"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341</w:t>
            </w:r>
          </w:p>
        </w:tc>
        <w:tc>
          <w:tcPr>
            <w:tcW w:w="113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7</w:t>
            </w:r>
          </w:p>
        </w:tc>
        <w:tc>
          <w:tcPr>
            <w:tcW w:w="104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w:t>
            </w:r>
          </w:p>
        </w:tc>
        <w:tc>
          <w:tcPr>
            <w:tcW w:w="127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w:t>
            </w:r>
          </w:p>
        </w:tc>
        <w:tc>
          <w:tcPr>
            <w:tcW w:w="1146"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34</w:t>
            </w:r>
          </w:p>
        </w:tc>
      </w:tr>
      <w:tr w:rsidTr="00AA5065">
        <w:tblPrEx>
          <w:tblW w:w="8047" w:type="dxa"/>
          <w:tblInd w:w="45" w:type="dxa"/>
          <w:tblLook w:val="04A0"/>
        </w:tblPrEx>
        <w:trPr>
          <w:trHeight w:val="542"/>
        </w:trPr>
        <w:tc>
          <w:tcPr>
            <w:tcW w:w="128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2024 - 2021</w:t>
            </w:r>
          </w:p>
        </w:tc>
        <w:tc>
          <w:tcPr>
            <w:tcW w:w="101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132</w:t>
            </w:r>
          </w:p>
        </w:tc>
        <w:tc>
          <w:tcPr>
            <w:tcW w:w="1158"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118</w:t>
            </w:r>
          </w:p>
        </w:tc>
        <w:tc>
          <w:tcPr>
            <w:tcW w:w="113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w:t>
            </w:r>
          </w:p>
        </w:tc>
        <w:tc>
          <w:tcPr>
            <w:tcW w:w="104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w:t>
            </w:r>
          </w:p>
        </w:tc>
        <w:tc>
          <w:tcPr>
            <w:tcW w:w="127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7</w:t>
            </w:r>
          </w:p>
        </w:tc>
        <w:tc>
          <w:tcPr>
            <w:tcW w:w="1146"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w:t>
            </w:r>
          </w:p>
        </w:tc>
      </w:tr>
    </w:tbl>
    <w:p w:rsidR="00AA5065" w:rsidRPr="00AA5065" w:rsidP="00860D89">
      <w:pPr>
        <w:spacing w:line="269" w:lineRule="auto"/>
        <w:rPr>
          <w:rFonts w:ascii="David" w:eastAsia="Calibri" w:hAnsi="David"/>
          <w:szCs w:val="20"/>
          <w:rtl/>
        </w:rPr>
      </w:pPr>
      <w:r w:rsidRPr="00AA5065">
        <w:rPr>
          <w:rFonts w:ascii="David" w:eastAsia="Calibri" w:hAnsi="David" w:hint="eastAsia"/>
          <w:szCs w:val="20"/>
          <w:rtl/>
        </w:rPr>
        <w:t>על</w:t>
      </w:r>
      <w:r w:rsidRPr="00AA5065">
        <w:rPr>
          <w:rFonts w:ascii="David" w:eastAsia="Calibri" w:hAnsi="David"/>
          <w:szCs w:val="20"/>
          <w:rtl/>
        </w:rPr>
        <w:t xml:space="preserve"> </w:t>
      </w:r>
      <w:r w:rsidRPr="00AA5065">
        <w:rPr>
          <w:rFonts w:ascii="David" w:eastAsia="Calibri" w:hAnsi="David" w:hint="eastAsia"/>
          <w:szCs w:val="20"/>
          <w:rtl/>
        </w:rPr>
        <w:t>פי</w:t>
      </w:r>
      <w:r w:rsidRPr="00AA5065">
        <w:rPr>
          <w:rFonts w:ascii="David" w:eastAsia="Calibri" w:hAnsi="David"/>
          <w:szCs w:val="20"/>
          <w:rtl/>
        </w:rPr>
        <w:t xml:space="preserve"> </w:t>
      </w:r>
      <w:r w:rsidRPr="00AA5065">
        <w:rPr>
          <w:rFonts w:ascii="David" w:eastAsia="Calibri" w:hAnsi="David" w:hint="eastAsia"/>
          <w:szCs w:val="20"/>
          <w:rtl/>
        </w:rPr>
        <w:t>נתוני</w:t>
      </w:r>
      <w:r w:rsidRPr="00AA5065">
        <w:rPr>
          <w:rFonts w:ascii="David" w:eastAsia="Calibri" w:hAnsi="David"/>
          <w:szCs w:val="20"/>
          <w:rtl/>
        </w:rPr>
        <w:t xml:space="preserve"> פרקליטות מחוז דרום.</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b/>
          <w:bCs/>
          <w:rtl/>
        </w:rPr>
        <w:t xml:space="preserve">מנתוני </w:t>
      </w:r>
      <w:r w:rsidRPr="00AA5065">
        <w:rPr>
          <w:rFonts w:ascii="David" w:eastAsia="Calibri" w:hAnsi="David" w:hint="cs"/>
          <w:b/>
          <w:bCs/>
          <w:rtl/>
        </w:rPr>
        <w:t>הלוח</w:t>
      </w:r>
      <w:r w:rsidRPr="00AA5065">
        <w:rPr>
          <w:rFonts w:ascii="David" w:eastAsia="Calibri" w:hAnsi="David"/>
          <w:b/>
          <w:bCs/>
          <w:rtl/>
        </w:rPr>
        <w:t xml:space="preserve"> עולה כי חלה ירידה מהותית במספר התיקים</w:t>
      </w:r>
      <w:r w:rsidRPr="00AA5065">
        <w:rPr>
          <w:rFonts w:ascii="David" w:eastAsia="Calibri" w:hAnsi="David" w:hint="cs"/>
          <w:b/>
          <w:bCs/>
          <w:rtl/>
        </w:rPr>
        <w:t xml:space="preserve"> שנפתחו, ובמספר התיקים</w:t>
      </w:r>
      <w:r w:rsidRPr="00AA5065">
        <w:rPr>
          <w:rFonts w:ascii="David" w:eastAsia="Calibri" w:hAnsi="David"/>
          <w:b/>
          <w:bCs/>
          <w:rtl/>
        </w:rPr>
        <w:t xml:space="preserve"> שנסגרו לאחר הליך שיפוטי</w:t>
      </w:r>
      <w:r w:rsidRPr="00AA5065">
        <w:rPr>
          <w:rFonts w:ascii="David" w:eastAsia="Calibri" w:hAnsi="David" w:hint="cs"/>
          <w:b/>
          <w:bCs/>
          <w:rtl/>
        </w:rPr>
        <w:t xml:space="preserve">: </w:t>
      </w:r>
      <w:r w:rsidRPr="00AA5065">
        <w:rPr>
          <w:rFonts w:ascii="David" w:eastAsia="Calibri" w:hAnsi="David"/>
          <w:b/>
          <w:bCs/>
          <w:rtl/>
        </w:rPr>
        <w:t xml:space="preserve">בעוד שבשנים 2017 - 2020 ‏נפתחו 386 תיקים, בשנים 2021 </w:t>
      </w:r>
      <w:r w:rsidRPr="00AA5065">
        <w:rPr>
          <w:rFonts w:ascii="David" w:eastAsia="Calibri" w:hAnsi="David" w:hint="cs"/>
          <w:b/>
          <w:bCs/>
          <w:rtl/>
        </w:rPr>
        <w:t>-</w:t>
      </w:r>
      <w:r w:rsidRPr="00AA5065">
        <w:rPr>
          <w:rFonts w:ascii="David" w:eastAsia="Calibri" w:hAnsi="David"/>
          <w:b/>
          <w:bCs/>
          <w:rtl/>
        </w:rPr>
        <w:t xml:space="preserve"> 2024 נפתחו 132 תיקים בלבד.‏ בשנים 2017 </w:t>
      </w:r>
      <w:r w:rsidRPr="00AA5065">
        <w:rPr>
          <w:rFonts w:ascii="David" w:eastAsia="Calibri" w:hAnsi="David" w:hint="cs"/>
          <w:b/>
          <w:bCs/>
          <w:rtl/>
        </w:rPr>
        <w:t>עד</w:t>
      </w:r>
      <w:r w:rsidRPr="00AA5065">
        <w:rPr>
          <w:rFonts w:ascii="David" w:eastAsia="Calibri" w:hAnsi="David"/>
          <w:b/>
          <w:bCs/>
          <w:rtl/>
        </w:rPr>
        <w:t xml:space="preserve"> 2020 ‏34 תיקים </w:t>
      </w:r>
      <w:r w:rsidRPr="00AA5065">
        <w:rPr>
          <w:rFonts w:ascii="David" w:eastAsia="Calibri" w:hAnsi="David" w:hint="cs"/>
          <w:b/>
          <w:bCs/>
          <w:rtl/>
        </w:rPr>
        <w:t xml:space="preserve">נסגרו </w:t>
      </w:r>
      <w:r w:rsidRPr="00AA5065">
        <w:rPr>
          <w:rFonts w:ascii="David" w:eastAsia="Calibri" w:hAnsi="David"/>
          <w:b/>
          <w:bCs/>
          <w:rtl/>
        </w:rPr>
        <w:t xml:space="preserve">במסגרת הליך שיפוטי </w:t>
      </w:r>
      <w:r w:rsidRPr="00AA5065">
        <w:rPr>
          <w:rFonts w:ascii="David" w:eastAsia="Calibri" w:hAnsi="David" w:hint="cs"/>
          <w:b/>
          <w:bCs/>
          <w:rtl/>
        </w:rPr>
        <w:t>ו</w:t>
      </w:r>
      <w:r w:rsidRPr="00AA5065">
        <w:rPr>
          <w:rFonts w:ascii="David" w:eastAsia="Calibri" w:hAnsi="David"/>
          <w:b/>
          <w:bCs/>
          <w:rtl/>
        </w:rPr>
        <w:t xml:space="preserve">-88% מהתיקים נגנזו, </w:t>
      </w:r>
      <w:r w:rsidRPr="00AA5065">
        <w:rPr>
          <w:rFonts w:ascii="David" w:eastAsia="Calibri" w:hAnsi="David" w:hint="cs"/>
          <w:b/>
          <w:bCs/>
          <w:rtl/>
        </w:rPr>
        <w:t xml:space="preserve">ואילו </w:t>
      </w:r>
      <w:r w:rsidRPr="00AA5065">
        <w:rPr>
          <w:rFonts w:ascii="David" w:eastAsia="Calibri" w:hAnsi="David"/>
          <w:b/>
          <w:bCs/>
          <w:rtl/>
        </w:rPr>
        <w:t xml:space="preserve">בשנים </w:t>
      </w:r>
      <w:r w:rsidRPr="00AA5065">
        <w:rPr>
          <w:rFonts w:ascii="David" w:eastAsia="Calibri" w:hAnsi="David" w:hint="cs"/>
          <w:b/>
          <w:bCs/>
          <w:rtl/>
        </w:rPr>
        <w:t xml:space="preserve">2021 עד 2024 </w:t>
      </w:r>
      <w:r w:rsidRPr="00AA5065">
        <w:rPr>
          <w:rFonts w:ascii="David" w:eastAsia="Calibri" w:hAnsi="David"/>
          <w:b/>
          <w:bCs/>
          <w:rtl/>
        </w:rPr>
        <w:t>נסגרו בהליך שיפוטי 2 תיקים בלבד. שיעור התיקים שנגנזו נותר כמעט ללא שינוי</w:t>
      </w:r>
      <w:r w:rsidRPr="00AA5065">
        <w:rPr>
          <w:rFonts w:ascii="David" w:eastAsia="Calibri" w:hAnsi="David" w:hint="cs"/>
          <w:b/>
          <w:bCs/>
          <w:rtl/>
        </w:rPr>
        <w:t xml:space="preserve"> </w:t>
      </w:r>
      <w:bookmarkStart w:id="20" w:name="_Hlk204686203"/>
      <w:r w:rsidRPr="00AA5065">
        <w:rPr>
          <w:rFonts w:ascii="David" w:eastAsia="Calibri" w:hAnsi="David"/>
          <w:b/>
          <w:bCs/>
          <w:rtl/>
        </w:rPr>
        <w:t>118 תיקים</w:t>
      </w:r>
      <w:r w:rsidRPr="00AA5065">
        <w:rPr>
          <w:rFonts w:ascii="David" w:eastAsia="Calibri" w:hAnsi="David" w:hint="cs"/>
          <w:b/>
          <w:bCs/>
          <w:rtl/>
        </w:rPr>
        <w:t xml:space="preserve"> </w:t>
      </w:r>
      <w:r w:rsidRPr="00AA5065">
        <w:rPr>
          <w:rFonts w:ascii="David" w:eastAsia="Calibri" w:hAnsi="David"/>
          <w:b/>
          <w:bCs/>
          <w:rtl/>
        </w:rPr>
        <w:t>(‏89</w:t>
      </w:r>
      <w:r w:rsidRPr="00AA5065">
        <w:rPr>
          <w:rFonts w:ascii="David" w:eastAsia="Calibri" w:hAnsi="David" w:hint="cs"/>
          <w:b/>
          <w:bCs/>
          <w:rtl/>
        </w:rPr>
        <w:t>%)</w:t>
      </w:r>
      <w:r w:rsidRPr="00AA5065">
        <w:rPr>
          <w:rFonts w:ascii="David" w:eastAsia="Calibri" w:hAnsi="David"/>
          <w:b/>
          <w:bCs/>
          <w:rtl/>
        </w:rPr>
        <w:t xml:space="preserve"> מתוך 132 תיקים שנפתחו.‏</w:t>
      </w:r>
      <w:bookmarkEnd w:id="20"/>
      <w:r w:rsidRPr="00AA5065">
        <w:rPr>
          <w:rFonts w:ascii="David" w:eastAsia="Calibri" w:hAnsi="David"/>
          <w:b/>
          <w:b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b/>
          <w:bCs/>
          <w:rtl/>
        </w:rPr>
        <w:t xml:space="preserve">נמצא כי בשיעור התיקים שנגנזו לא חל שיפור, </w:t>
      </w:r>
      <w:r w:rsidRPr="00AA5065">
        <w:rPr>
          <w:rFonts w:ascii="David" w:eastAsia="Calibri" w:hAnsi="David" w:hint="cs"/>
          <w:b/>
          <w:bCs/>
          <w:rtl/>
        </w:rPr>
        <w:t>ואילו</w:t>
      </w:r>
      <w:r w:rsidRPr="00AA5065">
        <w:rPr>
          <w:rFonts w:ascii="David" w:eastAsia="Calibri" w:hAnsi="David"/>
          <w:b/>
          <w:bCs/>
          <w:rtl/>
        </w:rPr>
        <w:t xml:space="preserve"> מספר התיקים שנסגרו לאחר הליך שיפוטי </w:t>
      </w:r>
      <w:r w:rsidRPr="00AA5065">
        <w:rPr>
          <w:rFonts w:ascii="David" w:eastAsia="Calibri" w:hAnsi="David" w:hint="cs"/>
          <w:b/>
          <w:bCs/>
          <w:rtl/>
        </w:rPr>
        <w:t>פחת</w:t>
      </w:r>
      <w:r w:rsidRPr="00AA5065">
        <w:rPr>
          <w:rFonts w:ascii="David" w:eastAsia="Calibri" w:hAnsi="David"/>
          <w:b/>
          <w:bCs/>
          <w:rtl/>
        </w:rPr>
        <w:t xml:space="preserve"> באופן משמעותי, </w:t>
      </w:r>
      <w:r w:rsidRPr="00AA5065">
        <w:rPr>
          <w:rFonts w:ascii="David" w:eastAsia="Calibri" w:hAnsi="David" w:hint="cs"/>
          <w:b/>
          <w:bCs/>
          <w:rtl/>
        </w:rPr>
        <w:t xml:space="preserve">והוא </w:t>
      </w:r>
      <w:r w:rsidRPr="00AA5065">
        <w:rPr>
          <w:rFonts w:ascii="David" w:eastAsia="Calibri" w:hAnsi="David"/>
          <w:b/>
          <w:bCs/>
          <w:rtl/>
        </w:rPr>
        <w:t>משקף ירידה של כ-94% בהשוואה לתקופה הקודמת.</w:t>
      </w:r>
      <w:bookmarkStart w:id="21" w:name="_Hlk204770548"/>
      <w:r w:rsidRPr="00AA5065">
        <w:rPr>
          <w:rFonts w:ascii="David" w:eastAsia="Calibri" w:hAnsi="David"/>
          <w:b/>
          <w:bCs/>
          <w:rtl/>
        </w:rPr>
        <w:t xml:space="preserve"> </w:t>
      </w:r>
      <w:bookmarkEnd w:id="21"/>
    </w:p>
    <w:p w:rsidR="00AA5065" w:rsidRPr="00AA5065" w:rsidP="00860D89">
      <w:pPr>
        <w:spacing w:line="269" w:lineRule="auto"/>
        <w:rPr>
          <w:rFonts w:eastAsia="Calibri"/>
          <w:rtl/>
        </w:rPr>
      </w:pPr>
    </w:p>
    <w:p w:rsidR="00AA5065" w:rsidRPr="00AA5065" w:rsidP="002E078F">
      <w:pPr>
        <w:keepNext/>
        <w:keepLines/>
        <w:spacing w:before="120" w:line="269" w:lineRule="auto"/>
        <w:outlineLvl w:val="3"/>
        <w:rPr>
          <w:rFonts w:ascii="David" w:eastAsia="Times New Roman" w:hAnsi="David"/>
          <w:bCs/>
          <w:szCs w:val="26"/>
          <w:rtl/>
        </w:rPr>
      </w:pPr>
      <w:r w:rsidRPr="00AA5065">
        <w:rPr>
          <w:rFonts w:ascii="David" w:eastAsia="Times New Roman" w:hAnsi="David"/>
          <w:bCs/>
          <w:szCs w:val="26"/>
          <w:rtl/>
        </w:rPr>
        <w:t>הקמת מחלק חקירות פוליגמיה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בדוח פלמור</w:t>
      </w:r>
      <w:r>
        <w:rPr>
          <w:rFonts w:eastAsia="Calibri"/>
          <w:vertAlign w:val="superscript"/>
          <w:rtl/>
        </w:rPr>
        <w:footnoteReference w:id="24"/>
      </w:r>
      <w:r w:rsidRPr="00AA5065">
        <w:rPr>
          <w:rFonts w:eastAsia="Calibri"/>
          <w:rtl/>
        </w:rPr>
        <w:t xml:space="preserve"> משנת 2018</w:t>
      </w:r>
      <w:r w:rsidRPr="00AA5065">
        <w:rPr>
          <w:rFonts w:eastAsia="Calibri" w:hint="cs"/>
          <w:rtl/>
        </w:rPr>
        <w:t>, במסגרת</w:t>
      </w:r>
      <w:r w:rsidRPr="00AA5065">
        <w:rPr>
          <w:rFonts w:eastAsia="Calibri"/>
          <w:rtl/>
        </w:rPr>
        <w:t xml:space="preserve"> הגברת אכיפת העבירה של ריבוי נישואין הומלץ</w:t>
      </w:r>
      <w:r w:rsidRPr="00AA5065">
        <w:rPr>
          <w:rFonts w:eastAsia="Calibri" w:hint="cs"/>
          <w:rtl/>
        </w:rPr>
        <w:t>,</w:t>
      </w:r>
      <w:r w:rsidRPr="00AA5065">
        <w:rPr>
          <w:rFonts w:eastAsia="Calibri"/>
          <w:rtl/>
        </w:rPr>
        <w:t xml:space="preserve"> בין היתר</w:t>
      </w:r>
      <w:r w:rsidRPr="00AA5065">
        <w:rPr>
          <w:rFonts w:eastAsia="Calibri" w:hint="cs"/>
          <w:rtl/>
        </w:rPr>
        <w:t>, על</w:t>
      </w:r>
      <w:r w:rsidRPr="00AA5065">
        <w:rPr>
          <w:rFonts w:eastAsia="Calibri"/>
          <w:rtl/>
        </w:rPr>
        <w:t>: "תקנון (מתן תקנים) משטרת ישראל בכוח אדם ייעודי לחקירת תיקים שיועברו מכל רשויות המדינה בנוסף על תיקי ריבוי נישואין שנחקרים במשטרה ממילא".</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Pr>
      </w:pPr>
      <w:r w:rsidRPr="00AA5065">
        <w:rPr>
          <w:rFonts w:ascii="David" w:eastAsia="Calibri" w:hAnsi="David" w:hint="cs"/>
          <w:rtl/>
        </w:rPr>
        <w:t>בביקורת הקודמת צוינו נתונים לגבי מיעוט תיקי הפוליגמיה המגיעים להשלמת ההליך הפלילי ותשובת משרד המשפטים, ולפיה "</w:t>
      </w:r>
      <w:r w:rsidRPr="00AA5065">
        <w:rPr>
          <w:rFonts w:ascii="David" w:eastAsia="Calibri" w:hAnsi="David"/>
          <w:rtl/>
        </w:rPr>
        <w:t>קוימו הדרכות רבות על ידי פרקליטות המחוז לחוקרים הרלוונטיים ביחידות המשטרה הנוגעות בחקירת עבירות אלו על מנת לייעל את החקירות ולהביא למיצוין המיטב</w:t>
      </w:r>
      <w:r w:rsidRPr="00AA5065">
        <w:rPr>
          <w:rFonts w:ascii="David" w:eastAsia="Calibri" w:hAnsi="David" w:hint="cs"/>
          <w:rtl/>
        </w:rPr>
        <w:t>". המשטרה ציינה בתשובתה לדוח הקודם כי "</w:t>
      </w:r>
      <w:r w:rsidRPr="00AA5065">
        <w:rPr>
          <w:rFonts w:ascii="David" w:eastAsia="Calibri" w:hAnsi="David"/>
          <w:rtl/>
        </w:rPr>
        <w:t>הנושא יטופל במסגרת הפעילות בשנת 2021, לרבות הטלת המשימה על יחידת חקירות ייעודית לנושא</w:t>
      </w:r>
      <w:r w:rsidRPr="00AA5065">
        <w:rPr>
          <w:rFonts w:ascii="David" w:eastAsia="Calibri" w:hAnsi="David"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במסגרת החלטת </w:t>
      </w:r>
      <w:r w:rsidRPr="00AA5065">
        <w:rPr>
          <w:rFonts w:ascii="David" w:eastAsia="Calibri" w:hAnsi="David" w:hint="cs"/>
          <w:rtl/>
        </w:rPr>
        <w:t>ה</w:t>
      </w:r>
      <w:r w:rsidRPr="00AA5065">
        <w:rPr>
          <w:rFonts w:ascii="David" w:eastAsia="Calibri" w:hAnsi="David"/>
          <w:rtl/>
        </w:rPr>
        <w:t>ממשלה 705 מחודש יוני 2023</w:t>
      </w:r>
      <w:r w:rsidRPr="00AA5065">
        <w:rPr>
          <w:rFonts w:ascii="David" w:eastAsia="Calibri" w:hAnsi="David" w:hint="cs"/>
          <w:rtl/>
        </w:rPr>
        <w:t>,</w:t>
      </w:r>
      <w:r w:rsidRPr="00AA5065">
        <w:rPr>
          <w:rFonts w:ascii="David" w:eastAsia="Calibri" w:hAnsi="David"/>
          <w:rtl/>
        </w:rPr>
        <w:t xml:space="preserve"> "התמודדות עם תופעת הפוליגמיה והשלכותיה ותיקון החלטת ממשלה", נרשמה בין היתר הודעת השר לביטחון לאומי, </w:t>
      </w:r>
      <w:r w:rsidRPr="00AA5065">
        <w:rPr>
          <w:rFonts w:ascii="David" w:eastAsia="Calibri" w:hAnsi="David" w:hint="cs"/>
          <w:rtl/>
        </w:rPr>
        <w:t>ו</w:t>
      </w:r>
      <w:r w:rsidRPr="00AA5065">
        <w:rPr>
          <w:rFonts w:ascii="David" w:eastAsia="Calibri" w:hAnsi="David"/>
          <w:rtl/>
        </w:rPr>
        <w:t>לפיה לשם הגברת האכיפה נגד תופעת הפוליגמיה תקצה המשטרה 14 תקני שוטרים ייעודיים מתוך מכסת התקנים הקיימת</w:t>
      </w:r>
      <w:r w:rsidRPr="00AA5065">
        <w:rPr>
          <w:rFonts w:ascii="David" w:eastAsia="Calibri" w:hAnsi="David" w:hint="cs"/>
          <w:rtl/>
        </w:rPr>
        <w:t>.</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 xml:space="preserve">בביקורת המעקב נמצא כי </w:t>
      </w:r>
      <w:r w:rsidRPr="00AA5065">
        <w:rPr>
          <w:rFonts w:ascii="David" w:eastAsia="Calibri" w:hAnsi="David"/>
          <w:rtl/>
        </w:rPr>
        <w:t>באוקטובר 2024 הוקם בימ"ר דרום מחלק חקירות פוליגמיה</w:t>
      </w:r>
      <w:r>
        <w:rPr>
          <w:rFonts w:ascii="David" w:eastAsia="Calibri" w:hAnsi="David"/>
          <w:vertAlign w:val="superscript"/>
          <w:rtl/>
        </w:rPr>
        <w:footnoteReference w:id="25"/>
      </w:r>
      <w:r w:rsidRPr="00AA5065">
        <w:rPr>
          <w:rFonts w:ascii="David" w:eastAsia="Calibri" w:hAnsi="David" w:hint="cs"/>
          <w:rtl/>
        </w:rPr>
        <w:t>.</w:t>
      </w:r>
      <w:r w:rsidRPr="00AA5065">
        <w:rPr>
          <w:rFonts w:ascii="David" w:eastAsia="Calibri" w:hAnsi="David"/>
          <w:rtl/>
        </w:rPr>
        <w:t xml:space="preserve"> במחלק מוצב</w:t>
      </w:r>
      <w:r w:rsidRPr="00AA5065">
        <w:rPr>
          <w:rFonts w:ascii="David" w:eastAsia="Calibri" w:hAnsi="David" w:hint="cs"/>
          <w:rtl/>
        </w:rPr>
        <w:t>ים</w:t>
      </w:r>
      <w:r w:rsidRPr="00AA5065">
        <w:rPr>
          <w:rFonts w:ascii="David" w:eastAsia="Calibri" w:hAnsi="David"/>
          <w:rtl/>
        </w:rPr>
        <w:t xml:space="preserve"> </w:t>
      </w:r>
      <w:r w:rsidRPr="00AA5065">
        <w:rPr>
          <w:rFonts w:ascii="David" w:eastAsia="Calibri" w:hAnsi="David" w:hint="cs"/>
          <w:rtl/>
        </w:rPr>
        <w:t>ראש מחלקה (</w:t>
      </w:r>
      <w:r w:rsidRPr="00AA5065">
        <w:rPr>
          <w:rFonts w:ascii="David" w:eastAsia="Calibri" w:hAnsi="David"/>
          <w:rtl/>
        </w:rPr>
        <w:t>רמ"ח</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חמש</w:t>
      </w:r>
      <w:r w:rsidRPr="00AA5065">
        <w:rPr>
          <w:rFonts w:ascii="David" w:eastAsia="Calibri" w:hAnsi="David"/>
          <w:rtl/>
        </w:rPr>
        <w:t xml:space="preserve"> חוקרות, </w:t>
      </w:r>
      <w:r w:rsidRPr="00AA5065">
        <w:rPr>
          <w:rFonts w:ascii="David" w:eastAsia="Calibri" w:hAnsi="David" w:hint="cs"/>
          <w:rtl/>
        </w:rPr>
        <w:t>שני</w:t>
      </w:r>
      <w:r w:rsidRPr="00AA5065">
        <w:rPr>
          <w:rFonts w:ascii="David" w:eastAsia="Calibri" w:hAnsi="David"/>
          <w:rtl/>
        </w:rPr>
        <w:t xml:space="preserve"> בלשים, דסקאית הערכה</w:t>
      </w:r>
      <w:r w:rsidRPr="00AA5065">
        <w:rPr>
          <w:rFonts w:ascii="David" w:eastAsia="Calibri" w:hAnsi="David" w:hint="cs"/>
          <w:rtl/>
        </w:rPr>
        <w:t xml:space="preserve"> אחת</w:t>
      </w:r>
      <w:r w:rsidRPr="00AA5065">
        <w:rPr>
          <w:rFonts w:ascii="David" w:eastAsia="Calibri" w:hAnsi="David"/>
          <w:rtl/>
        </w:rPr>
        <w:t xml:space="preserve"> ורכז מודיעין אחד, </w:t>
      </w:r>
      <w:r w:rsidRPr="00AA5065">
        <w:rPr>
          <w:rFonts w:ascii="David" w:eastAsia="Calibri" w:hAnsi="David" w:hint="cs"/>
          <w:rtl/>
        </w:rPr>
        <w:t>וב</w:t>
      </w:r>
      <w:r w:rsidRPr="00AA5065">
        <w:rPr>
          <w:rFonts w:ascii="David" w:eastAsia="Calibri" w:hAnsi="David"/>
          <w:rtl/>
        </w:rPr>
        <w:t>ס</w:t>
      </w:r>
      <w:r w:rsidRPr="00AA5065">
        <w:rPr>
          <w:rFonts w:ascii="David" w:eastAsia="Calibri" w:hAnsi="David" w:hint="cs"/>
          <w:rtl/>
        </w:rPr>
        <w:t xml:space="preserve">ך </w:t>
      </w:r>
      <w:r w:rsidRPr="00AA5065">
        <w:rPr>
          <w:rFonts w:ascii="David" w:eastAsia="Calibri" w:hAnsi="David"/>
          <w:rtl/>
        </w:rPr>
        <w:t>הכ</w:t>
      </w:r>
      <w:r w:rsidRPr="00AA5065">
        <w:rPr>
          <w:rFonts w:ascii="David" w:eastAsia="Calibri" w:hAnsi="David" w:hint="cs"/>
          <w:rtl/>
        </w:rPr>
        <w:t>ול</w:t>
      </w:r>
      <w:r w:rsidRPr="00AA5065">
        <w:rPr>
          <w:rFonts w:ascii="David" w:eastAsia="Calibri" w:hAnsi="David"/>
          <w:rtl/>
        </w:rPr>
        <w:t xml:space="preserve"> </w:t>
      </w:r>
      <w:r w:rsidRPr="00AA5065">
        <w:rPr>
          <w:rFonts w:ascii="David" w:eastAsia="Calibri" w:hAnsi="David" w:hint="cs"/>
          <w:rtl/>
        </w:rPr>
        <w:t>עשרה</w:t>
      </w:r>
      <w:r w:rsidRPr="00AA5065">
        <w:rPr>
          <w:rFonts w:ascii="David" w:eastAsia="Calibri" w:hAnsi="David"/>
          <w:rtl/>
        </w:rPr>
        <w:t xml:space="preserve"> עובדים.</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bookmarkStart w:id="22" w:name="_Hlk200363822"/>
      <w:r w:rsidRPr="00AA5065">
        <w:rPr>
          <w:rFonts w:ascii="David" w:eastAsia="Calibri" w:hAnsi="David" w:hint="cs"/>
          <w:rtl/>
        </w:rPr>
        <w:t>לוח</w:t>
      </w:r>
      <w:r w:rsidRPr="00AA5065">
        <w:rPr>
          <w:rFonts w:ascii="David" w:eastAsia="Calibri" w:hAnsi="David"/>
          <w:rtl/>
        </w:rPr>
        <w:t xml:space="preserve"> </w:t>
      </w:r>
      <w:r w:rsidRPr="00AA5065">
        <w:rPr>
          <w:rFonts w:ascii="David" w:eastAsia="Calibri" w:hAnsi="David" w:hint="cs"/>
          <w:rtl/>
        </w:rPr>
        <w:t xml:space="preserve">4 שלהלן </w:t>
      </w:r>
      <w:r w:rsidRPr="00AA5065">
        <w:rPr>
          <w:rFonts w:ascii="David" w:eastAsia="Calibri" w:hAnsi="David"/>
          <w:rtl/>
        </w:rPr>
        <w:t>מציג את התקינה (תקן) לעומת מצבת כוח האדם בפועל (מצבה) במחלק חקירות פוליגמיה ימ"ר דרום וכן את הפער ביניהן במספרים ובאחוזים</w:t>
      </w:r>
      <w:r w:rsidRPr="00AA5065">
        <w:rPr>
          <w:rFonts w:ascii="David" w:eastAsia="Calibri" w:hAnsi="David" w:hint="cs"/>
          <w:rtl/>
        </w:rPr>
        <w:t>, לינואר 2025</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ascii="David" w:eastAsia="Calibri" w:hAnsi="David"/>
          <w:rtl/>
        </w:rPr>
      </w:pPr>
      <w:r w:rsidRPr="00AA5065">
        <w:rPr>
          <w:rFonts w:ascii="David" w:eastAsia="Calibri" w:hAnsi="David" w:hint="cs"/>
          <w:rtl/>
        </w:rPr>
        <w:t>לוח 4</w:t>
      </w:r>
      <w:r w:rsidRPr="00AA5065">
        <w:rPr>
          <w:rFonts w:ascii="David" w:eastAsia="Calibri" w:hAnsi="David"/>
          <w:rtl/>
        </w:rPr>
        <w:t xml:space="preserve">: </w:t>
      </w:r>
      <w:r w:rsidRPr="00AA5065">
        <w:rPr>
          <w:rFonts w:ascii="David" w:eastAsia="Calibri" w:hAnsi="David" w:hint="cs"/>
          <w:b/>
          <w:bCs/>
          <w:rtl/>
        </w:rPr>
        <w:t>ה</w:t>
      </w:r>
      <w:r w:rsidRPr="00AA5065">
        <w:rPr>
          <w:rFonts w:ascii="David" w:eastAsia="Calibri" w:hAnsi="David"/>
          <w:b/>
          <w:bCs/>
          <w:rtl/>
        </w:rPr>
        <w:t>תקן מול מצב</w:t>
      </w:r>
      <w:r w:rsidRPr="00AA5065">
        <w:rPr>
          <w:rFonts w:ascii="David" w:eastAsia="Calibri" w:hAnsi="David" w:hint="cs"/>
          <w:b/>
          <w:bCs/>
          <w:rtl/>
        </w:rPr>
        <w:t>ת כוח האדם</w:t>
      </w:r>
      <w:r w:rsidRPr="00AA5065">
        <w:rPr>
          <w:rFonts w:ascii="David" w:eastAsia="Calibri" w:hAnsi="David"/>
          <w:b/>
          <w:bCs/>
          <w:rtl/>
        </w:rPr>
        <w:t xml:space="preserve"> </w:t>
      </w:r>
      <w:r w:rsidRPr="00AA5065">
        <w:rPr>
          <w:rFonts w:ascii="David" w:eastAsia="Calibri" w:hAnsi="David" w:hint="cs"/>
          <w:b/>
          <w:bCs/>
          <w:rtl/>
        </w:rPr>
        <w:t>ב</w:t>
      </w:r>
      <w:r w:rsidRPr="00AA5065">
        <w:rPr>
          <w:rFonts w:ascii="David" w:eastAsia="Calibri" w:hAnsi="David"/>
          <w:b/>
          <w:bCs/>
          <w:rtl/>
        </w:rPr>
        <w:t>מחלק חקירות פוליגמיה ימ"ר דרום, והפער ביניהם במספרים ואחוזים</w:t>
      </w:r>
      <w:r w:rsidRPr="00AA5065">
        <w:rPr>
          <w:rFonts w:ascii="David" w:eastAsia="Calibri" w:hAnsi="David" w:hint="cs"/>
          <w:b/>
          <w:bCs/>
          <w:rtl/>
        </w:rPr>
        <w:t>, ינואר 2025</w:t>
      </w:r>
    </w:p>
    <w:tbl>
      <w:tblPr>
        <w:tblStyle w:val="5-11"/>
        <w:bidiVisual/>
        <w:tblW w:w="6280" w:type="dxa"/>
        <w:jc w:val="center"/>
        <w:tblLook w:val="04A0"/>
      </w:tblPr>
      <w:tblGrid>
        <w:gridCol w:w="1080"/>
        <w:gridCol w:w="1080"/>
        <w:gridCol w:w="1080"/>
        <w:gridCol w:w="1080"/>
        <w:gridCol w:w="1960"/>
      </w:tblGrid>
      <w:tr w:rsidTr="00AA5065">
        <w:tblPrEx>
          <w:tblW w:w="6280" w:type="dxa"/>
          <w:jc w:val="center"/>
          <w:tblLook w:val="04A0"/>
        </w:tblPrEx>
        <w:trPr>
          <w:trHeight w:val="390"/>
          <w:jc w:val="center"/>
        </w:trPr>
        <w:tc>
          <w:tcPr>
            <w:tcW w:w="1080" w:type="dxa"/>
            <w:noWrap/>
            <w:hideMark/>
          </w:tcPr>
          <w:bookmarkEnd w:id="22"/>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שנה</w:t>
            </w:r>
          </w:p>
        </w:tc>
        <w:tc>
          <w:tcPr>
            <w:tcW w:w="1080" w:type="dxa"/>
            <w:noWrap/>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תקן</w:t>
            </w:r>
          </w:p>
        </w:tc>
        <w:tc>
          <w:tcPr>
            <w:tcW w:w="1080" w:type="dxa"/>
            <w:noWrap/>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מצבה</w:t>
            </w:r>
          </w:p>
        </w:tc>
        <w:tc>
          <w:tcPr>
            <w:tcW w:w="1080" w:type="dxa"/>
            <w:noWrap/>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פער</w:t>
            </w:r>
          </w:p>
        </w:tc>
        <w:tc>
          <w:tcPr>
            <w:tcW w:w="1960" w:type="dxa"/>
            <w:noWrap/>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פער באחוזים</w:t>
            </w:r>
          </w:p>
        </w:tc>
      </w:tr>
      <w:tr w:rsidTr="00AA5065">
        <w:tblPrEx>
          <w:tblW w:w="6280" w:type="dxa"/>
          <w:jc w:val="center"/>
          <w:tblLook w:val="04A0"/>
        </w:tblPrEx>
        <w:trPr>
          <w:trHeight w:val="315"/>
          <w:jc w:val="center"/>
        </w:trPr>
        <w:tc>
          <w:tcPr>
            <w:tcW w:w="1080"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color w:val="000000"/>
                <w:sz w:val="22"/>
                <w:szCs w:val="22"/>
                <w:rtl/>
              </w:rPr>
              <w:t>2025</w:t>
            </w:r>
          </w:p>
        </w:tc>
        <w:tc>
          <w:tcPr>
            <w:tcW w:w="108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14</w:t>
            </w:r>
          </w:p>
        </w:tc>
        <w:tc>
          <w:tcPr>
            <w:tcW w:w="108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9</w:t>
            </w:r>
          </w:p>
        </w:tc>
        <w:tc>
          <w:tcPr>
            <w:tcW w:w="108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w:t>
            </w:r>
          </w:p>
        </w:tc>
        <w:tc>
          <w:tcPr>
            <w:tcW w:w="196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35.7%</w:t>
            </w:r>
          </w:p>
        </w:tc>
      </w:tr>
    </w:tbl>
    <w:p w:rsidR="00AA5065" w:rsidRPr="00AA5065" w:rsidP="004E6B4D">
      <w:pPr>
        <w:spacing w:before="60" w:line="269" w:lineRule="auto"/>
        <w:jc w:val="left"/>
        <w:rPr>
          <w:rFonts w:ascii="David" w:eastAsia="Calibri" w:hAnsi="David"/>
          <w:sz w:val="16"/>
          <w:szCs w:val="20"/>
          <w:rtl/>
        </w:rPr>
      </w:pPr>
      <w:r w:rsidRPr="00AA5065">
        <w:rPr>
          <w:rFonts w:ascii="David" w:eastAsia="Calibri" w:hAnsi="David" w:hint="cs"/>
          <w:sz w:val="16"/>
          <w:szCs w:val="20"/>
          <w:rtl/>
        </w:rPr>
        <w:t>ה</w:t>
      </w:r>
      <w:r w:rsidRPr="00AA5065">
        <w:rPr>
          <w:rFonts w:ascii="David" w:eastAsia="Calibri" w:hAnsi="David"/>
          <w:sz w:val="16"/>
          <w:szCs w:val="20"/>
          <w:rtl/>
        </w:rPr>
        <w:t>מקור: משטרת ישראל</w:t>
      </w:r>
      <w:r w:rsidRPr="00AA5065">
        <w:rPr>
          <w:rFonts w:ascii="David" w:eastAsia="Calibri" w:hAnsi="David" w:hint="cs"/>
          <w:sz w:val="16"/>
          <w:szCs w:val="20"/>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cs"/>
          <w:b/>
          <w:bCs/>
          <w:rtl/>
        </w:rPr>
        <w:t>מהלוח</w:t>
      </w:r>
      <w:r w:rsidRPr="00AA5065">
        <w:rPr>
          <w:rFonts w:ascii="David" w:eastAsia="Calibri" w:hAnsi="David"/>
          <w:b/>
          <w:bCs/>
          <w:rtl/>
        </w:rPr>
        <w:t xml:space="preserve"> עולה כי</w:t>
      </w:r>
      <w:r w:rsidRPr="00AA5065">
        <w:rPr>
          <w:rFonts w:ascii="David" w:eastAsia="Calibri" w:hAnsi="David" w:hint="cs"/>
          <w:b/>
          <w:bCs/>
          <w:rtl/>
        </w:rPr>
        <w:t xml:space="preserve"> נכון למועד סיום הביקורת </w:t>
      </w:r>
      <w:r w:rsidRPr="00AA5065">
        <w:rPr>
          <w:rFonts w:ascii="David" w:eastAsia="Calibri" w:hAnsi="David"/>
          <w:b/>
          <w:bCs/>
          <w:rtl/>
        </w:rPr>
        <w:t xml:space="preserve">הפער </w:t>
      </w:r>
      <w:r w:rsidRPr="00AA5065">
        <w:rPr>
          <w:rFonts w:ascii="David" w:eastAsia="Calibri" w:hAnsi="David" w:hint="cs"/>
          <w:b/>
          <w:bCs/>
          <w:rtl/>
        </w:rPr>
        <w:t xml:space="preserve">בין התקינה שנקבעה (14 שוטרים) למחלק חקירות פוליגמיה בימ"ר דרום למצבה בפועל </w:t>
      </w:r>
      <w:r w:rsidRPr="00AA5065">
        <w:rPr>
          <w:rFonts w:ascii="David" w:eastAsia="Calibri" w:hAnsi="David"/>
          <w:b/>
          <w:bCs/>
          <w:rtl/>
        </w:rPr>
        <w:t xml:space="preserve">(9 </w:t>
      </w:r>
      <w:r w:rsidRPr="00AA5065">
        <w:rPr>
          <w:rFonts w:ascii="David" w:eastAsia="Calibri" w:hAnsi="David" w:hint="eastAsia"/>
          <w:b/>
          <w:bCs/>
          <w:rtl/>
        </w:rPr>
        <w:t>שוטרים</w:t>
      </w:r>
      <w:r w:rsidRPr="00AA5065">
        <w:rPr>
          <w:rFonts w:ascii="David" w:eastAsia="Calibri" w:hAnsi="David"/>
          <w:b/>
          <w:bCs/>
          <w:rtl/>
        </w:rPr>
        <w:t>)</w:t>
      </w:r>
      <w:r w:rsidRPr="00AA5065">
        <w:rPr>
          <w:rFonts w:ascii="David" w:eastAsia="Calibri" w:hAnsi="David" w:hint="cs"/>
          <w:b/>
          <w:bCs/>
          <w:rtl/>
        </w:rPr>
        <w:t xml:space="preserve"> היה חמישה</w:t>
      </w:r>
      <w:r w:rsidRPr="00AA5065">
        <w:rPr>
          <w:rFonts w:ascii="David" w:eastAsia="Calibri" w:hAnsi="David"/>
          <w:b/>
          <w:bCs/>
          <w:rtl/>
        </w:rPr>
        <w:t xml:space="preserve"> </w:t>
      </w:r>
      <w:r w:rsidRPr="00AA5065">
        <w:rPr>
          <w:rFonts w:ascii="David" w:eastAsia="Calibri" w:hAnsi="David" w:hint="cs"/>
          <w:b/>
          <w:bCs/>
          <w:rtl/>
        </w:rPr>
        <w:t xml:space="preserve">שוטרים, פער המבטא חוסר של כשליש מהתקינה שנקבעה לטיפול המשטרתי הייעודי באזור הדרום.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eastAsia"/>
          <w:b/>
          <w:bCs/>
          <w:rtl/>
        </w:rPr>
        <w:t>יתר</w:t>
      </w:r>
      <w:r w:rsidRPr="00AA5065">
        <w:rPr>
          <w:rFonts w:ascii="David" w:eastAsia="Calibri" w:hAnsi="David"/>
          <w:b/>
          <w:bCs/>
          <w:rtl/>
        </w:rPr>
        <w:t xml:space="preserve"> על כן, ב</w:t>
      </w:r>
      <w:r w:rsidRPr="00AA5065">
        <w:rPr>
          <w:rFonts w:ascii="David" w:eastAsia="Calibri" w:hAnsi="David" w:hint="eastAsia"/>
          <w:b/>
          <w:bCs/>
          <w:rtl/>
        </w:rPr>
        <w:t>פגישה</w:t>
      </w:r>
      <w:r w:rsidRPr="00AA5065">
        <w:rPr>
          <w:rFonts w:ascii="David" w:eastAsia="Calibri" w:hAnsi="David"/>
          <w:b/>
          <w:bCs/>
          <w:rtl/>
        </w:rPr>
        <w:t xml:space="preserve"> עם מפקד ימ"ר דרום נמסר כי לא בוצעו הכשרות י</w:t>
      </w:r>
      <w:r w:rsidRPr="00AA5065">
        <w:rPr>
          <w:rFonts w:ascii="David" w:eastAsia="Calibri" w:hAnsi="David" w:hint="eastAsia"/>
          <w:b/>
          <w:bCs/>
          <w:rtl/>
        </w:rPr>
        <w:t>יעודיות</w:t>
      </w:r>
      <w:r w:rsidRPr="00AA5065">
        <w:rPr>
          <w:rFonts w:ascii="David" w:eastAsia="Calibri" w:hAnsi="David"/>
          <w:b/>
          <w:bCs/>
          <w:rtl/>
        </w:rPr>
        <w:t xml:space="preserve"> </w:t>
      </w:r>
      <w:r w:rsidRPr="00AA5065">
        <w:rPr>
          <w:rFonts w:ascii="David" w:eastAsia="Calibri" w:hAnsi="David" w:hint="eastAsia"/>
          <w:b/>
          <w:bCs/>
          <w:rtl/>
        </w:rPr>
        <w:t>לתחום</w:t>
      </w:r>
      <w:r w:rsidRPr="00AA5065">
        <w:rPr>
          <w:rFonts w:ascii="David" w:eastAsia="Calibri" w:hAnsi="David"/>
          <w:b/>
          <w:bCs/>
          <w:rtl/>
        </w:rPr>
        <w:t xml:space="preserve"> </w:t>
      </w:r>
      <w:r w:rsidRPr="00AA5065">
        <w:rPr>
          <w:rFonts w:ascii="David" w:eastAsia="Calibri" w:hAnsi="David" w:hint="eastAsia"/>
          <w:b/>
          <w:bCs/>
          <w:rtl/>
        </w:rPr>
        <w:t>הפוליגמיה</w:t>
      </w:r>
      <w:r w:rsidRPr="00AA5065">
        <w:rPr>
          <w:rFonts w:ascii="David" w:eastAsia="Calibri" w:hAnsi="David"/>
          <w:b/>
          <w:bCs/>
          <w:rtl/>
        </w:rPr>
        <w:t xml:space="preserve"> </w:t>
      </w:r>
      <w:r w:rsidRPr="00AA5065">
        <w:rPr>
          <w:rFonts w:ascii="David" w:eastAsia="Calibri" w:hAnsi="David" w:hint="eastAsia"/>
          <w:b/>
          <w:bCs/>
          <w:rtl/>
        </w:rPr>
        <w:t>והכשרות</w:t>
      </w:r>
      <w:r w:rsidRPr="00AA5065">
        <w:rPr>
          <w:rFonts w:ascii="David" w:eastAsia="Calibri" w:hAnsi="David"/>
          <w:b/>
          <w:bCs/>
          <w:rtl/>
        </w:rPr>
        <w:t xml:space="preserve"> </w:t>
      </w:r>
      <w:r w:rsidRPr="00AA5065">
        <w:rPr>
          <w:rFonts w:ascii="David" w:eastAsia="Calibri" w:hAnsi="David" w:hint="eastAsia"/>
          <w:b/>
          <w:bCs/>
          <w:rtl/>
        </w:rPr>
        <w:t>בנושא</w:t>
      </w:r>
      <w:r w:rsidRPr="00AA5065">
        <w:rPr>
          <w:rFonts w:ascii="David" w:eastAsia="Calibri" w:hAnsi="David"/>
          <w:b/>
          <w:bCs/>
          <w:rtl/>
        </w:rPr>
        <w:t xml:space="preserve"> </w:t>
      </w:r>
      <w:r w:rsidRPr="00AA5065">
        <w:rPr>
          <w:rFonts w:ascii="David" w:eastAsia="Calibri" w:hAnsi="David" w:hint="eastAsia"/>
          <w:b/>
          <w:bCs/>
          <w:rtl/>
        </w:rPr>
        <w:t>אכיפה</w:t>
      </w:r>
      <w:r w:rsidRPr="00AA5065">
        <w:rPr>
          <w:rFonts w:ascii="David" w:eastAsia="Calibri" w:hAnsi="David"/>
          <w:b/>
          <w:bCs/>
          <w:rtl/>
        </w:rPr>
        <w:t xml:space="preserve"> </w:t>
      </w:r>
      <w:r w:rsidRPr="00AA5065">
        <w:rPr>
          <w:rFonts w:ascii="David" w:eastAsia="Calibri" w:hAnsi="David" w:hint="eastAsia"/>
          <w:b/>
          <w:bCs/>
          <w:rtl/>
        </w:rPr>
        <w:t>כלכלית</w:t>
      </w:r>
      <w:r w:rsidRPr="00AA5065">
        <w:rPr>
          <w:rFonts w:ascii="David" w:eastAsia="Calibri" w:hAnsi="David"/>
          <w:b/>
          <w:bCs/>
          <w:rtl/>
        </w:rPr>
        <w:t xml:space="preserve">, </w:t>
      </w:r>
      <w:r w:rsidRPr="00AA5065">
        <w:rPr>
          <w:rFonts w:ascii="David" w:eastAsia="Calibri" w:hAnsi="David" w:hint="eastAsia"/>
          <w:b/>
          <w:bCs/>
          <w:rtl/>
        </w:rPr>
        <w:t>וכי</w:t>
      </w:r>
      <w:r w:rsidRPr="00AA5065">
        <w:rPr>
          <w:rFonts w:ascii="David" w:eastAsia="Calibri" w:hAnsi="David"/>
          <w:b/>
          <w:bCs/>
          <w:rtl/>
        </w:rPr>
        <w:t xml:space="preserve"> </w:t>
      </w:r>
      <w:r w:rsidRPr="00AA5065">
        <w:rPr>
          <w:rFonts w:ascii="David" w:eastAsia="Calibri" w:hAnsi="David" w:hint="eastAsia"/>
          <w:b/>
          <w:bCs/>
          <w:rtl/>
        </w:rPr>
        <w:t>יש</w:t>
      </w:r>
      <w:r w:rsidRPr="00AA5065">
        <w:rPr>
          <w:rFonts w:ascii="David" w:eastAsia="Calibri" w:hAnsi="David"/>
          <w:b/>
          <w:bCs/>
          <w:rtl/>
        </w:rPr>
        <w:t xml:space="preserve"> </w:t>
      </w:r>
      <w:r w:rsidRPr="00AA5065">
        <w:rPr>
          <w:rFonts w:ascii="David" w:eastAsia="Calibri" w:hAnsi="David" w:hint="eastAsia"/>
          <w:b/>
          <w:bCs/>
          <w:rtl/>
        </w:rPr>
        <w:t>חוסר</w:t>
      </w:r>
      <w:r w:rsidRPr="00AA5065">
        <w:rPr>
          <w:rFonts w:ascii="David" w:eastAsia="Calibri" w:hAnsi="David"/>
          <w:b/>
          <w:bCs/>
          <w:rtl/>
        </w:rPr>
        <w:t xml:space="preserve"> </w:t>
      </w:r>
      <w:r w:rsidRPr="00AA5065">
        <w:rPr>
          <w:rFonts w:ascii="David" w:eastAsia="Calibri" w:hAnsi="David" w:hint="eastAsia"/>
          <w:b/>
          <w:bCs/>
          <w:rtl/>
        </w:rPr>
        <w:t>בדוברי</w:t>
      </w:r>
      <w:r w:rsidRPr="00AA5065">
        <w:rPr>
          <w:rFonts w:ascii="David" w:eastAsia="Calibri" w:hAnsi="David"/>
          <w:b/>
          <w:bCs/>
          <w:rtl/>
        </w:rPr>
        <w:t xml:space="preserve"> </w:t>
      </w:r>
      <w:r w:rsidRPr="00AA5065">
        <w:rPr>
          <w:rFonts w:ascii="David" w:eastAsia="Calibri" w:hAnsi="David" w:hint="eastAsia"/>
          <w:b/>
          <w:bCs/>
          <w:rtl/>
        </w:rPr>
        <w:t>ערבית</w:t>
      </w:r>
      <w:r w:rsidRPr="00AA5065">
        <w:rPr>
          <w:rFonts w:ascii="David" w:eastAsia="Calibri" w:hAnsi="David"/>
          <w:b/>
          <w:bCs/>
          <w:rtl/>
        </w:rPr>
        <w:t xml:space="preserve">. </w:t>
      </w:r>
      <w:r w:rsidRPr="00AA5065">
        <w:rPr>
          <w:rFonts w:ascii="David" w:eastAsia="Calibri" w:hAnsi="David" w:hint="eastAsia"/>
          <w:b/>
          <w:bCs/>
          <w:rtl/>
        </w:rPr>
        <w:t>עוד</w:t>
      </w:r>
      <w:r w:rsidRPr="00AA5065">
        <w:rPr>
          <w:rFonts w:ascii="David" w:eastAsia="Calibri" w:hAnsi="David"/>
          <w:b/>
          <w:bCs/>
          <w:rtl/>
        </w:rPr>
        <w:t xml:space="preserve"> נמסר כי </w:t>
      </w:r>
      <w:r w:rsidRPr="00AA5065">
        <w:rPr>
          <w:rFonts w:ascii="David" w:eastAsia="Calibri" w:hAnsi="David" w:hint="eastAsia"/>
          <w:b/>
          <w:bCs/>
          <w:rtl/>
        </w:rPr>
        <w:t>היעדר</w:t>
      </w:r>
      <w:r w:rsidRPr="00AA5065">
        <w:rPr>
          <w:rFonts w:ascii="David" w:eastAsia="Calibri" w:hAnsi="David"/>
          <w:b/>
          <w:bCs/>
          <w:rtl/>
        </w:rPr>
        <w:t xml:space="preserve"> הכשרות ייעודיות לתחום הפוליגמיה, </w:t>
      </w:r>
      <w:r w:rsidRPr="00AA5065">
        <w:rPr>
          <w:rFonts w:ascii="David" w:eastAsia="Calibri" w:hAnsi="David" w:hint="eastAsia"/>
          <w:b/>
          <w:bCs/>
          <w:rtl/>
        </w:rPr>
        <w:t>ובכלל</w:t>
      </w:r>
      <w:r w:rsidRPr="00AA5065">
        <w:rPr>
          <w:rFonts w:ascii="David" w:eastAsia="Calibri" w:hAnsi="David"/>
          <w:b/>
          <w:bCs/>
          <w:rtl/>
        </w:rPr>
        <w:t xml:space="preserve"> </w:t>
      </w:r>
      <w:r w:rsidRPr="00AA5065">
        <w:rPr>
          <w:rFonts w:ascii="David" w:eastAsia="Calibri" w:hAnsi="David" w:hint="eastAsia"/>
          <w:b/>
          <w:bCs/>
          <w:rtl/>
        </w:rPr>
        <w:t>זה</w:t>
      </w:r>
      <w:r w:rsidRPr="00AA5065">
        <w:rPr>
          <w:rFonts w:ascii="David" w:eastAsia="Calibri" w:hAnsi="David"/>
          <w:b/>
          <w:bCs/>
          <w:rtl/>
        </w:rPr>
        <w:t xml:space="preserve"> בסוגיות של אכיפה כלכלית, </w:t>
      </w:r>
      <w:r w:rsidRPr="00AA5065">
        <w:rPr>
          <w:rFonts w:ascii="David" w:eastAsia="Calibri" w:hAnsi="David" w:hint="eastAsia"/>
          <w:b/>
          <w:bCs/>
          <w:rtl/>
        </w:rPr>
        <w:t>והמ</w:t>
      </w:r>
      <w:r w:rsidRPr="00AA5065">
        <w:rPr>
          <w:rFonts w:ascii="David" w:eastAsia="Calibri" w:hAnsi="David"/>
          <w:b/>
          <w:bCs/>
          <w:rtl/>
        </w:rPr>
        <w:t>חס</w:t>
      </w:r>
      <w:r w:rsidRPr="00AA5065">
        <w:rPr>
          <w:rFonts w:ascii="David" w:eastAsia="Calibri" w:hAnsi="David" w:hint="eastAsia"/>
          <w:b/>
          <w:bCs/>
          <w:rtl/>
        </w:rPr>
        <w:t>ו</w:t>
      </w:r>
      <w:r w:rsidRPr="00AA5065">
        <w:rPr>
          <w:rFonts w:ascii="David" w:eastAsia="Calibri" w:hAnsi="David"/>
          <w:b/>
          <w:bCs/>
          <w:rtl/>
        </w:rPr>
        <w:t xml:space="preserve">ר </w:t>
      </w:r>
      <w:r w:rsidRPr="00AA5065">
        <w:rPr>
          <w:rFonts w:ascii="David" w:eastAsia="Calibri" w:hAnsi="David" w:hint="eastAsia"/>
          <w:b/>
          <w:bCs/>
          <w:rtl/>
        </w:rPr>
        <w:t>ה</w:t>
      </w:r>
      <w:r w:rsidRPr="00AA5065">
        <w:rPr>
          <w:rFonts w:ascii="David" w:eastAsia="Calibri" w:hAnsi="David"/>
          <w:b/>
          <w:bCs/>
          <w:rtl/>
        </w:rPr>
        <w:t>מהותי בדוברי ערבית עלול</w:t>
      </w:r>
      <w:r w:rsidRPr="00AA5065">
        <w:rPr>
          <w:rFonts w:ascii="David" w:eastAsia="Calibri" w:hAnsi="David" w:hint="eastAsia"/>
          <w:b/>
          <w:bCs/>
          <w:rtl/>
        </w:rPr>
        <w:t>ים</w:t>
      </w:r>
      <w:r w:rsidRPr="00AA5065">
        <w:rPr>
          <w:rFonts w:ascii="David" w:eastAsia="Calibri" w:hAnsi="David"/>
          <w:b/>
          <w:bCs/>
          <w:rtl/>
        </w:rPr>
        <w:t xml:space="preserve"> לפגוע בתפקוד המבצעי של המחלק שהוקם.</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כמו כן בפגישה עם פרקליט מחוז דרום נמסר כי יש לבצע הכשרות ייעודיות ליחידה שהוקמה, וכי מגבלת השפה של החוקרים מקשה את עבודת המשטרה.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Pr>
      </w:pPr>
      <w:bookmarkStart w:id="23" w:name="_Hlk204849685"/>
      <w:r w:rsidRPr="00AA5065">
        <w:rPr>
          <w:rFonts w:ascii="David" w:eastAsia="Calibri" w:hAnsi="David" w:hint="cs"/>
          <w:b/>
          <w:bCs/>
          <w:sz w:val="24"/>
          <w:rtl/>
        </w:rPr>
        <w:t xml:space="preserve">בביקורת הקודמת צוינו נתונים אשר העידו על מיעוט התיקים בנושאי פוליגמיה המגיעים להשלמת ההליך הפלילי, כמו כן צוינה תשובת המשטרה ולפיה היא תקצה שוטרים ייעודיים לטיפול בעניין. </w:t>
      </w:r>
      <w:bookmarkStart w:id="24" w:name="_Hlk204686665"/>
      <w:r w:rsidRPr="00AA5065">
        <w:rPr>
          <w:rFonts w:ascii="David" w:eastAsia="Calibri" w:hAnsi="David" w:hint="cs"/>
          <w:b/>
          <w:bCs/>
          <w:sz w:val="24"/>
          <w:rtl/>
        </w:rPr>
        <w:t>ב</w:t>
      </w:r>
      <w:r w:rsidRPr="00AA5065">
        <w:rPr>
          <w:rFonts w:ascii="David" w:eastAsia="Calibri" w:hAnsi="David"/>
          <w:b/>
          <w:bCs/>
          <w:sz w:val="24"/>
          <w:rtl/>
        </w:rPr>
        <w:t xml:space="preserve">ביקורת המעקב </w:t>
      </w:r>
      <w:r w:rsidRPr="00AA5065">
        <w:rPr>
          <w:rFonts w:ascii="David" w:eastAsia="Calibri" w:hAnsi="David" w:hint="cs"/>
          <w:b/>
          <w:bCs/>
          <w:sz w:val="24"/>
          <w:rtl/>
        </w:rPr>
        <w:t>נמצא</w:t>
      </w:r>
      <w:r w:rsidRPr="00AA5065">
        <w:rPr>
          <w:rFonts w:ascii="David" w:eastAsia="Calibri" w:hAnsi="David"/>
          <w:b/>
          <w:bCs/>
          <w:sz w:val="24"/>
          <w:rtl/>
        </w:rPr>
        <w:t xml:space="preserve"> כי הליקוי תוקן במידה מועטה. הוקם מחלק ייעודי לטיפול בתחום ‏הפוליגמיה כ-6 שנים לאחר ההמלצה בדוח פלמור אך התפוקות עדיין נמוכות, קיים חוסר בשוטרים ביחס לתקינה שנקבעה, טרם בוצעו הכשרות נדרשות, ויש חוסר</w:t>
      </w:r>
      <w:r w:rsidRPr="00AA5065">
        <w:rPr>
          <w:rFonts w:ascii="David" w:eastAsia="Calibri" w:hAnsi="David" w:hint="cs"/>
          <w:b/>
          <w:bCs/>
          <w:sz w:val="24"/>
          <w:rtl/>
        </w:rPr>
        <w:t xml:space="preserve"> </w:t>
      </w:r>
      <w:r w:rsidRPr="00AA5065">
        <w:rPr>
          <w:rFonts w:ascii="David" w:eastAsia="Calibri" w:hAnsi="David"/>
          <w:b/>
          <w:bCs/>
          <w:sz w:val="24"/>
          <w:rtl/>
        </w:rPr>
        <w:t>‏בדוברי ערבית.</w:t>
      </w:r>
      <w:bookmarkEnd w:id="24"/>
    </w:p>
    <w:bookmarkEnd w:id="23"/>
    <w:p w:rsidR="00AA5065" w:rsidRPr="00AA5065" w:rsidP="00860D89">
      <w:pPr>
        <w:spacing w:line="269" w:lineRule="auto"/>
        <w:ind w:left="-567"/>
        <w:rPr>
          <w:rFonts w:eastAsia="Calibri"/>
          <w:szCs w:val="20"/>
          <w:rtl/>
        </w:rPr>
      </w:pPr>
    </w:p>
    <w:p w:rsidR="00AA5065" w:rsidRPr="00AA5065" w:rsidP="00860D89">
      <w:pPr>
        <w:keepNext/>
        <w:keepLines/>
        <w:spacing w:line="269" w:lineRule="auto"/>
        <w:ind w:left="-1"/>
        <w:jc w:val="center"/>
        <w:rPr>
          <w:rFonts w:ascii="David" w:eastAsia="Calibri" w:hAnsi="David"/>
          <w:b/>
          <w:bCs/>
          <w:sz w:val="24"/>
          <w:rtl/>
        </w:rPr>
      </w:pPr>
      <w:r w:rsidRPr="00AA5065">
        <w:rPr>
          <w:rFonts w:ascii="David" w:eastAsia="Calibri" w:hAnsi="David"/>
          <w:b/>
          <w:bCs/>
          <w:sz w:val="24"/>
          <w:rtl/>
        </w:rPr>
        <w:t>מידת תיקון הליקוי</w:t>
      </w:r>
    </w:p>
    <w:p w:rsidR="00AA5065" w:rsidRPr="00AA5065" w:rsidP="00860D89">
      <w:pPr>
        <w:keepNext/>
        <w:keepLines/>
        <w:spacing w:line="269" w:lineRule="auto"/>
        <w:ind w:left="-143"/>
        <w:jc w:val="center"/>
        <w:rPr>
          <w:rFonts w:ascii="David" w:eastAsia="Calibri" w:hAnsi="David"/>
          <w:b/>
          <w:bCs/>
          <w:sz w:val="24"/>
          <w:rtl/>
        </w:rPr>
      </w:pPr>
      <w:r w:rsidRPr="00AA5065">
        <w:rPr>
          <w:rFonts w:eastAsia="Calibri"/>
          <w:noProof/>
        </w:rPr>
        <w:drawing>
          <wp:anchor distT="0" distB="0" distL="114300" distR="114300" simplePos="0" relativeHeight="251663360" behindDoc="1" locked="0" layoutInCell="1" allowOverlap="1">
            <wp:simplePos x="0" y="0"/>
            <wp:positionH relativeFrom="margin">
              <wp:align>center</wp:align>
            </wp:positionH>
            <wp:positionV relativeFrom="paragraph">
              <wp:posOffset>18415</wp:posOffset>
            </wp:positionV>
            <wp:extent cx="4324350" cy="933450"/>
            <wp:effectExtent l="0" t="0" r="0" b="0"/>
            <wp:wrapNone/>
            <wp:docPr id="45" name="תמונה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2"/>
                    <pic:cNvPicPr>
                      <a:picLocks noChangeAspect="1" noChangeArrowheads="1"/>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32435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065" w:rsidRPr="00AA5065" w:rsidP="00860D89">
      <w:pPr>
        <w:keepNext/>
        <w:keepLines/>
        <w:spacing w:line="269" w:lineRule="auto"/>
        <w:ind w:left="397"/>
        <w:jc w:val="center"/>
        <w:rPr>
          <w:rFonts w:ascii="David" w:eastAsia="Calibri" w:hAnsi="David"/>
          <w:b/>
          <w:bCs/>
          <w:sz w:val="24"/>
          <w:rtl/>
        </w:rPr>
      </w:pPr>
    </w:p>
    <w:p w:rsidR="00AA5065" w:rsidRPr="00AA5065" w:rsidP="00860D89">
      <w:pPr>
        <w:keepNext/>
        <w:keepLines/>
        <w:spacing w:line="269" w:lineRule="auto"/>
        <w:ind w:left="397"/>
        <w:jc w:val="center"/>
        <w:rPr>
          <w:rFonts w:ascii="David" w:eastAsia="Calibri" w:hAnsi="David"/>
          <w:b/>
          <w:bCs/>
          <w:sz w:val="24"/>
          <w:rtl/>
        </w:rPr>
      </w:pPr>
    </w:p>
    <w:p w:rsidR="00AA5065" w:rsidRPr="00AA5065" w:rsidP="00860D89">
      <w:pPr>
        <w:spacing w:line="269" w:lineRule="auto"/>
        <w:rPr>
          <w:rFonts w:eastAsia="Calibri"/>
          <w:rtl/>
        </w:rPr>
      </w:pPr>
    </w:p>
    <w:p w:rsidR="00AA5065" w:rsidRPr="00AA5065" w:rsidP="00860D89">
      <w:pPr>
        <w:spacing w:line="269" w:lineRule="auto"/>
        <w:rPr>
          <w:rFonts w:ascii="David" w:eastAsia="Calibri" w:hAnsi="David"/>
          <w:b/>
          <w:bCs/>
          <w:rtl/>
        </w:rPr>
      </w:pPr>
      <w:bookmarkStart w:id="25" w:name="_Hlk204686767"/>
      <w:bookmarkStart w:id="26" w:name="_Hlk204686790"/>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b/>
          <w:bCs/>
          <w:rtl/>
        </w:rPr>
        <w:t>מומלץ</w:t>
      </w:r>
      <w:r w:rsidRPr="00AA5065">
        <w:rPr>
          <w:rFonts w:ascii="David" w:eastAsia="Calibri" w:hAnsi="David" w:hint="cs"/>
          <w:b/>
          <w:bCs/>
          <w:rtl/>
        </w:rPr>
        <w:t xml:space="preserve"> </w:t>
      </w:r>
      <w:r w:rsidRPr="00AA5065">
        <w:rPr>
          <w:rFonts w:ascii="David" w:eastAsia="Calibri" w:hAnsi="David"/>
          <w:b/>
          <w:bCs/>
          <w:rtl/>
        </w:rPr>
        <w:t>כי משטרת ישראל תגבש ותבחן</w:t>
      </w:r>
      <w:r w:rsidRPr="00AA5065">
        <w:rPr>
          <w:rFonts w:ascii="David" w:eastAsia="Calibri" w:hAnsi="David" w:hint="cs"/>
          <w:b/>
          <w:bCs/>
          <w:rtl/>
        </w:rPr>
        <w:t xml:space="preserve"> </w:t>
      </w:r>
      <w:r w:rsidRPr="00AA5065">
        <w:rPr>
          <w:rFonts w:ascii="David" w:eastAsia="Calibri" w:hAnsi="David"/>
          <w:b/>
          <w:bCs/>
          <w:rtl/>
        </w:rPr>
        <w:t xml:space="preserve">תוכנית </w:t>
      </w:r>
      <w:r w:rsidRPr="00AA5065">
        <w:rPr>
          <w:rFonts w:ascii="David" w:eastAsia="Calibri" w:hAnsi="David" w:hint="cs"/>
          <w:b/>
          <w:bCs/>
          <w:rtl/>
        </w:rPr>
        <w:t>הכשרה</w:t>
      </w:r>
      <w:r w:rsidRPr="00AA5065">
        <w:rPr>
          <w:rFonts w:ascii="David" w:eastAsia="Calibri" w:hAnsi="David"/>
          <w:b/>
          <w:bCs/>
          <w:rtl/>
        </w:rPr>
        <w:t xml:space="preserve"> י</w:t>
      </w:r>
      <w:r w:rsidRPr="00AA5065">
        <w:rPr>
          <w:rFonts w:ascii="David" w:eastAsia="Calibri" w:hAnsi="David" w:hint="cs"/>
          <w:b/>
          <w:bCs/>
          <w:rtl/>
        </w:rPr>
        <w:t>י</w:t>
      </w:r>
      <w:r w:rsidRPr="00AA5065">
        <w:rPr>
          <w:rFonts w:ascii="David" w:eastAsia="Calibri" w:hAnsi="David"/>
          <w:b/>
          <w:bCs/>
          <w:rtl/>
        </w:rPr>
        <w:t xml:space="preserve">עודית למחלק הפוליגמיה, </w:t>
      </w:r>
      <w:r w:rsidRPr="00AA5065">
        <w:rPr>
          <w:rFonts w:ascii="David" w:eastAsia="Calibri" w:hAnsi="David" w:hint="cs"/>
          <w:b/>
          <w:bCs/>
          <w:rtl/>
        </w:rPr>
        <w:t>שתכלול בין היתר</w:t>
      </w:r>
      <w:r w:rsidRPr="00AA5065">
        <w:rPr>
          <w:rFonts w:ascii="David" w:eastAsia="Calibri" w:hAnsi="David"/>
          <w:b/>
          <w:bCs/>
          <w:rtl/>
        </w:rPr>
        <w:t xml:space="preserve"> הכשרת דוברי ערבית והענקת כלים מקצועיים נוספים שיסייעו </w:t>
      </w:r>
      <w:r w:rsidRPr="00AA5065">
        <w:rPr>
          <w:rFonts w:ascii="David" w:eastAsia="Calibri" w:hAnsi="David" w:hint="cs"/>
          <w:b/>
          <w:bCs/>
          <w:rtl/>
        </w:rPr>
        <w:t>לשיפור</w:t>
      </w:r>
      <w:r w:rsidRPr="00AA5065">
        <w:rPr>
          <w:rFonts w:ascii="David" w:eastAsia="Calibri" w:hAnsi="David"/>
          <w:b/>
          <w:bCs/>
          <w:rtl/>
        </w:rPr>
        <w:t xml:space="preserve"> התפקוד</w:t>
      </w:r>
      <w:r w:rsidRPr="00AA5065">
        <w:rPr>
          <w:rFonts w:ascii="David" w:eastAsia="Calibri" w:hAnsi="David" w:hint="cs"/>
          <w:b/>
          <w:bCs/>
          <w:rtl/>
        </w:rPr>
        <w:t>,</w:t>
      </w:r>
      <w:r w:rsidRPr="00AA5065">
        <w:rPr>
          <w:rFonts w:ascii="David" w:eastAsia="Calibri" w:hAnsi="David"/>
          <w:b/>
          <w:bCs/>
          <w:rtl/>
        </w:rPr>
        <w:t xml:space="preserve"> התפוקות ‏והיכולות המבצעיות</w:t>
      </w:r>
      <w:r w:rsidRPr="00AA5065">
        <w:rPr>
          <w:rFonts w:ascii="David" w:eastAsia="Calibri" w:hAnsi="David" w:hint="cs"/>
          <w:b/>
          <w:bCs/>
          <w:rtl/>
        </w:rPr>
        <w:t>,</w:t>
      </w:r>
      <w:r w:rsidRPr="00AA5065">
        <w:rPr>
          <w:rFonts w:ascii="David" w:eastAsia="Calibri" w:hAnsi="David"/>
          <w:b/>
          <w:bCs/>
          <w:rtl/>
        </w:rPr>
        <w:t xml:space="preserve"> לחיזוק האכיפה ו</w:t>
      </w:r>
      <w:r w:rsidRPr="00AA5065">
        <w:rPr>
          <w:rFonts w:ascii="David" w:eastAsia="Calibri" w:hAnsi="David" w:hint="cs"/>
          <w:b/>
          <w:bCs/>
          <w:rtl/>
        </w:rPr>
        <w:t>ל</w:t>
      </w:r>
      <w:r w:rsidRPr="00AA5065">
        <w:rPr>
          <w:rFonts w:ascii="David" w:eastAsia="Calibri" w:hAnsi="David"/>
          <w:b/>
          <w:bCs/>
          <w:rtl/>
        </w:rPr>
        <w:t xml:space="preserve">צמצום התופעה. </w:t>
      </w:r>
      <w:bookmarkEnd w:id="25"/>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משטרת ישראל מסרה בתשובתה כי בתקופת ביקורת המעקב ימ"ר דרום הייתה בתהליך הקמה, ובשנת 2025 הפערים בתקינה צומצמו. נכון ליום 28.9.25 קיים במחלק פוליגמיה ימ"ר דרום פער של שני תקנים בלבד - מפקד וקצין חקירות. עוד מסרה המשטרה כי "</w:t>
      </w:r>
      <w:r w:rsidRPr="00AA5065">
        <w:rPr>
          <w:rFonts w:eastAsia="Calibri"/>
          <w:rtl/>
        </w:rPr>
        <w:t>משטרת ישראל רואה בפשיעה הכלכלית איום מרכזי על המשילות ופועלת לחיזוק המענה בתחום, דבר שקיבל משנה תוקף, עם פרסום תכנית המפכ"ל לשנים 2025</w:t>
      </w:r>
      <w:r w:rsidRPr="00AA5065">
        <w:rPr>
          <w:rFonts w:eastAsia="Calibri" w:hint="cs"/>
          <w:rtl/>
        </w:rPr>
        <w:t xml:space="preserve"> </w:t>
      </w:r>
      <w:r w:rsidRPr="00AA5065">
        <w:rPr>
          <w:rFonts w:eastAsia="Calibri"/>
          <w:rtl/>
        </w:rPr>
        <w:t>-</w:t>
      </w:r>
      <w:r w:rsidRPr="00AA5065">
        <w:rPr>
          <w:rFonts w:eastAsia="Calibri" w:hint="cs"/>
          <w:rtl/>
        </w:rPr>
        <w:t xml:space="preserve"> </w:t>
      </w:r>
      <w:r w:rsidRPr="00AA5065">
        <w:rPr>
          <w:rFonts w:eastAsia="Calibri"/>
          <w:rtl/>
        </w:rPr>
        <w:t>2027 ששמה דגש, בין השאר, על טיפול בתופעת פשיעה תוך אכיפה, סיכול מניעה והרתעה. בימים אלו מתבצע מהלך להקמת מגמת פשיעה/אכיפה כלכלית ייעודית, שתאגד ידע, כלים וכוח אדם מקצועי להתמודדות עם האתגר של הנחלת הידע באופן רוחבי לכלל השוטרים העוסקים באכיפה, חקירה ומניעה של תופעות הקשורות לפשיעה כלכלית, ובכלל זה בתופעת תחנות הדלק הפיראטיות ודמי החסות</w:t>
      </w:r>
      <w:r w:rsidRPr="00AA5065">
        <w:rPr>
          <w:rFonts w:eastAsia="Calibri" w:hint="cs"/>
          <w:rtl/>
        </w:rPr>
        <w:t xml:space="preserve">... </w:t>
      </w:r>
      <w:r w:rsidRPr="00AA5065">
        <w:rPr>
          <w:rFonts w:eastAsia="Calibri"/>
          <w:rtl/>
        </w:rPr>
        <w:t>וכן בתופעות פשיעה נוספות הנקשרות לעבריינות כלכלית הכוללת בדרך כלל עבירות של הלבנת הון, הונאה, מרמה, עבירות מס ועוד. לצורך כך מתקיימות פגישות עבודה עם כלל הגורמים המעורבים</w:t>
      </w:r>
      <w:r w:rsidRPr="00AA5065">
        <w:rPr>
          <w:rFonts w:eastAsia="Calibri" w:hint="cs"/>
          <w:rtl/>
        </w:rPr>
        <w:t xml:space="preserve"> </w:t>
      </w:r>
      <w:r w:rsidRPr="00AA5065">
        <w:rPr>
          <w:rFonts w:eastAsia="Calibri"/>
          <w:rtl/>
        </w:rPr>
        <w:t>- פנים משטרתיים (כגון חטיבת החקירות) וחוץ משטרתיים (כגון רשל"ה), לצד השקעה בהכשרת שוטרים באולפן ערבית כחלק בלתי נפרד מהמאבק בפשיעה במגזר זה. בשלב זה שולבו סה"כ 6 שוטרים ממחוז דרום, מיום הקמת האולפן..</w:t>
      </w:r>
      <w:r w:rsidRPr="00AA5065">
        <w:rPr>
          <w:rFonts w:eastAsia="Calibri" w:hint="cs"/>
          <w:rtl/>
        </w:rPr>
        <w:t>.</w:t>
      </w:r>
      <w:r w:rsidR="00C82898">
        <w:rPr>
          <w:rFonts w:eastAsia="Calibri" w:hint="cs"/>
          <w:rtl/>
        </w:rPr>
        <w:t xml:space="preserve"> </w:t>
      </w:r>
      <w:r w:rsidRPr="00AA5065">
        <w:rPr>
          <w:rFonts w:eastAsia="Calibri"/>
          <w:rtl/>
        </w:rPr>
        <w:t>עוד יצוין כי בהובלת מ' המכללה ומ' הכשרת נגדים הסתיימה עבודת מטה שלפיה יוכשרו חוקרים שאינם דוברי השפה הערבית, מתחנות מגזר ותחנות מעורבות, לקורס יסוד חוקר בשילוב עם אולפן ערבית באופן מלא. הצפי לתחילת פעילות על פי עבודת המטה, נובמבר 2025.</w:t>
      </w:r>
      <w:r w:rsidRPr="00AA5065">
        <w:rPr>
          <w:rFonts w:eastAsia="Calibri" w:hint="cs"/>
          <w:rtl/>
        </w:rPr>
        <w:t xml:space="preserve"> </w:t>
      </w:r>
      <w:r w:rsidRPr="00AA5065">
        <w:rPr>
          <w:rFonts w:eastAsia="Calibri"/>
          <w:rtl/>
        </w:rPr>
        <w:t>נוסיף, כי במחלק הפוליגמיה ישנה חוקרת דוברת ערבית.</w:t>
      </w:r>
      <w:r w:rsidRPr="00AA5065">
        <w:rPr>
          <w:rFonts w:eastAsia="Calibri" w:hint="cs"/>
          <w:rtl/>
        </w:rPr>
        <w:t xml:space="preserve">.. </w:t>
      </w:r>
      <w:r w:rsidRPr="00AA5065">
        <w:rPr>
          <w:rFonts w:eastAsia="Calibri"/>
          <w:rtl/>
        </w:rPr>
        <w:t>החוסר בדוברי ערבית בימ"ר דרום מורגש בפרשיות שונות וניסיונות איתור פוטנציאלים רבים נכשלים</w:t>
      </w:r>
      <w:r w:rsidRPr="00AA5065">
        <w:rPr>
          <w:rFonts w:eastAsia="Calibri" w:hint="cs"/>
          <w:rtl/>
        </w:rPr>
        <w:t>..."</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eastAsia"/>
          <w:b/>
          <w:bCs/>
          <w:rtl/>
        </w:rPr>
        <w:t>לאור</w:t>
      </w:r>
      <w:r w:rsidRPr="00AA5065">
        <w:rPr>
          <w:rFonts w:ascii="David" w:eastAsia="Calibri" w:hAnsi="David"/>
          <w:b/>
          <w:bCs/>
          <w:rtl/>
        </w:rPr>
        <w:t xml:space="preserve"> ממצאי פרק זה, חוזר </w:t>
      </w:r>
      <w:r w:rsidRPr="00AA5065">
        <w:rPr>
          <w:rFonts w:ascii="David" w:eastAsia="Calibri" w:hAnsi="David" w:hint="cs"/>
          <w:b/>
          <w:bCs/>
          <w:rtl/>
        </w:rPr>
        <w:t xml:space="preserve">משרד </w:t>
      </w:r>
      <w:r w:rsidRPr="00AA5065">
        <w:rPr>
          <w:rFonts w:ascii="David" w:eastAsia="Calibri" w:hAnsi="David"/>
          <w:b/>
          <w:bCs/>
          <w:rtl/>
        </w:rPr>
        <w:t xml:space="preserve">מבקר המדינה על המלצתו מהדוח הקודם כי </w:t>
      </w:r>
      <w:r w:rsidRPr="00AA5065">
        <w:rPr>
          <w:rFonts w:ascii="David" w:eastAsia="Calibri" w:hAnsi="David" w:hint="eastAsia"/>
          <w:b/>
          <w:bCs/>
          <w:rtl/>
        </w:rPr>
        <w:t>היועצת</w:t>
      </w:r>
      <w:r w:rsidRPr="00AA5065">
        <w:rPr>
          <w:rFonts w:ascii="David" w:eastAsia="Calibri" w:hAnsi="David"/>
          <w:b/>
          <w:bCs/>
          <w:rtl/>
        </w:rPr>
        <w:t xml:space="preserve"> המשפטי</w:t>
      </w:r>
      <w:r w:rsidRPr="00AA5065">
        <w:rPr>
          <w:rFonts w:ascii="David" w:eastAsia="Calibri" w:hAnsi="David" w:hint="eastAsia"/>
          <w:b/>
          <w:bCs/>
          <w:rtl/>
        </w:rPr>
        <w:t>ת</w:t>
      </w:r>
      <w:r w:rsidRPr="00AA5065">
        <w:rPr>
          <w:rFonts w:ascii="David" w:eastAsia="Calibri" w:hAnsi="David"/>
          <w:b/>
          <w:bCs/>
          <w:rtl/>
        </w:rPr>
        <w:t xml:space="preserve"> לממשלה </w:t>
      </w:r>
      <w:r w:rsidRPr="00AA5065">
        <w:rPr>
          <w:rFonts w:ascii="David" w:eastAsia="Calibri" w:hAnsi="David" w:hint="eastAsia"/>
          <w:b/>
          <w:bCs/>
          <w:rtl/>
        </w:rPr>
        <w:t>תבחן</w:t>
      </w:r>
      <w:r w:rsidRPr="00AA5065">
        <w:rPr>
          <w:rFonts w:ascii="David" w:eastAsia="Calibri" w:hAnsi="David"/>
          <w:b/>
          <w:bCs/>
          <w:rtl/>
        </w:rPr>
        <w:t xml:space="preserve"> </w:t>
      </w:r>
      <w:r w:rsidRPr="00AA5065">
        <w:rPr>
          <w:rFonts w:ascii="David" w:eastAsia="Calibri" w:hAnsi="David" w:hint="eastAsia"/>
          <w:b/>
          <w:bCs/>
          <w:rtl/>
        </w:rPr>
        <w:t>את</w:t>
      </w:r>
      <w:r w:rsidRPr="00AA5065">
        <w:rPr>
          <w:rFonts w:ascii="David" w:eastAsia="Calibri" w:hAnsi="David"/>
          <w:b/>
          <w:bCs/>
          <w:rtl/>
        </w:rPr>
        <w:t xml:space="preserve"> </w:t>
      </w:r>
      <w:r w:rsidRPr="00AA5065">
        <w:rPr>
          <w:rFonts w:ascii="David" w:eastAsia="Calibri" w:hAnsi="David" w:hint="eastAsia"/>
          <w:b/>
          <w:bCs/>
          <w:rtl/>
        </w:rPr>
        <w:t>יישום</w:t>
      </w:r>
      <w:r w:rsidRPr="00AA5065">
        <w:rPr>
          <w:rFonts w:ascii="David" w:eastAsia="Calibri" w:hAnsi="David"/>
          <w:b/>
          <w:bCs/>
          <w:rtl/>
        </w:rPr>
        <w:t xml:space="preserve"> </w:t>
      </w:r>
      <w:r w:rsidRPr="00AA5065">
        <w:rPr>
          <w:rFonts w:ascii="David" w:eastAsia="Calibri" w:hAnsi="David" w:hint="eastAsia"/>
          <w:b/>
          <w:bCs/>
          <w:rtl/>
        </w:rPr>
        <w:t>הנחייתה</w:t>
      </w:r>
      <w:r w:rsidRPr="00AA5065">
        <w:rPr>
          <w:rFonts w:ascii="David" w:eastAsia="Calibri" w:hAnsi="David"/>
          <w:b/>
          <w:bCs/>
          <w:rtl/>
        </w:rPr>
        <w:t xml:space="preserve"> בקרב מערכות אכיפת החוק בעניין תופעת הפוליגמיה, וכי משרד המשפטים ומשטרת ישראל יקיימו הליכי הפקת לקחים מכלל תיקי החקירה שנסגרו בשנים 2021 - 2024 ויכינו תכנית פעולה. בכלל זאת, יבחנו את הצורך בהקצאת משאבים מתאימים לאכיפת האיסור בחוק על ריבוי נישואין ולצמצום תופעה זו, המעוגנת ברבדים עמוקים חברתיים, תרבותיים ודתיים בקרב האוכלוסייה הבדואית בנגב. </w:t>
      </w:r>
      <w:r w:rsidRPr="00AA5065">
        <w:rPr>
          <w:rFonts w:ascii="David" w:eastAsia="Calibri" w:hAnsi="David" w:hint="cs"/>
          <w:b/>
          <w:bCs/>
          <w:rtl/>
        </w:rPr>
        <w:t xml:space="preserve">נוכח </w:t>
      </w:r>
      <w:r w:rsidRPr="00AA5065">
        <w:rPr>
          <w:rFonts w:eastAsia="Calibri" w:hint="eastAsia"/>
          <w:b/>
          <w:bCs/>
          <w:rtl/>
        </w:rPr>
        <w:t>העובדה</w:t>
      </w:r>
      <w:r w:rsidRPr="00AA5065">
        <w:rPr>
          <w:rFonts w:eastAsia="Calibri"/>
          <w:b/>
          <w:bCs/>
          <w:rtl/>
        </w:rPr>
        <w:t xml:space="preserve"> שמושקעים מאמצים רבים בטיפול בעבירה לאחר שנעברה ו</w:t>
      </w:r>
      <w:r w:rsidRPr="00AA5065">
        <w:rPr>
          <w:rFonts w:eastAsia="Calibri" w:hint="cs"/>
          <w:b/>
          <w:bCs/>
          <w:rtl/>
        </w:rPr>
        <w:t>ש</w:t>
      </w:r>
      <w:r w:rsidRPr="00AA5065">
        <w:rPr>
          <w:rFonts w:eastAsia="Calibri"/>
          <w:b/>
          <w:bCs/>
          <w:rtl/>
        </w:rPr>
        <w:t xml:space="preserve">התוצאות </w:t>
      </w:r>
      <w:r w:rsidRPr="00AA5065">
        <w:rPr>
          <w:rFonts w:eastAsia="Calibri" w:hint="cs"/>
          <w:b/>
          <w:bCs/>
          <w:rtl/>
        </w:rPr>
        <w:t>אינן מספקות,</w:t>
      </w:r>
      <w:r w:rsidRPr="00AA5065">
        <w:rPr>
          <w:rFonts w:ascii="David" w:eastAsia="Calibri" w:hAnsi="David"/>
          <w:b/>
          <w:bCs/>
          <w:rtl/>
        </w:rPr>
        <w:t xml:space="preserve"> </w:t>
      </w:r>
      <w:r w:rsidRPr="00AA5065">
        <w:rPr>
          <w:rFonts w:ascii="David" w:eastAsia="Calibri" w:hAnsi="David" w:hint="cs"/>
          <w:b/>
          <w:bCs/>
          <w:rtl/>
        </w:rPr>
        <w:t xml:space="preserve">מומלץ כי </w:t>
      </w:r>
      <w:r w:rsidRPr="00AA5065">
        <w:rPr>
          <w:rFonts w:ascii="David" w:eastAsia="Calibri" w:hAnsi="David"/>
          <w:b/>
          <w:bCs/>
          <w:rtl/>
        </w:rPr>
        <w:t>משרד המשפטים יבחן את יישום כלל המלצות ועדת פלמור בעניין מיגור תופעת הפוליגמיה</w:t>
      </w:r>
      <w:r w:rsidRPr="00AA5065">
        <w:rPr>
          <w:rFonts w:ascii="David" w:eastAsia="Calibri" w:hAnsi="David" w:hint="cs"/>
          <w:b/>
          <w:bCs/>
          <w:rtl/>
        </w:rPr>
        <w:t xml:space="preserve">, ובכלל זה פעולות למניעת התופעה מלכתחילה ובהן צמצום התמריצים המניעים לביצועה, </w:t>
      </w:r>
      <w:r w:rsidRPr="00AA5065">
        <w:rPr>
          <w:rFonts w:ascii="David" w:eastAsia="Calibri" w:hAnsi="David"/>
          <w:b/>
          <w:bCs/>
          <w:rtl/>
        </w:rPr>
        <w:t xml:space="preserve">באופן סדור ועיתי, ויוודא </w:t>
      </w:r>
      <w:r w:rsidRPr="00AA5065">
        <w:rPr>
          <w:rFonts w:ascii="David" w:eastAsia="Calibri" w:hAnsi="David" w:hint="cs"/>
          <w:b/>
          <w:bCs/>
          <w:rtl/>
        </w:rPr>
        <w:t xml:space="preserve">את </w:t>
      </w:r>
      <w:r w:rsidRPr="00AA5065">
        <w:rPr>
          <w:rFonts w:ascii="David" w:eastAsia="Calibri" w:hAnsi="David"/>
          <w:b/>
          <w:bCs/>
          <w:rtl/>
        </w:rPr>
        <w:t>עמידת כלל הגורמים השונים בהמלצות.</w:t>
      </w:r>
    </w:p>
    <w:p w:rsidR="00AA5065" w:rsidRPr="00AA5065" w:rsidP="00860D89">
      <w:pPr>
        <w:spacing w:line="269" w:lineRule="auto"/>
        <w:ind w:left="-567"/>
        <w:rPr>
          <w:rFonts w:eastAsia="Calibri"/>
          <w:szCs w:val="20"/>
          <w:rtl/>
        </w:rPr>
      </w:pPr>
      <w:bookmarkStart w:id="27" w:name="_Hlk204854481"/>
      <w:bookmarkEnd w:id="26"/>
    </w:p>
    <w:p w:rsidR="00AA5065" w:rsidRPr="00AA5065" w:rsidP="00860D89">
      <w:pPr>
        <w:spacing w:line="269" w:lineRule="auto"/>
        <w:rPr>
          <w:rFonts w:eastAsia="Calibri"/>
          <w:rtl/>
        </w:rPr>
      </w:pPr>
      <w:r w:rsidRPr="00AA5065">
        <w:rPr>
          <w:rFonts w:eastAsia="Calibri" w:hint="cs"/>
          <w:rtl/>
        </w:rPr>
        <w:t>משרד המשפטים מסר בתשובתו כי "אנו פועלים לקידום כלל המלצות הדוח</w:t>
      </w:r>
      <w:r w:rsidRPr="00AA5065">
        <w:rPr>
          <w:rFonts w:eastAsia="Calibri"/>
          <w:rtl/>
        </w:rPr>
        <w:t>, גם בהיבטי פיתוח חברתי-כלכלי, מתוך תפיסה שלאלו יש השפעה גם על מידת האמון של הציבור במדינה ומתוך כך גם על הנכונות של הציבור להישמע להוראות החוק</w:t>
      </w:r>
      <w:r w:rsidRPr="00AA5065">
        <w:rPr>
          <w:rFonts w:eastAsia="Calibri" w:hint="cs"/>
          <w:rtl/>
        </w:rPr>
        <w:t>"</w:t>
      </w:r>
      <w:r w:rsidRPr="00AA5065">
        <w:rPr>
          <w:rFonts w:eastAsia="Calibri"/>
          <w:rtl/>
        </w:rPr>
        <w:t>.</w:t>
      </w:r>
      <w:r w:rsidRPr="00AA5065">
        <w:rPr>
          <w:rFonts w:eastAsia="Calibri" w:hint="cs"/>
          <w:rtl/>
        </w:rPr>
        <w:t xml:space="preserve"> עוד ציין המשרד בתשובתו כי "</w:t>
      </w:r>
      <w:r w:rsidRPr="00AA5065">
        <w:rPr>
          <w:rFonts w:eastAsia="Calibri"/>
          <w:rtl/>
        </w:rPr>
        <w:t>החטיבה החברתית מובילה את פעילות הצוות הבין-משרדי שהוקם לצורך כך בהחלטת ממשלה 4211. לצורך טיוב פעילות הצוות ובקרה שוטפת אחר יישום ההמלצות בפועל, החטיבה גיבשה מתווה מעודכן לפעילות הצוות הכולל חלוקה לצוותי משנה מקצועיים בתחום ההסברה, האכיפה, המחקר וצוות נוסף שיעסוק בתחום הפיתוח החברתי-הכלכלי וקידום מעמד האישה בפריזמה הייחודית של תופעת הפוליגמיה</w:t>
      </w:r>
      <w:r w:rsidRPr="00AA5065">
        <w:rPr>
          <w:rFonts w:eastAsia="Calibri" w:hint="cs"/>
          <w:rtl/>
        </w:rPr>
        <w:t>"</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 xml:space="preserve">הרשות ‏‏לפיתוח והתיישבות הבדואים בנגב מסרה בתשובתה כי "‏הרשות קיימה יום עיון לעובדי הרשות בנושא המאבק בפוליגמיה בהשתתפות נציגי משרד המשפטים ומשטרת ישראל </w:t>
      </w:r>
      <w:r w:rsidRPr="00AA5065">
        <w:rPr>
          <w:rFonts w:eastAsia="Calibri" w:hint="cs"/>
          <w:rtl/>
        </w:rPr>
        <w:t>-</w:t>
      </w:r>
      <w:r w:rsidRPr="00AA5065">
        <w:rPr>
          <w:rFonts w:eastAsia="Calibri"/>
          <w:rtl/>
        </w:rPr>
        <w:t xml:space="preserve"> מחוז דרום"</w:t>
      </w:r>
      <w:r w:rsidRPr="00AA5065">
        <w:rPr>
          <w:rFonts w:eastAsia="Calibri" w:hint="cs"/>
          <w:rtl/>
        </w:rPr>
        <w:t>.</w:t>
      </w:r>
      <w:r w:rsidRPr="00AA5065">
        <w:rPr>
          <w:rFonts w:eastAsia="Calibri"/>
          <w:rtl/>
        </w:rPr>
        <w:t xml:space="preserve"> עוד </w:t>
      </w:r>
      <w:r w:rsidRPr="00AA5065">
        <w:rPr>
          <w:rFonts w:eastAsia="Calibri" w:hint="cs"/>
          <w:rtl/>
        </w:rPr>
        <w:t>היא מסרה</w:t>
      </w:r>
      <w:r w:rsidRPr="00AA5065">
        <w:rPr>
          <w:rFonts w:eastAsia="Calibri"/>
          <w:rtl/>
        </w:rPr>
        <w:t xml:space="preserve"> כי "הוגדר נוהל לשיתוף פעולה בין הרשות למשטרת ישראל לטובת שיפור הטיפול והמאבק בתופעה".</w:t>
      </w:r>
    </w:p>
    <w:p w:rsidR="00AA5065" w:rsidRPr="00AA5065" w:rsidP="00860D89">
      <w:pPr>
        <w:spacing w:line="269" w:lineRule="auto"/>
        <w:rPr>
          <w:rFonts w:eastAsia="Calibri"/>
          <w:rtl/>
        </w:rPr>
      </w:pPr>
    </w:p>
    <w:p w:rsidR="00AA5065" w:rsidRPr="00AA5065" w:rsidP="004E6B4D">
      <w:pPr>
        <w:keepNext/>
        <w:keepLines/>
        <w:spacing w:before="120" w:line="269" w:lineRule="auto"/>
        <w:outlineLvl w:val="2"/>
        <w:rPr>
          <w:rFonts w:eastAsia="Times New Roman"/>
          <w:bCs/>
          <w:szCs w:val="28"/>
          <w:u w:val="single"/>
          <w:rtl/>
        </w:rPr>
      </w:pPr>
      <w:r w:rsidRPr="00AA5065">
        <w:rPr>
          <w:rFonts w:eastAsia="Times New Roman" w:hint="cs"/>
          <w:bCs/>
          <w:szCs w:val="28"/>
          <w:u w:val="single"/>
          <w:rtl/>
        </w:rPr>
        <w:t>תשלומי קצבאות ותחום החקירות של בט"ל</w:t>
      </w:r>
      <w:bookmarkEnd w:id="27"/>
    </w:p>
    <w:p w:rsidR="00AA5065" w:rsidRPr="00AA5065" w:rsidP="00860D89">
      <w:pPr>
        <w:spacing w:line="269" w:lineRule="auto"/>
        <w:rPr>
          <w:rFonts w:eastAsia="Calibri"/>
          <w:rtl/>
        </w:rPr>
      </w:pPr>
    </w:p>
    <w:p w:rsidR="00AA5065" w:rsidRPr="00AA5065" w:rsidP="00860D89">
      <w:pPr>
        <w:keepNext/>
        <w:keepLines/>
        <w:spacing w:line="269" w:lineRule="auto"/>
        <w:outlineLvl w:val="3"/>
        <w:rPr>
          <w:rFonts w:eastAsia="Times New Roman"/>
          <w:bCs/>
          <w:szCs w:val="26"/>
          <w:rtl/>
        </w:rPr>
      </w:pPr>
      <w:r w:rsidRPr="00AA5065">
        <w:rPr>
          <w:rFonts w:eastAsia="Times New Roman" w:hint="cs"/>
          <w:bCs/>
          <w:szCs w:val="26"/>
          <w:rtl/>
        </w:rPr>
        <w:t>השלכות הפוליגמיה על תשלומי קצבאות בט"ל</w:t>
      </w:r>
    </w:p>
    <w:p w:rsidR="00AA5065" w:rsidRPr="00AA5065" w:rsidP="00860D89">
      <w:pPr>
        <w:spacing w:line="269" w:lineRule="auto"/>
        <w:rPr>
          <w:rFonts w:eastAsia="Calibri"/>
          <w:rtl/>
        </w:rPr>
      </w:pPr>
    </w:p>
    <w:p w:rsidR="00AA5065" w:rsidRPr="00AA5065" w:rsidP="00860D89">
      <w:pPr>
        <w:spacing w:line="269" w:lineRule="auto"/>
        <w:rPr>
          <w:rFonts w:eastAsia="Calibri"/>
          <w:rtl/>
        </w:rPr>
      </w:pPr>
      <w:r w:rsidRPr="00AA5065">
        <w:rPr>
          <w:rFonts w:eastAsia="Calibri" w:hint="cs"/>
          <w:rtl/>
        </w:rPr>
        <w:t>בט"ל</w:t>
      </w:r>
      <w:r w:rsidRPr="00AA5065">
        <w:rPr>
          <w:rFonts w:eastAsia="Calibri"/>
          <w:rtl/>
        </w:rPr>
        <w:t xml:space="preserve"> אחראי </w:t>
      </w:r>
      <w:r w:rsidRPr="00AA5065">
        <w:rPr>
          <w:rFonts w:eastAsia="Calibri" w:hint="cs"/>
          <w:rtl/>
        </w:rPr>
        <w:t xml:space="preserve">על </w:t>
      </w:r>
      <w:r w:rsidRPr="00AA5065">
        <w:rPr>
          <w:rFonts w:eastAsia="Calibri"/>
          <w:rtl/>
        </w:rPr>
        <w:t>תשלומי קצבאות מסוגים שונים בהתאם למבחנים חברתיים</w:t>
      </w:r>
      <w:r w:rsidRPr="00AA5065">
        <w:rPr>
          <w:rFonts w:eastAsia="Calibri" w:hint="cs"/>
          <w:rtl/>
        </w:rPr>
        <w:t>, בריאותיים</w:t>
      </w:r>
      <w:r w:rsidRPr="00AA5065">
        <w:rPr>
          <w:rFonts w:eastAsia="Calibri"/>
          <w:rtl/>
        </w:rPr>
        <w:t xml:space="preserve"> וכלכליים. פעילות בט"ל מוסדרת בחוק הביטוח הלאומי</w:t>
      </w:r>
      <w:r w:rsidRPr="00AA5065">
        <w:rPr>
          <w:rFonts w:eastAsia="Calibri" w:hint="cs"/>
          <w:rtl/>
        </w:rPr>
        <w:t xml:space="preserve"> </w:t>
      </w:r>
      <w:r w:rsidRPr="00AA5065">
        <w:rPr>
          <w:rFonts w:eastAsia="Calibri"/>
          <w:rtl/>
        </w:rPr>
        <w:t xml:space="preserve">[נוסח משולב], </w:t>
      </w:r>
      <w:r w:rsidRPr="00AA5065">
        <w:rPr>
          <w:rFonts w:eastAsia="Calibri" w:hint="cs"/>
          <w:rtl/>
        </w:rPr>
        <w:t>ה</w:t>
      </w:r>
      <w:r w:rsidRPr="00AA5065">
        <w:rPr>
          <w:rFonts w:eastAsia="Calibri"/>
          <w:rtl/>
        </w:rPr>
        <w:t>תשנ"ה-1995</w:t>
      </w:r>
      <w:r w:rsidRPr="00AA5065">
        <w:rPr>
          <w:rFonts w:eastAsia="Calibri" w:hint="cs"/>
          <w:rtl/>
        </w:rPr>
        <w:t xml:space="preserve"> (להלן - חוק בט"ל)</w:t>
      </w:r>
      <w:r w:rsidRPr="00AA5065">
        <w:rPr>
          <w:rFonts w:eastAsia="Calibri"/>
          <w:rtl/>
        </w:rPr>
        <w:t>.</w:t>
      </w:r>
      <w:r w:rsidRPr="00AA5065">
        <w:rPr>
          <w:rFonts w:eastAsia="Calibri" w:hint="cs"/>
          <w:rtl/>
        </w:rPr>
        <w:t xml:space="preserve"> </w:t>
      </w:r>
      <w:r w:rsidRPr="00AA5065">
        <w:rPr>
          <w:rFonts w:eastAsia="Calibri" w:hint="eastAsia"/>
          <w:rtl/>
        </w:rPr>
        <w:t>תשלום</w:t>
      </w:r>
      <w:r w:rsidRPr="00AA5065">
        <w:rPr>
          <w:rFonts w:eastAsia="Calibri"/>
          <w:rtl/>
        </w:rPr>
        <w:t xml:space="preserve"> </w:t>
      </w:r>
      <w:r w:rsidRPr="00AA5065">
        <w:rPr>
          <w:rFonts w:eastAsia="Calibri" w:hint="eastAsia"/>
          <w:rtl/>
        </w:rPr>
        <w:t>הקצבאות</w:t>
      </w:r>
      <w:r w:rsidRPr="00AA5065">
        <w:rPr>
          <w:rFonts w:eastAsia="Calibri"/>
          <w:rtl/>
        </w:rPr>
        <w:t xml:space="preserve"> </w:t>
      </w:r>
      <w:r w:rsidRPr="00AA5065">
        <w:rPr>
          <w:rFonts w:eastAsia="Calibri" w:hint="eastAsia"/>
          <w:rtl/>
        </w:rPr>
        <w:t>מוסדר</w:t>
      </w:r>
      <w:r w:rsidRPr="00AA5065">
        <w:rPr>
          <w:rFonts w:eastAsia="Calibri"/>
          <w:rtl/>
        </w:rPr>
        <w:t xml:space="preserve"> </w:t>
      </w:r>
      <w:r w:rsidRPr="00AA5065">
        <w:rPr>
          <w:rFonts w:eastAsia="Calibri" w:hint="eastAsia"/>
          <w:rtl/>
        </w:rPr>
        <w:t>בחוקים</w:t>
      </w:r>
      <w:r w:rsidRPr="00AA5065">
        <w:rPr>
          <w:rFonts w:eastAsia="Calibri"/>
          <w:rtl/>
        </w:rPr>
        <w:t xml:space="preserve"> </w:t>
      </w:r>
      <w:r w:rsidRPr="00AA5065">
        <w:rPr>
          <w:rFonts w:eastAsia="Calibri" w:hint="eastAsia"/>
          <w:rtl/>
        </w:rPr>
        <w:t>נוספים</w:t>
      </w:r>
      <w:r w:rsidRPr="00AA5065">
        <w:rPr>
          <w:rFonts w:eastAsia="Calibri"/>
          <w:rtl/>
        </w:rPr>
        <w:t xml:space="preserve">, </w:t>
      </w:r>
      <w:r w:rsidRPr="00AA5065">
        <w:rPr>
          <w:rFonts w:eastAsia="Calibri" w:hint="eastAsia"/>
          <w:rtl/>
        </w:rPr>
        <w:t>בהם</w:t>
      </w:r>
      <w:r w:rsidRPr="00AA5065">
        <w:rPr>
          <w:rFonts w:eastAsia="Calibri"/>
          <w:rtl/>
        </w:rPr>
        <w:t xml:space="preserve"> </w:t>
      </w:r>
      <w:r w:rsidRPr="00AA5065">
        <w:rPr>
          <w:rFonts w:eastAsia="Calibri" w:hint="eastAsia"/>
          <w:rtl/>
        </w:rPr>
        <w:t>חוק</w:t>
      </w:r>
      <w:r w:rsidRPr="00AA5065">
        <w:rPr>
          <w:rFonts w:eastAsia="Calibri"/>
          <w:rtl/>
        </w:rPr>
        <w:t xml:space="preserve"> </w:t>
      </w:r>
      <w:r w:rsidRPr="00AA5065">
        <w:rPr>
          <w:rFonts w:eastAsia="Calibri" w:hint="eastAsia"/>
          <w:rtl/>
        </w:rPr>
        <w:t>הבטחת</w:t>
      </w:r>
      <w:r w:rsidRPr="00AA5065">
        <w:rPr>
          <w:rFonts w:eastAsia="Calibri"/>
          <w:rtl/>
        </w:rPr>
        <w:t xml:space="preserve"> </w:t>
      </w:r>
      <w:r w:rsidRPr="00AA5065">
        <w:rPr>
          <w:rFonts w:eastAsia="Calibri" w:hint="eastAsia"/>
          <w:rtl/>
        </w:rPr>
        <w:t>הכנסה</w:t>
      </w:r>
      <w:r w:rsidRPr="00AA5065">
        <w:rPr>
          <w:rFonts w:eastAsia="Calibri" w:hint="cs"/>
          <w:rtl/>
        </w:rPr>
        <w:t>, ה</w:t>
      </w:r>
      <w:r w:rsidRPr="00AA5065">
        <w:rPr>
          <w:rFonts w:eastAsia="Calibri"/>
          <w:rtl/>
        </w:rPr>
        <w:t>תשמ"א</w:t>
      </w:r>
      <w:r w:rsidRPr="00AA5065">
        <w:rPr>
          <w:rFonts w:eastAsia="Calibri" w:hint="cs"/>
          <w:rtl/>
        </w:rPr>
        <w:t>-</w:t>
      </w:r>
      <w:r w:rsidRPr="00AA5065">
        <w:rPr>
          <w:rFonts w:eastAsia="Calibri"/>
          <w:rtl/>
        </w:rPr>
        <w:t>1980</w:t>
      </w:r>
      <w:r w:rsidRPr="00AA5065">
        <w:rPr>
          <w:rFonts w:eastAsia="Calibri" w:hint="cs"/>
          <w:rtl/>
        </w:rPr>
        <w:t xml:space="preserve"> </w:t>
      </w:r>
      <w:r w:rsidRPr="00AA5065">
        <w:rPr>
          <w:rFonts w:eastAsia="Calibri" w:hint="eastAsia"/>
          <w:rtl/>
        </w:rPr>
        <w:t>וחוק</w:t>
      </w:r>
      <w:r w:rsidRPr="00AA5065">
        <w:rPr>
          <w:rFonts w:eastAsia="Calibri"/>
          <w:rtl/>
        </w:rPr>
        <w:t xml:space="preserve"> </w:t>
      </w:r>
      <w:r w:rsidRPr="00AA5065">
        <w:rPr>
          <w:rFonts w:eastAsia="Calibri" w:hint="eastAsia"/>
          <w:rtl/>
        </w:rPr>
        <w:t>המזונות</w:t>
      </w:r>
      <w:r w:rsidRPr="00AA5065">
        <w:rPr>
          <w:rFonts w:eastAsia="Calibri"/>
          <w:rtl/>
        </w:rPr>
        <w:t xml:space="preserve"> (הבטחת </w:t>
      </w:r>
      <w:r w:rsidRPr="00AA5065">
        <w:rPr>
          <w:rFonts w:eastAsia="Calibri" w:hint="eastAsia"/>
          <w:rtl/>
        </w:rPr>
        <w:t>תשלום</w:t>
      </w:r>
      <w:r w:rsidRPr="00AA5065">
        <w:rPr>
          <w:rFonts w:eastAsia="Calibri"/>
          <w:rtl/>
        </w:rPr>
        <w:t>)</w:t>
      </w:r>
      <w:r w:rsidRPr="00AA5065">
        <w:rPr>
          <w:rFonts w:eastAsia="Calibri" w:hint="cs"/>
          <w:rtl/>
        </w:rPr>
        <w:t>, התשל"ב-1972</w:t>
      </w:r>
      <w:r w:rsidRPr="00AA5065">
        <w:rPr>
          <w:rFonts w:eastAsia="Calibri"/>
          <w:rtl/>
        </w:rPr>
        <w:t>.</w:t>
      </w:r>
      <w:r w:rsidRPr="00AA5065">
        <w:rPr>
          <w:rFonts w:eastAsia="Calibri" w:hint="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jc w:val="left"/>
        <w:rPr>
          <w:rFonts w:eastAsia="Calibri"/>
          <w:rtl/>
          <w:lang w:eastAsia="he-IL"/>
        </w:rPr>
      </w:pPr>
      <w:r w:rsidRPr="00AA5065">
        <w:rPr>
          <w:rFonts w:eastAsia="Calibri" w:hint="cs"/>
          <w:rtl/>
          <w:lang w:eastAsia="he-IL"/>
        </w:rPr>
        <w:t>בדוח פלמור</w:t>
      </w:r>
      <w:r>
        <w:rPr>
          <w:rFonts w:eastAsia="Calibri"/>
          <w:vertAlign w:val="superscript"/>
          <w:rtl/>
          <w:lang w:eastAsia="he-IL"/>
        </w:rPr>
        <w:footnoteReference w:id="26"/>
      </w:r>
      <w:r w:rsidRPr="00AA5065">
        <w:rPr>
          <w:rFonts w:eastAsia="Calibri" w:hint="cs"/>
          <w:rtl/>
          <w:lang w:eastAsia="he-IL"/>
        </w:rPr>
        <w:t xml:space="preserve"> נכתב כי "...</w:t>
      </w:r>
      <w:r w:rsidRPr="00AA5065">
        <w:rPr>
          <w:rFonts w:eastAsia="Calibri"/>
          <w:rtl/>
          <w:lang w:eastAsia="he-IL"/>
        </w:rPr>
        <w:t>בחלק מהמשפחות הפוליגמיות הבעל רשום</w:t>
      </w:r>
      <w:r w:rsidRPr="00AA5065">
        <w:rPr>
          <w:rFonts w:eastAsia="Calibri" w:hint="cs"/>
          <w:rtl/>
          <w:lang w:eastAsia="he-IL"/>
        </w:rPr>
        <w:t xml:space="preserve"> </w:t>
      </w:r>
      <w:r w:rsidRPr="00AA5065">
        <w:rPr>
          <w:rFonts w:eastAsia="Calibri"/>
          <w:rtl/>
          <w:lang w:eastAsia="he-IL"/>
        </w:rPr>
        <w:t>בפועל כנשוי לאישה אחת בלבד, בעוד שאר הנשים להן הוא נשוי על פי הדין הדתי</w:t>
      </w:r>
      <w:r w:rsidRPr="00AA5065">
        <w:rPr>
          <w:rFonts w:eastAsia="Calibri" w:hint="cs"/>
          <w:rtl/>
          <w:lang w:eastAsia="he-IL"/>
        </w:rPr>
        <w:t xml:space="preserve"> </w:t>
      </w:r>
      <w:r w:rsidRPr="00AA5065">
        <w:rPr>
          <w:rFonts w:eastAsia="Calibri"/>
          <w:rtl/>
          <w:lang w:eastAsia="he-IL"/>
        </w:rPr>
        <w:t>רשומות כרווקות עם ילדים או כגרושות. רישום כוזב מעין זה, מאפשר לחמוק מן הדין</w:t>
      </w:r>
      <w:r w:rsidRPr="00AA5065">
        <w:rPr>
          <w:rFonts w:eastAsia="Calibri" w:hint="cs"/>
          <w:rtl/>
          <w:lang w:eastAsia="he-IL"/>
        </w:rPr>
        <w:t xml:space="preserve"> </w:t>
      </w:r>
      <w:r w:rsidRPr="00AA5065">
        <w:rPr>
          <w:rFonts w:eastAsia="Calibri"/>
          <w:rtl/>
          <w:lang w:eastAsia="he-IL"/>
        </w:rPr>
        <w:t>הפלילי, מבסס את הזכאות להטבות מסוימות</w:t>
      </w:r>
      <w:r w:rsidRPr="00AA5065">
        <w:rPr>
          <w:rFonts w:eastAsia="Calibri" w:hint="cs"/>
          <w:rtl/>
          <w:lang w:eastAsia="he-IL"/>
        </w:rPr>
        <w:t xml:space="preserve"> (</w:t>
      </w:r>
      <w:r w:rsidRPr="00AA5065">
        <w:rPr>
          <w:rFonts w:eastAsia="Calibri"/>
          <w:rtl/>
          <w:lang w:eastAsia="he-IL"/>
        </w:rPr>
        <w:t>לדוגמה, קבלת קצבאות מוגדלות הניתנות</w:t>
      </w:r>
      <w:r w:rsidRPr="00AA5065">
        <w:rPr>
          <w:rFonts w:eastAsia="Calibri" w:hint="cs"/>
          <w:rtl/>
          <w:lang w:eastAsia="he-IL"/>
        </w:rPr>
        <w:t xml:space="preserve"> </w:t>
      </w:r>
      <w:r w:rsidRPr="00AA5065">
        <w:rPr>
          <w:rFonts w:eastAsia="Calibri"/>
          <w:rtl/>
          <w:lang w:eastAsia="he-IL"/>
        </w:rPr>
        <w:t>לאימהות חד הוריות</w:t>
      </w:r>
      <w:r w:rsidRPr="00AA5065">
        <w:rPr>
          <w:rFonts w:eastAsia="Calibri" w:hint="cs"/>
          <w:rtl/>
          <w:lang w:eastAsia="he-IL"/>
        </w:rPr>
        <w:t>)...".</w:t>
      </w:r>
    </w:p>
    <w:p w:rsidR="00AA5065" w:rsidRPr="00AA5065" w:rsidP="00860D89">
      <w:pPr>
        <w:spacing w:line="269" w:lineRule="auto"/>
        <w:ind w:left="-567"/>
        <w:rPr>
          <w:rFonts w:eastAsia="Calibri"/>
          <w:szCs w:val="20"/>
          <w:rtl/>
          <w:lang w:eastAsia="he-IL"/>
        </w:rPr>
      </w:pPr>
    </w:p>
    <w:p w:rsidR="00AA5065" w:rsidRPr="00AA5065" w:rsidP="00860D89">
      <w:pPr>
        <w:spacing w:line="269" w:lineRule="auto"/>
        <w:rPr>
          <w:rFonts w:eastAsia="Calibri"/>
          <w:rtl/>
          <w:lang w:eastAsia="he-IL"/>
        </w:rPr>
      </w:pPr>
      <w:r w:rsidRPr="00AA5065">
        <w:rPr>
          <w:rFonts w:eastAsia="Calibri" w:hint="cs"/>
          <w:rtl/>
          <w:lang w:eastAsia="he-IL"/>
        </w:rPr>
        <w:t>עוד נכתב</w:t>
      </w:r>
      <w:r>
        <w:rPr>
          <w:rFonts w:eastAsia="Calibri"/>
          <w:vertAlign w:val="superscript"/>
          <w:rtl/>
          <w:lang w:eastAsia="he-IL"/>
        </w:rPr>
        <w:footnoteReference w:id="27"/>
      </w:r>
      <w:r w:rsidRPr="00AA5065">
        <w:rPr>
          <w:rFonts w:eastAsia="Calibri" w:hint="cs"/>
          <w:rtl/>
          <w:lang w:eastAsia="he-IL"/>
        </w:rPr>
        <w:t xml:space="preserve"> בדוח זה כי "היקף הדיווחים על משפחות שבראשן עומדת 'הורה עצמאית' בקרב האוכלוסיה הבדואית השמרנית </w:t>
      </w:r>
      <w:r w:rsidRPr="00AA5065">
        <w:rPr>
          <w:rFonts w:eastAsia="Calibri" w:hint="cs"/>
          <w:b/>
          <w:bCs/>
          <w:rtl/>
          <w:lang w:eastAsia="he-IL"/>
        </w:rPr>
        <w:t>מעוררת חשד ממשי לדיווחים כוזבים</w:t>
      </w:r>
      <w:r w:rsidRPr="00AA5065">
        <w:rPr>
          <w:rFonts w:eastAsia="Calibri" w:hint="cs"/>
          <w:rtl/>
          <w:lang w:eastAsia="he-IL"/>
        </w:rPr>
        <w:t xml:space="preserve">. אין המדובר בתופעה זניחה... </w:t>
      </w:r>
      <w:r w:rsidRPr="00AA5065">
        <w:rPr>
          <w:rFonts w:eastAsia="Calibri" w:hint="cs"/>
          <w:b/>
          <w:bCs/>
          <w:rtl/>
          <w:lang w:eastAsia="he-IL"/>
        </w:rPr>
        <w:t>למעלה מרבע מהמשפחות שתובעות הבטחת הכנסה, בקרב הבדואים בדרום, הן משפחות שבראשן עומד הורה עצמאי</w:t>
      </w:r>
      <w:r w:rsidRPr="00AA5065">
        <w:rPr>
          <w:rFonts w:eastAsia="Calibri" w:hint="cs"/>
          <w:rtl/>
          <w:lang w:eastAsia="he-IL"/>
        </w:rPr>
        <w:t xml:space="preserve">. נתון זה, מעורר תהיה רבה לאור אופיה המסורתי של החברה הבדואית בדרום. יודגש כי </w:t>
      </w:r>
      <w:r w:rsidRPr="00AA5065">
        <w:rPr>
          <w:rFonts w:eastAsia="Calibri" w:hint="cs"/>
          <w:b/>
          <w:bCs/>
          <w:rtl/>
          <w:lang w:eastAsia="he-IL"/>
        </w:rPr>
        <w:t>לא ניתן לקבוע בוודאות שמדובר בדיווח כוזב, ללא חקירה של הנתונים בפועל</w:t>
      </w:r>
      <w:r w:rsidRPr="00AA5065">
        <w:rPr>
          <w:rFonts w:eastAsia="Calibri" w:hint="cs"/>
          <w:rtl/>
          <w:lang w:eastAsia="he-IL"/>
        </w:rPr>
        <w:t>" (ההדגשה במקור).</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בביקורת הקודמת נמצא כי יש</w:t>
      </w:r>
      <w:r w:rsidRPr="00AA5065">
        <w:rPr>
          <w:rFonts w:eastAsia="Calibri"/>
          <w:rtl/>
        </w:rPr>
        <w:t xml:space="preserve"> תופעות הרווחות בקרב האוכלוסייה הבדואית בנגב ולהן הש</w:t>
      </w:r>
      <w:r w:rsidRPr="00AA5065">
        <w:rPr>
          <w:rFonts w:eastAsia="Calibri" w:hint="cs"/>
          <w:rtl/>
        </w:rPr>
        <w:t>פעה</w:t>
      </w:r>
      <w:r w:rsidRPr="00AA5065">
        <w:rPr>
          <w:rFonts w:eastAsia="Calibri"/>
          <w:rtl/>
        </w:rPr>
        <w:t xml:space="preserve"> על קצבאות בט"ל המשולמות לתושבים</w:t>
      </w:r>
      <w:r w:rsidRPr="00AA5065">
        <w:rPr>
          <w:rFonts w:eastAsia="Calibri" w:hint="cs"/>
          <w:rtl/>
        </w:rPr>
        <w:t xml:space="preserve"> ואף למי שאינם בגדר תושבים.</w:t>
      </w:r>
    </w:p>
    <w:p w:rsidR="00AA5065" w:rsidRPr="00AA5065" w:rsidP="00860D89">
      <w:pPr>
        <w:spacing w:line="269" w:lineRule="auto"/>
        <w:ind w:left="-567"/>
        <w:rPr>
          <w:rFonts w:eastAsia="Calibri"/>
          <w:szCs w:val="20"/>
          <w:rtl/>
        </w:rPr>
      </w:pPr>
    </w:p>
    <w:p w:rsidR="00AA5065" w:rsidRPr="00AA5065" w:rsidP="00860D89">
      <w:pPr>
        <w:spacing w:line="269" w:lineRule="auto"/>
        <w:ind w:left="-45"/>
        <w:rPr>
          <w:rFonts w:ascii="Arial" w:eastAsia="Times New Roman" w:hAnsi="Arial"/>
          <w:sz w:val="24"/>
          <w:rtl/>
        </w:rPr>
      </w:pPr>
      <w:r w:rsidRPr="00AA5065">
        <w:rPr>
          <w:rFonts w:eastAsia="Times New Roman" w:hint="eastAsia"/>
          <w:bCs/>
          <w:spacing w:val="40"/>
          <w:rtl/>
        </w:rPr>
        <w:t>תופעת</w:t>
      </w:r>
      <w:r w:rsidRPr="00AA5065">
        <w:rPr>
          <w:rFonts w:eastAsia="Times New Roman"/>
          <w:bCs/>
          <w:spacing w:val="40"/>
          <w:rtl/>
        </w:rPr>
        <w:t xml:space="preserve"> הפוליגמיה:</w:t>
      </w:r>
      <w:r w:rsidRPr="00AA5065">
        <w:rPr>
          <w:rFonts w:eastAsia="Calibri" w:hint="cs"/>
          <w:rtl/>
        </w:rPr>
        <w:t xml:space="preserve"> ב</w:t>
      </w:r>
      <w:r w:rsidRPr="00AA5065">
        <w:rPr>
          <w:rFonts w:ascii="Arial" w:eastAsia="Times New Roman" w:hAnsi="Arial" w:hint="cs"/>
          <w:sz w:val="24"/>
          <w:rtl/>
        </w:rPr>
        <w:t xml:space="preserve">הנחיית </w:t>
      </w:r>
      <w:r w:rsidRPr="00AA5065">
        <w:rPr>
          <w:rFonts w:eastAsia="Times New Roman" w:hint="cs"/>
          <w:sz w:val="24"/>
          <w:rtl/>
        </w:rPr>
        <w:t>היועמ"ש</w:t>
      </w:r>
      <w:r>
        <w:rPr>
          <w:rFonts w:ascii="Arial" w:eastAsia="Times New Roman" w:hAnsi="Arial"/>
          <w:sz w:val="24"/>
          <w:vertAlign w:val="superscript"/>
          <w:rtl/>
        </w:rPr>
        <w:footnoteReference w:id="28"/>
      </w:r>
      <w:r w:rsidRPr="00AA5065">
        <w:rPr>
          <w:rFonts w:ascii="Arial" w:eastAsia="Times New Roman" w:hAnsi="Arial" w:hint="cs"/>
          <w:sz w:val="24"/>
          <w:rtl/>
        </w:rPr>
        <w:t xml:space="preserve"> בדבר פוליגמיה צוין כי "...תופעת ריבוי הנישואין אף מהווה אמצעי להשגת רווח כלכלי, לעיתים שלא כדין, בתחומים שונים. ריבוי נישואין מאפשר זכאות להטבות שונות מכוח החוק, הטבות שעלולות ליצור תמריץ משמעותי לקיום אורח חיים פוליגמי, למשל קצבת הבטחת הכנסה ליחידה משפחתית שבה יותר משני בני זוג. בנוסף, בין התמריצים הכלכליים הנלווים לקיום אורח חיים פוליגמי ניתן למנות: קבלת גמלאות להבטחת הכנסה לכל אישה נוספת...".</w:t>
      </w:r>
    </w:p>
    <w:p w:rsidR="00AA5065" w:rsidRPr="00AA5065" w:rsidP="00860D89">
      <w:pPr>
        <w:spacing w:line="269" w:lineRule="auto"/>
        <w:ind w:left="-567"/>
        <w:rPr>
          <w:rFonts w:eastAsia="Calibri"/>
          <w:szCs w:val="20"/>
          <w:rtl/>
        </w:rPr>
      </w:pPr>
    </w:p>
    <w:p w:rsidR="00AA5065" w:rsidRPr="00AA5065" w:rsidP="00860D89">
      <w:pPr>
        <w:spacing w:line="269" w:lineRule="auto"/>
        <w:ind w:left="-28"/>
        <w:rPr>
          <w:rFonts w:eastAsia="Calibri"/>
          <w:rtl/>
        </w:rPr>
      </w:pPr>
      <w:r w:rsidRPr="00AA5065">
        <w:rPr>
          <w:rFonts w:eastAsia="Times New Roman" w:hint="eastAsia"/>
          <w:bCs/>
          <w:spacing w:val="40"/>
          <w:rtl/>
        </w:rPr>
        <w:t>תופעת</w:t>
      </w:r>
      <w:r w:rsidRPr="00AA5065">
        <w:rPr>
          <w:rFonts w:eastAsia="Times New Roman"/>
          <w:bCs/>
          <w:spacing w:val="40"/>
          <w:rtl/>
        </w:rPr>
        <w:t xml:space="preserve"> </w:t>
      </w:r>
      <w:r w:rsidRPr="00AA5065">
        <w:rPr>
          <w:rFonts w:eastAsia="Times New Roman" w:hint="eastAsia"/>
          <w:bCs/>
          <w:spacing w:val="40"/>
          <w:rtl/>
        </w:rPr>
        <w:t>הנשים</w:t>
      </w:r>
      <w:r w:rsidRPr="00AA5065">
        <w:rPr>
          <w:rFonts w:eastAsia="Times New Roman" w:hint="cs"/>
          <w:bCs/>
          <w:spacing w:val="40"/>
          <w:rtl/>
        </w:rPr>
        <w:t xml:space="preserve"> המגורשות:</w:t>
      </w:r>
      <w:r w:rsidRPr="00AA5065">
        <w:rPr>
          <w:rFonts w:eastAsia="Calibri" w:hint="cs"/>
          <w:rtl/>
        </w:rPr>
        <w:t xml:space="preserve"> </w:t>
      </w:r>
      <w:r w:rsidRPr="00AA5065">
        <w:rPr>
          <w:rFonts w:eastAsia="Calibri" w:hint="eastAsia"/>
          <w:rtl/>
        </w:rPr>
        <w:t>נוסף</w:t>
      </w:r>
      <w:r w:rsidRPr="00AA5065">
        <w:rPr>
          <w:rFonts w:eastAsia="Calibri"/>
          <w:rtl/>
        </w:rPr>
        <w:t xml:space="preserve"> </w:t>
      </w:r>
      <w:r w:rsidRPr="00AA5065">
        <w:rPr>
          <w:rFonts w:eastAsia="Calibri" w:hint="cs"/>
          <w:rtl/>
        </w:rPr>
        <w:t xml:space="preserve">על </w:t>
      </w:r>
      <w:r w:rsidRPr="00AA5065">
        <w:rPr>
          <w:rFonts w:eastAsia="Calibri" w:hint="eastAsia"/>
          <w:rtl/>
        </w:rPr>
        <w:t>תופעת</w:t>
      </w:r>
      <w:r w:rsidRPr="00AA5065">
        <w:rPr>
          <w:rFonts w:eastAsia="Calibri"/>
          <w:rtl/>
        </w:rPr>
        <w:t xml:space="preserve"> </w:t>
      </w:r>
      <w:r w:rsidRPr="00AA5065">
        <w:rPr>
          <w:rFonts w:eastAsia="Calibri" w:hint="eastAsia"/>
          <w:rtl/>
        </w:rPr>
        <w:t>הפוליגמיה</w:t>
      </w:r>
      <w:r w:rsidRPr="00AA5065">
        <w:rPr>
          <w:rFonts w:eastAsia="Calibri"/>
          <w:rtl/>
        </w:rPr>
        <w:t xml:space="preserve"> </w:t>
      </w:r>
      <w:r w:rsidRPr="00AA5065">
        <w:rPr>
          <w:rFonts w:eastAsia="Calibri" w:hint="eastAsia"/>
          <w:rtl/>
        </w:rPr>
        <w:t>קיימת</w:t>
      </w:r>
      <w:r w:rsidRPr="00AA5065">
        <w:rPr>
          <w:rFonts w:eastAsia="Calibri"/>
          <w:rtl/>
        </w:rPr>
        <w:t xml:space="preserve"> </w:t>
      </w:r>
      <w:r w:rsidRPr="00AA5065">
        <w:rPr>
          <w:rFonts w:eastAsia="Calibri" w:hint="eastAsia"/>
          <w:rtl/>
        </w:rPr>
        <w:t>תופעה</w:t>
      </w:r>
      <w:r w:rsidRPr="00AA5065">
        <w:rPr>
          <w:rFonts w:eastAsia="Calibri"/>
          <w:rtl/>
        </w:rPr>
        <w:t xml:space="preserve"> </w:t>
      </w:r>
      <w:r w:rsidRPr="00AA5065">
        <w:rPr>
          <w:rFonts w:eastAsia="Calibri" w:hint="eastAsia"/>
          <w:rtl/>
        </w:rPr>
        <w:t>שבה</w:t>
      </w:r>
      <w:r w:rsidRPr="00AA5065">
        <w:rPr>
          <w:rFonts w:eastAsia="Calibri"/>
          <w:rtl/>
        </w:rPr>
        <w:t xml:space="preserve"> </w:t>
      </w:r>
      <w:r w:rsidRPr="00AA5065">
        <w:rPr>
          <w:rFonts w:eastAsia="Calibri" w:hint="eastAsia"/>
          <w:rtl/>
        </w:rPr>
        <w:t>נשים</w:t>
      </w:r>
      <w:r w:rsidRPr="00AA5065">
        <w:rPr>
          <w:rFonts w:eastAsia="Calibri"/>
          <w:rtl/>
        </w:rPr>
        <w:t xml:space="preserve"> </w:t>
      </w:r>
      <w:r w:rsidRPr="00AA5065">
        <w:rPr>
          <w:rFonts w:eastAsia="Calibri" w:hint="eastAsia"/>
          <w:rtl/>
        </w:rPr>
        <w:t>מגורשות</w:t>
      </w:r>
      <w:r w:rsidRPr="00AA5065">
        <w:rPr>
          <w:rFonts w:eastAsia="Calibri"/>
          <w:rtl/>
        </w:rPr>
        <w:t xml:space="preserve"> </w:t>
      </w:r>
      <w:r w:rsidRPr="00AA5065">
        <w:rPr>
          <w:rFonts w:eastAsia="Calibri" w:hint="eastAsia"/>
          <w:rtl/>
        </w:rPr>
        <w:t>על</w:t>
      </w:r>
      <w:r w:rsidRPr="00AA5065">
        <w:rPr>
          <w:rFonts w:eastAsia="Calibri"/>
          <w:rtl/>
        </w:rPr>
        <w:t xml:space="preserve"> </w:t>
      </w:r>
      <w:r w:rsidRPr="00AA5065">
        <w:rPr>
          <w:rFonts w:eastAsia="Calibri" w:hint="eastAsia"/>
          <w:rtl/>
        </w:rPr>
        <w:t>ידי</w:t>
      </w:r>
      <w:r w:rsidRPr="00AA5065">
        <w:rPr>
          <w:rFonts w:eastAsia="Calibri"/>
          <w:rtl/>
        </w:rPr>
        <w:t xml:space="preserve"> </w:t>
      </w:r>
      <w:r w:rsidRPr="00AA5065">
        <w:rPr>
          <w:rFonts w:eastAsia="Calibri" w:hint="eastAsia"/>
          <w:rtl/>
        </w:rPr>
        <w:t>בעליהן</w:t>
      </w:r>
      <w:r w:rsidRPr="00AA5065">
        <w:rPr>
          <w:rFonts w:eastAsia="Calibri"/>
          <w:rtl/>
        </w:rPr>
        <w:t xml:space="preserve">, ובכל זאת עדיין נשארות לרוב במקום מגוריו ואף סרות למרותו. </w:t>
      </w:r>
      <w:r w:rsidRPr="00AA5065">
        <w:rPr>
          <w:rFonts w:eastAsia="Calibri" w:hint="cs"/>
          <w:rtl/>
        </w:rPr>
        <w:t>התברר כי ברוב ה</w:t>
      </w:r>
      <w:r w:rsidRPr="00AA5065">
        <w:rPr>
          <w:rFonts w:eastAsia="Calibri"/>
          <w:rtl/>
        </w:rPr>
        <w:t>מקרים</w:t>
      </w:r>
      <w:r w:rsidRPr="00AA5065">
        <w:rPr>
          <w:rFonts w:eastAsia="Calibri" w:hint="cs"/>
          <w:rtl/>
        </w:rPr>
        <w:t xml:space="preserve"> ה</w:t>
      </w:r>
      <w:r w:rsidRPr="00AA5065">
        <w:rPr>
          <w:rFonts w:eastAsia="Calibri"/>
          <w:rtl/>
        </w:rPr>
        <w:t>אלה הנשים המגורשות מדווחות על היותן חד</w:t>
      </w:r>
      <w:r w:rsidRPr="00AA5065">
        <w:rPr>
          <w:rFonts w:eastAsia="Calibri" w:hint="cs"/>
          <w:rtl/>
        </w:rPr>
        <w:t>-</w:t>
      </w:r>
      <w:r w:rsidRPr="00AA5065">
        <w:rPr>
          <w:rFonts w:eastAsia="Calibri"/>
          <w:rtl/>
        </w:rPr>
        <w:t xml:space="preserve">הוריות, </w:t>
      </w:r>
      <w:r w:rsidRPr="00AA5065">
        <w:rPr>
          <w:rFonts w:eastAsia="Calibri" w:hint="cs"/>
          <w:rtl/>
        </w:rPr>
        <w:t>וזאת כדי</w:t>
      </w:r>
      <w:r w:rsidRPr="00AA5065">
        <w:rPr>
          <w:rFonts w:eastAsia="Calibri"/>
          <w:rtl/>
        </w:rPr>
        <w:t xml:space="preserve"> ליהנות מגמלת הבטחת הכנסה גבוהה יותר</w:t>
      </w:r>
      <w:r w:rsidRPr="00AA5065">
        <w:rPr>
          <w:rFonts w:eastAsia="Calibri" w:hint="cs"/>
          <w:rtl/>
        </w:rPr>
        <w:t>,</w:t>
      </w:r>
      <w:r w:rsidRPr="00AA5065">
        <w:rPr>
          <w:rFonts w:eastAsia="Calibri"/>
          <w:rtl/>
        </w:rPr>
        <w:t xml:space="preserve"> שאותה הן מעבירות לאדם שגירש אותן. </w:t>
      </w:r>
    </w:p>
    <w:p w:rsidR="00AA5065" w:rsidRPr="00AA5065" w:rsidP="00860D89">
      <w:pPr>
        <w:spacing w:line="269" w:lineRule="auto"/>
        <w:ind w:left="-567"/>
        <w:rPr>
          <w:rFonts w:eastAsia="Calibri"/>
          <w:szCs w:val="20"/>
          <w:rtl/>
        </w:rPr>
      </w:pPr>
    </w:p>
    <w:p w:rsidR="00AA5065" w:rsidRPr="00AA5065" w:rsidP="00860D89">
      <w:pPr>
        <w:spacing w:line="269" w:lineRule="auto"/>
        <w:ind w:left="-28"/>
        <w:rPr>
          <w:rFonts w:eastAsia="Calibri"/>
          <w:rtl/>
        </w:rPr>
      </w:pPr>
      <w:r w:rsidRPr="00AA5065">
        <w:rPr>
          <w:rFonts w:eastAsia="Times New Roman" w:hint="cs"/>
          <w:bCs/>
          <w:spacing w:val="40"/>
          <w:rtl/>
        </w:rPr>
        <w:t>תופעת הנשים הישראליות העוברות לגור בשטחי יהודה ושומרון:</w:t>
      </w:r>
      <w:r w:rsidRPr="00AA5065">
        <w:rPr>
          <w:rFonts w:eastAsia="Calibri" w:hint="cs"/>
          <w:rtl/>
        </w:rPr>
        <w:t xml:space="preserve"> </w:t>
      </w:r>
      <w:r w:rsidRPr="00AA5065">
        <w:rPr>
          <w:rFonts w:eastAsia="Calibri"/>
          <w:rtl/>
        </w:rPr>
        <w:t>נשים מהאוכלוסייה הבדואית שרשומות כתושבות ישראל ברשות האוכלוסין מתחתנות ועוברות לגור ביהודה ושומרון</w:t>
      </w:r>
      <w:r w:rsidRPr="00AA5065">
        <w:rPr>
          <w:rFonts w:eastAsia="Calibri" w:hint="cs"/>
          <w:rtl/>
        </w:rPr>
        <w:t>,</w:t>
      </w:r>
      <w:r w:rsidRPr="00AA5065">
        <w:rPr>
          <w:rFonts w:eastAsia="Calibri"/>
          <w:rtl/>
        </w:rPr>
        <w:t xml:space="preserve"> אולם ממשיכות לקבל קצבאות </w:t>
      </w:r>
      <w:r w:rsidRPr="00AA5065">
        <w:rPr>
          <w:rFonts w:eastAsia="Calibri" w:hint="cs"/>
          <w:rtl/>
        </w:rPr>
        <w:t>מבט"ל</w:t>
      </w:r>
      <w:r w:rsidRPr="00AA5065">
        <w:rPr>
          <w:rFonts w:eastAsia="Calibri"/>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ind w:left="-28"/>
        <w:rPr>
          <w:rFonts w:eastAsia="Calibri"/>
          <w:rtl/>
        </w:rPr>
      </w:pPr>
      <w:r w:rsidRPr="00AA5065">
        <w:rPr>
          <w:rFonts w:eastAsia="Times New Roman" w:hint="cs"/>
          <w:bCs/>
          <w:spacing w:val="40"/>
          <w:rtl/>
        </w:rPr>
        <w:t>נשים פלסטיניות הנישאות לאזרח ישראלי (בדואי)</w:t>
      </w:r>
      <w:r w:rsidRPr="00AA5065">
        <w:rPr>
          <w:rFonts w:eastAsia="Calibri"/>
          <w:b/>
          <w:bCs/>
          <w:rtl/>
        </w:rPr>
        <w:t>:</w:t>
      </w:r>
      <w:r w:rsidRPr="00AA5065">
        <w:rPr>
          <w:rFonts w:eastAsia="Calibri" w:hint="cs"/>
          <w:rtl/>
        </w:rPr>
        <w:t xml:space="preserve"> </w:t>
      </w:r>
      <w:r w:rsidRPr="00AA5065">
        <w:rPr>
          <w:rFonts w:eastAsia="Calibri" w:hint="eastAsia"/>
          <w:rtl/>
        </w:rPr>
        <w:t>נשים</w:t>
      </w:r>
      <w:r w:rsidRPr="00AA5065">
        <w:rPr>
          <w:rFonts w:eastAsia="Calibri"/>
          <w:rtl/>
        </w:rPr>
        <w:t xml:space="preserve"> </w:t>
      </w:r>
      <w:r w:rsidRPr="00AA5065">
        <w:rPr>
          <w:rFonts w:eastAsia="Calibri" w:hint="eastAsia"/>
          <w:rtl/>
        </w:rPr>
        <w:t>מהרשות</w:t>
      </w:r>
      <w:r w:rsidRPr="00AA5065">
        <w:rPr>
          <w:rFonts w:eastAsia="Calibri"/>
          <w:rtl/>
        </w:rPr>
        <w:t xml:space="preserve"> </w:t>
      </w:r>
      <w:r w:rsidRPr="00AA5065">
        <w:rPr>
          <w:rFonts w:eastAsia="Calibri" w:hint="eastAsia"/>
          <w:rtl/>
        </w:rPr>
        <w:t>הפלסטינית</w:t>
      </w:r>
      <w:r w:rsidRPr="00AA5065">
        <w:rPr>
          <w:rFonts w:eastAsia="Calibri"/>
          <w:rtl/>
        </w:rPr>
        <w:t xml:space="preserve"> </w:t>
      </w:r>
      <w:r w:rsidRPr="00AA5065">
        <w:rPr>
          <w:rFonts w:eastAsia="Calibri" w:hint="cs"/>
          <w:rtl/>
        </w:rPr>
        <w:t>מ</w:t>
      </w:r>
      <w:r w:rsidRPr="00AA5065">
        <w:rPr>
          <w:rFonts w:eastAsia="Calibri" w:hint="eastAsia"/>
          <w:rtl/>
        </w:rPr>
        <w:t>תחתנו</w:t>
      </w:r>
      <w:r w:rsidRPr="00AA5065">
        <w:rPr>
          <w:rFonts w:eastAsia="Calibri" w:hint="cs"/>
          <w:rtl/>
        </w:rPr>
        <w:t>ת</w:t>
      </w:r>
      <w:r w:rsidRPr="00AA5065">
        <w:rPr>
          <w:rFonts w:eastAsia="Calibri"/>
          <w:rtl/>
        </w:rPr>
        <w:t xml:space="preserve"> </w:t>
      </w:r>
      <w:r w:rsidRPr="00AA5065">
        <w:rPr>
          <w:rFonts w:eastAsia="Calibri" w:hint="eastAsia"/>
          <w:rtl/>
        </w:rPr>
        <w:t>עם</w:t>
      </w:r>
      <w:r w:rsidRPr="00AA5065">
        <w:rPr>
          <w:rFonts w:eastAsia="Calibri"/>
          <w:rtl/>
        </w:rPr>
        <w:t xml:space="preserve"> </w:t>
      </w:r>
      <w:r w:rsidRPr="00AA5065">
        <w:rPr>
          <w:rFonts w:eastAsia="Calibri" w:hint="eastAsia"/>
          <w:rtl/>
        </w:rPr>
        <w:t>בדואי</w:t>
      </w:r>
      <w:r w:rsidRPr="00AA5065">
        <w:rPr>
          <w:rFonts w:eastAsia="Calibri" w:hint="cs"/>
          <w:rtl/>
        </w:rPr>
        <w:t xml:space="preserve"> אזרח ישראל</w:t>
      </w:r>
      <w:r w:rsidRPr="00AA5065">
        <w:rPr>
          <w:rFonts w:eastAsia="Calibri"/>
          <w:rtl/>
        </w:rPr>
        <w:t xml:space="preserve">, </w:t>
      </w:r>
      <w:r w:rsidRPr="00AA5065">
        <w:rPr>
          <w:rFonts w:eastAsia="Calibri" w:hint="eastAsia"/>
          <w:rtl/>
        </w:rPr>
        <w:t>י</w:t>
      </w:r>
      <w:r w:rsidRPr="00AA5065">
        <w:rPr>
          <w:rFonts w:eastAsia="Calibri" w:hint="cs"/>
          <w:rtl/>
        </w:rPr>
        <w:t>ו</w:t>
      </w:r>
      <w:r w:rsidRPr="00AA5065">
        <w:rPr>
          <w:rFonts w:eastAsia="Calibri" w:hint="eastAsia"/>
          <w:rtl/>
        </w:rPr>
        <w:t>לדו</w:t>
      </w:r>
      <w:r w:rsidRPr="00AA5065">
        <w:rPr>
          <w:rFonts w:eastAsia="Calibri" w:hint="cs"/>
          <w:rtl/>
        </w:rPr>
        <w:t>ת</w:t>
      </w:r>
      <w:r w:rsidRPr="00AA5065">
        <w:rPr>
          <w:rFonts w:eastAsia="Calibri"/>
          <w:rtl/>
        </w:rPr>
        <w:t xml:space="preserve"> </w:t>
      </w:r>
      <w:r w:rsidRPr="00AA5065">
        <w:rPr>
          <w:rFonts w:eastAsia="Calibri" w:hint="cs"/>
          <w:rtl/>
        </w:rPr>
        <w:t xml:space="preserve">לו </w:t>
      </w:r>
      <w:r w:rsidRPr="00AA5065">
        <w:rPr>
          <w:rFonts w:eastAsia="Calibri" w:hint="eastAsia"/>
          <w:rtl/>
        </w:rPr>
        <w:t>ו</w:t>
      </w:r>
      <w:r w:rsidRPr="00AA5065">
        <w:rPr>
          <w:rFonts w:eastAsia="Calibri" w:hint="cs"/>
          <w:rtl/>
        </w:rPr>
        <w:t>אינן</w:t>
      </w:r>
      <w:r w:rsidRPr="00AA5065">
        <w:rPr>
          <w:rFonts w:eastAsia="Calibri"/>
          <w:rtl/>
        </w:rPr>
        <w:t xml:space="preserve"> </w:t>
      </w:r>
      <w:r w:rsidRPr="00AA5065">
        <w:rPr>
          <w:rFonts w:eastAsia="Calibri" w:hint="cs"/>
          <w:rtl/>
        </w:rPr>
        <w:t>מקבלות</w:t>
      </w:r>
      <w:r w:rsidRPr="00AA5065">
        <w:rPr>
          <w:rFonts w:eastAsia="Calibri"/>
          <w:rtl/>
        </w:rPr>
        <w:t xml:space="preserve"> </w:t>
      </w:r>
      <w:r w:rsidRPr="00AA5065">
        <w:rPr>
          <w:rFonts w:eastAsia="Calibri" w:hint="eastAsia"/>
          <w:rtl/>
        </w:rPr>
        <w:t>אישור</w:t>
      </w:r>
      <w:r w:rsidRPr="00AA5065">
        <w:rPr>
          <w:rFonts w:eastAsia="Calibri"/>
          <w:rtl/>
        </w:rPr>
        <w:t xml:space="preserve"> </w:t>
      </w:r>
      <w:r w:rsidRPr="00AA5065">
        <w:rPr>
          <w:rFonts w:eastAsia="Calibri" w:hint="eastAsia"/>
          <w:rtl/>
        </w:rPr>
        <w:t>לאיחוד</w:t>
      </w:r>
      <w:r w:rsidRPr="00AA5065">
        <w:rPr>
          <w:rFonts w:eastAsia="Calibri"/>
          <w:rtl/>
        </w:rPr>
        <w:t xml:space="preserve"> </w:t>
      </w:r>
      <w:r w:rsidRPr="00AA5065">
        <w:rPr>
          <w:rFonts w:eastAsia="Calibri" w:hint="eastAsia"/>
          <w:rtl/>
        </w:rPr>
        <w:t>משפחות</w:t>
      </w:r>
      <w:r w:rsidRPr="00AA5065">
        <w:rPr>
          <w:rFonts w:eastAsia="Calibri"/>
          <w:rtl/>
        </w:rPr>
        <w:t xml:space="preserve">, </w:t>
      </w:r>
      <w:r w:rsidRPr="00AA5065">
        <w:rPr>
          <w:rFonts w:eastAsia="Calibri" w:hint="eastAsia"/>
          <w:rtl/>
        </w:rPr>
        <w:t>כעבור</w:t>
      </w:r>
      <w:r w:rsidRPr="00AA5065">
        <w:rPr>
          <w:rFonts w:eastAsia="Calibri"/>
          <w:rtl/>
        </w:rPr>
        <w:t xml:space="preserve"> </w:t>
      </w:r>
      <w:r w:rsidRPr="00AA5065">
        <w:rPr>
          <w:rFonts w:eastAsia="Calibri" w:hint="eastAsia"/>
          <w:rtl/>
        </w:rPr>
        <w:t>שנים</w:t>
      </w:r>
      <w:r w:rsidRPr="00AA5065">
        <w:rPr>
          <w:rFonts w:eastAsia="Calibri" w:hint="cs"/>
          <w:rtl/>
        </w:rPr>
        <w:t xml:space="preserve"> אחדות הבעל</w:t>
      </w:r>
      <w:r w:rsidRPr="00AA5065">
        <w:rPr>
          <w:rFonts w:eastAsia="Calibri"/>
          <w:rtl/>
        </w:rPr>
        <w:t xml:space="preserve"> מבקש לרשום את הילדים כזכאים לקבל</w:t>
      </w:r>
      <w:r w:rsidRPr="00AA5065">
        <w:rPr>
          <w:rFonts w:eastAsia="Calibri" w:hint="cs"/>
          <w:rtl/>
        </w:rPr>
        <w:t xml:space="preserve"> את</w:t>
      </w:r>
      <w:r w:rsidRPr="00AA5065">
        <w:rPr>
          <w:rFonts w:eastAsia="Calibri"/>
          <w:rtl/>
        </w:rPr>
        <w:t xml:space="preserve"> קצבת </w:t>
      </w:r>
      <w:r w:rsidRPr="00AA5065">
        <w:rPr>
          <w:rFonts w:eastAsia="Calibri" w:hint="cs"/>
          <w:rtl/>
        </w:rPr>
        <w:t>הילדים של בט"ל על שמו</w:t>
      </w:r>
      <w:r w:rsidRPr="00AA5065">
        <w:rPr>
          <w:rFonts w:eastAsia="Calibri"/>
          <w:rtl/>
        </w:rPr>
        <w:t xml:space="preserve">. בהיעדר מידע מספק בידי הרשויות וחוסר </w:t>
      </w:r>
      <w:r w:rsidRPr="00AA5065">
        <w:rPr>
          <w:rFonts w:eastAsia="Calibri" w:hint="eastAsia"/>
          <w:rtl/>
        </w:rPr>
        <w:t>יכולת</w:t>
      </w:r>
      <w:r w:rsidRPr="00AA5065">
        <w:rPr>
          <w:rFonts w:eastAsia="Calibri"/>
          <w:rtl/>
        </w:rPr>
        <w:t xml:space="preserve"> שלהן להוכיח את </w:t>
      </w:r>
      <w:r w:rsidRPr="00AA5065">
        <w:rPr>
          <w:rFonts w:eastAsia="Calibri" w:hint="eastAsia"/>
          <w:rtl/>
        </w:rPr>
        <w:t>אי</w:t>
      </w:r>
      <w:r w:rsidRPr="00AA5065">
        <w:rPr>
          <w:rFonts w:eastAsia="Calibri" w:hint="cs"/>
          <w:rtl/>
        </w:rPr>
        <w:t>-</w:t>
      </w:r>
      <w:r w:rsidRPr="00AA5065">
        <w:rPr>
          <w:rFonts w:eastAsia="Calibri" w:hint="eastAsia"/>
          <w:rtl/>
        </w:rPr>
        <w:t>זכאותו</w:t>
      </w:r>
      <w:r w:rsidRPr="00AA5065">
        <w:rPr>
          <w:rFonts w:eastAsia="Calibri"/>
          <w:rtl/>
        </w:rPr>
        <w:t xml:space="preserve"> </w:t>
      </w:r>
      <w:r w:rsidRPr="00AA5065">
        <w:rPr>
          <w:rFonts w:eastAsia="Calibri" w:hint="eastAsia"/>
          <w:rtl/>
        </w:rPr>
        <w:t>לקצבת</w:t>
      </w:r>
      <w:r w:rsidRPr="00AA5065">
        <w:rPr>
          <w:rFonts w:eastAsia="Calibri"/>
          <w:rtl/>
        </w:rPr>
        <w:t xml:space="preserve"> ילדים, ההורים </w:t>
      </w:r>
      <w:r w:rsidRPr="00AA5065">
        <w:rPr>
          <w:rFonts w:eastAsia="Calibri" w:hint="eastAsia"/>
          <w:rtl/>
        </w:rPr>
        <w:t>מקבלים</w:t>
      </w:r>
      <w:r w:rsidRPr="00AA5065">
        <w:rPr>
          <w:rFonts w:eastAsia="Calibri" w:hint="cs"/>
          <w:rtl/>
        </w:rPr>
        <w:t xml:space="preserve"> </w:t>
      </w:r>
      <w:r w:rsidRPr="00AA5065">
        <w:rPr>
          <w:rFonts w:eastAsia="Calibri" w:hint="eastAsia"/>
          <w:rtl/>
        </w:rPr>
        <w:t>את</w:t>
      </w:r>
      <w:r w:rsidRPr="00AA5065">
        <w:rPr>
          <w:rFonts w:eastAsia="Calibri" w:hint="cs"/>
          <w:rtl/>
        </w:rPr>
        <w:t xml:space="preserve"> קצבת הילדים</w:t>
      </w:r>
      <w:r w:rsidRPr="00AA5065">
        <w:rPr>
          <w:rFonts w:eastAsia="Calibri"/>
          <w:rtl/>
        </w:rPr>
        <w:t xml:space="preserve">. </w:t>
      </w:r>
      <w:r w:rsidRPr="00AA5065">
        <w:rPr>
          <w:rFonts w:eastAsia="Calibri" w:hint="eastAsia"/>
          <w:rtl/>
        </w:rPr>
        <w:t>זאת</w:t>
      </w:r>
      <w:r w:rsidRPr="00AA5065">
        <w:rPr>
          <w:rFonts w:eastAsia="Calibri"/>
          <w:rtl/>
        </w:rPr>
        <w:t xml:space="preserve"> </w:t>
      </w:r>
      <w:r w:rsidRPr="00AA5065">
        <w:rPr>
          <w:rFonts w:eastAsia="Calibri" w:hint="cs"/>
          <w:rtl/>
        </w:rPr>
        <w:t>אף</w:t>
      </w:r>
      <w:r w:rsidRPr="00AA5065">
        <w:rPr>
          <w:rFonts w:eastAsia="Calibri"/>
          <w:rtl/>
        </w:rPr>
        <w:t xml:space="preserve"> </w:t>
      </w:r>
      <w:r w:rsidRPr="00AA5065">
        <w:rPr>
          <w:rFonts w:eastAsia="Calibri" w:hint="eastAsia"/>
          <w:rtl/>
        </w:rPr>
        <w:t>שבמקרים</w:t>
      </w:r>
      <w:r w:rsidRPr="00AA5065">
        <w:rPr>
          <w:rFonts w:eastAsia="Calibri"/>
          <w:rtl/>
        </w:rPr>
        <w:t xml:space="preserve"> </w:t>
      </w:r>
      <w:r w:rsidRPr="00AA5065">
        <w:rPr>
          <w:rFonts w:eastAsia="Calibri" w:hint="eastAsia"/>
          <w:rtl/>
        </w:rPr>
        <w:t>רבים</w:t>
      </w:r>
      <w:r w:rsidRPr="00AA5065">
        <w:rPr>
          <w:rFonts w:eastAsia="Calibri"/>
          <w:rtl/>
        </w:rPr>
        <w:t xml:space="preserve"> </w:t>
      </w:r>
      <w:r w:rsidRPr="00AA5065">
        <w:rPr>
          <w:rFonts w:eastAsia="Calibri" w:hint="eastAsia"/>
          <w:rtl/>
        </w:rPr>
        <w:t>האם</w:t>
      </w:r>
      <w:r w:rsidRPr="00AA5065">
        <w:rPr>
          <w:rFonts w:eastAsia="Calibri"/>
          <w:rtl/>
        </w:rPr>
        <w:t xml:space="preserve"> </w:t>
      </w:r>
      <w:r w:rsidRPr="00AA5065">
        <w:rPr>
          <w:rFonts w:eastAsia="Calibri" w:hint="eastAsia"/>
          <w:rtl/>
        </w:rPr>
        <w:t>והילדים</w:t>
      </w:r>
      <w:r w:rsidRPr="00AA5065">
        <w:rPr>
          <w:rFonts w:eastAsia="Calibri"/>
          <w:rtl/>
        </w:rPr>
        <w:t xml:space="preserve"> </w:t>
      </w:r>
      <w:r w:rsidRPr="00AA5065">
        <w:rPr>
          <w:rFonts w:eastAsia="Calibri" w:hint="eastAsia"/>
          <w:rtl/>
        </w:rPr>
        <w:t>מתגוררים</w:t>
      </w:r>
      <w:r w:rsidRPr="00AA5065">
        <w:rPr>
          <w:rFonts w:eastAsia="Calibri"/>
          <w:rtl/>
        </w:rPr>
        <w:t xml:space="preserve"> </w:t>
      </w:r>
      <w:r w:rsidRPr="00AA5065">
        <w:rPr>
          <w:rFonts w:eastAsia="Calibri" w:hint="eastAsia"/>
          <w:rtl/>
        </w:rPr>
        <w:t>בפועל</w:t>
      </w:r>
      <w:r w:rsidRPr="00AA5065">
        <w:rPr>
          <w:rFonts w:eastAsia="Calibri"/>
          <w:rtl/>
        </w:rPr>
        <w:t xml:space="preserve"> </w:t>
      </w:r>
      <w:r w:rsidRPr="00AA5065">
        <w:rPr>
          <w:rFonts w:eastAsia="Calibri" w:hint="eastAsia"/>
          <w:rtl/>
        </w:rPr>
        <w:t>ברשות</w:t>
      </w:r>
      <w:r w:rsidRPr="00AA5065">
        <w:rPr>
          <w:rFonts w:eastAsia="Calibri"/>
          <w:rtl/>
        </w:rPr>
        <w:t xml:space="preserve"> </w:t>
      </w:r>
      <w:r w:rsidRPr="00AA5065">
        <w:rPr>
          <w:rFonts w:eastAsia="Calibri" w:hint="eastAsia"/>
          <w:rtl/>
        </w:rPr>
        <w:t>הפלסטינית</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בט</w:t>
      </w:r>
      <w:r w:rsidRPr="00AA5065">
        <w:rPr>
          <w:rFonts w:eastAsia="Calibri"/>
          <w:rtl/>
        </w:rPr>
        <w:t>"</w:t>
      </w:r>
      <w:r w:rsidRPr="00AA5065">
        <w:rPr>
          <w:rFonts w:eastAsia="Calibri" w:hint="cs"/>
          <w:rtl/>
        </w:rPr>
        <w:t>ל מסר בתשובתו לדוח הקודם כי "ככל שיש לנו נתון על הפסקת התושבות או על שהיה ברשות הפלשתינית, אנו מפסיקים את תשלום הגמלאות הרלוונטיות. גמלת הבטחת הכנסה משתלמת כדין גם למי שאיננה תושבת וחיה עם בן זוג תושב, זאת, כל עוד הם חיים בשטחי ישראל. עד כמה שידוע לנו לא מתבצע רישום מעבר תושבי ישראל במעברים לשטחים ומהשטחים לישראל ולכן אין בידנו מידע מלא ועדכני בדבר מרכז חייהם של מקבלי קצבאות העוברים במעברים היבשתיים. ככל שנקבל מידע על שהייה בשטחים, יבחן הביטוח הלאומי את הצורך בביטול תושבות במקרים בהם מרכז החיים הוא בשטחי יו"ש".</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בהקשר זה יצוין כי גם בדוח פלמור נכתב</w:t>
      </w:r>
      <w:r>
        <w:rPr>
          <w:rFonts w:eastAsia="Calibri"/>
          <w:vertAlign w:val="superscript"/>
          <w:rtl/>
        </w:rPr>
        <w:footnoteReference w:id="29"/>
      </w:r>
      <w:r w:rsidRPr="00AA5065">
        <w:rPr>
          <w:rFonts w:eastAsia="Calibri" w:hint="cs"/>
          <w:rtl/>
        </w:rPr>
        <w:t xml:space="preserve"> כי "בשנים האחרונות ניתן להבחין במגמה ברורה לפיה נשים מהאוכלוסייה הבדואית בדרום מצהירות כי הן עומדות בראש משפחה עצמאית... יש להניח שהסיבה לכך היא שהגמלה הניתנת להורה עצמאי גבוהה בשיעור ניכר". כמו כן צוין שם כי כ-30% מהזכאים לגמלת הבטחת הכנסה במגזר זה הן משפחות עם הורה עצמאי</w:t>
      </w:r>
      <w:r>
        <w:rPr>
          <w:rFonts w:eastAsia="Calibri"/>
          <w:vertAlign w:val="superscript"/>
          <w:rtl/>
        </w:rPr>
        <w:footnoteReference w:id="30"/>
      </w:r>
      <w:r w:rsidRPr="00AA5065">
        <w:rPr>
          <w:rFonts w:eastAsia="Calibri" w:hint="cs"/>
          <w:rtl/>
        </w:rPr>
        <w:t>.</w:t>
      </w:r>
      <w:r w:rsidRPr="00AA5065">
        <w:rPr>
          <w:rFonts w:eastAsia="Calibri" w:hint="cs"/>
          <w:b/>
          <w:bCs/>
          <w:rtl/>
        </w:rPr>
        <w:t xml:space="preserve"> </w:t>
      </w:r>
      <w:r w:rsidRPr="00AA5065">
        <w:rPr>
          <w:rFonts w:eastAsia="Calibri" w:hint="cs"/>
          <w:rtl/>
        </w:rPr>
        <w:t>עוד נכתב</w:t>
      </w:r>
      <w:r>
        <w:rPr>
          <w:rFonts w:eastAsia="Calibri"/>
          <w:vertAlign w:val="superscript"/>
          <w:rtl/>
        </w:rPr>
        <w:footnoteReference w:id="31"/>
      </w:r>
      <w:r w:rsidRPr="00AA5065">
        <w:rPr>
          <w:rFonts w:eastAsia="Calibri" w:hint="cs"/>
          <w:rtl/>
        </w:rPr>
        <w:t xml:space="preserve"> כי "אחת התופעות החמורות של ריבוי נישואין בקרב הבדואים, אשר התגברה בשנים האחרונות, היא מעין סחר בנשים פלסטיניות למטרות נישואין עם גברים בדואים... רבות מן הנשים השניות הן פלסטיניות תושבות השטחים. גם כאשר מדובר באשה הזכאית לקצבה, לרוב, הקצבאות מגיעות ישירות לבעל ולא אליה".</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הוועדה הבין-משרדית לנושא תופעת "יבוא" נשים פלסטיניות למגזר הבדואי בנגב (להלן - </w:t>
      </w:r>
      <w:bookmarkStart w:id="28" w:name="_Hlk196381182"/>
      <w:r w:rsidRPr="00AA5065">
        <w:rPr>
          <w:rFonts w:eastAsia="Calibri" w:hint="cs"/>
          <w:rtl/>
        </w:rPr>
        <w:t>הוועדה הבין-משרדית - יבוא נשים</w:t>
      </w:r>
      <w:bookmarkEnd w:id="28"/>
      <w:r w:rsidRPr="00AA5065">
        <w:rPr>
          <w:rFonts w:eastAsia="Calibri" w:hint="cs"/>
          <w:rtl/>
        </w:rPr>
        <w:t xml:space="preserve">) </w:t>
      </w:r>
      <w:r w:rsidRPr="00AA5065">
        <w:rPr>
          <w:rFonts w:eastAsia="Calibri" w:hint="cs"/>
          <w:rtl/>
          <w:lang w:eastAsia="he-IL"/>
        </w:rPr>
        <w:t>ציינה</w:t>
      </w:r>
      <w:r>
        <w:rPr>
          <w:rFonts w:eastAsia="Calibri"/>
          <w:vertAlign w:val="superscript"/>
          <w:rtl/>
          <w:lang w:eastAsia="he-IL"/>
        </w:rPr>
        <w:footnoteReference w:id="32"/>
      </w:r>
      <w:r w:rsidRPr="00AA5065">
        <w:rPr>
          <w:rFonts w:eastAsia="Calibri" w:hint="cs"/>
          <w:rtl/>
        </w:rPr>
        <w:t xml:space="preserve"> בפברואר 2022 כי "</w:t>
      </w:r>
      <w:r w:rsidRPr="00AA5065">
        <w:rPr>
          <w:rFonts w:eastAsia="Calibri"/>
          <w:rtl/>
        </w:rPr>
        <w:t>האינטרס כלכלי</w:t>
      </w:r>
      <w:r w:rsidRPr="00AA5065">
        <w:rPr>
          <w:rFonts w:eastAsia="Calibri" w:hint="cs"/>
          <w:rtl/>
        </w:rPr>
        <w:t xml:space="preserve">... </w:t>
      </w:r>
      <w:r w:rsidRPr="00AA5065">
        <w:rPr>
          <w:rFonts w:eastAsia="Calibri"/>
          <w:rtl/>
        </w:rPr>
        <w:t xml:space="preserve">קצבאות רבות </w:t>
      </w:r>
      <w:r w:rsidRPr="00AA5065">
        <w:rPr>
          <w:rFonts w:eastAsia="Calibri" w:hint="cs"/>
          <w:rtl/>
        </w:rPr>
        <w:t>מבט"ל</w:t>
      </w:r>
      <w:r w:rsidRPr="00AA5065">
        <w:rPr>
          <w:rFonts w:eastAsia="Calibri"/>
          <w:rtl/>
        </w:rPr>
        <w:t xml:space="preserve"> ניתנות לאב הפוליגמי מאחר ומדובר בריבוי נשים</w:t>
      </w:r>
      <w:r w:rsidRPr="00AA5065">
        <w:rPr>
          <w:rFonts w:eastAsia="Calibri" w:hint="cs"/>
          <w:rtl/>
        </w:rPr>
        <w:t xml:space="preserve"> </w:t>
      </w:r>
      <w:r w:rsidRPr="00AA5065">
        <w:rPr>
          <w:rFonts w:eastAsia="Calibri"/>
          <w:rtl/>
        </w:rPr>
        <w:t xml:space="preserve">וילדים, אשר על פי חוק אינם רשומים כנשואים הרי שהקצבאות גבוהות יותר </w:t>
      </w:r>
      <w:r w:rsidRPr="00AA5065">
        <w:rPr>
          <w:rFonts w:eastAsia="Calibri" w:hint="cs"/>
          <w:rtl/>
        </w:rPr>
        <w:t>(</w:t>
      </w:r>
      <w:r w:rsidRPr="00AA5065">
        <w:rPr>
          <w:rFonts w:eastAsia="Calibri"/>
          <w:rtl/>
        </w:rPr>
        <w:t>חד הוריות</w:t>
      </w:r>
      <w:r w:rsidRPr="00AA5065">
        <w:rPr>
          <w:rFonts w:eastAsia="Calibri" w:hint="cs"/>
          <w:rtl/>
        </w:rPr>
        <w:t xml:space="preserve">). </w:t>
      </w:r>
      <w:r w:rsidRPr="00AA5065">
        <w:rPr>
          <w:rFonts w:eastAsia="Calibri"/>
          <w:rtl/>
        </w:rPr>
        <w:t>הדבר מהווה תמריץ כלכלי לייבא נשים פלסטיניות ולקיים אורח חיים פוליגמי</w:t>
      </w:r>
      <w:r w:rsidRPr="00AA5065">
        <w:rPr>
          <w:rFonts w:eastAsia="Calibri" w:hint="cs"/>
          <w:rtl/>
        </w:rPr>
        <w:t>"</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rtl/>
        </w:rPr>
        <w:t>הוועדה הבין-משרדית - יבוא נשים</w:t>
      </w:r>
      <w:r w:rsidRPr="00AA5065">
        <w:rPr>
          <w:rFonts w:eastAsia="Calibri" w:hint="cs"/>
          <w:rtl/>
          <w:lang w:eastAsia="he-IL"/>
        </w:rPr>
        <w:t xml:space="preserve"> </w:t>
      </w:r>
      <w:r w:rsidRPr="00AA5065">
        <w:rPr>
          <w:rFonts w:eastAsia="Calibri" w:hint="cs"/>
          <w:rtl/>
        </w:rPr>
        <w:t>ציינה</w:t>
      </w:r>
      <w:r>
        <w:rPr>
          <w:rFonts w:eastAsia="Calibri"/>
          <w:vertAlign w:val="superscript"/>
          <w:rtl/>
        </w:rPr>
        <w:footnoteReference w:id="33"/>
      </w:r>
      <w:r w:rsidRPr="00AA5065">
        <w:rPr>
          <w:rFonts w:eastAsia="Calibri" w:hint="cs"/>
          <w:rtl/>
        </w:rPr>
        <w:t xml:space="preserve"> </w:t>
      </w:r>
      <w:r w:rsidRPr="00AA5065">
        <w:rPr>
          <w:rFonts w:eastAsia="Calibri" w:hint="eastAsia"/>
          <w:rtl/>
        </w:rPr>
        <w:t>עוד</w:t>
      </w:r>
      <w:r w:rsidRPr="00AA5065">
        <w:rPr>
          <w:rFonts w:eastAsia="Calibri" w:hint="cs"/>
          <w:rtl/>
        </w:rPr>
        <w:t xml:space="preserve"> כי במפגשי הדיונים הקודמים שהתכנסו בעניין הועלו הצעות והמלצות למיגור התופעה באמצעות צמצום התמריצים הכלכליים הניתנים ממוסדות המדינה, וכי הצוות פועל לשיתופי פעולה בין כלל הגורמים הרלוונטיים במשרדי הממשלה השונים כדי למצוא פתרונות יעילים למזעור התופעה בפן הכלכלי בעיקר.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 xml:space="preserve">עלה </w:t>
      </w:r>
      <w:r w:rsidRPr="00AA5065">
        <w:rPr>
          <w:rFonts w:eastAsia="Calibri" w:hint="eastAsia"/>
          <w:b/>
          <w:bCs/>
          <w:rtl/>
        </w:rPr>
        <w:t>כי</w:t>
      </w:r>
      <w:r w:rsidRPr="00AA5065">
        <w:rPr>
          <w:rFonts w:eastAsia="Calibri"/>
          <w:b/>
          <w:bCs/>
          <w:rtl/>
        </w:rPr>
        <w:t xml:space="preserve"> </w:t>
      </w:r>
      <w:r w:rsidRPr="00AA5065">
        <w:rPr>
          <w:rFonts w:eastAsia="Calibri" w:hint="eastAsia"/>
          <w:b/>
          <w:bCs/>
          <w:rtl/>
        </w:rPr>
        <w:t>ביוני</w:t>
      </w:r>
      <w:r w:rsidRPr="00AA5065">
        <w:rPr>
          <w:rFonts w:eastAsia="Calibri"/>
          <w:b/>
          <w:bCs/>
          <w:rtl/>
        </w:rPr>
        <w:t xml:space="preserve"> 2023 </w:t>
      </w:r>
      <w:r w:rsidRPr="00AA5065">
        <w:rPr>
          <w:rFonts w:eastAsia="Calibri" w:hint="cs"/>
          <w:b/>
          <w:bCs/>
          <w:rtl/>
        </w:rPr>
        <w:t>רשמה</w:t>
      </w:r>
      <w:r w:rsidRPr="00AA5065">
        <w:rPr>
          <w:rFonts w:eastAsia="Calibri"/>
          <w:b/>
          <w:bCs/>
          <w:rtl/>
        </w:rPr>
        <w:t xml:space="preserve"> </w:t>
      </w:r>
      <w:r w:rsidRPr="00AA5065">
        <w:rPr>
          <w:rFonts w:eastAsia="Calibri" w:hint="eastAsia"/>
          <w:b/>
          <w:bCs/>
          <w:rtl/>
        </w:rPr>
        <w:t>הממשלה</w:t>
      </w:r>
      <w:r>
        <w:rPr>
          <w:rFonts w:eastAsia="Calibri"/>
          <w:b/>
          <w:bCs/>
          <w:vertAlign w:val="superscript"/>
          <w:rtl/>
        </w:rPr>
        <w:footnoteReference w:id="34"/>
      </w:r>
      <w:r w:rsidRPr="00AA5065">
        <w:rPr>
          <w:rFonts w:eastAsia="Calibri" w:hint="cs"/>
          <w:b/>
          <w:bCs/>
          <w:rtl/>
        </w:rPr>
        <w:t xml:space="preserve"> לפניה את הודעת שר המשפטים כי מנכ"ל משרד המשפטים וממלאת מקום מנכ"ל בט"ל, ימנו</w:t>
      </w:r>
      <w:r w:rsidRPr="00AA5065">
        <w:rPr>
          <w:rFonts w:eastAsia="Calibri"/>
          <w:b/>
          <w:bCs/>
          <w:rtl/>
        </w:rPr>
        <w:t xml:space="preserve"> </w:t>
      </w:r>
      <w:r w:rsidRPr="00AA5065">
        <w:rPr>
          <w:rFonts w:eastAsia="Calibri" w:hint="eastAsia"/>
          <w:b/>
          <w:bCs/>
          <w:rtl/>
        </w:rPr>
        <w:t>צוות</w:t>
      </w:r>
      <w:r w:rsidRPr="00AA5065">
        <w:rPr>
          <w:rFonts w:eastAsia="Calibri"/>
          <w:b/>
          <w:bCs/>
          <w:rtl/>
        </w:rPr>
        <w:t xml:space="preserve"> </w:t>
      </w:r>
      <w:r w:rsidRPr="00AA5065">
        <w:rPr>
          <w:rFonts w:eastAsia="Calibri" w:hint="eastAsia"/>
          <w:b/>
          <w:bCs/>
          <w:rtl/>
        </w:rPr>
        <w:t>בין</w:t>
      </w:r>
      <w:r w:rsidRPr="00AA5065">
        <w:rPr>
          <w:rFonts w:eastAsia="Calibri" w:hint="cs"/>
          <w:b/>
          <w:bCs/>
          <w:rtl/>
        </w:rPr>
        <w:t>-</w:t>
      </w:r>
      <w:r w:rsidRPr="00AA5065">
        <w:rPr>
          <w:rFonts w:eastAsia="Calibri" w:hint="eastAsia"/>
          <w:b/>
          <w:bCs/>
          <w:rtl/>
        </w:rPr>
        <w:t>משרדי</w:t>
      </w:r>
      <w:r>
        <w:rPr>
          <w:rFonts w:eastAsia="Calibri"/>
          <w:b/>
          <w:bCs/>
          <w:vertAlign w:val="superscript"/>
          <w:rtl/>
        </w:rPr>
        <w:footnoteReference w:id="35"/>
      </w:r>
      <w:r w:rsidRPr="00AA5065">
        <w:rPr>
          <w:rFonts w:eastAsia="Calibri"/>
          <w:b/>
          <w:bCs/>
          <w:rtl/>
        </w:rPr>
        <w:t xml:space="preserve"> לבחינת נושא "גמלאות בט"ל המשולמות למשפחות פוליגמיות והשלכותיהן"</w:t>
      </w:r>
      <w:r w:rsidRPr="00AA5065">
        <w:rPr>
          <w:rFonts w:eastAsia="Calibri" w:hint="cs"/>
          <w:b/>
          <w:bCs/>
          <w:rtl/>
        </w:rPr>
        <w:t xml:space="preserve"> </w:t>
      </w:r>
      <w:r w:rsidRPr="00AA5065">
        <w:rPr>
          <w:rFonts w:eastAsia="Calibri" w:hint="eastAsia"/>
          <w:b/>
          <w:bCs/>
          <w:rtl/>
        </w:rPr>
        <w:t>וכן</w:t>
      </w:r>
      <w:r w:rsidRPr="00AA5065">
        <w:rPr>
          <w:rFonts w:eastAsia="Calibri"/>
          <w:b/>
          <w:bCs/>
          <w:rtl/>
        </w:rPr>
        <w:t xml:space="preserve"> </w:t>
      </w:r>
      <w:r w:rsidRPr="00AA5065">
        <w:rPr>
          <w:rFonts w:eastAsia="Calibri" w:hint="eastAsia"/>
          <w:b/>
          <w:bCs/>
          <w:rtl/>
        </w:rPr>
        <w:t>נקבע</w:t>
      </w:r>
      <w:r w:rsidRPr="00AA5065">
        <w:rPr>
          <w:rFonts w:eastAsia="Calibri" w:hint="cs"/>
          <w:b/>
          <w:bCs/>
          <w:rtl/>
        </w:rPr>
        <w:t xml:space="preserve"> בהחלטת הממשלה כי המלצות הצוות יוגשו למנכ"ל משרד המשפטים ולממלאת מקום מנכ"ל בט"ל בתוך 4 חודשים ממועד המינוי. </w:t>
      </w:r>
      <w:r w:rsidRPr="00AA5065">
        <w:rPr>
          <w:rFonts w:eastAsia="Calibri"/>
          <w:b/>
          <w:bCs/>
          <w:rtl/>
        </w:rPr>
        <w:t xml:space="preserve">מהביקורת הנוכחית עולה כי </w:t>
      </w:r>
      <w:r w:rsidRPr="00AA5065">
        <w:rPr>
          <w:rFonts w:eastAsia="Calibri" w:hint="cs"/>
          <w:b/>
          <w:bCs/>
          <w:rtl/>
        </w:rPr>
        <w:t>הצוות</w:t>
      </w:r>
      <w:r w:rsidRPr="00AA5065">
        <w:rPr>
          <w:rFonts w:eastAsia="Calibri"/>
          <w:b/>
          <w:bCs/>
          <w:rtl/>
        </w:rPr>
        <w:t xml:space="preserve"> התכנס במהלך השנ</w:t>
      </w:r>
      <w:r w:rsidRPr="00AA5065">
        <w:rPr>
          <w:rFonts w:eastAsia="Calibri" w:hint="cs"/>
          <w:b/>
          <w:bCs/>
          <w:rtl/>
        </w:rPr>
        <w:t>תיים</w:t>
      </w:r>
      <w:r w:rsidRPr="00AA5065">
        <w:rPr>
          <w:rFonts w:eastAsia="Calibri"/>
          <w:b/>
          <w:bCs/>
          <w:rtl/>
        </w:rPr>
        <w:t xml:space="preserve"> האחרונות </w:t>
      </w:r>
      <w:r w:rsidRPr="00AA5065">
        <w:rPr>
          <w:rFonts w:eastAsia="Calibri" w:hint="cs"/>
          <w:b/>
          <w:bCs/>
          <w:rtl/>
        </w:rPr>
        <w:t>מספר</w:t>
      </w:r>
      <w:r w:rsidRPr="00AA5065">
        <w:rPr>
          <w:rFonts w:eastAsia="Calibri"/>
          <w:b/>
          <w:bCs/>
          <w:rtl/>
        </w:rPr>
        <w:t xml:space="preserve"> פעמים</w:t>
      </w:r>
      <w:r w:rsidRPr="00AA5065">
        <w:rPr>
          <w:rFonts w:eastAsia="Calibri" w:hint="cs"/>
          <w:b/>
          <w:bCs/>
          <w:rtl/>
        </w:rPr>
        <w:t xml:space="preserve"> ודן</w:t>
      </w:r>
      <w:r w:rsidRPr="00AA5065">
        <w:rPr>
          <w:rFonts w:eastAsia="Calibri"/>
          <w:b/>
          <w:bCs/>
          <w:rtl/>
        </w:rPr>
        <w:t xml:space="preserve"> </w:t>
      </w:r>
      <w:r w:rsidRPr="00AA5065">
        <w:rPr>
          <w:rFonts w:eastAsia="Calibri" w:hint="eastAsia"/>
          <w:b/>
          <w:bCs/>
          <w:rtl/>
        </w:rPr>
        <w:t>בהצעות</w:t>
      </w:r>
      <w:r w:rsidRPr="00AA5065">
        <w:rPr>
          <w:rFonts w:eastAsia="Calibri"/>
          <w:b/>
          <w:bCs/>
          <w:rtl/>
        </w:rPr>
        <w:t xml:space="preserve"> </w:t>
      </w:r>
      <w:r w:rsidRPr="00AA5065">
        <w:rPr>
          <w:rFonts w:eastAsia="Calibri" w:hint="eastAsia"/>
          <w:b/>
          <w:bCs/>
          <w:rtl/>
        </w:rPr>
        <w:t>השונות</w:t>
      </w:r>
      <w:r w:rsidRPr="00AA5065">
        <w:rPr>
          <w:rFonts w:eastAsia="Calibri"/>
          <w:b/>
          <w:bCs/>
          <w:rtl/>
        </w:rPr>
        <w:t xml:space="preserve"> </w:t>
      </w:r>
      <w:r w:rsidRPr="00AA5065">
        <w:rPr>
          <w:rFonts w:eastAsia="Calibri" w:hint="eastAsia"/>
          <w:b/>
          <w:bCs/>
          <w:rtl/>
        </w:rPr>
        <w:t>הנדרשות</w:t>
      </w:r>
      <w:r w:rsidRPr="00AA5065">
        <w:rPr>
          <w:rFonts w:eastAsia="Calibri"/>
          <w:b/>
          <w:bCs/>
          <w:rtl/>
        </w:rPr>
        <w:t xml:space="preserve"> </w:t>
      </w:r>
      <w:r w:rsidRPr="00AA5065">
        <w:rPr>
          <w:rFonts w:eastAsia="Calibri" w:hint="eastAsia"/>
          <w:b/>
          <w:bCs/>
          <w:rtl/>
        </w:rPr>
        <w:t>לתיקון</w:t>
      </w:r>
      <w:r w:rsidRPr="00AA5065">
        <w:rPr>
          <w:rFonts w:eastAsia="Calibri"/>
          <w:b/>
          <w:bCs/>
          <w:rtl/>
        </w:rPr>
        <w:t xml:space="preserve"> </w:t>
      </w:r>
      <w:r w:rsidRPr="00AA5065">
        <w:rPr>
          <w:rFonts w:eastAsia="Calibri" w:hint="eastAsia"/>
          <w:b/>
          <w:bCs/>
          <w:rtl/>
        </w:rPr>
        <w:t>חוק</w:t>
      </w:r>
      <w:r w:rsidRPr="00AA5065">
        <w:rPr>
          <w:rFonts w:eastAsia="Calibri"/>
          <w:b/>
          <w:bCs/>
          <w:rtl/>
        </w:rPr>
        <w:t xml:space="preserve"> </w:t>
      </w:r>
      <w:r w:rsidRPr="00AA5065">
        <w:rPr>
          <w:rFonts w:eastAsia="Calibri" w:hint="eastAsia"/>
          <w:b/>
          <w:bCs/>
          <w:rtl/>
        </w:rPr>
        <w:t>הבטחת</w:t>
      </w:r>
      <w:r w:rsidRPr="00AA5065">
        <w:rPr>
          <w:rFonts w:eastAsia="Calibri"/>
          <w:b/>
          <w:bCs/>
          <w:rtl/>
        </w:rPr>
        <w:t xml:space="preserve"> </w:t>
      </w:r>
      <w:r w:rsidRPr="00AA5065">
        <w:rPr>
          <w:rFonts w:eastAsia="Calibri" w:hint="eastAsia"/>
          <w:b/>
          <w:bCs/>
          <w:rtl/>
        </w:rPr>
        <w:t>הכנסה</w:t>
      </w:r>
      <w:r w:rsidRPr="00AA5065">
        <w:rPr>
          <w:rFonts w:eastAsia="Calibri"/>
          <w:b/>
          <w:bCs/>
          <w:rtl/>
        </w:rPr>
        <w:t xml:space="preserve">. </w:t>
      </w:r>
      <w:r w:rsidRPr="00AA5065">
        <w:rPr>
          <w:rFonts w:eastAsia="Calibri" w:hint="eastAsia"/>
          <w:b/>
          <w:bCs/>
          <w:rtl/>
        </w:rPr>
        <w:t>בסיכום</w:t>
      </w:r>
      <w:r w:rsidRPr="00AA5065">
        <w:rPr>
          <w:rFonts w:eastAsia="Calibri"/>
          <w:b/>
          <w:bCs/>
          <w:rtl/>
        </w:rPr>
        <w:t xml:space="preserve"> </w:t>
      </w:r>
      <w:r w:rsidRPr="00AA5065">
        <w:rPr>
          <w:rFonts w:eastAsia="Calibri" w:hint="eastAsia"/>
          <w:b/>
          <w:bCs/>
          <w:rtl/>
        </w:rPr>
        <w:t>הדיון</w:t>
      </w:r>
      <w:r w:rsidRPr="00AA5065">
        <w:rPr>
          <w:rFonts w:eastAsia="Calibri"/>
          <w:b/>
          <w:bCs/>
          <w:rtl/>
        </w:rPr>
        <w:t xml:space="preserve"> </w:t>
      </w:r>
      <w:r w:rsidRPr="00AA5065">
        <w:rPr>
          <w:rFonts w:eastAsia="Calibri" w:hint="cs"/>
          <w:b/>
          <w:bCs/>
          <w:rtl/>
        </w:rPr>
        <w:t>מה 10.9.23</w:t>
      </w:r>
      <w:r w:rsidRPr="00AA5065">
        <w:rPr>
          <w:rFonts w:eastAsia="Calibri"/>
          <w:b/>
          <w:bCs/>
          <w:rtl/>
        </w:rPr>
        <w:t xml:space="preserve"> </w:t>
      </w:r>
      <w:r w:rsidRPr="00AA5065">
        <w:rPr>
          <w:rFonts w:eastAsia="Calibri" w:hint="eastAsia"/>
          <w:b/>
          <w:bCs/>
          <w:rtl/>
        </w:rPr>
        <w:t>נכתב</w:t>
      </w:r>
      <w:r w:rsidRPr="00AA5065">
        <w:rPr>
          <w:rFonts w:eastAsia="Calibri"/>
          <w:b/>
          <w:bCs/>
          <w:rtl/>
        </w:rPr>
        <w:t xml:space="preserve"> </w:t>
      </w:r>
      <w:r w:rsidRPr="00AA5065">
        <w:rPr>
          <w:rFonts w:eastAsia="Calibri" w:hint="eastAsia"/>
          <w:b/>
          <w:bCs/>
          <w:rtl/>
        </w:rPr>
        <w:t>כי</w:t>
      </w:r>
      <w:r w:rsidRPr="00AA5065">
        <w:rPr>
          <w:rFonts w:eastAsia="Calibri"/>
          <w:b/>
          <w:bCs/>
          <w:rtl/>
        </w:rPr>
        <w:t xml:space="preserve"> "נציגות </w:t>
      </w:r>
      <w:r w:rsidRPr="00AA5065">
        <w:rPr>
          <w:rFonts w:eastAsia="Calibri" w:hint="cs"/>
          <w:b/>
          <w:bCs/>
          <w:rtl/>
        </w:rPr>
        <w:t>בט"ל</w:t>
      </w:r>
      <w:r w:rsidRPr="00AA5065">
        <w:rPr>
          <w:rFonts w:eastAsia="Calibri"/>
          <w:b/>
          <w:bCs/>
          <w:rtl/>
        </w:rPr>
        <w:t xml:space="preserve"> העלו את הצורך בתקן נוסף למנהל המחקר של </w:t>
      </w:r>
      <w:r w:rsidRPr="00AA5065">
        <w:rPr>
          <w:rFonts w:eastAsia="Calibri" w:hint="cs"/>
          <w:b/>
          <w:bCs/>
          <w:rtl/>
        </w:rPr>
        <w:t>בט"ל</w:t>
      </w:r>
      <w:r w:rsidRPr="00AA5065">
        <w:rPr>
          <w:rFonts w:eastAsia="Calibri"/>
          <w:b/>
          <w:bCs/>
          <w:rtl/>
        </w:rPr>
        <w:t xml:space="preserve"> על מנת לבצע מחקרים ולהוציא נתונים מורכבים יותר שישמשו את המוסד ואת הצוות. הוצע לכלול המלצה לתוספת תקינה כאמור להמלצות הצוות. כמו כן, </w:t>
      </w:r>
      <w:r w:rsidRPr="00AA5065">
        <w:rPr>
          <w:rFonts w:eastAsia="Calibri" w:hint="cs"/>
          <w:b/>
          <w:bCs/>
          <w:rtl/>
        </w:rPr>
        <w:t>בט"ל</w:t>
      </w:r>
      <w:r w:rsidRPr="00AA5065">
        <w:rPr>
          <w:rFonts w:eastAsia="Calibri"/>
          <w:b/>
          <w:bCs/>
          <w:rtl/>
        </w:rPr>
        <w:t xml:space="preserve"> התבקש לבחון את האפשרות להבאת נתונים אודות נשים אשר ילדו ילד לאחר פסיקת מזונות ונחשבות כהורה עצמאי". נציגת </w:t>
      </w:r>
      <w:r w:rsidRPr="00AA5065">
        <w:rPr>
          <w:rFonts w:eastAsia="Calibri" w:hint="eastAsia"/>
          <w:b/>
          <w:bCs/>
          <w:rtl/>
        </w:rPr>
        <w:t>בט</w:t>
      </w:r>
      <w:r w:rsidRPr="00AA5065">
        <w:rPr>
          <w:rFonts w:eastAsia="Calibri"/>
          <w:b/>
          <w:bCs/>
          <w:rtl/>
        </w:rPr>
        <w:t>"ל מסרה לנציגי משרד מבקר המדינה ב-</w:t>
      </w:r>
      <w:r w:rsidRPr="00AA5065">
        <w:rPr>
          <w:rFonts w:eastAsia="Calibri" w:hint="cs"/>
          <w:b/>
          <w:bCs/>
          <w:rtl/>
        </w:rPr>
        <w:t>24.7.25</w:t>
      </w:r>
      <w:r w:rsidRPr="00AA5065">
        <w:rPr>
          <w:rFonts w:eastAsia="Calibri"/>
          <w:b/>
          <w:bCs/>
          <w:rtl/>
        </w:rPr>
        <w:t xml:space="preserve"> כי בשבועות הקרובים </w:t>
      </w:r>
      <w:r w:rsidRPr="00AA5065">
        <w:rPr>
          <w:rFonts w:eastAsia="Calibri" w:hint="eastAsia"/>
          <w:b/>
          <w:bCs/>
          <w:rtl/>
        </w:rPr>
        <w:t>הם</w:t>
      </w:r>
      <w:r w:rsidRPr="00AA5065">
        <w:rPr>
          <w:rFonts w:eastAsia="Calibri"/>
          <w:b/>
          <w:bCs/>
          <w:rtl/>
        </w:rPr>
        <w:t xml:space="preserve"> אמורים לקיים </w:t>
      </w:r>
      <w:r w:rsidRPr="00AA5065">
        <w:rPr>
          <w:rFonts w:eastAsia="Calibri" w:hint="cs"/>
          <w:b/>
          <w:bCs/>
          <w:rtl/>
        </w:rPr>
        <w:t>עוד כמה ישיבות</w:t>
      </w:r>
      <w:r w:rsidRPr="00AA5065">
        <w:rPr>
          <w:rFonts w:eastAsia="Calibri"/>
          <w:b/>
          <w:bCs/>
          <w:rtl/>
        </w:rPr>
        <w:t xml:space="preserve">, וכנראה </w:t>
      </w:r>
      <w:r w:rsidRPr="00AA5065">
        <w:rPr>
          <w:rFonts w:eastAsia="Calibri" w:hint="eastAsia"/>
          <w:b/>
          <w:bCs/>
          <w:rtl/>
        </w:rPr>
        <w:t>לאחר</w:t>
      </w:r>
      <w:r w:rsidRPr="00AA5065">
        <w:rPr>
          <w:rFonts w:eastAsia="Calibri"/>
          <w:b/>
          <w:bCs/>
          <w:rtl/>
        </w:rPr>
        <w:t xml:space="preserve"> </w:t>
      </w:r>
      <w:r w:rsidRPr="00AA5065">
        <w:rPr>
          <w:rFonts w:eastAsia="Calibri" w:hint="eastAsia"/>
          <w:b/>
          <w:bCs/>
          <w:rtl/>
        </w:rPr>
        <w:t>מכן</w:t>
      </w:r>
      <w:r w:rsidRPr="00AA5065">
        <w:rPr>
          <w:rFonts w:eastAsia="Calibri"/>
          <w:b/>
          <w:bCs/>
          <w:rtl/>
        </w:rPr>
        <w:t xml:space="preserve"> </w:t>
      </w:r>
      <w:r w:rsidRPr="00AA5065">
        <w:rPr>
          <w:rFonts w:eastAsia="Calibri" w:hint="eastAsia"/>
          <w:b/>
          <w:bCs/>
          <w:rtl/>
        </w:rPr>
        <w:t>הם</w:t>
      </w:r>
      <w:r w:rsidRPr="00AA5065">
        <w:rPr>
          <w:rFonts w:eastAsia="Calibri"/>
          <w:b/>
          <w:bCs/>
          <w:rtl/>
        </w:rPr>
        <w:t xml:space="preserve"> </w:t>
      </w:r>
      <w:r w:rsidRPr="00AA5065">
        <w:rPr>
          <w:rFonts w:eastAsia="Calibri" w:hint="eastAsia"/>
          <w:b/>
          <w:bCs/>
          <w:rtl/>
        </w:rPr>
        <w:t>י</w:t>
      </w:r>
      <w:r w:rsidRPr="00AA5065">
        <w:rPr>
          <w:rFonts w:eastAsia="Calibri"/>
          <w:b/>
          <w:bCs/>
          <w:rtl/>
        </w:rPr>
        <w:t>תכנס</w:t>
      </w:r>
      <w:r w:rsidRPr="00AA5065">
        <w:rPr>
          <w:rFonts w:eastAsia="Calibri" w:hint="eastAsia"/>
          <w:b/>
          <w:bCs/>
          <w:rtl/>
        </w:rPr>
        <w:t>ו</w:t>
      </w:r>
      <w:r w:rsidRPr="00AA5065">
        <w:rPr>
          <w:rFonts w:eastAsia="Calibri"/>
          <w:b/>
          <w:bCs/>
          <w:rtl/>
        </w:rPr>
        <w:t xml:space="preserve"> לכתיבת המלצות הצוות.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bookmarkStart w:id="29" w:name="_Hlk204849991"/>
      <w:r w:rsidRPr="00AA5065">
        <w:rPr>
          <w:rFonts w:eastAsia="Calibri" w:hint="cs"/>
          <w:b/>
          <w:bCs/>
          <w:rtl/>
        </w:rPr>
        <w:t xml:space="preserve">משרד מבקר המדינה מעיר </w:t>
      </w:r>
      <w:r w:rsidRPr="00AA5065">
        <w:rPr>
          <w:rFonts w:eastAsia="Calibri" w:hint="eastAsia"/>
          <w:b/>
          <w:bCs/>
          <w:rtl/>
        </w:rPr>
        <w:t>למשרד</w:t>
      </w:r>
      <w:r w:rsidRPr="00AA5065">
        <w:rPr>
          <w:rFonts w:eastAsia="Calibri"/>
          <w:b/>
          <w:bCs/>
          <w:rtl/>
        </w:rPr>
        <w:t xml:space="preserve"> </w:t>
      </w:r>
      <w:r w:rsidRPr="00AA5065">
        <w:rPr>
          <w:rFonts w:eastAsia="Calibri" w:hint="eastAsia"/>
          <w:b/>
          <w:bCs/>
          <w:rtl/>
        </w:rPr>
        <w:t>המשפטים</w:t>
      </w:r>
      <w:r w:rsidRPr="00AA5065">
        <w:rPr>
          <w:rFonts w:eastAsia="Calibri"/>
          <w:b/>
          <w:bCs/>
          <w:rtl/>
        </w:rPr>
        <w:t xml:space="preserve"> </w:t>
      </w:r>
      <w:r w:rsidRPr="00AA5065">
        <w:rPr>
          <w:rFonts w:eastAsia="Calibri" w:hint="cs"/>
          <w:b/>
          <w:bCs/>
          <w:rtl/>
        </w:rPr>
        <w:t xml:space="preserve">ולבט"ל כי למרות הזמן הרב שחלף, כשנתיים, ממועד ההחלטה על הקמת הצוות הבין-משרדי, הצוות </w:t>
      </w:r>
      <w:r w:rsidRPr="00AA5065">
        <w:rPr>
          <w:rFonts w:eastAsia="Calibri" w:hint="eastAsia"/>
          <w:b/>
          <w:bCs/>
          <w:rtl/>
        </w:rPr>
        <w:t>אשר</w:t>
      </w:r>
      <w:r w:rsidRPr="00AA5065">
        <w:rPr>
          <w:rFonts w:eastAsia="Calibri" w:hint="cs"/>
          <w:b/>
          <w:bCs/>
          <w:rtl/>
        </w:rPr>
        <w:t xml:space="preserve"> התכנס מספר פעמים טרם גיבש את המלצותיו נכון למועד סיום הביקורת.</w:t>
      </w:r>
    </w:p>
    <w:bookmarkEnd w:id="29"/>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 xml:space="preserve">מומלץ כי משרד המשפטים ובט"ל </w:t>
      </w:r>
      <w:r w:rsidRPr="00AA5065">
        <w:rPr>
          <w:rFonts w:eastAsia="Calibri" w:hint="eastAsia"/>
          <w:b/>
          <w:bCs/>
          <w:rtl/>
        </w:rPr>
        <w:t>יפעלו</w:t>
      </w:r>
      <w:r w:rsidRPr="00AA5065">
        <w:rPr>
          <w:rFonts w:eastAsia="Calibri"/>
          <w:b/>
          <w:bCs/>
          <w:rtl/>
        </w:rPr>
        <w:t xml:space="preserve"> </w:t>
      </w:r>
      <w:r w:rsidRPr="00AA5065">
        <w:rPr>
          <w:rFonts w:eastAsia="Calibri" w:hint="eastAsia"/>
          <w:b/>
          <w:bCs/>
          <w:rtl/>
        </w:rPr>
        <w:t>לגיבוש</w:t>
      </w:r>
      <w:r w:rsidRPr="00AA5065">
        <w:rPr>
          <w:rFonts w:eastAsia="Calibri" w:hint="cs"/>
          <w:b/>
          <w:bCs/>
          <w:rtl/>
        </w:rPr>
        <w:t xml:space="preserve"> המלצות ה</w:t>
      </w:r>
      <w:r w:rsidRPr="00AA5065">
        <w:rPr>
          <w:rFonts w:eastAsia="Calibri"/>
          <w:b/>
          <w:bCs/>
          <w:rtl/>
        </w:rPr>
        <w:t xml:space="preserve">צוות </w:t>
      </w:r>
      <w:r w:rsidRPr="00AA5065">
        <w:rPr>
          <w:rFonts w:eastAsia="Calibri" w:hint="cs"/>
          <w:b/>
          <w:bCs/>
          <w:rtl/>
        </w:rPr>
        <w:t>ה</w:t>
      </w:r>
      <w:r w:rsidRPr="00AA5065">
        <w:rPr>
          <w:rFonts w:eastAsia="Calibri"/>
          <w:b/>
          <w:bCs/>
          <w:rtl/>
        </w:rPr>
        <w:t>בין</w:t>
      </w:r>
      <w:r w:rsidRPr="00AA5065">
        <w:rPr>
          <w:rFonts w:eastAsia="Calibri" w:hint="cs"/>
          <w:b/>
          <w:bCs/>
          <w:rtl/>
        </w:rPr>
        <w:t>-</w:t>
      </w:r>
      <w:r w:rsidRPr="00AA5065">
        <w:rPr>
          <w:rFonts w:eastAsia="Calibri"/>
          <w:b/>
          <w:bCs/>
          <w:rtl/>
        </w:rPr>
        <w:t>משרדי‏ לבחינת נושא "גמלאות בט"ל המשולמות למשפחות פוליגמיות והשלכותיהן"‏</w:t>
      </w:r>
      <w:r w:rsidRPr="00AA5065">
        <w:rPr>
          <w:rFonts w:eastAsia="Calibri" w:hint="cs"/>
          <w:b/>
          <w:bCs/>
          <w:rtl/>
        </w:rPr>
        <w:t xml:space="preserve"> בהקדם.</w:t>
      </w:r>
    </w:p>
    <w:p w:rsidR="00E96206" w:rsidP="00860D89">
      <w:pPr>
        <w:spacing w:line="269" w:lineRule="auto"/>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eastAsia"/>
          <w:sz w:val="24"/>
          <w:rtl/>
        </w:rPr>
        <w:t>בט</w:t>
      </w:r>
      <w:r w:rsidRPr="00AA5065">
        <w:rPr>
          <w:rFonts w:ascii="David" w:eastAsia="Calibri" w:hAnsi="David"/>
          <w:sz w:val="24"/>
          <w:rtl/>
        </w:rPr>
        <w:t>"ל</w:t>
      </w:r>
      <w:r w:rsidRPr="00AA5065">
        <w:rPr>
          <w:rFonts w:ascii="David" w:eastAsia="Calibri" w:hAnsi="David" w:hint="cs"/>
          <w:sz w:val="24"/>
          <w:rtl/>
        </w:rPr>
        <w:t xml:space="preserve"> מסר בתשובתו</w:t>
      </w:r>
      <w:r w:rsidRPr="00AA5065">
        <w:rPr>
          <w:rFonts w:ascii="David" w:eastAsia="Calibri" w:hAnsi="David"/>
          <w:sz w:val="24"/>
          <w:rtl/>
        </w:rPr>
        <w:t xml:space="preserve"> מיום 15.9.25 (להלן - תשובת </w:t>
      </w:r>
      <w:r w:rsidRPr="00AA5065">
        <w:rPr>
          <w:rFonts w:ascii="David" w:eastAsia="Calibri" w:hAnsi="David" w:hint="eastAsia"/>
          <w:sz w:val="24"/>
          <w:rtl/>
        </w:rPr>
        <w:t>בט</w:t>
      </w:r>
      <w:r w:rsidRPr="00AA5065">
        <w:rPr>
          <w:rFonts w:ascii="David" w:eastAsia="Calibri" w:hAnsi="David"/>
          <w:sz w:val="24"/>
          <w:rtl/>
        </w:rPr>
        <w:t xml:space="preserve">"ל) </w:t>
      </w:r>
      <w:r w:rsidRPr="00AA5065">
        <w:rPr>
          <w:rFonts w:ascii="David" w:eastAsia="Calibri" w:hAnsi="David" w:hint="eastAsia"/>
          <w:sz w:val="24"/>
          <w:rtl/>
        </w:rPr>
        <w:t>כי</w:t>
      </w:r>
      <w:r w:rsidRPr="00AA5065">
        <w:rPr>
          <w:rFonts w:ascii="David" w:eastAsia="Calibri" w:hAnsi="David"/>
          <w:sz w:val="24"/>
          <w:rtl/>
        </w:rPr>
        <w:t xml:space="preserve"> "הצוות הבין משרדי הוקם ביוני 2023, קיימנו מספר ישיבות, אך לצערנו עקב אירועי </w:t>
      </w:r>
      <w:r w:rsidRPr="00AA5065">
        <w:rPr>
          <w:rFonts w:ascii="David" w:eastAsia="Calibri" w:hAnsi="David" w:hint="cs"/>
          <w:sz w:val="24"/>
          <w:rtl/>
        </w:rPr>
        <w:t>ה-</w:t>
      </w:r>
      <w:r w:rsidRPr="00AA5065">
        <w:rPr>
          <w:rFonts w:ascii="David" w:eastAsia="Calibri" w:hAnsi="David"/>
          <w:sz w:val="24"/>
          <w:rtl/>
        </w:rPr>
        <w:t>7 באוקטובר ומלחמת חרבות ברזל, התקש</w:t>
      </w:r>
      <w:r w:rsidRPr="00AA5065">
        <w:rPr>
          <w:rFonts w:ascii="David" w:eastAsia="Calibri" w:hAnsi="David" w:hint="cs"/>
          <w:sz w:val="24"/>
          <w:rtl/>
        </w:rPr>
        <w:t>י</w:t>
      </w:r>
      <w:r w:rsidRPr="00AA5065">
        <w:rPr>
          <w:rFonts w:ascii="David" w:eastAsia="Calibri" w:hAnsi="David"/>
          <w:sz w:val="24"/>
          <w:rtl/>
        </w:rPr>
        <w:t>נו בקיום ישיבות שוטפות של הצוות. לאחר מספר חודשים, ועל אף שמצב החירום עודנו בתוקף, חזר הצוות להתכנס וקיים מספר רב של ישיבות ואנחנו פועלים יחד עם משרד המשפטים לגיבוש והגשת המלצות הצוות בדחיפות</w:t>
      </w:r>
      <w:r w:rsidRPr="00AA5065">
        <w:rPr>
          <w:rFonts w:ascii="David" w:eastAsia="Calibri" w:hAnsi="David" w:hint="cs"/>
          <w:sz w:val="24"/>
          <w:rtl/>
        </w:rPr>
        <w:t>"</w:t>
      </w:r>
      <w:r w:rsidRPr="00AA5065">
        <w:rPr>
          <w:rFonts w:ascii="David" w:eastAsia="Calibri" w:hAnsi="David"/>
          <w:sz w:val="24"/>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eastAsia"/>
          <w:sz w:val="24"/>
          <w:rtl/>
        </w:rPr>
        <w:t>משרד</w:t>
      </w:r>
      <w:r w:rsidRPr="00AA5065">
        <w:rPr>
          <w:rFonts w:ascii="David" w:eastAsia="Calibri" w:hAnsi="David"/>
          <w:sz w:val="24"/>
          <w:rtl/>
        </w:rPr>
        <w:t xml:space="preserve"> </w:t>
      </w:r>
      <w:r w:rsidRPr="00AA5065">
        <w:rPr>
          <w:rFonts w:ascii="David" w:eastAsia="Calibri" w:hAnsi="David" w:hint="eastAsia"/>
          <w:sz w:val="24"/>
          <w:rtl/>
        </w:rPr>
        <w:t>המשפטים</w:t>
      </w:r>
      <w:r w:rsidRPr="00AA5065">
        <w:rPr>
          <w:rFonts w:ascii="David" w:eastAsia="Calibri" w:hAnsi="David"/>
          <w:sz w:val="24"/>
          <w:rtl/>
        </w:rPr>
        <w:t xml:space="preserve"> </w:t>
      </w:r>
      <w:r w:rsidRPr="00AA5065">
        <w:rPr>
          <w:rFonts w:ascii="David" w:eastAsia="Calibri" w:hAnsi="David" w:hint="cs"/>
          <w:sz w:val="24"/>
          <w:rtl/>
        </w:rPr>
        <w:t>מסר בתשובתו</w:t>
      </w:r>
      <w:r w:rsidRPr="00AA5065">
        <w:rPr>
          <w:rFonts w:ascii="David" w:eastAsia="Calibri" w:hAnsi="David"/>
          <w:sz w:val="24"/>
          <w:rtl/>
        </w:rPr>
        <w:t xml:space="preserve"> </w:t>
      </w:r>
      <w:r w:rsidRPr="00AA5065">
        <w:rPr>
          <w:rFonts w:ascii="David" w:eastAsia="Calibri" w:hAnsi="David" w:hint="eastAsia"/>
          <w:sz w:val="24"/>
          <w:rtl/>
        </w:rPr>
        <w:t>כי</w:t>
      </w:r>
      <w:r w:rsidRPr="00AA5065">
        <w:rPr>
          <w:rFonts w:ascii="David" w:eastAsia="Calibri" w:hAnsi="David"/>
          <w:sz w:val="24"/>
          <w:rtl/>
        </w:rPr>
        <w:t xml:space="preserve"> "עבודת הצוות שהחלה עם מינויו במסגרת החלטת ממשלה 705, התעכבה</w:t>
      </w:r>
      <w:r w:rsidRPr="00AA5065">
        <w:rPr>
          <w:rFonts w:ascii="David" w:eastAsia="Calibri" w:hAnsi="David" w:hint="cs"/>
          <w:sz w:val="24"/>
          <w:rtl/>
        </w:rPr>
        <w:t xml:space="preserve"> </w:t>
      </w:r>
      <w:r w:rsidRPr="00AA5065">
        <w:rPr>
          <w:rFonts w:ascii="David" w:eastAsia="Calibri" w:hAnsi="David"/>
          <w:sz w:val="24"/>
          <w:rtl/>
        </w:rPr>
        <w:t>תקופה ממושכת בשל אירועי החירום המשמעותיים שהמדינה התמודדה עמם ודרשו</w:t>
      </w:r>
      <w:r w:rsidRPr="00AA5065">
        <w:rPr>
          <w:rFonts w:ascii="David" w:eastAsia="Calibri" w:hAnsi="David" w:hint="cs"/>
          <w:sz w:val="24"/>
          <w:rtl/>
        </w:rPr>
        <w:t xml:space="preserve"> </w:t>
      </w:r>
      <w:r w:rsidRPr="00AA5065">
        <w:rPr>
          <w:rFonts w:ascii="David" w:eastAsia="Calibri" w:hAnsi="David"/>
          <w:sz w:val="24"/>
          <w:rtl/>
        </w:rPr>
        <w:t>תשומות מיוחדות מחברי הצוות בדגש על נציגי הביטוח הלאומי. עם זאת, הצוות נמצא</w:t>
      </w:r>
      <w:r w:rsidRPr="00AA5065">
        <w:rPr>
          <w:rFonts w:ascii="David" w:eastAsia="Calibri" w:hAnsi="David" w:hint="cs"/>
          <w:sz w:val="24"/>
          <w:rtl/>
        </w:rPr>
        <w:t xml:space="preserve"> </w:t>
      </w:r>
      <w:r w:rsidRPr="00AA5065">
        <w:rPr>
          <w:rFonts w:ascii="David" w:eastAsia="Calibri" w:hAnsi="David"/>
          <w:sz w:val="24"/>
          <w:rtl/>
        </w:rPr>
        <w:t>בפני סיום הדיונים וגיבוש ההמלצות. לצד ההמלצה שהוזכרה בנוגע להרחבת התקינה באגף</w:t>
      </w:r>
      <w:r w:rsidRPr="00AA5065">
        <w:rPr>
          <w:rFonts w:ascii="David" w:eastAsia="Calibri" w:hAnsi="David" w:hint="cs"/>
          <w:sz w:val="24"/>
          <w:rtl/>
        </w:rPr>
        <w:t xml:space="preserve"> </w:t>
      </w:r>
      <w:r w:rsidRPr="00AA5065">
        <w:rPr>
          <w:rFonts w:ascii="David" w:eastAsia="Calibri" w:hAnsi="David"/>
          <w:sz w:val="24"/>
          <w:rtl/>
        </w:rPr>
        <w:t>החקירות הכלולה בהמלצות, נמצאות בהליכי גיבוש המלצות נוספות שנועדו להקל על</w:t>
      </w:r>
      <w:r w:rsidRPr="00AA5065">
        <w:rPr>
          <w:rFonts w:ascii="David" w:eastAsia="Calibri" w:hAnsi="David" w:hint="cs"/>
          <w:sz w:val="24"/>
          <w:rtl/>
        </w:rPr>
        <w:t xml:space="preserve"> </w:t>
      </w:r>
      <w:r w:rsidRPr="00AA5065">
        <w:rPr>
          <w:rFonts w:ascii="David" w:eastAsia="Calibri" w:hAnsi="David"/>
          <w:sz w:val="24"/>
          <w:rtl/>
        </w:rPr>
        <w:t>פעילות החוקרים, אגב קשיים וחסמים שהוצגו בפני הצוות</w:t>
      </w:r>
      <w:r w:rsidRPr="00AA5065">
        <w:rPr>
          <w:rFonts w:ascii="David" w:eastAsia="Calibri" w:hAnsi="David" w:hint="cs"/>
          <w:sz w:val="24"/>
          <w:rtl/>
        </w:rPr>
        <w:t>"</w:t>
      </w:r>
      <w:r w:rsidRPr="00AA5065">
        <w:rPr>
          <w:rFonts w:ascii="David" w:eastAsia="Calibri" w:hAnsi="David"/>
          <w:sz w:val="24"/>
          <w:rtl/>
        </w:rPr>
        <w:t>.</w:t>
      </w:r>
    </w:p>
    <w:p w:rsidR="00AA5065" w:rsidRPr="00AA5065" w:rsidP="00860D89">
      <w:pPr>
        <w:spacing w:line="269" w:lineRule="auto"/>
        <w:rPr>
          <w:rFonts w:eastAsia="Calibri"/>
          <w:rtl/>
        </w:rPr>
      </w:pPr>
    </w:p>
    <w:p w:rsidR="00AA5065" w:rsidRPr="00AA5065" w:rsidP="004E6B4D">
      <w:pPr>
        <w:keepNext/>
        <w:keepLines/>
        <w:spacing w:before="120" w:line="269" w:lineRule="auto"/>
        <w:outlineLvl w:val="3"/>
        <w:rPr>
          <w:rFonts w:eastAsia="Times New Roman"/>
          <w:bCs/>
          <w:szCs w:val="26"/>
          <w:rtl/>
        </w:rPr>
      </w:pPr>
      <w:r w:rsidRPr="00AA5065">
        <w:rPr>
          <w:rFonts w:eastAsia="Times New Roman" w:hint="cs"/>
          <w:bCs/>
          <w:szCs w:val="26"/>
          <w:rtl/>
        </w:rPr>
        <w:t>שיתוף פעולה בין בט"ל למשטרה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באפריל 2004 החליט הקבינט החברתי - כלכלי</w:t>
      </w:r>
      <w:r>
        <w:rPr>
          <w:rFonts w:eastAsia="Calibri"/>
          <w:vertAlign w:val="superscript"/>
          <w:rtl/>
        </w:rPr>
        <w:footnoteReference w:id="36"/>
      </w:r>
      <w:r w:rsidRPr="00AA5065">
        <w:rPr>
          <w:rFonts w:eastAsia="Calibri" w:hint="cs"/>
          <w:rtl/>
        </w:rPr>
        <w:t xml:space="preserve"> על הקמת יחידה משטרתית ארצית למאבק בפשיעה הכלכלית (להלן - יאל"כ). בהחלטה נקבע כי בראשית דרכה תתמקד היחידה, בין השאר, בהוצאת כספים במרמה מבט"ל. </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מבירור עם סמנכ"לית בט</w:t>
      </w:r>
      <w:r w:rsidRPr="00AA5065">
        <w:rPr>
          <w:rFonts w:eastAsia="Calibri"/>
          <w:rtl/>
        </w:rPr>
        <w:t>"</w:t>
      </w:r>
      <w:r w:rsidRPr="00AA5065">
        <w:rPr>
          <w:rFonts w:eastAsia="Calibri" w:hint="cs"/>
          <w:rtl/>
        </w:rPr>
        <w:t>ל בנובמבר 2018 צוין על ידה כי ביאל"כ אין חוקרים ייעודיים במידה המספקת למשימות בט</w:t>
      </w:r>
      <w:r w:rsidRPr="00AA5065">
        <w:rPr>
          <w:rFonts w:eastAsia="Calibri"/>
          <w:rtl/>
        </w:rPr>
        <w:t>"</w:t>
      </w:r>
      <w:r w:rsidRPr="00AA5065">
        <w:rPr>
          <w:rFonts w:eastAsia="Calibri" w:hint="cs"/>
          <w:rtl/>
        </w:rPr>
        <w:t>ל כפי שהחליטה הממשלה. עוד צוין כי ב</w:t>
      </w:r>
      <w:r w:rsidRPr="00AA5065">
        <w:rPr>
          <w:rFonts w:eastAsia="Calibri" w:hint="eastAsia"/>
          <w:rtl/>
        </w:rPr>
        <w:t>של</w:t>
      </w:r>
      <w:r w:rsidRPr="00AA5065">
        <w:rPr>
          <w:rFonts w:eastAsia="Calibri"/>
          <w:rtl/>
        </w:rPr>
        <w:t xml:space="preserve"> </w:t>
      </w:r>
      <w:r w:rsidRPr="00AA5065">
        <w:rPr>
          <w:rFonts w:eastAsia="Calibri" w:hint="eastAsia"/>
          <w:rtl/>
        </w:rPr>
        <w:t>היעדר</w:t>
      </w:r>
      <w:r w:rsidRPr="00AA5065">
        <w:rPr>
          <w:rFonts w:eastAsia="Calibri"/>
          <w:rtl/>
        </w:rPr>
        <w:t xml:space="preserve"> </w:t>
      </w:r>
      <w:r w:rsidRPr="00AA5065">
        <w:rPr>
          <w:rFonts w:eastAsia="Calibri" w:hint="eastAsia"/>
          <w:rtl/>
        </w:rPr>
        <w:t>משאבים</w:t>
      </w:r>
      <w:r w:rsidRPr="00AA5065">
        <w:rPr>
          <w:rFonts w:eastAsia="Calibri"/>
          <w:rtl/>
        </w:rPr>
        <w:t xml:space="preserve"> </w:t>
      </w:r>
      <w:r w:rsidRPr="00AA5065">
        <w:rPr>
          <w:rFonts w:eastAsia="Calibri" w:hint="eastAsia"/>
          <w:rtl/>
        </w:rPr>
        <w:t>מתאימים</w:t>
      </w:r>
      <w:r w:rsidRPr="00AA5065">
        <w:rPr>
          <w:rFonts w:eastAsia="Calibri"/>
          <w:rtl/>
        </w:rPr>
        <w:t xml:space="preserve"> </w:t>
      </w:r>
      <w:r w:rsidRPr="00AA5065">
        <w:rPr>
          <w:rFonts w:eastAsia="Calibri" w:hint="cs"/>
          <w:rtl/>
        </w:rPr>
        <w:t>ו</w:t>
      </w:r>
      <w:r w:rsidRPr="00AA5065">
        <w:rPr>
          <w:rFonts w:eastAsia="Calibri" w:hint="eastAsia"/>
          <w:rtl/>
        </w:rPr>
        <w:t>קשיים</w:t>
      </w:r>
      <w:r w:rsidRPr="00AA5065">
        <w:rPr>
          <w:rFonts w:eastAsia="Calibri"/>
          <w:rtl/>
        </w:rPr>
        <w:t xml:space="preserve"> </w:t>
      </w:r>
      <w:r w:rsidRPr="00AA5065">
        <w:rPr>
          <w:rFonts w:eastAsia="Calibri" w:hint="eastAsia"/>
          <w:rtl/>
        </w:rPr>
        <w:t>נוספים</w:t>
      </w:r>
      <w:r w:rsidRPr="00AA5065">
        <w:rPr>
          <w:rFonts w:eastAsia="Calibri"/>
          <w:rtl/>
        </w:rPr>
        <w:t>,</w:t>
      </w:r>
      <w:r w:rsidRPr="00AA5065">
        <w:rPr>
          <w:rFonts w:eastAsia="Calibri" w:hint="cs"/>
          <w:rtl/>
        </w:rPr>
        <w:t xml:space="preserve"> </w:t>
      </w:r>
      <w:r w:rsidRPr="00AA5065">
        <w:rPr>
          <w:rFonts w:eastAsia="Calibri" w:hint="eastAsia"/>
          <w:rtl/>
        </w:rPr>
        <w:t>בט</w:t>
      </w:r>
      <w:r w:rsidRPr="00AA5065">
        <w:rPr>
          <w:rFonts w:eastAsia="Calibri"/>
          <w:rtl/>
        </w:rPr>
        <w:t>"</w:t>
      </w:r>
      <w:r w:rsidRPr="00AA5065">
        <w:rPr>
          <w:rFonts w:eastAsia="Calibri" w:hint="eastAsia"/>
          <w:rtl/>
        </w:rPr>
        <w:t>ל</w:t>
      </w:r>
      <w:r w:rsidRPr="00AA5065">
        <w:rPr>
          <w:rFonts w:eastAsia="Calibri"/>
          <w:rtl/>
        </w:rPr>
        <w:t xml:space="preserve"> אינו מצליח לבצע חקירות ובדיקות נאותות, שהיה בכוחן להוכיח כי מרבית הנשים המדווחות כחד</w:t>
      </w:r>
      <w:r w:rsidRPr="00AA5065">
        <w:rPr>
          <w:rFonts w:eastAsia="Calibri" w:hint="cs"/>
          <w:rtl/>
        </w:rPr>
        <w:t>-</w:t>
      </w:r>
      <w:r w:rsidRPr="00AA5065">
        <w:rPr>
          <w:rFonts w:eastAsia="Calibri"/>
          <w:rtl/>
        </w:rPr>
        <w:t>הוריות עדיין מקיימות חיי משפחה, בצורה כזאת או אחרת, עם הגבר שגירש אותן. ה</w:t>
      </w:r>
      <w:r w:rsidRPr="00AA5065">
        <w:rPr>
          <w:rFonts w:eastAsia="Calibri" w:hint="cs"/>
          <w:rtl/>
        </w:rPr>
        <w:t>י</w:t>
      </w:r>
      <w:r w:rsidRPr="00AA5065">
        <w:rPr>
          <w:rFonts w:eastAsia="Calibri"/>
          <w:rtl/>
        </w:rPr>
        <w:t>עדר אכיפה מספקת מ</w:t>
      </w:r>
      <w:r w:rsidRPr="00AA5065">
        <w:rPr>
          <w:rFonts w:eastAsia="Calibri" w:hint="eastAsia"/>
          <w:rtl/>
        </w:rPr>
        <w:t>אפשר</w:t>
      </w:r>
      <w:r w:rsidRPr="00AA5065">
        <w:rPr>
          <w:rFonts w:eastAsia="Calibri"/>
          <w:rtl/>
        </w:rPr>
        <w:t xml:space="preserve"> </w:t>
      </w:r>
      <w:r w:rsidRPr="00AA5065">
        <w:rPr>
          <w:rFonts w:eastAsia="Calibri" w:hint="cs"/>
          <w:rtl/>
        </w:rPr>
        <w:t xml:space="preserve">לנצל </w:t>
      </w:r>
      <w:r w:rsidRPr="00AA5065">
        <w:rPr>
          <w:rFonts w:eastAsia="Calibri"/>
          <w:rtl/>
        </w:rPr>
        <w:t xml:space="preserve">את הפוליגמיה </w:t>
      </w:r>
      <w:r w:rsidRPr="00AA5065">
        <w:rPr>
          <w:rFonts w:eastAsia="Calibri" w:hint="cs"/>
          <w:rtl/>
        </w:rPr>
        <w:t>כדי לקבל</w:t>
      </w:r>
      <w:r w:rsidRPr="00AA5065">
        <w:rPr>
          <w:rFonts w:eastAsia="Calibri"/>
          <w:rtl/>
        </w:rPr>
        <w:t xml:space="preserve"> קצבאות שלא כדין.</w:t>
      </w:r>
      <w:r w:rsidRPr="00AA5065">
        <w:rPr>
          <w:rFonts w:eastAsia="Calibri" w:hint="cs"/>
          <w:rtl/>
        </w:rPr>
        <w:t xml:space="preserve"> </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bookmarkStart w:id="30" w:name="_Hlk204850035"/>
    </w:p>
    <w:p w:rsidR="00AA5065" w:rsidRPr="00AA5065" w:rsidP="00860D89">
      <w:pPr>
        <w:spacing w:line="269" w:lineRule="auto"/>
        <w:rPr>
          <w:rFonts w:eastAsia="Calibri"/>
          <w:rtl/>
        </w:rPr>
      </w:pPr>
      <w:r w:rsidRPr="00AA5065">
        <w:rPr>
          <w:rFonts w:eastAsia="Calibri" w:hint="eastAsia"/>
          <w:rtl/>
        </w:rPr>
        <w:t>נציגי</w:t>
      </w:r>
      <w:r w:rsidRPr="00AA5065">
        <w:rPr>
          <w:rFonts w:eastAsia="Calibri"/>
          <w:rtl/>
        </w:rPr>
        <w:t xml:space="preserve"> </w:t>
      </w:r>
      <w:r w:rsidRPr="00AA5065">
        <w:rPr>
          <w:rFonts w:eastAsia="Calibri" w:hint="eastAsia"/>
          <w:rtl/>
        </w:rPr>
        <w:t>בט</w:t>
      </w:r>
      <w:r w:rsidRPr="00AA5065">
        <w:rPr>
          <w:rFonts w:eastAsia="Calibri"/>
          <w:rtl/>
        </w:rPr>
        <w:t xml:space="preserve">"ל </w:t>
      </w:r>
      <w:r w:rsidRPr="00AA5065">
        <w:rPr>
          <w:rFonts w:eastAsia="Calibri" w:hint="eastAsia"/>
          <w:rtl/>
        </w:rPr>
        <w:t>מסרו</w:t>
      </w:r>
      <w:r w:rsidRPr="00AA5065">
        <w:rPr>
          <w:rFonts w:eastAsia="Calibri"/>
          <w:rtl/>
        </w:rPr>
        <w:t xml:space="preserve"> </w:t>
      </w:r>
      <w:r w:rsidRPr="00AA5065">
        <w:rPr>
          <w:rFonts w:eastAsia="Calibri" w:hint="eastAsia"/>
          <w:rtl/>
        </w:rPr>
        <w:t>לצוות</w:t>
      </w:r>
      <w:r w:rsidRPr="00AA5065">
        <w:rPr>
          <w:rFonts w:eastAsia="Calibri"/>
          <w:rtl/>
        </w:rPr>
        <w:t xml:space="preserve"> </w:t>
      </w:r>
      <w:r w:rsidRPr="00AA5065">
        <w:rPr>
          <w:rFonts w:eastAsia="Calibri" w:hint="eastAsia"/>
          <w:rtl/>
        </w:rPr>
        <w:t>הביקורת</w:t>
      </w:r>
      <w:r w:rsidRPr="00AA5065">
        <w:rPr>
          <w:rFonts w:eastAsia="Calibri"/>
          <w:rtl/>
        </w:rPr>
        <w:t xml:space="preserve"> בספטמבר 2024 כי זרוע </w:t>
      </w:r>
      <w:r w:rsidRPr="00AA5065">
        <w:rPr>
          <w:rFonts w:eastAsia="Calibri" w:hint="eastAsia"/>
          <w:rtl/>
        </w:rPr>
        <w:t>בט</w:t>
      </w:r>
      <w:r w:rsidRPr="00AA5065">
        <w:rPr>
          <w:rFonts w:eastAsia="Calibri"/>
          <w:rtl/>
        </w:rPr>
        <w:t xml:space="preserve">"ל ביחידת התביעות בלהב 433 כבר איננה קיימת כיום. </w:t>
      </w:r>
    </w:p>
    <w:bookmarkEnd w:id="30"/>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b/>
          <w:bCs/>
          <w:rtl/>
        </w:rPr>
        <w:t xml:space="preserve">בביקורת המעקב נמצא כי </w:t>
      </w:r>
      <w:r w:rsidRPr="00AA5065">
        <w:rPr>
          <w:rFonts w:eastAsia="Calibri" w:hint="cs"/>
          <w:b/>
          <w:bCs/>
          <w:rtl/>
        </w:rPr>
        <w:t>הליקוי</w:t>
      </w:r>
      <w:r w:rsidRPr="00AA5065">
        <w:rPr>
          <w:rFonts w:eastAsia="Calibri"/>
          <w:b/>
          <w:bCs/>
          <w:rtl/>
        </w:rPr>
        <w:t xml:space="preserve"> תוקן</w:t>
      </w:r>
      <w:r w:rsidRPr="00AA5065">
        <w:rPr>
          <w:rFonts w:eastAsia="Calibri" w:hint="cs"/>
          <w:b/>
          <w:bCs/>
          <w:rtl/>
        </w:rPr>
        <w:t xml:space="preserve"> במידה מועטה וכי עדיין נדרשת הגברה של שיתוף הפעולה בין בט"ל למשטרה</w:t>
      </w:r>
      <w:r w:rsidRPr="00AA5065">
        <w:rPr>
          <w:rFonts w:eastAsia="Calibri"/>
          <w:b/>
          <w:bCs/>
          <w:rtl/>
        </w:rPr>
        <w:t xml:space="preserve"> לצורך ביצוע חקירות בתיקי בט"ל</w:t>
      </w:r>
      <w:r w:rsidRPr="00AA5065">
        <w:rPr>
          <w:rFonts w:eastAsia="Calibri" w:hint="cs"/>
          <w:b/>
          <w:bCs/>
          <w:rtl/>
        </w:rPr>
        <w:t>.</w:t>
      </w:r>
      <w:r w:rsidRPr="00AA5065">
        <w:rPr>
          <w:rFonts w:eastAsia="Calibri"/>
          <w:b/>
          <w:b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בט"ל מסר בתשובתו כי </w:t>
      </w:r>
      <w:r w:rsidRPr="00AA5065">
        <w:rPr>
          <w:rFonts w:eastAsia="Calibri"/>
          <w:rtl/>
        </w:rPr>
        <w:t xml:space="preserve">יחידת היאל"כ במשטרת ישראל טיפלה במספר תיקים שהועברו </w:t>
      </w:r>
      <w:r w:rsidRPr="00AA5065">
        <w:rPr>
          <w:rFonts w:eastAsia="Calibri" w:hint="cs"/>
          <w:rtl/>
        </w:rPr>
        <w:t xml:space="preserve">אליה במהלך השנים האחרונות. עוד מסר בט"ל כי "אנו מסכימים כי... </w:t>
      </w:r>
      <w:r w:rsidRPr="00AA5065">
        <w:rPr>
          <w:rFonts w:eastAsia="Calibri"/>
          <w:rtl/>
        </w:rPr>
        <w:t>נדרש המשך העמקת שיתוף הפעולה</w:t>
      </w:r>
      <w:r w:rsidRPr="00AA5065">
        <w:rPr>
          <w:rFonts w:eastAsia="Calibri" w:hint="cs"/>
          <w:rtl/>
        </w:rPr>
        <w:t xml:space="preserve"> </w:t>
      </w:r>
      <w:r w:rsidRPr="00AA5065">
        <w:rPr>
          <w:rFonts w:eastAsia="Calibri"/>
          <w:rtl/>
        </w:rPr>
        <w:t>בין אגף החקירות במוסד לביטוח לאומי לבין משטרת ישראל, על מנת להבטיח טיפול מיטבי ויעיל בתיקים</w:t>
      </w:r>
      <w:r w:rsidRPr="00AA5065">
        <w:rPr>
          <w:rFonts w:eastAsia="Calibri" w:hint="cs"/>
          <w:rtl/>
        </w:rPr>
        <w:t xml:space="preserve"> </w:t>
      </w:r>
      <w:r w:rsidRPr="00AA5065">
        <w:rPr>
          <w:rFonts w:eastAsia="Calibri"/>
          <w:rtl/>
        </w:rPr>
        <w:t>מורכבים</w:t>
      </w:r>
      <w:r w:rsidRPr="00AA5065">
        <w:rPr>
          <w:rFonts w:eastAsia="Calibri"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eastAsia="Calibri"/>
          <w:b/>
          <w:bCs/>
          <w:rtl/>
        </w:rPr>
      </w:pPr>
      <w:r w:rsidRPr="00AA5065">
        <w:rPr>
          <w:rFonts w:eastAsia="Calibri" w:hint="cs"/>
          <w:b/>
          <w:bCs/>
          <w:rtl/>
        </w:rPr>
        <w:t>מידת תיקון הליקוי</w:t>
      </w:r>
    </w:p>
    <w:p w:rsidR="00AA5065" w:rsidRPr="00AA5065" w:rsidP="00860D89">
      <w:pPr>
        <w:spacing w:line="269" w:lineRule="auto"/>
        <w:jc w:val="center"/>
        <w:rPr>
          <w:rFonts w:eastAsia="Calibri"/>
          <w:rtl/>
        </w:rPr>
      </w:pPr>
      <w:r w:rsidRPr="00AA5065">
        <w:rPr>
          <w:rFonts w:ascii="David" w:eastAsia="Tw Cen MT" w:hAnsi="David"/>
          <w:noProof/>
        </w:rPr>
        <w:drawing>
          <wp:inline distT="0" distB="0" distL="0" distR="0">
            <wp:extent cx="3960000" cy="794146"/>
            <wp:effectExtent l="0" t="0" r="2540" b="0"/>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תמונה 115"/>
                    <pic:cNvPicPr>
                      <a:picLocks noChangeAspect="1" noChangeArrowheads="1"/>
                    </pic:cNvPicPr>
                  </pic:nvPicPr>
                  <pic:blipFill>
                    <a:blip xmlns:r="http://schemas.openxmlformats.org/officeDocument/2006/relationships" r:embed="rId12">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0000" cy="794146"/>
                    </a:xfrm>
                    <a:prstGeom prst="rect">
                      <a:avLst/>
                    </a:prstGeom>
                    <a:noFill/>
                    <a:ln>
                      <a:noFill/>
                    </a:ln>
                  </pic:spPr>
                </pic:pic>
              </a:graphicData>
            </a:graphic>
          </wp:inline>
        </w:drawing>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bookmarkStart w:id="31" w:name="_Hlk214278890"/>
      <w:r w:rsidRPr="00AA5065">
        <w:rPr>
          <w:rFonts w:eastAsia="Calibri" w:hint="eastAsia"/>
          <w:b/>
          <w:bCs/>
          <w:rtl/>
        </w:rPr>
        <w:t>על</w:t>
      </w:r>
      <w:r w:rsidRPr="00AA5065">
        <w:rPr>
          <w:rFonts w:eastAsia="Calibri"/>
          <w:b/>
          <w:bCs/>
          <w:rtl/>
        </w:rPr>
        <w:t xml:space="preserve"> </w:t>
      </w:r>
      <w:r w:rsidRPr="00AA5065">
        <w:rPr>
          <w:rFonts w:eastAsia="Calibri" w:hint="eastAsia"/>
          <w:b/>
          <w:bCs/>
          <w:rtl/>
        </w:rPr>
        <w:t>משטרת</w:t>
      </w:r>
      <w:r w:rsidRPr="00AA5065">
        <w:rPr>
          <w:rFonts w:eastAsia="Calibri"/>
          <w:b/>
          <w:bCs/>
          <w:rtl/>
        </w:rPr>
        <w:t xml:space="preserve"> ישראל </w:t>
      </w:r>
      <w:r w:rsidRPr="00AA5065">
        <w:rPr>
          <w:rFonts w:eastAsia="Calibri" w:hint="eastAsia"/>
          <w:b/>
          <w:bCs/>
          <w:rtl/>
        </w:rPr>
        <w:t>לפעול</w:t>
      </w:r>
      <w:r w:rsidRPr="00AA5065">
        <w:rPr>
          <w:rFonts w:eastAsia="Calibri"/>
          <w:b/>
          <w:bCs/>
          <w:rtl/>
        </w:rPr>
        <w:t xml:space="preserve"> </w:t>
      </w:r>
      <w:r w:rsidRPr="00AA5065">
        <w:rPr>
          <w:rFonts w:eastAsia="Calibri" w:hint="cs"/>
          <w:b/>
          <w:bCs/>
          <w:rtl/>
        </w:rPr>
        <w:t>להגברת שיתוף הפעולה עם בט"ל, בין היתר באמצעות חוקרים י</w:t>
      </w:r>
      <w:r w:rsidR="004E6B4D">
        <w:rPr>
          <w:rFonts w:eastAsia="Calibri" w:hint="cs"/>
          <w:b/>
          <w:bCs/>
          <w:rtl/>
        </w:rPr>
        <w:t>י</w:t>
      </w:r>
      <w:r w:rsidRPr="00AA5065">
        <w:rPr>
          <w:rFonts w:eastAsia="Calibri" w:hint="cs"/>
          <w:b/>
          <w:bCs/>
          <w:rtl/>
        </w:rPr>
        <w:t>עודיים, על מנת לסייע</w:t>
      </w:r>
      <w:r w:rsidRPr="00AA5065">
        <w:rPr>
          <w:rFonts w:eastAsia="Calibri" w:hint="cs"/>
          <w:rtl/>
        </w:rPr>
        <w:t xml:space="preserve"> </w:t>
      </w:r>
      <w:r w:rsidRPr="00AA5065">
        <w:rPr>
          <w:rFonts w:eastAsia="Calibri"/>
          <w:b/>
          <w:bCs/>
          <w:rtl/>
        </w:rPr>
        <w:t xml:space="preserve">למשימות </w:t>
      </w:r>
      <w:r w:rsidRPr="00AA5065">
        <w:rPr>
          <w:rFonts w:eastAsia="Calibri" w:hint="eastAsia"/>
          <w:b/>
          <w:bCs/>
          <w:rtl/>
        </w:rPr>
        <w:t>הבט</w:t>
      </w:r>
      <w:r w:rsidRPr="00AA5065">
        <w:rPr>
          <w:rFonts w:eastAsia="Calibri"/>
          <w:b/>
          <w:bCs/>
          <w:rtl/>
        </w:rPr>
        <w:t>"</w:t>
      </w:r>
      <w:r w:rsidRPr="00AA5065">
        <w:rPr>
          <w:rFonts w:eastAsia="Calibri" w:hint="eastAsia"/>
          <w:b/>
          <w:bCs/>
          <w:rtl/>
        </w:rPr>
        <w:t>ל</w:t>
      </w:r>
      <w:r w:rsidRPr="00AA5065">
        <w:rPr>
          <w:rFonts w:eastAsia="Calibri"/>
          <w:b/>
          <w:bCs/>
          <w:rtl/>
        </w:rPr>
        <w:t xml:space="preserve"> </w:t>
      </w:r>
      <w:r w:rsidRPr="00AA5065">
        <w:rPr>
          <w:rFonts w:eastAsia="Calibri" w:hint="eastAsia"/>
          <w:b/>
          <w:bCs/>
          <w:rtl/>
        </w:rPr>
        <w:t>בכל</w:t>
      </w:r>
      <w:r w:rsidRPr="00AA5065">
        <w:rPr>
          <w:rFonts w:eastAsia="Calibri"/>
          <w:b/>
          <w:bCs/>
          <w:rtl/>
        </w:rPr>
        <w:t xml:space="preserve"> הנוגע </w:t>
      </w:r>
      <w:r w:rsidRPr="00AA5065">
        <w:rPr>
          <w:rFonts w:eastAsia="Calibri" w:hint="eastAsia"/>
          <w:b/>
          <w:bCs/>
          <w:rtl/>
        </w:rPr>
        <w:t>ל</w:t>
      </w:r>
      <w:r w:rsidRPr="00AA5065">
        <w:rPr>
          <w:rFonts w:eastAsia="Calibri" w:hint="cs"/>
          <w:b/>
          <w:bCs/>
          <w:rtl/>
        </w:rPr>
        <w:t>הוצאת כספים במרמה מהביטוח הלאומי.</w:t>
      </w:r>
      <w:r w:rsidRPr="00AA5065">
        <w:rPr>
          <w:rFonts w:eastAsia="Calibri"/>
          <w:b/>
          <w:b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cs"/>
          <w:sz w:val="24"/>
          <w:rtl/>
        </w:rPr>
        <w:t>בט"ל מסר בתשובתו כי "</w:t>
      </w:r>
      <w:r w:rsidRPr="00AA5065">
        <w:rPr>
          <w:rFonts w:ascii="David" w:eastAsia="Calibri" w:hAnsi="David"/>
          <w:sz w:val="24"/>
          <w:rtl/>
        </w:rPr>
        <w:t xml:space="preserve"> פער זה בחוקרי משטרה הנוגע לתיקי ביטוח לאומי אינ</w:t>
      </w:r>
      <w:r w:rsidRPr="00AA5065">
        <w:rPr>
          <w:rFonts w:ascii="David" w:eastAsia="Calibri" w:hAnsi="David" w:hint="cs"/>
          <w:sz w:val="24"/>
          <w:rtl/>
        </w:rPr>
        <w:t>ו</w:t>
      </w:r>
      <w:r w:rsidRPr="00AA5065">
        <w:rPr>
          <w:rFonts w:ascii="David" w:eastAsia="Calibri" w:hAnsi="David"/>
          <w:sz w:val="24"/>
          <w:rtl/>
        </w:rPr>
        <w:t xml:space="preserve"> נוגע רק להיבטי </w:t>
      </w:r>
      <w:r w:rsidRPr="00AA5065">
        <w:rPr>
          <w:rFonts w:ascii="David" w:eastAsia="Calibri" w:hAnsi="David" w:hint="cs"/>
          <w:sz w:val="24"/>
          <w:rtl/>
        </w:rPr>
        <w:t>ה</w:t>
      </w:r>
      <w:r w:rsidRPr="00AA5065">
        <w:rPr>
          <w:rFonts w:ascii="David" w:eastAsia="Calibri" w:hAnsi="David"/>
          <w:sz w:val="24"/>
          <w:rtl/>
        </w:rPr>
        <w:t xml:space="preserve">התמודדות </w:t>
      </w:r>
      <w:r w:rsidRPr="00AA5065">
        <w:rPr>
          <w:rFonts w:ascii="David" w:eastAsia="Calibri" w:hAnsi="David" w:hint="cs"/>
          <w:sz w:val="24"/>
          <w:rtl/>
        </w:rPr>
        <w:t xml:space="preserve">עם </w:t>
      </w:r>
      <w:r w:rsidRPr="00AA5065">
        <w:rPr>
          <w:rFonts w:ascii="David" w:eastAsia="Calibri" w:hAnsi="David"/>
          <w:sz w:val="24"/>
          <w:rtl/>
        </w:rPr>
        <w:t xml:space="preserve">תופעת הפוליגמיה, אלא למכלול </w:t>
      </w:r>
      <w:r w:rsidRPr="00AA5065">
        <w:rPr>
          <w:rFonts w:ascii="David" w:eastAsia="Calibri" w:hAnsi="David" w:hint="cs"/>
          <w:sz w:val="24"/>
          <w:rtl/>
        </w:rPr>
        <w:t>ה</w:t>
      </w:r>
      <w:r w:rsidRPr="00AA5065">
        <w:rPr>
          <w:rFonts w:ascii="David" w:eastAsia="Calibri" w:hAnsi="David"/>
          <w:sz w:val="24"/>
          <w:rtl/>
        </w:rPr>
        <w:t xml:space="preserve">משימות </w:t>
      </w:r>
      <w:r w:rsidRPr="00AA5065">
        <w:rPr>
          <w:rFonts w:ascii="David" w:eastAsia="Calibri" w:hAnsi="David" w:hint="cs"/>
          <w:sz w:val="24"/>
          <w:rtl/>
        </w:rPr>
        <w:t xml:space="preserve">של </w:t>
      </w:r>
      <w:r w:rsidRPr="00AA5065">
        <w:rPr>
          <w:rFonts w:ascii="David" w:eastAsia="Calibri" w:hAnsi="David"/>
          <w:sz w:val="24"/>
          <w:rtl/>
        </w:rPr>
        <w:t>הביטוח הלאומי</w:t>
      </w:r>
      <w:r w:rsidRPr="00AA5065">
        <w:rPr>
          <w:rFonts w:ascii="David" w:eastAsia="Calibri" w:hAnsi="David" w:hint="cs"/>
          <w:sz w:val="24"/>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Times New Roman" w:hAnsi="David"/>
          <w:sz w:val="24"/>
          <w:rtl/>
          <w:lang w:eastAsia="he-IL"/>
        </w:rPr>
      </w:pPr>
      <w:r w:rsidRPr="00AA5065">
        <w:rPr>
          <w:rFonts w:ascii="David" w:eastAsia="Calibri" w:hAnsi="David" w:hint="eastAsia"/>
          <w:sz w:val="24"/>
          <w:rtl/>
        </w:rPr>
        <w:t>היחידה</w:t>
      </w:r>
      <w:r w:rsidRPr="00AA5065">
        <w:rPr>
          <w:rFonts w:ascii="David" w:eastAsia="Calibri" w:hAnsi="David"/>
          <w:sz w:val="24"/>
          <w:rtl/>
        </w:rPr>
        <w:t xml:space="preserve"> הארצית למאבק </w:t>
      </w:r>
      <w:r w:rsidRPr="00AA5065">
        <w:rPr>
          <w:rFonts w:ascii="David" w:eastAsia="Calibri" w:hAnsi="David" w:hint="eastAsia"/>
          <w:sz w:val="24"/>
          <w:rtl/>
        </w:rPr>
        <w:t>בפשיעה</w:t>
      </w:r>
      <w:r w:rsidRPr="00AA5065">
        <w:rPr>
          <w:rFonts w:ascii="David" w:eastAsia="Calibri" w:hAnsi="David"/>
          <w:sz w:val="24"/>
          <w:rtl/>
        </w:rPr>
        <w:t xml:space="preserve"> </w:t>
      </w:r>
      <w:r w:rsidRPr="00AA5065">
        <w:rPr>
          <w:rFonts w:ascii="David" w:eastAsia="Calibri" w:hAnsi="David" w:hint="eastAsia"/>
          <w:sz w:val="24"/>
          <w:rtl/>
        </w:rPr>
        <w:t>כלכלית</w:t>
      </w:r>
      <w:r w:rsidRPr="00AA5065">
        <w:rPr>
          <w:rFonts w:ascii="David" w:eastAsia="Calibri" w:hAnsi="David"/>
          <w:sz w:val="24"/>
          <w:rtl/>
        </w:rPr>
        <w:t xml:space="preserve"> </w:t>
      </w:r>
      <w:r w:rsidRPr="00AA5065">
        <w:rPr>
          <w:rFonts w:ascii="David" w:eastAsia="Calibri" w:hAnsi="David" w:hint="eastAsia"/>
          <w:sz w:val="24"/>
          <w:rtl/>
        </w:rPr>
        <w:t>במשטרת</w:t>
      </w:r>
      <w:r w:rsidRPr="00AA5065">
        <w:rPr>
          <w:rFonts w:ascii="David" w:eastAsia="Calibri" w:hAnsi="David"/>
          <w:sz w:val="24"/>
          <w:rtl/>
        </w:rPr>
        <w:t xml:space="preserve"> </w:t>
      </w:r>
      <w:r w:rsidRPr="00AA5065">
        <w:rPr>
          <w:rFonts w:ascii="David" w:eastAsia="Calibri" w:hAnsi="David" w:hint="eastAsia"/>
          <w:sz w:val="24"/>
          <w:rtl/>
        </w:rPr>
        <w:t>ישראל</w:t>
      </w:r>
      <w:r w:rsidRPr="00AA5065">
        <w:rPr>
          <w:rFonts w:ascii="David" w:eastAsia="Calibri" w:hAnsi="David" w:hint="cs"/>
          <w:sz w:val="24"/>
          <w:rtl/>
        </w:rPr>
        <w:t xml:space="preserve"> </w:t>
      </w:r>
      <w:r w:rsidRPr="00AA5065">
        <w:rPr>
          <w:rFonts w:ascii="David" w:eastAsia="Calibri" w:hAnsi="David" w:hint="eastAsia"/>
          <w:sz w:val="24"/>
          <w:rtl/>
        </w:rPr>
        <w:t>מסרה</w:t>
      </w:r>
      <w:r w:rsidRPr="00AA5065">
        <w:rPr>
          <w:rFonts w:ascii="David" w:eastAsia="Calibri" w:hAnsi="David"/>
          <w:sz w:val="24"/>
          <w:rtl/>
        </w:rPr>
        <w:t xml:space="preserve"> בתשובתה מיום 12.10.25 כי </w:t>
      </w:r>
      <w:r w:rsidRPr="00AA5065">
        <w:rPr>
          <w:rFonts w:ascii="David" w:eastAsia="Times New Roman" w:hAnsi="David" w:hint="cs"/>
          <w:sz w:val="24"/>
          <w:rtl/>
          <w:lang w:eastAsia="he-IL"/>
        </w:rPr>
        <w:t>"בזרוע החקירות ביאל"כ פועל מפלג משאבים לאומיים, שהטיפול בעבירות מרמה כלפי הביטוח הלאומי הינו חלק ממשימותיו הייעודיות ומתוכנית העבודה השנתית. יאל"כ מקיימת קשרי עבודה רצופים ואינטנסיביים עם אגף החקירות והמודיעין של הביטוח הלאומי לצורך טיפול מיטבי ומקיף בפרשיות, שכולל הליכים מנהליים, מודיעיניים ופליליים...</w:t>
      </w:r>
      <w:r w:rsidRPr="00AA5065">
        <w:rPr>
          <w:rFonts w:ascii="David" w:eastAsia="Calibri" w:hAnsi="David" w:hint="cs"/>
          <w:rtl/>
        </w:rPr>
        <w:t xml:space="preserve"> יאל"כ אף יזמה ומפעילה מנגנון ייחודי, פורץ דרך וחדשני בשיתוף פעולה עם הביטוח הלאומי, שתכליתו שלילת קצבאות מגורמים פליליים אשר</w:t>
      </w:r>
      <w:r w:rsidRPr="00AA5065">
        <w:rPr>
          <w:rFonts w:ascii="Times New (W1)" w:eastAsia="Calibri" w:hAnsi="Times New (W1)" w:hint="cs"/>
          <w:rtl/>
        </w:rPr>
        <w:t xml:space="preserve"> </w:t>
      </w:r>
      <w:r w:rsidRPr="00AA5065">
        <w:rPr>
          <w:rFonts w:ascii="David" w:eastAsia="Calibri" w:hAnsi="David" w:hint="cs"/>
          <w:rtl/>
        </w:rPr>
        <w:t>עושים שימוש לרעה במשאבי הביטחון הסוציאלי במקרים העונים על תבחינים אשר נקבעו מראש".</w:t>
      </w:r>
    </w:p>
    <w:p w:rsidR="00AA5065" w:rsidRPr="00AA5065" w:rsidP="00860D89">
      <w:pPr>
        <w:spacing w:line="269" w:lineRule="auto"/>
        <w:rPr>
          <w:rFonts w:eastAsia="Calibri"/>
          <w:rtl/>
        </w:rPr>
      </w:pPr>
    </w:p>
    <w:p w:rsidR="00AA5065" w:rsidRPr="00AA5065" w:rsidP="004E6B4D">
      <w:pPr>
        <w:keepNext/>
        <w:keepLines/>
        <w:spacing w:before="120" w:line="269" w:lineRule="auto"/>
        <w:outlineLvl w:val="3"/>
        <w:rPr>
          <w:rFonts w:eastAsia="Times New Roman"/>
          <w:bCs/>
          <w:szCs w:val="26"/>
          <w:rtl/>
        </w:rPr>
      </w:pPr>
      <w:bookmarkStart w:id="32" w:name="_Hlk204854252"/>
      <w:bookmarkEnd w:id="31"/>
      <w:r w:rsidRPr="00AA5065">
        <w:rPr>
          <w:rFonts w:eastAsia="Times New Roman" w:hint="cs"/>
          <w:bCs/>
          <w:szCs w:val="26"/>
          <w:rtl/>
        </w:rPr>
        <w:t>גיוס חוקרים לבט"ל</w:t>
      </w:r>
      <w:bookmarkEnd w:id="32"/>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במסמך הנושא את הכותרת "תגבור בכוח האדם לחקירות במגזר הבדואי ותוכנית הפעלה", ששלח מנהל סניף באר שבע למנכ"ל בט</w:t>
      </w:r>
      <w:r w:rsidRPr="00AA5065">
        <w:rPr>
          <w:rFonts w:eastAsia="Calibri"/>
          <w:rtl/>
        </w:rPr>
        <w:t>"</w:t>
      </w:r>
      <w:r w:rsidRPr="00AA5065">
        <w:rPr>
          <w:rFonts w:eastAsia="Calibri" w:hint="cs"/>
          <w:rtl/>
        </w:rPr>
        <w:t>ל ביום 19.12.13, נכתב כי קיים מחסור ניכר בחוקרים, וכי "לצורך ביצוע חקירות כמתבקש וכמתחייב מגוף המשלם מיליונים רבים דרוש כוח חקירתי משמעותי שתפקידו יהיה לאכוף ולהרתיע. על מנת לממש האמור במסמך זה דרושים כ-10 חוקרים שיופעלו כדלהלן... כך ניתן יהיה להוריד מסך מקבלי גמלאות שלא כדין כמות בלתי נדלית, פתיחה בהליכים פליליים, אכיפה, הרתעה וכו'".</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sz w:val="24"/>
          <w:rtl/>
        </w:rPr>
      </w:pPr>
      <w:r w:rsidRPr="00AA5065">
        <w:rPr>
          <w:rFonts w:eastAsia="Calibri" w:hint="cs"/>
          <w:rtl/>
        </w:rPr>
        <w:t>אחת מההמלצות המופיעות בדוח פלמור קובעת כי "יוקצו לאגף החקירות בבט"ל, משאבים ייעודיים לצורך חקירת דיווחים החשודים כדיווחי כזב בקרב הבדואים בדרום הארץ. בכלל זה: 4 תקני חוקרים; הכשרת נשים דוברות ערבית כחוקרות; שני כלי רכב המותאמים לעריכת חקירות בפזורה; מבנה משרדי לעריכת החקירות בבאר שבע; ציוד חקירות מתאים".</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בדוח הקודם ה</w:t>
      </w:r>
      <w:r w:rsidRPr="00AA5065">
        <w:rPr>
          <w:rFonts w:eastAsia="Calibri"/>
          <w:rtl/>
        </w:rPr>
        <w:t xml:space="preserve">ומלץ כי </w:t>
      </w:r>
      <w:r w:rsidRPr="00AA5065">
        <w:rPr>
          <w:rFonts w:eastAsia="Calibri" w:hint="cs"/>
          <w:rtl/>
        </w:rPr>
        <w:t>בט"ל</w:t>
      </w:r>
      <w:r w:rsidRPr="00AA5065">
        <w:rPr>
          <w:rFonts w:eastAsia="Calibri"/>
          <w:rtl/>
        </w:rPr>
        <w:t xml:space="preserve"> ומשרד האוצר יגבשו תוכנית חקירות סדורה עם יעדים שנתיים להתמודדות עם כלל התופעות שצוינו, הן בהמשך להחלטת הממשלה והמלצות ועדת פלמור והן בהתאם למתבקש מצורכי השטח. בפעולות אלו יהיה כדי להגביר הן את האכיפה והן את ההרתעה </w:t>
      </w:r>
      <w:r w:rsidRPr="00AA5065">
        <w:rPr>
          <w:rFonts w:eastAsia="Calibri" w:hint="cs"/>
          <w:rtl/>
        </w:rPr>
        <w:t>בקרב</w:t>
      </w:r>
      <w:r w:rsidRPr="00AA5065">
        <w:rPr>
          <w:rFonts w:eastAsia="Calibri"/>
          <w:rtl/>
        </w:rPr>
        <w:t xml:space="preserve"> מי שמקבל כספים במרמה מ</w:t>
      </w:r>
      <w:r w:rsidRPr="00AA5065">
        <w:rPr>
          <w:rFonts w:eastAsia="Calibri" w:hint="cs"/>
          <w:rtl/>
        </w:rPr>
        <w:t>בט"ל</w:t>
      </w:r>
      <w:r w:rsidRPr="00AA5065">
        <w:rPr>
          <w:rFonts w:eastAsia="Calibri"/>
          <w:rtl/>
        </w:rPr>
        <w:t xml:space="preserve"> ו</w:t>
      </w:r>
      <w:r w:rsidRPr="00AA5065">
        <w:rPr>
          <w:rFonts w:eastAsia="Calibri" w:hint="cs"/>
          <w:rtl/>
        </w:rPr>
        <w:t>בקרב</w:t>
      </w:r>
      <w:r w:rsidRPr="00AA5065">
        <w:rPr>
          <w:rFonts w:eastAsia="Calibri"/>
          <w:rtl/>
        </w:rPr>
        <w:t xml:space="preserve"> אלה שאינם מדווחים כחוק. הצעד של הכשרת שישה חוקרים ייעודיים הוא מהלך חיובי בכיוון זה.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בט"ל מסר בתשובתו לדוח הקודם כי בעקבות ההמלצות בדוח פלמור הוא קיבל שישה תקנים של חוקרים דוברי השפה הערבית שיעסקו בחקירות שמטרתן בחינת חשדות לדיווחים פיקטיביים ולקבלת גמלאות שלא כדין. כמו כן התקבלו שלושה כלי רכב המותאמים לשטח הפזורה הבדואית וציוד רלוונטי וטכנולוגי הנדרש לביצוע חקירות במגזר הבדואי. </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lang w:eastAsia="he-IL"/>
        </w:rPr>
      </w:pPr>
      <w:r w:rsidRPr="00AA5065">
        <w:rPr>
          <w:rFonts w:eastAsia="Calibri" w:hint="cs"/>
          <w:rtl/>
        </w:rPr>
        <w:t>נמצא כי נכון למועד סיום הביקורת גויסו</w:t>
      </w:r>
      <w:r w:rsidRPr="00AA5065">
        <w:rPr>
          <w:rFonts w:eastAsia="Calibri" w:hint="cs"/>
          <w:sz w:val="24"/>
          <w:rtl/>
        </w:rPr>
        <w:t xml:space="preserve"> שישה חוקרים דוברי ערבית אשר צוידו ברכבי שטח מתאימים,</w:t>
      </w:r>
      <w:r w:rsidRPr="00AA5065">
        <w:rPr>
          <w:rFonts w:eastAsia="Calibri" w:hint="cs"/>
          <w:rtl/>
        </w:rPr>
        <w:t xml:space="preserve"> והמשאבים העומדים לרשותם עובו באופן משמעותי</w:t>
      </w:r>
      <w:r w:rsidRPr="00AA5065">
        <w:rPr>
          <w:rFonts w:eastAsia="Calibri" w:hint="cs"/>
          <w:sz w:val="24"/>
          <w:rtl/>
        </w:rPr>
        <w:t>. נוסף על כך,</w:t>
      </w:r>
      <w:r w:rsidRPr="00AA5065">
        <w:rPr>
          <w:rFonts w:eastAsia="Calibri"/>
          <w:rtl/>
        </w:rPr>
        <w:t xml:space="preserve"> הושם דגש על פיתוח טכנולוגיות אשר מאפשרות ביצוע מעקבים ואיסוף ראיות נגד מבצעי מרמה</w:t>
      </w:r>
      <w:r w:rsidRPr="00AA5065">
        <w:rPr>
          <w:rFonts w:eastAsia="Calibri" w:hint="cs"/>
          <w:sz w:val="24"/>
          <w:rtl/>
        </w:rPr>
        <w:t xml:space="preserve">, </w:t>
      </w:r>
      <w:r w:rsidRPr="00AA5065">
        <w:rPr>
          <w:rFonts w:eastAsia="Calibri" w:hint="cs"/>
          <w:rtl/>
        </w:rPr>
        <w:t>והיקף החקירות המתקיימות בנושא זה</w:t>
      </w:r>
      <w:r w:rsidRPr="00AA5065">
        <w:rPr>
          <w:rFonts w:eastAsia="Calibri"/>
          <w:rtl/>
        </w:rPr>
        <w:t xml:space="preserve"> </w:t>
      </w:r>
      <w:r w:rsidRPr="00AA5065">
        <w:rPr>
          <w:rFonts w:eastAsia="Calibri" w:hint="cs"/>
          <w:rtl/>
        </w:rPr>
        <w:t>גדל כך ש</w:t>
      </w:r>
      <w:r w:rsidRPr="00AA5065">
        <w:rPr>
          <w:rFonts w:eastAsia="Calibri"/>
          <w:rtl/>
        </w:rPr>
        <w:t>נחשפו פרשיות מרמה רבות הן בנושאי תושבות והיעדר דיווח עיסוקים והכנסות, והן בנושאי קבלת גמלאות מ</w:t>
      </w:r>
      <w:r w:rsidRPr="00AA5065">
        <w:rPr>
          <w:rFonts w:eastAsia="Calibri" w:hint="cs"/>
          <w:rtl/>
        </w:rPr>
        <w:t>בט"ל</w:t>
      </w:r>
      <w:r w:rsidRPr="00AA5065">
        <w:rPr>
          <w:rFonts w:eastAsia="Calibri"/>
          <w:rtl/>
        </w:rPr>
        <w:t xml:space="preserve"> שלא כדין</w:t>
      </w:r>
      <w:r w:rsidRPr="00AA5065">
        <w:rPr>
          <w:rFonts w:eastAsia="Calibri" w:hint="cs"/>
          <w:rtl/>
        </w:rPr>
        <w:t>.</w:t>
      </w:r>
      <w:r w:rsidRPr="00AA5065">
        <w:rPr>
          <w:rFonts w:eastAsia="Calibri"/>
          <w:rtl/>
        </w:rPr>
        <w:t xml:space="preserve"> </w:t>
      </w:r>
      <w:r w:rsidRPr="00AA5065">
        <w:rPr>
          <w:rFonts w:eastAsia="Calibri" w:hint="cs"/>
          <w:rtl/>
        </w:rPr>
        <w:t xml:space="preserve">עם זאת, מאחר שלמחלקת החקירות אין סמכויות משטרתיות הרי שהחוקרים רק דוחים את התביעות לגמלאות אולם אינם יכולים לנקוט אמצעי התרעה אמינים. </w:t>
      </w:r>
      <w:r w:rsidRPr="00AA5065">
        <w:rPr>
          <w:rFonts w:eastAsia="Calibri"/>
          <w:rtl/>
          <w:lang w:eastAsia="he-IL"/>
        </w:rPr>
        <w:t xml:space="preserve">בשנים 2021-2025 נחקרו </w:t>
      </w:r>
      <w:r w:rsidRPr="00AA5065">
        <w:rPr>
          <w:rFonts w:eastAsia="Calibri" w:hint="cs"/>
          <w:rtl/>
          <w:lang w:eastAsia="he-IL"/>
        </w:rPr>
        <w:t xml:space="preserve">על ידי </w:t>
      </w:r>
      <w:r w:rsidRPr="00AA5065">
        <w:rPr>
          <w:rFonts w:eastAsia="Calibri"/>
          <w:rtl/>
          <w:lang w:eastAsia="he-IL"/>
        </w:rPr>
        <w:t>אגף החקירות והמודיעין של הביטוח הלאומי ביישובי הפזורה הבדואית 5,967 תיקים בנושאי גמלאות, גבייה ותושבות</w:t>
      </w:r>
      <w:r w:rsidRPr="00AA5065">
        <w:rPr>
          <w:rFonts w:eastAsia="Calibri" w:hint="cs"/>
          <w:rtl/>
          <w:lang w:eastAsia="he-IL"/>
        </w:rPr>
        <w:t xml:space="preserve"> (</w:t>
      </w:r>
      <w:r w:rsidRPr="00AA5065">
        <w:rPr>
          <w:rFonts w:eastAsia="Calibri"/>
          <w:rtl/>
          <w:lang w:eastAsia="he-IL"/>
        </w:rPr>
        <w:t>מתוכם 4,617 בנושא גמלאות</w:t>
      </w:r>
      <w:r w:rsidRPr="00AA5065">
        <w:rPr>
          <w:rFonts w:eastAsia="Calibri" w:hint="cs"/>
          <w:rtl/>
          <w:lang w:eastAsia="he-IL"/>
        </w:rPr>
        <w:t>)</w:t>
      </w:r>
      <w:r w:rsidRPr="00AA5065">
        <w:rPr>
          <w:rFonts w:eastAsia="Calibri"/>
          <w:rtl/>
          <w:lang w:eastAsia="he-IL"/>
        </w:rPr>
        <w:t xml:space="preserve">. </w:t>
      </w:r>
    </w:p>
    <w:p w:rsidR="00AA5065" w:rsidRPr="00AA5065" w:rsidP="00C839C0">
      <w:pPr>
        <w:spacing w:line="269" w:lineRule="auto"/>
        <w:rPr>
          <w:rFonts w:eastAsia="Calibri"/>
          <w:b/>
          <w:bCs/>
          <w:rtl/>
        </w:rPr>
      </w:pPr>
      <w:bookmarkStart w:id="33" w:name="_Hlk204850056"/>
      <w:r w:rsidRPr="00AA5065">
        <w:rPr>
          <w:rFonts w:eastAsia="Calibri" w:hint="cs"/>
          <w:b/>
          <w:bCs/>
          <w:rtl/>
        </w:rPr>
        <w:t xml:space="preserve">בביקורת הקודמת נמצא כי קיים מחסור ניכר בחוקרי בט"ל. בביקורת המעקב נמצא כי הליקוי תוקן במידה רבה; גויסו שישה חוקרים לסיוע בטיפול בהשלכות תופעת הפוליגמיה על קצבאות בט"ל </w:t>
      </w:r>
      <w:r w:rsidRPr="00AA5065">
        <w:rPr>
          <w:rFonts w:eastAsia="Calibri" w:hint="eastAsia"/>
          <w:b/>
          <w:bCs/>
          <w:rtl/>
        </w:rPr>
        <w:t>ונחקרו</w:t>
      </w:r>
      <w:r w:rsidRPr="00AA5065">
        <w:rPr>
          <w:rFonts w:eastAsia="Calibri"/>
          <w:b/>
          <w:bCs/>
          <w:rtl/>
        </w:rPr>
        <w:t xml:space="preserve"> </w:t>
      </w:r>
      <w:r w:rsidRPr="00AA5065">
        <w:rPr>
          <w:rFonts w:eastAsia="Calibri" w:hint="eastAsia"/>
          <w:b/>
          <w:bCs/>
          <w:rtl/>
        </w:rPr>
        <w:t>כ</w:t>
      </w:r>
      <w:r w:rsidRPr="00AA5065">
        <w:rPr>
          <w:rFonts w:eastAsia="Calibri"/>
          <w:b/>
          <w:bCs/>
          <w:rtl/>
        </w:rPr>
        <w:t xml:space="preserve">-4,600 </w:t>
      </w:r>
      <w:r w:rsidRPr="00AA5065">
        <w:rPr>
          <w:rFonts w:eastAsia="Calibri" w:hint="eastAsia"/>
          <w:b/>
          <w:bCs/>
          <w:rtl/>
        </w:rPr>
        <w:t>תיקים</w:t>
      </w:r>
      <w:r w:rsidRPr="00AA5065">
        <w:rPr>
          <w:rFonts w:eastAsia="Calibri"/>
          <w:b/>
          <w:bCs/>
          <w:rtl/>
        </w:rPr>
        <w:t xml:space="preserve"> </w:t>
      </w:r>
      <w:r w:rsidRPr="00AA5065">
        <w:rPr>
          <w:rFonts w:eastAsia="Calibri" w:hint="eastAsia"/>
          <w:b/>
          <w:bCs/>
          <w:rtl/>
        </w:rPr>
        <w:t>בנושא</w:t>
      </w:r>
      <w:r w:rsidRPr="00AA5065">
        <w:rPr>
          <w:rFonts w:eastAsia="Calibri"/>
          <w:b/>
          <w:bCs/>
          <w:rtl/>
        </w:rPr>
        <w:t xml:space="preserve"> </w:t>
      </w:r>
      <w:r w:rsidRPr="00AA5065">
        <w:rPr>
          <w:rFonts w:eastAsia="Calibri" w:hint="eastAsia"/>
          <w:b/>
          <w:bCs/>
          <w:rtl/>
        </w:rPr>
        <w:t>גמלאות</w:t>
      </w:r>
      <w:r w:rsidRPr="00AA5065">
        <w:rPr>
          <w:rFonts w:eastAsia="Calibri"/>
          <w:b/>
          <w:bCs/>
          <w:rtl/>
        </w:rPr>
        <w:t xml:space="preserve"> </w:t>
      </w:r>
      <w:r w:rsidRPr="00AA5065">
        <w:rPr>
          <w:rFonts w:eastAsia="Calibri" w:hint="eastAsia"/>
          <w:b/>
          <w:bCs/>
          <w:rtl/>
        </w:rPr>
        <w:t>בין</w:t>
      </w:r>
      <w:r w:rsidRPr="00AA5065">
        <w:rPr>
          <w:rFonts w:eastAsia="Calibri"/>
          <w:b/>
          <w:bCs/>
          <w:rtl/>
        </w:rPr>
        <w:t xml:space="preserve"> </w:t>
      </w:r>
      <w:r w:rsidRPr="00AA5065">
        <w:rPr>
          <w:rFonts w:eastAsia="Calibri" w:hint="eastAsia"/>
          <w:b/>
          <w:bCs/>
          <w:rtl/>
        </w:rPr>
        <w:t>השנים</w:t>
      </w:r>
      <w:r w:rsidRPr="00AA5065">
        <w:rPr>
          <w:rFonts w:eastAsia="Calibri"/>
          <w:b/>
          <w:bCs/>
          <w:rtl/>
        </w:rPr>
        <w:t xml:space="preserve"> 2021</w:t>
      </w:r>
      <w:r w:rsidRPr="00AA5065">
        <w:rPr>
          <w:rFonts w:eastAsia="Calibri" w:hint="cs"/>
          <w:b/>
          <w:bCs/>
          <w:rtl/>
        </w:rPr>
        <w:t xml:space="preserve"> </w:t>
      </w:r>
      <w:r w:rsidRPr="00AA5065">
        <w:rPr>
          <w:rFonts w:eastAsia="Calibri"/>
          <w:b/>
          <w:bCs/>
          <w:rtl/>
        </w:rPr>
        <w:t xml:space="preserve">- 2025. </w:t>
      </w:r>
      <w:r w:rsidRPr="00AA5065">
        <w:rPr>
          <w:rFonts w:eastAsia="Calibri" w:hint="eastAsia"/>
          <w:b/>
          <w:bCs/>
          <w:rtl/>
        </w:rPr>
        <w:t>עם</w:t>
      </w:r>
      <w:r w:rsidRPr="00AA5065">
        <w:rPr>
          <w:rFonts w:eastAsia="Calibri"/>
          <w:b/>
          <w:bCs/>
          <w:rtl/>
        </w:rPr>
        <w:t xml:space="preserve"> </w:t>
      </w:r>
      <w:r w:rsidRPr="00AA5065">
        <w:rPr>
          <w:rFonts w:eastAsia="Calibri" w:hint="eastAsia"/>
          <w:b/>
          <w:bCs/>
          <w:rtl/>
        </w:rPr>
        <w:t>זאת</w:t>
      </w:r>
      <w:r w:rsidRPr="00AA5065">
        <w:rPr>
          <w:rFonts w:eastAsia="Calibri"/>
          <w:b/>
          <w:bCs/>
          <w:rtl/>
        </w:rPr>
        <w:t>,</w:t>
      </w:r>
      <w:r w:rsidRPr="00AA5065">
        <w:rPr>
          <w:rFonts w:eastAsia="Calibri" w:hint="cs"/>
          <w:b/>
          <w:bCs/>
          <w:rtl/>
        </w:rPr>
        <w:t xml:space="preserve"> מאחר שלחוקרים אלו </w:t>
      </w:r>
      <w:r w:rsidRPr="00AA5065">
        <w:rPr>
          <w:rFonts w:eastAsia="Calibri" w:hint="eastAsia"/>
          <w:b/>
          <w:bCs/>
          <w:rtl/>
        </w:rPr>
        <w:t>אין</w:t>
      </w:r>
      <w:r w:rsidRPr="00AA5065">
        <w:rPr>
          <w:rFonts w:eastAsia="Calibri"/>
          <w:b/>
          <w:bCs/>
          <w:rtl/>
        </w:rPr>
        <w:t xml:space="preserve"> סמכויות משטרתיות הרי שהחוקרים רק דוחים את התביעות לגמלאות אולם אינם יכולים לנקוט אמצעי ה</w:t>
      </w:r>
      <w:r w:rsidRPr="00AA5065">
        <w:rPr>
          <w:rFonts w:eastAsia="Calibri" w:hint="cs"/>
          <w:b/>
          <w:bCs/>
          <w:rtl/>
        </w:rPr>
        <w:t>ר</w:t>
      </w:r>
      <w:r w:rsidRPr="00AA5065">
        <w:rPr>
          <w:rFonts w:eastAsia="Calibri"/>
          <w:b/>
          <w:bCs/>
          <w:rtl/>
        </w:rPr>
        <w:t xml:space="preserve">תעה </w:t>
      </w:r>
      <w:r w:rsidRPr="00AA5065">
        <w:rPr>
          <w:rFonts w:eastAsia="Calibri" w:hint="cs"/>
          <w:b/>
          <w:bCs/>
          <w:rtl/>
        </w:rPr>
        <w:t>נוספים, כגון עיכוב או חיוב בהתייצבות לחקירה.</w:t>
      </w:r>
    </w:p>
    <w:bookmarkEnd w:id="33"/>
    <w:p w:rsidR="00AA5065" w:rsidRPr="00AA5065" w:rsidP="00860D89">
      <w:pPr>
        <w:spacing w:line="269" w:lineRule="auto"/>
        <w:ind w:left="-567"/>
        <w:rPr>
          <w:rFonts w:eastAsia="Calibri"/>
          <w:szCs w:val="20"/>
          <w:rtl/>
        </w:rPr>
      </w:pPr>
    </w:p>
    <w:p w:rsidR="00AA5065" w:rsidRPr="00AA5065" w:rsidP="004E6B4D">
      <w:pPr>
        <w:spacing w:before="120" w:line="269" w:lineRule="auto"/>
        <w:jc w:val="center"/>
        <w:rPr>
          <w:rFonts w:eastAsia="Calibri"/>
          <w:rtl/>
        </w:rPr>
      </w:pPr>
      <w:r w:rsidRPr="00AA5065">
        <w:rPr>
          <w:rFonts w:eastAsia="Calibri" w:hint="cs"/>
          <w:b/>
          <w:bCs/>
          <w:rtl/>
          <w:lang w:eastAsia="he-IL"/>
        </w:rPr>
        <w:t>מידת תיקון הליקוי</w:t>
      </w:r>
    </w:p>
    <w:p w:rsidR="00AA5065" w:rsidRPr="00AA5065" w:rsidP="00860D89">
      <w:pPr>
        <w:spacing w:line="269" w:lineRule="auto"/>
        <w:rPr>
          <w:rFonts w:eastAsia="Calibri"/>
          <w:b/>
          <w:bCs/>
          <w:rtl/>
        </w:rPr>
      </w:pPr>
      <w:r w:rsidRPr="00AA5065">
        <w:rPr>
          <w:rFonts w:eastAsia="Calibri"/>
          <w:noProof/>
        </w:rPr>
        <w:drawing>
          <wp:anchor distT="0" distB="0" distL="114300" distR="114300" simplePos="0" relativeHeight="251662336" behindDoc="1" locked="0" layoutInCell="1" allowOverlap="1">
            <wp:simplePos x="0" y="0"/>
            <wp:positionH relativeFrom="page">
              <wp:align>center</wp:align>
            </wp:positionH>
            <wp:positionV relativeFrom="paragraph">
              <wp:posOffset>8255</wp:posOffset>
            </wp:positionV>
            <wp:extent cx="3422650" cy="933450"/>
            <wp:effectExtent l="0" t="0" r="6350" b="0"/>
            <wp:wrapNone/>
            <wp:docPr id="34" name="תמונה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1"/>
                    <pic:cNvPicPr>
                      <a:picLocks noChangeAspect="1" noChangeArrowheads="1"/>
                    </pic:cNvPicPr>
                  </pic:nvPicPr>
                  <pic:blipFill>
                    <a:blip xmlns:r="http://schemas.openxmlformats.org/officeDocument/2006/relationships" r:embed="rId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265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065" w:rsidRPr="00AA5065" w:rsidP="00860D89">
      <w:pPr>
        <w:spacing w:line="269" w:lineRule="auto"/>
        <w:rPr>
          <w:rFonts w:eastAsia="Calibri"/>
          <w:b/>
          <w:bCs/>
          <w:rtl/>
        </w:rPr>
      </w:pPr>
    </w:p>
    <w:p w:rsidR="00AA5065" w:rsidRPr="00AA5065" w:rsidP="00860D89">
      <w:pPr>
        <w:spacing w:line="269" w:lineRule="auto"/>
        <w:rPr>
          <w:rFonts w:eastAsia="Calibri"/>
          <w:b/>
          <w:bCs/>
          <w:rtl/>
        </w:rPr>
      </w:pPr>
    </w:p>
    <w:p w:rsidR="00AA5065" w:rsidRPr="00AA5065" w:rsidP="00860D89">
      <w:pPr>
        <w:spacing w:line="269" w:lineRule="auto"/>
        <w:ind w:left="-567"/>
        <w:rPr>
          <w:rFonts w:eastAsia="Calibri"/>
          <w:szCs w:val="20"/>
          <w:rtl/>
        </w:rPr>
      </w:pPr>
    </w:p>
    <w:p w:rsidR="00C82898" w:rsidP="00860D89">
      <w:pPr>
        <w:spacing w:line="269" w:lineRule="auto"/>
        <w:rPr>
          <w:rFonts w:eastAsia="Calibri"/>
          <w:rtl/>
        </w:rPr>
      </w:pPr>
    </w:p>
    <w:p w:rsidR="00C82898" w:rsidP="004E6B4D">
      <w:pPr>
        <w:spacing w:after="120" w:line="269" w:lineRule="auto"/>
        <w:rPr>
          <w:rFonts w:eastAsia="Calibri"/>
          <w:rtl/>
        </w:rPr>
      </w:pPr>
    </w:p>
    <w:p w:rsidR="00AA5065" w:rsidRPr="00AA5065" w:rsidP="00860D89">
      <w:pPr>
        <w:spacing w:line="269" w:lineRule="auto"/>
        <w:rPr>
          <w:rFonts w:eastAsia="Calibri"/>
          <w:rtl/>
        </w:rPr>
      </w:pPr>
      <w:r w:rsidRPr="00AA5065">
        <w:rPr>
          <w:rFonts w:eastAsia="Calibri"/>
          <w:rtl/>
        </w:rPr>
        <w:t>מנהל מחלקת החקירות מסר לנציגי משרד מבקר המדינה בדצמבר 2024 כי נוכח הגידול באוכלוסי</w:t>
      </w:r>
      <w:r w:rsidRPr="00AA5065">
        <w:rPr>
          <w:rFonts w:eastAsia="Calibri" w:hint="cs"/>
          <w:rtl/>
        </w:rPr>
        <w:t>י</w:t>
      </w:r>
      <w:r w:rsidRPr="00AA5065">
        <w:rPr>
          <w:rFonts w:eastAsia="Calibri" w:hint="eastAsia"/>
          <w:rtl/>
        </w:rPr>
        <w:t>ת</w:t>
      </w:r>
      <w:r w:rsidRPr="00AA5065">
        <w:rPr>
          <w:rFonts w:eastAsia="Calibri"/>
          <w:rtl/>
        </w:rPr>
        <w:t xml:space="preserve"> הבדואים בנגב </w:t>
      </w:r>
      <w:r w:rsidRPr="00AA5065">
        <w:rPr>
          <w:rFonts w:eastAsia="Calibri" w:hint="cs"/>
          <w:rtl/>
        </w:rPr>
        <w:t>ומאפייניה</w:t>
      </w:r>
      <w:r w:rsidRPr="00AA5065">
        <w:rPr>
          <w:rFonts w:eastAsia="Calibri"/>
          <w:rtl/>
        </w:rPr>
        <w:t xml:space="preserve"> </w:t>
      </w:r>
      <w:r w:rsidRPr="00AA5065">
        <w:rPr>
          <w:rFonts w:eastAsia="Calibri" w:hint="cs"/>
          <w:rtl/>
        </w:rPr>
        <w:t>נדרש</w:t>
      </w:r>
      <w:r w:rsidRPr="00AA5065">
        <w:rPr>
          <w:rFonts w:eastAsia="Calibri"/>
          <w:rtl/>
        </w:rPr>
        <w:t xml:space="preserve"> לתת מענה </w:t>
      </w:r>
      <w:r w:rsidRPr="00AA5065">
        <w:rPr>
          <w:rFonts w:eastAsia="Calibri" w:hint="cs"/>
          <w:rtl/>
        </w:rPr>
        <w:t>טוב</w:t>
      </w:r>
      <w:r w:rsidRPr="00AA5065">
        <w:rPr>
          <w:rFonts w:eastAsia="Calibri"/>
          <w:rtl/>
        </w:rPr>
        <w:t xml:space="preserve"> יותר ב</w:t>
      </w:r>
      <w:r w:rsidRPr="00AA5065">
        <w:rPr>
          <w:rFonts w:eastAsia="Calibri" w:hint="cs"/>
          <w:rtl/>
        </w:rPr>
        <w:t xml:space="preserve">אמצעות </w:t>
      </w:r>
      <w:r w:rsidRPr="00AA5065">
        <w:rPr>
          <w:rFonts w:eastAsia="Calibri"/>
          <w:rtl/>
        </w:rPr>
        <w:t>עיבוי כ</w:t>
      </w:r>
      <w:r w:rsidRPr="00AA5065">
        <w:rPr>
          <w:rFonts w:eastAsia="Calibri" w:hint="cs"/>
          <w:rtl/>
        </w:rPr>
        <w:t>ו</w:t>
      </w:r>
      <w:r w:rsidRPr="00AA5065">
        <w:rPr>
          <w:rFonts w:eastAsia="Calibri"/>
          <w:rtl/>
        </w:rPr>
        <w:t>ח האדם</w:t>
      </w:r>
      <w:r w:rsidRPr="00AA5065">
        <w:rPr>
          <w:rFonts w:eastAsia="Calibri" w:hint="cs"/>
          <w:rtl/>
        </w:rPr>
        <w:t>,</w:t>
      </w:r>
      <w:r w:rsidRPr="00AA5065">
        <w:rPr>
          <w:rFonts w:eastAsia="Calibri"/>
          <w:rtl/>
        </w:rPr>
        <w:t xml:space="preserve"> הן בשטח על ידי רכזי מודיעין וחוקרים והן במשרד על ידי עובדי דסק.</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גם בסיכום דיון במטה לביטחון לאומי (להלן - מל"ל)</w:t>
      </w:r>
      <w:r>
        <w:rPr>
          <w:rFonts w:eastAsia="Calibri"/>
          <w:vertAlign w:val="superscript"/>
          <w:rtl/>
        </w:rPr>
        <w:footnoteReference w:id="37"/>
      </w:r>
      <w:r w:rsidRPr="00AA5065">
        <w:rPr>
          <w:rFonts w:eastAsia="Calibri" w:hint="cs"/>
          <w:rtl/>
        </w:rPr>
        <w:t xml:space="preserve"> בנושא של צוות קשרי המגזר הבדואי עם אזור יהודה ושומרון (להלן - איו"ש)</w:t>
      </w:r>
      <w:r w:rsidRPr="00AA5065">
        <w:rPr>
          <w:rFonts w:eastAsia="Calibri"/>
          <w:rtl/>
        </w:rPr>
        <w:t xml:space="preserve"> </w:t>
      </w:r>
      <w:r w:rsidRPr="00AA5065">
        <w:rPr>
          <w:rFonts w:eastAsia="Calibri" w:hint="cs"/>
          <w:rtl/>
        </w:rPr>
        <w:t>נכתב, בין השאר, כי</w:t>
      </w:r>
      <w:r w:rsidRPr="00AA5065">
        <w:rPr>
          <w:rFonts w:eastAsia="Calibri" w:hint="cs"/>
          <w:b/>
          <w:bCs/>
          <w:rtl/>
        </w:rPr>
        <w:t xml:space="preserve"> "חיזוק יכולות החקירה של בט"ל </w:t>
      </w:r>
      <w:r w:rsidRPr="00AA5065">
        <w:rPr>
          <w:rFonts w:eastAsia="Calibri"/>
          <w:rtl/>
        </w:rPr>
        <w:t>-</w:t>
      </w:r>
      <w:r w:rsidRPr="00AA5065">
        <w:rPr>
          <w:rFonts w:eastAsia="Calibri" w:hint="cs"/>
          <w:b/>
          <w:bCs/>
          <w:rtl/>
        </w:rPr>
        <w:t xml:space="preserve"> </w:t>
      </w:r>
      <w:r w:rsidRPr="00AA5065">
        <w:rPr>
          <w:rFonts w:eastAsia="Calibri" w:hint="cs"/>
          <w:rtl/>
        </w:rPr>
        <w:t>נדרשת תוספת כ"א משמעותית (דרישה בנדון הוגשה) מעבר ל-6 תקני החוקרים שניתנו בעקבות המלצות ועדת הפוליגמיה בראשות אמי פלמור. התוספת חיונית נוכח התעצמות האתגרים והתבהרות היקף ההונאות במגזר הבדואי בנגב והשלכותיהן החמורות גם בהיבטי הביטחון הלאומי".</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 xml:space="preserve">משרד מבקר המדינה ממליץ לבט"ל </w:t>
      </w:r>
      <w:r w:rsidRPr="00AA5065">
        <w:rPr>
          <w:rFonts w:eastAsia="Calibri"/>
          <w:b/>
          <w:bCs/>
          <w:rtl/>
        </w:rPr>
        <w:t>להתאים את התקנים לצרכים של ‏</w:t>
      </w:r>
      <w:r w:rsidRPr="00AA5065">
        <w:rPr>
          <w:rFonts w:eastAsia="Calibri" w:hint="eastAsia"/>
          <w:b/>
          <w:bCs/>
          <w:rtl/>
        </w:rPr>
        <w:t>יחידת</w:t>
      </w:r>
      <w:r w:rsidRPr="00AA5065">
        <w:rPr>
          <w:rFonts w:eastAsia="Calibri"/>
          <w:b/>
          <w:bCs/>
          <w:rtl/>
        </w:rPr>
        <w:t xml:space="preserve"> </w:t>
      </w:r>
      <w:r w:rsidRPr="00AA5065">
        <w:rPr>
          <w:rFonts w:eastAsia="Calibri" w:hint="eastAsia"/>
          <w:b/>
          <w:bCs/>
          <w:rtl/>
        </w:rPr>
        <w:t>החקירות</w:t>
      </w:r>
      <w:r w:rsidRPr="00AA5065">
        <w:rPr>
          <w:rFonts w:eastAsia="Calibri"/>
          <w:b/>
          <w:bCs/>
          <w:rtl/>
        </w:rPr>
        <w:t xml:space="preserve"> </w:t>
      </w:r>
      <w:r w:rsidRPr="00AA5065">
        <w:rPr>
          <w:rFonts w:eastAsia="Calibri" w:hint="eastAsia"/>
          <w:b/>
          <w:bCs/>
          <w:rtl/>
        </w:rPr>
        <w:t>נוכח</w:t>
      </w:r>
      <w:r w:rsidRPr="00AA5065">
        <w:rPr>
          <w:rFonts w:eastAsia="Calibri"/>
          <w:b/>
          <w:bCs/>
          <w:rtl/>
        </w:rPr>
        <w:t xml:space="preserve"> </w:t>
      </w:r>
      <w:r w:rsidRPr="00AA5065">
        <w:rPr>
          <w:rFonts w:eastAsia="Calibri" w:hint="eastAsia"/>
          <w:b/>
          <w:bCs/>
          <w:rtl/>
        </w:rPr>
        <w:t>הגידול</w:t>
      </w:r>
      <w:r w:rsidRPr="00AA5065">
        <w:rPr>
          <w:rFonts w:eastAsia="Calibri"/>
          <w:b/>
          <w:bCs/>
          <w:rtl/>
        </w:rPr>
        <w:t xml:space="preserve"> </w:t>
      </w:r>
      <w:r w:rsidRPr="00AA5065">
        <w:rPr>
          <w:rFonts w:eastAsia="Calibri" w:hint="eastAsia"/>
          <w:b/>
          <w:bCs/>
          <w:rtl/>
        </w:rPr>
        <w:t>באוכלוסיית</w:t>
      </w:r>
      <w:r w:rsidRPr="00AA5065">
        <w:rPr>
          <w:rFonts w:eastAsia="Calibri"/>
          <w:b/>
          <w:bCs/>
          <w:rtl/>
        </w:rPr>
        <w:t xml:space="preserve"> הבדואים בנגב ובתופעת הפוליגמיה, </w:t>
      </w:r>
      <w:r w:rsidRPr="00AA5065">
        <w:rPr>
          <w:rFonts w:eastAsia="Calibri" w:hint="eastAsia"/>
          <w:b/>
          <w:bCs/>
          <w:rtl/>
        </w:rPr>
        <w:t>ו</w:t>
      </w:r>
      <w:r w:rsidRPr="00AA5065">
        <w:rPr>
          <w:rFonts w:eastAsia="Calibri" w:hint="cs"/>
          <w:b/>
          <w:bCs/>
          <w:rtl/>
        </w:rPr>
        <w:t xml:space="preserve">לשקול </w:t>
      </w:r>
      <w:r w:rsidRPr="00AA5065">
        <w:rPr>
          <w:rFonts w:eastAsia="Calibri" w:hint="eastAsia"/>
          <w:b/>
          <w:bCs/>
          <w:rtl/>
        </w:rPr>
        <w:t>להגדיל</w:t>
      </w:r>
      <w:r w:rsidRPr="00AA5065">
        <w:rPr>
          <w:rFonts w:eastAsia="Calibri"/>
          <w:b/>
          <w:bCs/>
          <w:rtl/>
        </w:rPr>
        <w:t xml:space="preserve"> </w:t>
      </w:r>
      <w:r w:rsidRPr="00AA5065">
        <w:rPr>
          <w:rFonts w:eastAsia="Calibri" w:hint="eastAsia"/>
          <w:b/>
          <w:bCs/>
          <w:rtl/>
        </w:rPr>
        <w:t>את</w:t>
      </w:r>
      <w:r w:rsidRPr="00AA5065">
        <w:rPr>
          <w:rFonts w:eastAsia="Calibri"/>
          <w:b/>
          <w:bCs/>
          <w:rtl/>
        </w:rPr>
        <w:t xml:space="preserve"> תקני </w:t>
      </w:r>
      <w:r w:rsidRPr="00AA5065">
        <w:rPr>
          <w:rFonts w:eastAsia="Calibri" w:hint="eastAsia"/>
          <w:b/>
          <w:bCs/>
          <w:rtl/>
        </w:rPr>
        <w:t>החוקרים</w:t>
      </w:r>
      <w:r w:rsidRPr="00AA5065">
        <w:rPr>
          <w:rFonts w:eastAsia="Calibri"/>
          <w:b/>
          <w:bCs/>
          <w:rtl/>
        </w:rPr>
        <w:t xml:space="preserve"> במידת </w:t>
      </w:r>
      <w:r w:rsidRPr="00AA5065">
        <w:rPr>
          <w:rFonts w:eastAsia="Calibri" w:hint="eastAsia"/>
          <w:b/>
          <w:bCs/>
          <w:rtl/>
        </w:rPr>
        <w:t>הצורך</w:t>
      </w:r>
      <w:r w:rsidRPr="00AA5065">
        <w:rPr>
          <w:rFonts w:eastAsia="Calibri" w:hint="cs"/>
          <w:b/>
          <w:bCs/>
          <w:rtl/>
        </w:rPr>
        <w:t xml:space="preserve">. בנוסף, </w:t>
      </w:r>
      <w:r w:rsidRPr="00AA5065">
        <w:rPr>
          <w:rFonts w:eastAsia="Calibri" w:hint="eastAsia"/>
          <w:b/>
          <w:bCs/>
          <w:rtl/>
        </w:rPr>
        <w:t>יש</w:t>
      </w:r>
      <w:r w:rsidRPr="00AA5065">
        <w:rPr>
          <w:rFonts w:eastAsia="Calibri"/>
          <w:b/>
          <w:bCs/>
          <w:rtl/>
        </w:rPr>
        <w:t xml:space="preserve"> </w:t>
      </w:r>
      <w:r w:rsidRPr="00AA5065">
        <w:rPr>
          <w:rFonts w:eastAsia="Calibri" w:hint="eastAsia"/>
          <w:b/>
          <w:bCs/>
          <w:rtl/>
        </w:rPr>
        <w:t>לבחון</w:t>
      </w:r>
      <w:r w:rsidRPr="00AA5065">
        <w:rPr>
          <w:rFonts w:eastAsia="Calibri"/>
          <w:b/>
          <w:bCs/>
          <w:rtl/>
        </w:rPr>
        <w:t xml:space="preserve"> </w:t>
      </w:r>
      <w:r w:rsidRPr="00AA5065">
        <w:rPr>
          <w:rFonts w:eastAsia="Calibri" w:hint="eastAsia"/>
          <w:b/>
          <w:bCs/>
          <w:rtl/>
        </w:rPr>
        <w:t>מתן</w:t>
      </w:r>
      <w:r w:rsidRPr="00AA5065">
        <w:rPr>
          <w:rFonts w:eastAsia="Calibri"/>
          <w:b/>
          <w:bCs/>
          <w:rtl/>
        </w:rPr>
        <w:t xml:space="preserve"> </w:t>
      </w:r>
      <w:r w:rsidRPr="00AA5065">
        <w:rPr>
          <w:rFonts w:eastAsia="Calibri" w:hint="eastAsia"/>
          <w:b/>
          <w:bCs/>
          <w:rtl/>
        </w:rPr>
        <w:t>סמכויות</w:t>
      </w:r>
      <w:r w:rsidRPr="00AA5065">
        <w:rPr>
          <w:rFonts w:eastAsia="Calibri"/>
          <w:b/>
          <w:bCs/>
          <w:rtl/>
        </w:rPr>
        <w:t xml:space="preserve"> </w:t>
      </w:r>
      <w:r w:rsidRPr="00AA5065">
        <w:rPr>
          <w:rFonts w:eastAsia="Calibri" w:hint="eastAsia"/>
          <w:b/>
          <w:bCs/>
          <w:rtl/>
        </w:rPr>
        <w:t>אכיפה</w:t>
      </w:r>
      <w:r w:rsidRPr="00AA5065">
        <w:rPr>
          <w:rFonts w:eastAsia="Calibri"/>
          <w:b/>
          <w:bCs/>
          <w:rtl/>
        </w:rPr>
        <w:t xml:space="preserve"> </w:t>
      </w:r>
      <w:r w:rsidRPr="00AA5065">
        <w:rPr>
          <w:rFonts w:eastAsia="Calibri" w:hint="eastAsia"/>
          <w:b/>
          <w:bCs/>
          <w:rtl/>
        </w:rPr>
        <w:t>נוספות</w:t>
      </w:r>
      <w:r w:rsidRPr="00AA5065">
        <w:rPr>
          <w:rFonts w:eastAsia="Calibri"/>
          <w:b/>
          <w:bCs/>
          <w:rtl/>
        </w:rPr>
        <w:t xml:space="preserve"> </w:t>
      </w:r>
      <w:r w:rsidRPr="00AA5065">
        <w:rPr>
          <w:rFonts w:eastAsia="Calibri" w:hint="eastAsia"/>
          <w:b/>
          <w:bCs/>
          <w:rtl/>
        </w:rPr>
        <w:t>לחוקרי</w:t>
      </w:r>
      <w:r w:rsidRPr="00AA5065">
        <w:rPr>
          <w:rFonts w:eastAsia="Calibri"/>
          <w:b/>
          <w:bCs/>
          <w:rtl/>
        </w:rPr>
        <w:t xml:space="preserve"> </w:t>
      </w:r>
      <w:r w:rsidRPr="00AA5065">
        <w:rPr>
          <w:rFonts w:eastAsia="Calibri" w:hint="eastAsia"/>
          <w:b/>
          <w:bCs/>
          <w:rtl/>
        </w:rPr>
        <w:t>בט</w:t>
      </w:r>
      <w:r w:rsidRPr="00AA5065">
        <w:rPr>
          <w:rFonts w:eastAsia="Calibri"/>
          <w:b/>
          <w:bCs/>
          <w:rtl/>
        </w:rPr>
        <w:t>"ל</w:t>
      </w:r>
      <w:r w:rsidRPr="00AA5065">
        <w:rPr>
          <w:rFonts w:eastAsia="Calibri" w:hint="cs"/>
          <w:b/>
          <w:bCs/>
          <w:rtl/>
        </w:rPr>
        <w:t xml:space="preserve"> </w:t>
      </w:r>
      <w:r w:rsidRPr="00AA5065">
        <w:rPr>
          <w:rFonts w:eastAsia="Calibri" w:hint="eastAsia"/>
          <w:b/>
          <w:bCs/>
          <w:rtl/>
        </w:rPr>
        <w:t>ולחזק</w:t>
      </w:r>
      <w:r w:rsidRPr="00AA5065">
        <w:rPr>
          <w:rFonts w:eastAsia="Calibri"/>
          <w:b/>
          <w:bCs/>
          <w:rtl/>
        </w:rPr>
        <w:t xml:space="preserve"> </w:t>
      </w:r>
      <w:r w:rsidRPr="00AA5065">
        <w:rPr>
          <w:rFonts w:eastAsia="Calibri" w:hint="eastAsia"/>
          <w:b/>
          <w:bCs/>
          <w:rtl/>
        </w:rPr>
        <w:t>את</w:t>
      </w:r>
      <w:r w:rsidRPr="00AA5065">
        <w:rPr>
          <w:rFonts w:eastAsia="Calibri"/>
          <w:b/>
          <w:bCs/>
          <w:rtl/>
        </w:rPr>
        <w:t xml:space="preserve"> </w:t>
      </w:r>
      <w:r w:rsidRPr="00AA5065">
        <w:rPr>
          <w:rFonts w:eastAsia="Calibri" w:hint="eastAsia"/>
          <w:b/>
          <w:bCs/>
          <w:rtl/>
        </w:rPr>
        <w:t>שיתוף</w:t>
      </w:r>
      <w:r w:rsidRPr="00AA5065">
        <w:rPr>
          <w:rFonts w:eastAsia="Calibri"/>
          <w:b/>
          <w:bCs/>
          <w:rtl/>
        </w:rPr>
        <w:t xml:space="preserve"> </w:t>
      </w:r>
      <w:r w:rsidRPr="00AA5065">
        <w:rPr>
          <w:rFonts w:eastAsia="Calibri" w:hint="eastAsia"/>
          <w:b/>
          <w:bCs/>
          <w:rtl/>
        </w:rPr>
        <w:t>הפעולה</w:t>
      </w:r>
      <w:r w:rsidRPr="00AA5065">
        <w:rPr>
          <w:rFonts w:eastAsia="Calibri"/>
          <w:b/>
          <w:bCs/>
          <w:rtl/>
        </w:rPr>
        <w:t xml:space="preserve"> </w:t>
      </w:r>
      <w:r w:rsidRPr="00AA5065">
        <w:rPr>
          <w:rFonts w:eastAsia="Calibri" w:hint="eastAsia"/>
          <w:b/>
          <w:bCs/>
          <w:rtl/>
        </w:rPr>
        <w:t>עם</w:t>
      </w:r>
      <w:r w:rsidRPr="00AA5065">
        <w:rPr>
          <w:rFonts w:eastAsia="Calibri" w:hint="cs"/>
          <w:b/>
          <w:bCs/>
          <w:rtl/>
        </w:rPr>
        <w:t xml:space="preserve"> משטרת ישראל על מנת להגביר </w:t>
      </w:r>
      <w:r w:rsidRPr="00AA5065">
        <w:rPr>
          <w:rFonts w:eastAsia="Calibri" w:hint="eastAsia"/>
          <w:b/>
          <w:bCs/>
          <w:rtl/>
        </w:rPr>
        <w:t>את</w:t>
      </w:r>
      <w:r w:rsidRPr="00AA5065">
        <w:rPr>
          <w:rFonts w:eastAsia="Calibri"/>
          <w:b/>
          <w:bCs/>
          <w:rtl/>
        </w:rPr>
        <w:t xml:space="preserve"> </w:t>
      </w:r>
      <w:r w:rsidRPr="00AA5065">
        <w:rPr>
          <w:rFonts w:eastAsia="Calibri" w:hint="eastAsia"/>
          <w:b/>
          <w:bCs/>
          <w:rtl/>
        </w:rPr>
        <w:t>אפקטיביות</w:t>
      </w:r>
      <w:r w:rsidRPr="00AA5065">
        <w:rPr>
          <w:rFonts w:eastAsia="Calibri"/>
          <w:b/>
          <w:bCs/>
          <w:rtl/>
        </w:rPr>
        <w:t xml:space="preserve"> </w:t>
      </w:r>
      <w:r w:rsidRPr="00AA5065">
        <w:rPr>
          <w:rFonts w:eastAsia="Calibri" w:hint="eastAsia"/>
          <w:b/>
          <w:bCs/>
          <w:rtl/>
        </w:rPr>
        <w:t>האכיפה</w:t>
      </w:r>
      <w:r w:rsidRPr="00AA5065">
        <w:rPr>
          <w:rFonts w:eastAsia="Calibri"/>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cs"/>
          <w:sz w:val="24"/>
          <w:rtl/>
        </w:rPr>
        <w:t>בתשובת בט"ל נכתב כי "...</w:t>
      </w:r>
      <w:r w:rsidRPr="00AA5065">
        <w:rPr>
          <w:rFonts w:ascii="David" w:eastAsia="Calibri" w:hAnsi="David"/>
          <w:sz w:val="24"/>
          <w:rtl/>
        </w:rPr>
        <w:t xml:space="preserve">לממצאי החקירות יש </w:t>
      </w:r>
      <w:r w:rsidRPr="00AA5065">
        <w:rPr>
          <w:rFonts w:ascii="David" w:eastAsia="Calibri" w:hAnsi="David"/>
          <w:b/>
          <w:bCs/>
          <w:sz w:val="24"/>
          <w:rtl/>
        </w:rPr>
        <w:t>משקל משמעותי</w:t>
      </w:r>
      <w:r w:rsidRPr="00AA5065">
        <w:rPr>
          <w:rFonts w:ascii="David" w:eastAsia="Calibri" w:hAnsi="David"/>
          <w:sz w:val="24"/>
          <w:rtl/>
        </w:rPr>
        <w:t xml:space="preserve"> לצורך קבלת תשתית עובדתית מלאה ומדויקת יותר לצורך קבלת החלטה של פקיד תביעות, ובמכלול כל המידע המונח בפני הפקיד.</w:t>
      </w:r>
      <w:r w:rsidRPr="00AA5065">
        <w:rPr>
          <w:rFonts w:ascii="David" w:eastAsia="Calibri" w:hAnsi="David" w:hint="cs"/>
          <w:sz w:val="24"/>
          <w:rtl/>
        </w:rPr>
        <w:t xml:space="preserve">.. </w:t>
      </w:r>
      <w:r w:rsidRPr="00AA5065">
        <w:rPr>
          <w:rFonts w:ascii="David" w:eastAsia="Calibri" w:hAnsi="David"/>
          <w:sz w:val="24"/>
          <w:rtl/>
        </w:rPr>
        <w:t>זאת ועוד, אנו רואים חשיבות רבה</w:t>
      </w:r>
      <w:r w:rsidRPr="00AA5065">
        <w:rPr>
          <w:rFonts w:ascii="David" w:eastAsia="Calibri" w:hAnsi="David" w:hint="cs"/>
          <w:sz w:val="24"/>
          <w:rtl/>
        </w:rPr>
        <w:t xml:space="preserve"> </w:t>
      </w:r>
      <w:r w:rsidRPr="00AA5065">
        <w:rPr>
          <w:rFonts w:ascii="David" w:eastAsia="Calibri" w:hAnsi="David"/>
          <w:sz w:val="24"/>
          <w:rtl/>
        </w:rPr>
        <w:t xml:space="preserve">בחיזוק מערך החקירות ומבקשים להדגיש את הצורך בהקצאת תקנים נוספים לאגף, </w:t>
      </w:r>
      <w:r w:rsidRPr="00AA5065">
        <w:rPr>
          <w:rFonts w:ascii="David" w:eastAsia="Calibri" w:hAnsi="David" w:hint="cs"/>
          <w:sz w:val="24"/>
          <w:rtl/>
        </w:rPr>
        <w:t xml:space="preserve">זאת, </w:t>
      </w:r>
      <w:r w:rsidRPr="00AA5065">
        <w:rPr>
          <w:rFonts w:ascii="David" w:eastAsia="Calibri" w:hAnsi="David"/>
          <w:sz w:val="24"/>
          <w:rtl/>
        </w:rPr>
        <w:t>נוכח הגידול בהיקף ההונאות במגזר הבדואי בנגב והשלכותיהן החמורות. מנהל אגף החקירות יפנה בבקשה</w:t>
      </w:r>
      <w:r w:rsidRPr="00AA5065">
        <w:rPr>
          <w:rFonts w:ascii="David" w:eastAsia="Calibri" w:hAnsi="David" w:hint="cs"/>
          <w:sz w:val="24"/>
          <w:rtl/>
        </w:rPr>
        <w:t xml:space="preserve"> </w:t>
      </w:r>
      <w:r w:rsidRPr="00AA5065">
        <w:rPr>
          <w:rFonts w:ascii="David" w:eastAsia="Calibri" w:hAnsi="David"/>
          <w:sz w:val="24"/>
          <w:rtl/>
        </w:rPr>
        <w:t>מסודרת לבחינת האפשרות להגדלת התקנים לחוקרי הב</w:t>
      </w:r>
      <w:r w:rsidRPr="00AA5065">
        <w:rPr>
          <w:rFonts w:ascii="David" w:eastAsia="Calibri" w:hAnsi="David" w:hint="cs"/>
          <w:sz w:val="24"/>
          <w:rtl/>
        </w:rPr>
        <w:t>יטוח הלאומי".</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cs"/>
          <w:sz w:val="24"/>
          <w:rtl/>
        </w:rPr>
        <w:t>המשטרה מסרה בתשובתה כי "</w:t>
      </w:r>
      <w:r w:rsidRPr="00AA5065">
        <w:rPr>
          <w:rFonts w:ascii="David" w:eastAsia="Calibri" w:hAnsi="David" w:hint="eastAsia"/>
          <w:rtl/>
        </w:rPr>
        <w:t>המחלק</w:t>
      </w:r>
      <w:r w:rsidRPr="00AA5065">
        <w:rPr>
          <w:rFonts w:ascii="David" w:eastAsia="Calibri" w:hAnsi="David"/>
          <w:rtl/>
        </w:rPr>
        <w:t xml:space="preserve"> </w:t>
      </w:r>
      <w:r w:rsidRPr="00AA5065">
        <w:rPr>
          <w:rFonts w:ascii="David" w:eastAsia="Calibri" w:hAnsi="David" w:hint="eastAsia"/>
          <w:rtl/>
        </w:rPr>
        <w:t>המקצועי</w:t>
      </w:r>
      <w:r w:rsidRPr="00AA5065">
        <w:rPr>
          <w:rFonts w:ascii="David" w:eastAsia="Calibri" w:hAnsi="David"/>
          <w:rtl/>
        </w:rPr>
        <w:t xml:space="preserve"> </w:t>
      </w:r>
      <w:r w:rsidRPr="00AA5065">
        <w:rPr>
          <w:rFonts w:ascii="David" w:eastAsia="Calibri" w:hAnsi="David" w:hint="eastAsia"/>
          <w:rtl/>
        </w:rPr>
        <w:t>בימ</w:t>
      </w:r>
      <w:r w:rsidRPr="00AA5065">
        <w:rPr>
          <w:rFonts w:ascii="David" w:eastAsia="Calibri" w:hAnsi="David"/>
          <w:rtl/>
        </w:rPr>
        <w:t>"</w:t>
      </w:r>
      <w:r w:rsidRPr="00AA5065">
        <w:rPr>
          <w:rFonts w:ascii="David" w:eastAsia="Calibri" w:hAnsi="David" w:hint="eastAsia"/>
          <w:rtl/>
        </w:rPr>
        <w:t>ר</w:t>
      </w:r>
      <w:r w:rsidRPr="00AA5065">
        <w:rPr>
          <w:rFonts w:ascii="David" w:eastAsia="Calibri" w:hAnsi="David"/>
          <w:rtl/>
        </w:rPr>
        <w:t xml:space="preserve"> </w:t>
      </w:r>
      <w:r w:rsidRPr="00AA5065">
        <w:rPr>
          <w:rFonts w:ascii="David" w:eastAsia="Calibri" w:hAnsi="David" w:hint="eastAsia"/>
          <w:rtl/>
        </w:rPr>
        <w:t>בקשרי</w:t>
      </w:r>
      <w:r w:rsidRPr="00AA5065">
        <w:rPr>
          <w:rFonts w:ascii="David" w:eastAsia="Calibri" w:hAnsi="David"/>
          <w:rtl/>
        </w:rPr>
        <w:t xml:space="preserve"> </w:t>
      </w:r>
      <w:r w:rsidRPr="00AA5065">
        <w:rPr>
          <w:rFonts w:ascii="David" w:eastAsia="Calibri" w:hAnsi="David" w:hint="eastAsia"/>
          <w:rtl/>
        </w:rPr>
        <w:t>עבודה</w:t>
      </w:r>
      <w:r w:rsidRPr="00AA5065">
        <w:rPr>
          <w:rFonts w:ascii="David" w:eastAsia="Calibri" w:hAnsi="David"/>
          <w:rtl/>
        </w:rPr>
        <w:t xml:space="preserve"> </w:t>
      </w:r>
      <w:r w:rsidRPr="00AA5065">
        <w:rPr>
          <w:rFonts w:ascii="David" w:eastAsia="Calibri" w:hAnsi="David" w:hint="eastAsia"/>
          <w:rtl/>
        </w:rPr>
        <w:t>מול</w:t>
      </w:r>
      <w:r w:rsidRPr="00AA5065">
        <w:rPr>
          <w:rFonts w:ascii="David" w:eastAsia="Calibri" w:hAnsi="David"/>
          <w:rtl/>
        </w:rPr>
        <w:t xml:space="preserve"> </w:t>
      </w:r>
      <w:r w:rsidRPr="00AA5065">
        <w:rPr>
          <w:rFonts w:ascii="David" w:eastAsia="Calibri" w:hAnsi="David" w:hint="eastAsia"/>
          <w:rtl/>
        </w:rPr>
        <w:t>חוקרי</w:t>
      </w:r>
      <w:r w:rsidRPr="00AA5065">
        <w:rPr>
          <w:rFonts w:ascii="David" w:eastAsia="Calibri" w:hAnsi="David"/>
          <w:rtl/>
        </w:rPr>
        <w:t xml:space="preserve"> </w:t>
      </w:r>
      <w:r w:rsidRPr="00AA5065">
        <w:rPr>
          <w:rFonts w:ascii="David" w:eastAsia="Calibri" w:hAnsi="David" w:hint="cs"/>
          <w:rtl/>
        </w:rPr>
        <w:t>בט"ל</w:t>
      </w:r>
      <w:r w:rsidRPr="00AA5065">
        <w:rPr>
          <w:rFonts w:ascii="David" w:eastAsia="Calibri" w:hAnsi="David"/>
          <w:rtl/>
        </w:rPr>
        <w:t xml:space="preserve">, </w:t>
      </w:r>
      <w:r w:rsidRPr="00AA5065">
        <w:rPr>
          <w:rFonts w:ascii="David" w:eastAsia="Calibri" w:hAnsi="David" w:hint="eastAsia"/>
          <w:rtl/>
        </w:rPr>
        <w:t>ממשק</w:t>
      </w:r>
      <w:r w:rsidRPr="00AA5065">
        <w:rPr>
          <w:rFonts w:ascii="David" w:eastAsia="Calibri" w:hAnsi="David"/>
          <w:rtl/>
        </w:rPr>
        <w:t xml:space="preserve"> </w:t>
      </w:r>
      <w:r w:rsidRPr="00AA5065">
        <w:rPr>
          <w:rFonts w:ascii="David" w:eastAsia="Calibri" w:hAnsi="David" w:hint="eastAsia"/>
          <w:rtl/>
        </w:rPr>
        <w:t>העברת</w:t>
      </w:r>
      <w:r w:rsidRPr="00AA5065">
        <w:rPr>
          <w:rFonts w:ascii="David" w:eastAsia="Calibri" w:hAnsi="David"/>
          <w:rtl/>
        </w:rPr>
        <w:t xml:space="preserve"> </w:t>
      </w:r>
      <w:r w:rsidRPr="00AA5065">
        <w:rPr>
          <w:rFonts w:ascii="David" w:eastAsia="Calibri" w:hAnsi="David" w:hint="eastAsia"/>
          <w:rtl/>
        </w:rPr>
        <w:t>המידע</w:t>
      </w:r>
      <w:r w:rsidRPr="00AA5065">
        <w:rPr>
          <w:rFonts w:ascii="David" w:eastAsia="Calibri" w:hAnsi="David"/>
          <w:rtl/>
        </w:rPr>
        <w:t xml:space="preserve"> </w:t>
      </w:r>
      <w:r w:rsidRPr="00AA5065">
        <w:rPr>
          <w:rFonts w:ascii="David" w:eastAsia="Calibri" w:hAnsi="David" w:hint="eastAsia"/>
          <w:rtl/>
        </w:rPr>
        <w:t>נעשה</w:t>
      </w:r>
      <w:r w:rsidRPr="00AA5065">
        <w:rPr>
          <w:rFonts w:ascii="David" w:eastAsia="Calibri" w:hAnsi="David"/>
          <w:rtl/>
        </w:rPr>
        <w:t xml:space="preserve"> </w:t>
      </w:r>
      <w:r w:rsidRPr="00AA5065">
        <w:rPr>
          <w:rFonts w:ascii="David" w:eastAsia="Calibri" w:hAnsi="David" w:hint="eastAsia"/>
          <w:rtl/>
        </w:rPr>
        <w:t>באופן</w:t>
      </w:r>
      <w:r w:rsidRPr="00AA5065">
        <w:rPr>
          <w:rFonts w:ascii="David" w:eastAsia="Calibri" w:hAnsi="David"/>
          <w:rtl/>
        </w:rPr>
        <w:t xml:space="preserve"> </w:t>
      </w:r>
      <w:r w:rsidRPr="00AA5065">
        <w:rPr>
          <w:rFonts w:ascii="David" w:eastAsia="Calibri" w:hAnsi="David" w:hint="eastAsia"/>
          <w:rtl/>
        </w:rPr>
        <w:t>תקין</w:t>
      </w:r>
      <w:r w:rsidRPr="00AA5065">
        <w:rPr>
          <w:rFonts w:ascii="David" w:eastAsia="Calibri" w:hAnsi="David"/>
          <w:rtl/>
        </w:rPr>
        <w:t xml:space="preserve">, </w:t>
      </w:r>
      <w:r w:rsidRPr="00AA5065">
        <w:rPr>
          <w:rFonts w:ascii="David" w:eastAsia="Calibri" w:hAnsi="David" w:hint="eastAsia"/>
          <w:rtl/>
        </w:rPr>
        <w:t>ככל</w:t>
      </w:r>
      <w:r w:rsidRPr="00AA5065">
        <w:rPr>
          <w:rFonts w:ascii="David" w:eastAsia="Calibri" w:hAnsi="David"/>
          <w:rtl/>
        </w:rPr>
        <w:t xml:space="preserve"> </w:t>
      </w:r>
      <w:r w:rsidRPr="00AA5065">
        <w:rPr>
          <w:rFonts w:ascii="David" w:eastAsia="Calibri" w:hAnsi="David" w:hint="eastAsia"/>
          <w:rtl/>
        </w:rPr>
        <w:t>ונתבקש</w:t>
      </w:r>
      <w:r w:rsidRPr="00AA5065">
        <w:rPr>
          <w:rFonts w:ascii="David" w:eastAsia="Calibri" w:hAnsi="David"/>
          <w:rtl/>
        </w:rPr>
        <w:t xml:space="preserve"> </w:t>
      </w:r>
      <w:r w:rsidRPr="00AA5065">
        <w:rPr>
          <w:rFonts w:ascii="David" w:eastAsia="Calibri" w:hAnsi="David" w:hint="eastAsia"/>
          <w:rtl/>
        </w:rPr>
        <w:t>כמשטרה</w:t>
      </w:r>
      <w:r w:rsidRPr="00AA5065">
        <w:rPr>
          <w:rFonts w:ascii="David" w:eastAsia="Calibri" w:hAnsi="David"/>
          <w:rtl/>
        </w:rPr>
        <w:t xml:space="preserve"> </w:t>
      </w:r>
      <w:r w:rsidRPr="00AA5065">
        <w:rPr>
          <w:rFonts w:ascii="David" w:eastAsia="Calibri" w:hAnsi="David" w:hint="eastAsia"/>
          <w:rtl/>
        </w:rPr>
        <w:t>לפעול</w:t>
      </w:r>
      <w:r w:rsidRPr="00AA5065">
        <w:rPr>
          <w:rFonts w:ascii="David" w:eastAsia="Calibri" w:hAnsi="David"/>
          <w:rtl/>
        </w:rPr>
        <w:t xml:space="preserve"> </w:t>
      </w:r>
      <w:r w:rsidRPr="00AA5065">
        <w:rPr>
          <w:rFonts w:ascii="David" w:eastAsia="Calibri" w:hAnsi="David" w:hint="eastAsia"/>
          <w:rtl/>
        </w:rPr>
        <w:t>במסגרת</w:t>
      </w:r>
      <w:r w:rsidRPr="00AA5065">
        <w:rPr>
          <w:rFonts w:ascii="David" w:eastAsia="Calibri" w:hAnsi="David"/>
          <w:rtl/>
        </w:rPr>
        <w:t xml:space="preserve"> </w:t>
      </w:r>
      <w:r w:rsidRPr="00AA5065">
        <w:rPr>
          <w:rFonts w:ascii="David" w:eastAsia="Calibri" w:hAnsi="David" w:hint="eastAsia"/>
          <w:rtl/>
        </w:rPr>
        <w:t>סמכותנו</w:t>
      </w:r>
      <w:r w:rsidRPr="00AA5065">
        <w:rPr>
          <w:rFonts w:ascii="David" w:eastAsia="Calibri" w:hAnsi="David"/>
          <w:rtl/>
        </w:rPr>
        <w:t xml:space="preserve"> </w:t>
      </w:r>
      <w:r w:rsidRPr="00AA5065">
        <w:rPr>
          <w:rFonts w:ascii="David" w:eastAsia="Calibri" w:hAnsi="David" w:hint="eastAsia"/>
          <w:rtl/>
        </w:rPr>
        <w:t>ולסייע</w:t>
      </w:r>
      <w:r w:rsidRPr="00AA5065">
        <w:rPr>
          <w:rFonts w:ascii="David" w:eastAsia="Calibri" w:hAnsi="David"/>
          <w:rtl/>
        </w:rPr>
        <w:t xml:space="preserve"> </w:t>
      </w:r>
      <w:r w:rsidRPr="00AA5065">
        <w:rPr>
          <w:rFonts w:ascii="David" w:eastAsia="Calibri" w:hAnsi="David" w:hint="eastAsia"/>
          <w:rtl/>
        </w:rPr>
        <w:t>לחוקרי</w:t>
      </w:r>
      <w:r w:rsidRPr="00AA5065">
        <w:rPr>
          <w:rFonts w:ascii="David" w:eastAsia="Calibri" w:hAnsi="David"/>
          <w:rtl/>
        </w:rPr>
        <w:t xml:space="preserve"> </w:t>
      </w:r>
      <w:r w:rsidRPr="00AA5065">
        <w:rPr>
          <w:rFonts w:ascii="David" w:eastAsia="Calibri" w:hAnsi="David" w:hint="eastAsia"/>
          <w:rtl/>
        </w:rPr>
        <w:t>הבט</w:t>
      </w:r>
      <w:r w:rsidRPr="00AA5065">
        <w:rPr>
          <w:rFonts w:ascii="David" w:eastAsia="Calibri" w:hAnsi="David"/>
          <w:rtl/>
        </w:rPr>
        <w:t>"</w:t>
      </w:r>
      <w:r w:rsidRPr="00AA5065">
        <w:rPr>
          <w:rFonts w:ascii="David" w:eastAsia="Calibri" w:hAnsi="David" w:hint="eastAsia"/>
          <w:rtl/>
        </w:rPr>
        <w:t>ל</w:t>
      </w:r>
      <w:r w:rsidRPr="00AA5065">
        <w:rPr>
          <w:rFonts w:ascii="David" w:eastAsia="Calibri" w:hAnsi="David"/>
          <w:rtl/>
        </w:rPr>
        <w:t xml:space="preserve"> </w:t>
      </w:r>
      <w:r w:rsidRPr="00AA5065">
        <w:rPr>
          <w:rFonts w:ascii="David" w:eastAsia="Calibri" w:hAnsi="David" w:hint="eastAsia"/>
          <w:rtl/>
        </w:rPr>
        <w:t>בכל</w:t>
      </w:r>
      <w:r w:rsidRPr="00AA5065">
        <w:rPr>
          <w:rFonts w:ascii="David" w:eastAsia="Calibri" w:hAnsi="David"/>
          <w:rtl/>
        </w:rPr>
        <w:t xml:space="preserve"> </w:t>
      </w:r>
      <w:r w:rsidRPr="00AA5065">
        <w:rPr>
          <w:rFonts w:ascii="David" w:eastAsia="Calibri" w:hAnsi="David" w:hint="eastAsia"/>
          <w:rtl/>
        </w:rPr>
        <w:t>הנדרש</w:t>
      </w:r>
      <w:r w:rsidRPr="00AA5065">
        <w:rPr>
          <w:rFonts w:ascii="David" w:eastAsia="Calibri" w:hAnsi="David"/>
          <w:rtl/>
        </w:rPr>
        <w:t xml:space="preserve">, </w:t>
      </w:r>
      <w:r w:rsidRPr="00AA5065">
        <w:rPr>
          <w:rFonts w:ascii="David" w:eastAsia="Calibri" w:hAnsi="David" w:hint="eastAsia"/>
          <w:rtl/>
        </w:rPr>
        <w:t>ייעשה</w:t>
      </w:r>
      <w:r w:rsidRPr="00AA5065">
        <w:rPr>
          <w:rFonts w:ascii="David" w:eastAsia="Calibri" w:hAnsi="David"/>
          <w:rtl/>
        </w:rPr>
        <w:t xml:space="preserve"> </w:t>
      </w:r>
      <w:r w:rsidRPr="00AA5065">
        <w:rPr>
          <w:rFonts w:ascii="David" w:eastAsia="Calibri" w:hAnsi="David" w:hint="eastAsia"/>
          <w:rtl/>
        </w:rPr>
        <w:t>כן</w:t>
      </w:r>
      <w:r w:rsidRPr="00AA5065">
        <w:rPr>
          <w:rFonts w:ascii="David" w:eastAsia="Calibri" w:hAnsi="David" w:hint="cs"/>
          <w:rtl/>
        </w:rPr>
        <w:t>"</w:t>
      </w:r>
      <w:r w:rsidRPr="00AA5065">
        <w:rPr>
          <w:rFonts w:ascii="David" w:eastAsia="Calibri" w:hAnsi="David"/>
          <w:rtl/>
        </w:rPr>
        <w:t>.</w:t>
      </w:r>
    </w:p>
    <w:p w:rsidR="00AA5065" w:rsidRPr="00AA5065" w:rsidP="00860D89">
      <w:pPr>
        <w:spacing w:line="269" w:lineRule="auto"/>
        <w:rPr>
          <w:rFonts w:eastAsia="Calibri"/>
          <w:rtl/>
        </w:rPr>
      </w:pPr>
    </w:p>
    <w:p w:rsidR="004E6B4D">
      <w:pPr>
        <w:bidi w:val="0"/>
        <w:spacing w:after="200" w:line="276" w:lineRule="auto"/>
        <w:rPr>
          <w:rFonts w:eastAsia="Times New Roman"/>
          <w:bCs/>
          <w:szCs w:val="26"/>
          <w:rtl/>
        </w:rPr>
      </w:pPr>
      <w:r>
        <w:rPr>
          <w:rFonts w:eastAsia="Times New Roman"/>
          <w:bCs/>
          <w:szCs w:val="26"/>
          <w:rtl/>
        </w:rPr>
        <w:br w:type="page"/>
      </w:r>
    </w:p>
    <w:p w:rsidR="00AA5065" w:rsidRPr="00AA5065" w:rsidP="004E6B4D">
      <w:pPr>
        <w:keepNext/>
        <w:keepLines/>
        <w:spacing w:before="100" w:beforeAutospacing="1" w:line="269" w:lineRule="auto"/>
        <w:outlineLvl w:val="3"/>
        <w:rPr>
          <w:rFonts w:eastAsia="Times New Roman"/>
          <w:bCs/>
          <w:szCs w:val="26"/>
          <w:rtl/>
        </w:rPr>
      </w:pPr>
      <w:r w:rsidRPr="00AA5065">
        <w:rPr>
          <w:rFonts w:eastAsia="Times New Roman" w:hint="cs"/>
          <w:bCs/>
          <w:szCs w:val="26"/>
          <w:rtl/>
        </w:rPr>
        <w:t>פגיעה בחוקרי בט"ל</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בביקורת הקודמת</w:t>
      </w:r>
      <w:r w:rsidRPr="00AA5065">
        <w:rPr>
          <w:rFonts w:eastAsia="Calibri"/>
          <w:rtl/>
        </w:rPr>
        <w:t xml:space="preserve"> </w:t>
      </w:r>
      <w:r w:rsidRPr="00AA5065">
        <w:rPr>
          <w:rFonts w:eastAsia="Calibri" w:hint="cs"/>
          <w:rtl/>
        </w:rPr>
        <w:t xml:space="preserve">נמצא </w:t>
      </w:r>
      <w:r w:rsidRPr="00AA5065">
        <w:rPr>
          <w:rFonts w:eastAsia="Calibri" w:hint="eastAsia"/>
          <w:rtl/>
        </w:rPr>
        <w:t>כי</w:t>
      </w:r>
      <w:r w:rsidRPr="00AA5065">
        <w:rPr>
          <w:rFonts w:eastAsia="Calibri"/>
          <w:rtl/>
        </w:rPr>
        <w:t xml:space="preserve"> לא אחת נתקלים </w:t>
      </w:r>
      <w:bookmarkStart w:id="34" w:name="_Hlk196372728"/>
      <w:r w:rsidRPr="00AA5065">
        <w:rPr>
          <w:rFonts w:eastAsia="Calibri"/>
          <w:rtl/>
        </w:rPr>
        <w:t xml:space="preserve">החוקרים בפגיעה ברכוש, </w:t>
      </w:r>
      <w:r w:rsidRPr="00AA5065">
        <w:rPr>
          <w:rFonts w:eastAsia="Calibri" w:hint="cs"/>
          <w:rtl/>
        </w:rPr>
        <w:t xml:space="preserve">בגרימת </w:t>
      </w:r>
      <w:r w:rsidRPr="00AA5065">
        <w:rPr>
          <w:rFonts w:eastAsia="Calibri"/>
          <w:rtl/>
        </w:rPr>
        <w:t xml:space="preserve">נזק למכוניות, </w:t>
      </w:r>
      <w:r w:rsidRPr="00AA5065">
        <w:rPr>
          <w:rFonts w:eastAsia="Calibri" w:hint="cs"/>
          <w:rtl/>
        </w:rPr>
        <w:t>ב</w:t>
      </w:r>
      <w:r w:rsidRPr="00AA5065">
        <w:rPr>
          <w:rFonts w:eastAsia="Calibri"/>
          <w:rtl/>
        </w:rPr>
        <w:t xml:space="preserve">תקיפות פיזיות, </w:t>
      </w:r>
      <w:r w:rsidRPr="00AA5065">
        <w:rPr>
          <w:rFonts w:eastAsia="Calibri" w:hint="cs"/>
          <w:rtl/>
        </w:rPr>
        <w:t>ב</w:t>
      </w:r>
      <w:r w:rsidRPr="00AA5065">
        <w:rPr>
          <w:rFonts w:eastAsia="Calibri"/>
          <w:rtl/>
        </w:rPr>
        <w:t xml:space="preserve">איומים, </w:t>
      </w:r>
      <w:r w:rsidRPr="00AA5065">
        <w:rPr>
          <w:rFonts w:eastAsia="Calibri" w:hint="cs"/>
          <w:rtl/>
        </w:rPr>
        <w:t>ב</w:t>
      </w:r>
      <w:r w:rsidRPr="00AA5065">
        <w:rPr>
          <w:rFonts w:eastAsia="Calibri"/>
          <w:rtl/>
        </w:rPr>
        <w:t>תקיפות מילוליות וכיו</w:t>
      </w:r>
      <w:r w:rsidRPr="00AA5065">
        <w:rPr>
          <w:rFonts w:eastAsia="Calibri" w:hint="cs"/>
          <w:rtl/>
        </w:rPr>
        <w:t>"ב</w:t>
      </w:r>
      <w:r w:rsidRPr="00AA5065">
        <w:rPr>
          <w:rFonts w:eastAsia="Calibri"/>
          <w:rtl/>
        </w:rPr>
        <w:t xml:space="preserve"> מצד תושבי המגזר הבדואי.</w:t>
      </w:r>
      <w:r w:rsidRPr="00AA5065">
        <w:rPr>
          <w:rFonts w:eastAsia="Calibri" w:hint="cs"/>
          <w:rtl/>
        </w:rPr>
        <w:t xml:space="preserve"> </w:t>
      </w:r>
      <w:bookmarkEnd w:id="34"/>
      <w:r w:rsidRPr="00AA5065">
        <w:rPr>
          <w:rFonts w:eastAsia="Calibri" w:hint="cs"/>
          <w:rtl/>
        </w:rPr>
        <w:t>במסמך פנימי</w:t>
      </w:r>
      <w:r>
        <w:rPr>
          <w:rFonts w:eastAsia="Calibri"/>
          <w:vertAlign w:val="superscript"/>
          <w:rtl/>
        </w:rPr>
        <w:footnoteReference w:id="38"/>
      </w:r>
      <w:r w:rsidRPr="00AA5065">
        <w:rPr>
          <w:rFonts w:eastAsia="Calibri" w:hint="cs"/>
          <w:rtl/>
        </w:rPr>
        <w:t xml:space="preserve"> של מחלקת החקירות של הבט</w:t>
      </w:r>
      <w:r w:rsidRPr="00AA5065">
        <w:rPr>
          <w:rFonts w:eastAsia="Calibri"/>
          <w:rtl/>
        </w:rPr>
        <w:t>"</w:t>
      </w:r>
      <w:r w:rsidRPr="00AA5065">
        <w:rPr>
          <w:rFonts w:eastAsia="Calibri" w:hint="cs"/>
          <w:rtl/>
        </w:rPr>
        <w:t xml:space="preserve">ל בבאר שבע נכתב שבבואם לחקור מקרים שכאלו הם אינם זוכים לשיתוף פעולה מהקהילה: ניכרת עוינות רבה כלפי מבצעי החקירות - לא אחת עד כדי יידוי אבנים ואיומים. </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במהלך ביקורת המעקב מסר נציג בט"ל כי עדיין יש תופעות של אלימות כלפי החוקרים אשר מגיעים לחקור בשטח. עם זאת אין תיעוד כרונולוגי מסודר של אירועים אלו.</w:t>
      </w:r>
      <w:r w:rsidRPr="00AA5065">
        <w:rPr>
          <w:rFonts w:eastAsia="Calibri"/>
          <w:sz w:val="16"/>
          <w:szCs w:val="16"/>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לדוגמה, בתאריך 5.11.24 הושלכו אבנים על רכבם של החוקרים אשר הגיעו לחקירה בשכונת תראבין אל צענא.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תמונה 1 שלהלן ממחישה את הנזק שנגרם לרכב החוקרים בעקבות יידוי האבנים.</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ind w:left="454"/>
        <w:jc w:val="center"/>
        <w:rPr>
          <w:rFonts w:eastAsia="Calibri"/>
          <w:b/>
          <w:bCs/>
          <w:sz w:val="24"/>
          <w:rtl/>
        </w:rPr>
      </w:pPr>
      <w:bookmarkStart w:id="35" w:name="_Hlk205373064"/>
      <w:r w:rsidRPr="00AA5065">
        <w:rPr>
          <w:rFonts w:eastAsia="Calibri" w:hint="cs"/>
          <w:sz w:val="24"/>
          <w:rtl/>
        </w:rPr>
        <w:t>תמונה 1:</w:t>
      </w:r>
      <w:r w:rsidRPr="00AA5065">
        <w:rPr>
          <w:rFonts w:eastAsia="Calibri" w:hint="cs"/>
          <w:b/>
          <w:bCs/>
          <w:sz w:val="24"/>
          <w:rtl/>
        </w:rPr>
        <w:t xml:space="preserve"> הנזק שנגרם לרכב החוקרים בעקבות יידוי האבנים, נובמבר 2024</w:t>
      </w:r>
    </w:p>
    <w:bookmarkEnd w:id="35"/>
    <w:p w:rsidR="00AA5065" w:rsidRPr="00AA5065" w:rsidP="00860D89">
      <w:pPr>
        <w:spacing w:line="269" w:lineRule="auto"/>
        <w:jc w:val="center"/>
        <w:rPr>
          <w:rFonts w:eastAsia="Calibri"/>
          <w:rtl/>
        </w:rPr>
      </w:pPr>
      <w:r w:rsidRPr="00AA5065">
        <w:rPr>
          <w:rFonts w:eastAsia="Calibri"/>
          <w:noProof/>
        </w:rPr>
        <w:drawing>
          <wp:inline distT="0" distB="0" distL="0" distR="0">
            <wp:extent cx="5482167" cy="2466975"/>
            <wp:effectExtent l="0" t="0" r="4445" b="0"/>
            <wp:docPr id="27" name="תמונה 27" descr="טנדר לבן חלון שבו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485779" cy="2468600"/>
                    </a:xfrm>
                    <a:prstGeom prst="rect">
                      <a:avLst/>
                    </a:prstGeom>
                    <a:noFill/>
                    <a:ln>
                      <a:noFill/>
                    </a:ln>
                  </pic:spPr>
                </pic:pic>
              </a:graphicData>
            </a:graphic>
          </wp:inline>
        </w:drawing>
      </w:r>
    </w:p>
    <w:p w:rsidR="00AA5065" w:rsidRPr="00AA5065" w:rsidP="00860D89">
      <w:pPr>
        <w:spacing w:line="269" w:lineRule="auto"/>
        <w:rPr>
          <w:rFonts w:eastAsia="Calibri"/>
          <w:sz w:val="16"/>
          <w:szCs w:val="20"/>
          <w:rtl/>
        </w:rPr>
      </w:pPr>
      <w:r w:rsidRPr="00AA5065">
        <w:rPr>
          <w:rFonts w:eastAsia="Calibri" w:hint="eastAsia"/>
          <w:sz w:val="16"/>
          <w:szCs w:val="20"/>
          <w:rtl/>
        </w:rPr>
        <w:t>צולם</w:t>
      </w:r>
      <w:r w:rsidRPr="00AA5065">
        <w:rPr>
          <w:rFonts w:eastAsia="Calibri"/>
          <w:sz w:val="16"/>
          <w:szCs w:val="20"/>
          <w:rtl/>
        </w:rPr>
        <w:t xml:space="preserve"> </w:t>
      </w:r>
      <w:r w:rsidRPr="00AA5065">
        <w:rPr>
          <w:rFonts w:eastAsia="Calibri" w:hint="eastAsia"/>
          <w:sz w:val="16"/>
          <w:szCs w:val="20"/>
          <w:rtl/>
        </w:rPr>
        <w:t>על</w:t>
      </w:r>
      <w:r w:rsidRPr="00AA5065">
        <w:rPr>
          <w:rFonts w:eastAsia="Calibri"/>
          <w:sz w:val="16"/>
          <w:szCs w:val="20"/>
          <w:rtl/>
        </w:rPr>
        <w:t xml:space="preserve"> </w:t>
      </w:r>
      <w:r w:rsidRPr="00AA5065">
        <w:rPr>
          <w:rFonts w:eastAsia="Calibri" w:hint="eastAsia"/>
          <w:sz w:val="16"/>
          <w:szCs w:val="20"/>
          <w:rtl/>
        </w:rPr>
        <w:t>ידי</w:t>
      </w:r>
      <w:r w:rsidRPr="00AA5065">
        <w:rPr>
          <w:rFonts w:eastAsia="Calibri"/>
          <w:sz w:val="16"/>
          <w:szCs w:val="20"/>
          <w:rtl/>
        </w:rPr>
        <w:t xml:space="preserve"> </w:t>
      </w:r>
      <w:r w:rsidRPr="00AA5065">
        <w:rPr>
          <w:rFonts w:eastAsia="Calibri" w:hint="cs"/>
          <w:sz w:val="16"/>
          <w:szCs w:val="20"/>
          <w:rtl/>
        </w:rPr>
        <w:t>עובדי בט"ל</w:t>
      </w:r>
      <w:r w:rsidRPr="00AA5065">
        <w:rPr>
          <w:rFonts w:eastAsia="Calibri"/>
          <w:sz w:val="16"/>
          <w:szCs w:val="20"/>
          <w:rtl/>
        </w:rPr>
        <w:t xml:space="preserve"> </w:t>
      </w:r>
      <w:r w:rsidRPr="00AA5065">
        <w:rPr>
          <w:rFonts w:eastAsia="Calibri" w:hint="eastAsia"/>
          <w:sz w:val="16"/>
          <w:szCs w:val="20"/>
          <w:rtl/>
        </w:rPr>
        <w:t>ב</w:t>
      </w:r>
      <w:r w:rsidRPr="00AA5065">
        <w:rPr>
          <w:rFonts w:eastAsia="Calibri" w:hint="cs"/>
          <w:sz w:val="16"/>
          <w:szCs w:val="20"/>
          <w:rtl/>
        </w:rPr>
        <w:t>נוב</w:t>
      </w:r>
      <w:r w:rsidRPr="00AA5065">
        <w:rPr>
          <w:rFonts w:eastAsia="Calibri" w:hint="eastAsia"/>
          <w:sz w:val="16"/>
          <w:szCs w:val="20"/>
          <w:rtl/>
        </w:rPr>
        <w:t>מבר</w:t>
      </w:r>
      <w:r w:rsidRPr="00AA5065">
        <w:rPr>
          <w:rFonts w:eastAsia="Calibri"/>
          <w:sz w:val="16"/>
          <w:szCs w:val="20"/>
          <w:rtl/>
        </w:rPr>
        <w:t xml:space="preserve"> 202</w:t>
      </w:r>
      <w:r w:rsidRPr="00AA5065">
        <w:rPr>
          <w:rFonts w:eastAsia="Calibri" w:hint="cs"/>
          <w:sz w:val="16"/>
          <w:szCs w:val="20"/>
          <w:rtl/>
        </w:rPr>
        <w:t>4</w:t>
      </w:r>
      <w:r w:rsidRPr="00AA5065">
        <w:rPr>
          <w:rFonts w:eastAsia="Calibri"/>
          <w:sz w:val="16"/>
          <w:szCs w:val="20"/>
          <w:rtl/>
        </w:rPr>
        <w:t>.</w:t>
      </w:r>
    </w:p>
    <w:p w:rsidR="00AA5065" w:rsidRPr="00AA5065" w:rsidP="00860D89">
      <w:pPr>
        <w:spacing w:line="269" w:lineRule="auto"/>
        <w:rPr>
          <w:rFonts w:eastAsia="Calibri"/>
          <w:sz w:val="16"/>
          <w:szCs w:val="20"/>
          <w:rtl/>
        </w:rPr>
      </w:pPr>
    </w:p>
    <w:p w:rsidR="00AA5065" w:rsidRPr="00AA5065" w:rsidP="00860D89">
      <w:pPr>
        <w:spacing w:line="269" w:lineRule="auto"/>
        <w:rPr>
          <w:rFonts w:eastAsia="Calibri"/>
          <w:b/>
          <w:bCs/>
          <w:rtl/>
        </w:rPr>
      </w:pPr>
      <w:r w:rsidRPr="00AA5065">
        <w:rPr>
          <w:rFonts w:eastAsia="Calibri"/>
          <w:b/>
          <w:bCs/>
          <w:rtl/>
        </w:rPr>
        <w:t xml:space="preserve">חוקרי </w:t>
      </w:r>
      <w:r w:rsidRPr="00AA5065">
        <w:rPr>
          <w:rFonts w:eastAsia="Calibri" w:hint="cs"/>
          <w:b/>
          <w:bCs/>
          <w:rtl/>
        </w:rPr>
        <w:t>בט"ל</w:t>
      </w:r>
      <w:r w:rsidRPr="00AA5065">
        <w:rPr>
          <w:rFonts w:eastAsia="Calibri"/>
          <w:b/>
          <w:bCs/>
          <w:rtl/>
        </w:rPr>
        <w:t xml:space="preserve"> </w:t>
      </w:r>
      <w:r w:rsidRPr="00AA5065">
        <w:rPr>
          <w:rFonts w:eastAsia="Calibri" w:hint="cs"/>
          <w:b/>
          <w:bCs/>
          <w:rtl/>
        </w:rPr>
        <w:t xml:space="preserve">הגישו </w:t>
      </w:r>
      <w:r w:rsidRPr="00AA5065">
        <w:rPr>
          <w:rFonts w:eastAsia="Calibri" w:hint="eastAsia"/>
          <w:b/>
          <w:bCs/>
          <w:rtl/>
        </w:rPr>
        <w:t>בתאריך</w:t>
      </w:r>
      <w:r w:rsidRPr="00AA5065">
        <w:rPr>
          <w:rFonts w:eastAsia="Calibri"/>
          <w:b/>
          <w:bCs/>
          <w:rtl/>
        </w:rPr>
        <w:t xml:space="preserve"> 5.11.24 </w:t>
      </w:r>
      <w:r w:rsidRPr="00AA5065">
        <w:rPr>
          <w:rFonts w:eastAsia="Calibri" w:hint="eastAsia"/>
          <w:b/>
          <w:bCs/>
          <w:rtl/>
        </w:rPr>
        <w:t>תלונה</w:t>
      </w:r>
      <w:r w:rsidRPr="00AA5065">
        <w:rPr>
          <w:rFonts w:eastAsia="Calibri"/>
          <w:b/>
          <w:bCs/>
          <w:rtl/>
        </w:rPr>
        <w:t xml:space="preserve"> למשטרת רהט </w:t>
      </w:r>
      <w:r w:rsidRPr="00AA5065">
        <w:rPr>
          <w:rFonts w:eastAsia="Calibri" w:hint="eastAsia"/>
          <w:b/>
          <w:bCs/>
          <w:rtl/>
        </w:rPr>
        <w:t>בגין</w:t>
      </w:r>
      <w:r w:rsidRPr="00AA5065">
        <w:rPr>
          <w:rFonts w:eastAsia="Calibri"/>
          <w:b/>
          <w:bCs/>
          <w:rtl/>
        </w:rPr>
        <w:t xml:space="preserve"> </w:t>
      </w:r>
      <w:r w:rsidRPr="00AA5065">
        <w:rPr>
          <w:rFonts w:eastAsia="Calibri" w:hint="eastAsia"/>
          <w:b/>
          <w:bCs/>
          <w:rtl/>
        </w:rPr>
        <w:t>השלכת</w:t>
      </w:r>
      <w:r w:rsidRPr="00AA5065">
        <w:rPr>
          <w:rFonts w:eastAsia="Calibri"/>
          <w:b/>
          <w:bCs/>
          <w:rtl/>
        </w:rPr>
        <w:t xml:space="preserve"> אבנים על רכב</w:t>
      </w:r>
      <w:r w:rsidRPr="00AA5065">
        <w:rPr>
          <w:rFonts w:eastAsia="Calibri" w:hint="eastAsia"/>
          <w:b/>
          <w:bCs/>
          <w:rtl/>
        </w:rPr>
        <w:t>ם</w:t>
      </w:r>
      <w:r w:rsidRPr="00AA5065">
        <w:rPr>
          <w:rFonts w:eastAsia="Calibri"/>
          <w:b/>
          <w:bCs/>
          <w:rtl/>
        </w:rPr>
        <w:t xml:space="preserve"> של החוקרים אשר הגיע</w:t>
      </w:r>
      <w:r w:rsidRPr="00AA5065">
        <w:rPr>
          <w:rFonts w:eastAsia="Calibri" w:hint="eastAsia"/>
          <w:b/>
          <w:bCs/>
          <w:rtl/>
        </w:rPr>
        <w:t>ו</w:t>
      </w:r>
      <w:r w:rsidRPr="00AA5065">
        <w:rPr>
          <w:rFonts w:eastAsia="Calibri"/>
          <w:b/>
          <w:bCs/>
          <w:rtl/>
        </w:rPr>
        <w:t xml:space="preserve"> לחקירה בשכונת </w:t>
      </w:r>
      <w:r w:rsidRPr="00AA5065">
        <w:rPr>
          <w:rFonts w:eastAsia="Calibri" w:hint="eastAsia"/>
          <w:b/>
          <w:bCs/>
          <w:rtl/>
        </w:rPr>
        <w:t>תראבין</w:t>
      </w:r>
      <w:r w:rsidRPr="00AA5065">
        <w:rPr>
          <w:rFonts w:eastAsia="Calibri"/>
          <w:b/>
          <w:bCs/>
          <w:rtl/>
        </w:rPr>
        <w:t xml:space="preserve"> אל </w:t>
      </w:r>
      <w:r w:rsidRPr="00AA5065">
        <w:rPr>
          <w:rFonts w:eastAsia="Calibri" w:hint="eastAsia"/>
          <w:b/>
          <w:bCs/>
          <w:rtl/>
        </w:rPr>
        <w:t>צענא</w:t>
      </w:r>
      <w:r w:rsidRPr="00AA5065">
        <w:rPr>
          <w:rFonts w:eastAsia="Calibri" w:hint="cs"/>
          <w:b/>
          <w:bCs/>
          <w:rtl/>
        </w:rPr>
        <w:t>.</w:t>
      </w:r>
      <w:r w:rsidRPr="00AA5065">
        <w:rPr>
          <w:rFonts w:eastAsia="Calibri" w:hint="eastAsia"/>
          <w:b/>
          <w:bCs/>
          <w:rtl/>
        </w:rPr>
        <w:t xml:space="preserve"> </w:t>
      </w:r>
      <w:r w:rsidRPr="00AA5065">
        <w:rPr>
          <w:rFonts w:eastAsia="Calibri" w:hint="cs"/>
          <w:b/>
          <w:bCs/>
          <w:rtl/>
        </w:rPr>
        <w:t xml:space="preserve">מבירור שביצע צוות הביקורת מול נציגי בט"ל עולה כי התלונה </w:t>
      </w:r>
      <w:r w:rsidRPr="00AA5065">
        <w:rPr>
          <w:rFonts w:eastAsia="Calibri" w:hint="eastAsia"/>
          <w:b/>
          <w:bCs/>
          <w:rtl/>
        </w:rPr>
        <w:t>נסגרה</w:t>
      </w:r>
      <w:r w:rsidRPr="00AA5065">
        <w:rPr>
          <w:rFonts w:eastAsia="Calibri" w:hint="cs"/>
          <w:b/>
          <w:bCs/>
          <w:rtl/>
        </w:rPr>
        <w:t xml:space="preserve"> ללא טיפול, וכי לטענת אנשי מחלקת החקירות של בט"ל תופעת סגירת התלונות המוגשות על ידם ללא טיפול היא תופעה נפוצה המאפיינת את התנהלותה של המשטרה מול תושבי המגזר הבדואי.</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bookmarkStart w:id="36" w:name="_Hlk204850153"/>
      <w:r w:rsidRPr="00AA5065">
        <w:rPr>
          <w:rFonts w:eastAsia="Calibri" w:hint="cs"/>
          <w:b/>
          <w:bCs/>
          <w:rtl/>
        </w:rPr>
        <w:t>בביקורת הקודמת עלה כי חוקרי בט"ל נתקלים בתופעות של</w:t>
      </w:r>
      <w:r w:rsidRPr="00AA5065">
        <w:rPr>
          <w:rFonts w:eastAsia="Calibri"/>
          <w:b/>
          <w:bCs/>
          <w:rtl/>
        </w:rPr>
        <w:t xml:space="preserve"> פגיעה ברכוש, תקיפות פיזיות</w:t>
      </w:r>
      <w:r w:rsidRPr="00AA5065">
        <w:rPr>
          <w:rFonts w:eastAsia="Calibri" w:hint="cs"/>
          <w:b/>
          <w:bCs/>
          <w:rtl/>
        </w:rPr>
        <w:t xml:space="preserve"> ו</w:t>
      </w:r>
      <w:r w:rsidRPr="00AA5065">
        <w:rPr>
          <w:rFonts w:eastAsia="Calibri"/>
          <w:b/>
          <w:bCs/>
          <w:rtl/>
        </w:rPr>
        <w:t xml:space="preserve">איומים מצד תושבי המגזר הבדואי. </w:t>
      </w:r>
      <w:r w:rsidRPr="00AA5065">
        <w:rPr>
          <w:rFonts w:eastAsia="Calibri" w:hint="cs"/>
          <w:b/>
          <w:bCs/>
          <w:rtl/>
        </w:rPr>
        <w:t>בביקורת המעקב נמצא כי התופעה ממשיכה; חוקרי בט</w:t>
      </w:r>
      <w:r w:rsidRPr="00AA5065">
        <w:rPr>
          <w:rFonts w:eastAsia="Calibri"/>
          <w:b/>
          <w:bCs/>
          <w:rtl/>
        </w:rPr>
        <w:t>"</w:t>
      </w:r>
      <w:r w:rsidRPr="00AA5065">
        <w:rPr>
          <w:rFonts w:eastAsia="Calibri" w:hint="cs"/>
          <w:b/>
          <w:bCs/>
          <w:rtl/>
        </w:rPr>
        <w:t xml:space="preserve">ל עדיין מתקשים להתמודד עם האלימות המופנית כלפיהם בבואם לחקור בשטח. </w:t>
      </w:r>
    </w:p>
    <w:bookmarkEnd w:id="36"/>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מומלץ כי משטרת ישראל תטפל בכובד ראש בתלונות אשר מוגשות אליה על ידי חוקרי הביטוח הלאומי בגין האלימות המופנית אליהם בבואם לחקור בשטח.</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cs"/>
          <w:sz w:val="24"/>
          <w:rtl/>
        </w:rPr>
        <w:t>בט"ל מסר בתשובתו כי "</w:t>
      </w:r>
      <w:r w:rsidRPr="00AA5065">
        <w:rPr>
          <w:rFonts w:ascii="David" w:eastAsia="Calibri" w:hAnsi="David"/>
          <w:sz w:val="24"/>
          <w:rtl/>
        </w:rPr>
        <w:t>אגף החקירות רואה בחומרה כל פגיעה בחוקריו במהלך עבודתם. אנו סבורים כי נושא זה מחייב התייחסות הולמת מצד הגורמים הרלוונטיים, מתוך מטרה להבטיח לחוקרי המוסד את הביטחון וההגנה הנדרשים לצורך מילוי תפקידם</w:t>
      </w:r>
      <w:r w:rsidRPr="00AA5065">
        <w:rPr>
          <w:rFonts w:ascii="David" w:eastAsia="Calibri" w:hAnsi="David" w:hint="cs"/>
          <w:sz w:val="24"/>
          <w:rtl/>
        </w:rPr>
        <w:t>"</w:t>
      </w:r>
      <w:r w:rsidRPr="00AA5065">
        <w:rPr>
          <w:rFonts w:ascii="David" w:eastAsia="Calibri" w:hAnsi="David"/>
          <w:sz w:val="24"/>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ascii="David" w:eastAsia="Calibri" w:hAnsi="David" w:hint="cs"/>
          <w:sz w:val="24"/>
          <w:rtl/>
        </w:rPr>
        <w:t>המשטרה מסרה בתשובתה כי "</w:t>
      </w:r>
      <w:r w:rsidRPr="00AA5065">
        <w:rPr>
          <w:rFonts w:ascii="David" w:eastAsia="Calibri" w:hAnsi="David" w:hint="eastAsia"/>
          <w:rtl/>
        </w:rPr>
        <w:t>ה</w:t>
      </w:r>
      <w:r w:rsidRPr="00AA5065">
        <w:rPr>
          <w:rFonts w:ascii="David" w:eastAsia="Calibri" w:hAnsi="David" w:hint="cs"/>
          <w:rtl/>
        </w:rPr>
        <w:t>ערת הביקורת</w:t>
      </w:r>
      <w:r w:rsidRPr="00AA5065">
        <w:rPr>
          <w:rFonts w:ascii="David" w:eastAsia="Calibri" w:hAnsi="David"/>
          <w:rtl/>
        </w:rPr>
        <w:t xml:space="preserve"> </w:t>
      </w:r>
      <w:r w:rsidRPr="00AA5065">
        <w:rPr>
          <w:rFonts w:ascii="David" w:eastAsia="Calibri" w:hAnsi="David" w:hint="eastAsia"/>
          <w:rtl/>
        </w:rPr>
        <w:t>התקבלה</w:t>
      </w:r>
      <w:r w:rsidRPr="00AA5065">
        <w:rPr>
          <w:rFonts w:ascii="David" w:eastAsia="Calibri" w:hAnsi="David"/>
          <w:rtl/>
        </w:rPr>
        <w:t xml:space="preserve"> </w:t>
      </w:r>
      <w:r w:rsidRPr="00AA5065">
        <w:rPr>
          <w:rFonts w:ascii="David" w:eastAsia="Calibri" w:hAnsi="David" w:hint="eastAsia"/>
          <w:rtl/>
        </w:rPr>
        <w:t>והועברה</w:t>
      </w:r>
      <w:r w:rsidRPr="00AA5065">
        <w:rPr>
          <w:rFonts w:ascii="David" w:eastAsia="Calibri" w:hAnsi="David"/>
          <w:rtl/>
        </w:rPr>
        <w:t xml:space="preserve"> </w:t>
      </w:r>
      <w:r w:rsidRPr="00AA5065">
        <w:rPr>
          <w:rFonts w:ascii="David" w:eastAsia="Calibri" w:hAnsi="David" w:hint="eastAsia"/>
          <w:rtl/>
        </w:rPr>
        <w:t>כהנחיה</w:t>
      </w:r>
      <w:r w:rsidRPr="00AA5065">
        <w:rPr>
          <w:rFonts w:ascii="David" w:eastAsia="Calibri" w:hAnsi="David"/>
          <w:rtl/>
        </w:rPr>
        <w:t xml:space="preserve"> </w:t>
      </w:r>
      <w:r w:rsidRPr="00AA5065">
        <w:rPr>
          <w:rFonts w:ascii="David" w:eastAsia="Calibri" w:hAnsi="David" w:hint="eastAsia"/>
          <w:rtl/>
        </w:rPr>
        <w:t>לטיפול</w:t>
      </w:r>
      <w:r w:rsidRPr="00AA5065">
        <w:rPr>
          <w:rFonts w:ascii="David" w:eastAsia="Calibri" w:hAnsi="David"/>
          <w:rtl/>
        </w:rPr>
        <w:t xml:space="preserve"> </w:t>
      </w:r>
      <w:r w:rsidRPr="00AA5065">
        <w:rPr>
          <w:rFonts w:ascii="David" w:eastAsia="Calibri" w:hAnsi="David" w:hint="eastAsia"/>
          <w:rtl/>
        </w:rPr>
        <w:t>נחוש</w:t>
      </w:r>
      <w:r w:rsidRPr="00AA5065">
        <w:rPr>
          <w:rFonts w:ascii="David" w:eastAsia="Calibri" w:hAnsi="David"/>
          <w:rtl/>
        </w:rPr>
        <w:t xml:space="preserve"> </w:t>
      </w:r>
      <w:r w:rsidRPr="00AA5065">
        <w:rPr>
          <w:rFonts w:ascii="David" w:eastAsia="Calibri" w:hAnsi="David" w:hint="eastAsia"/>
          <w:rtl/>
        </w:rPr>
        <w:t>ומיצוי</w:t>
      </w:r>
      <w:r w:rsidRPr="00AA5065">
        <w:rPr>
          <w:rFonts w:ascii="David" w:eastAsia="Calibri" w:hAnsi="David"/>
          <w:rtl/>
        </w:rPr>
        <w:t xml:space="preserve"> </w:t>
      </w:r>
      <w:r w:rsidRPr="00AA5065">
        <w:rPr>
          <w:rFonts w:ascii="David" w:eastAsia="Calibri" w:hAnsi="David" w:hint="eastAsia"/>
          <w:rtl/>
        </w:rPr>
        <w:t>דין</w:t>
      </w:r>
      <w:r w:rsidRPr="00AA5065">
        <w:rPr>
          <w:rFonts w:ascii="David" w:eastAsia="Calibri" w:hAnsi="David"/>
          <w:rtl/>
        </w:rPr>
        <w:t xml:space="preserve"> </w:t>
      </w:r>
      <w:r w:rsidRPr="00AA5065">
        <w:rPr>
          <w:rFonts w:ascii="David" w:eastAsia="Calibri" w:hAnsi="David" w:hint="eastAsia"/>
          <w:rtl/>
        </w:rPr>
        <w:t>ליחידות</w:t>
      </w:r>
      <w:r w:rsidRPr="00AA5065">
        <w:rPr>
          <w:rFonts w:ascii="David" w:eastAsia="Calibri" w:hAnsi="David"/>
          <w:rtl/>
        </w:rPr>
        <w:t xml:space="preserve"> </w:t>
      </w:r>
      <w:r w:rsidRPr="00AA5065">
        <w:rPr>
          <w:rFonts w:ascii="David" w:eastAsia="Calibri" w:hAnsi="David" w:hint="eastAsia"/>
          <w:rtl/>
        </w:rPr>
        <w:t>המחוז</w:t>
      </w:r>
      <w:r w:rsidRPr="00AA5065">
        <w:rPr>
          <w:rFonts w:ascii="David" w:eastAsia="Calibri" w:hAnsi="David" w:hint="cs"/>
          <w:rtl/>
        </w:rPr>
        <w:t xml:space="preserve"> </w:t>
      </w:r>
      <w:r w:rsidRPr="00AA5065">
        <w:rPr>
          <w:rFonts w:ascii="David" w:eastAsia="Calibri" w:hAnsi="David" w:hint="eastAsia"/>
          <w:rtl/>
        </w:rPr>
        <w:t>השונות</w:t>
      </w:r>
      <w:r w:rsidRPr="00AA5065">
        <w:rPr>
          <w:rFonts w:ascii="David" w:eastAsia="Calibri" w:hAnsi="David" w:hint="cs"/>
          <w:rtl/>
        </w:rPr>
        <w:t>"</w:t>
      </w:r>
      <w:r w:rsidRPr="00AA5065">
        <w:rPr>
          <w:rFonts w:ascii="David" w:eastAsia="Calibri" w:hAnsi="David"/>
          <w:rtl/>
        </w:rPr>
        <w:t>.</w:t>
      </w:r>
    </w:p>
    <w:p w:rsidR="00AA5065" w:rsidRPr="00AA5065" w:rsidP="00860D89">
      <w:pPr>
        <w:spacing w:line="269" w:lineRule="auto"/>
        <w:rPr>
          <w:rFonts w:eastAsia="Calibri"/>
          <w:rtl/>
        </w:rPr>
      </w:pPr>
    </w:p>
    <w:p w:rsidR="00AA5065" w:rsidRPr="00AA5065" w:rsidP="004E6B4D">
      <w:pPr>
        <w:keepNext/>
        <w:keepLines/>
        <w:spacing w:before="120" w:line="269" w:lineRule="auto"/>
        <w:outlineLvl w:val="3"/>
        <w:rPr>
          <w:rFonts w:eastAsia="Times New Roman"/>
          <w:bCs/>
          <w:szCs w:val="26"/>
          <w:rtl/>
        </w:rPr>
      </w:pPr>
      <w:r w:rsidRPr="00AA5065">
        <w:rPr>
          <w:rFonts w:eastAsia="Times New Roman" w:hint="cs"/>
          <w:bCs/>
          <w:szCs w:val="26"/>
          <w:rtl/>
        </w:rPr>
        <w:t>קצבת שארים לשתי אלמנות ויותר</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w:t>
      </w:r>
      <w:r w:rsidRPr="00AA5065">
        <w:rPr>
          <w:rFonts w:eastAsia="Calibri"/>
          <w:rtl/>
        </w:rPr>
        <w:t>מעקב שנערך במסגרת ביקורת זו נמצא כי ב-299 מקרים ביישובי הבדואים בדרום</w:t>
      </w:r>
      <w:r>
        <w:rPr>
          <w:rFonts w:eastAsia="Calibri"/>
          <w:vertAlign w:val="superscript"/>
          <w:rtl/>
        </w:rPr>
        <w:footnoteReference w:id="39"/>
      </w:r>
      <w:r w:rsidRPr="00AA5065">
        <w:rPr>
          <w:rFonts w:eastAsia="Calibri"/>
          <w:rtl/>
        </w:rPr>
        <w:t xml:space="preserve"> משולמת קצבת שארים לשתי אלמנות או יותר עבור אותו נפט</w:t>
      </w:r>
      <w:r w:rsidRPr="00AA5065">
        <w:rPr>
          <w:rFonts w:eastAsia="Calibri" w:hint="cs"/>
          <w:rtl/>
        </w:rPr>
        <w:t>ר,</w:t>
      </w:r>
      <w:r w:rsidRPr="00AA5065">
        <w:rPr>
          <w:rFonts w:eastAsia="Calibri"/>
          <w:rtl/>
        </w:rPr>
        <w:t xml:space="preserve"> זאת לעומת 196 </w:t>
      </w:r>
      <w:r w:rsidRPr="00AA5065">
        <w:rPr>
          <w:rFonts w:eastAsia="Calibri" w:hint="cs"/>
          <w:rtl/>
        </w:rPr>
        <w:t>מקרים ביתר חלקי הארץ</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lang w:eastAsia="he-IL"/>
        </w:rPr>
        <w:t xml:space="preserve">נציגי </w:t>
      </w:r>
      <w:r w:rsidRPr="00AA5065">
        <w:rPr>
          <w:rFonts w:eastAsia="Calibri" w:hint="eastAsia"/>
          <w:rtl/>
          <w:lang w:eastAsia="he-IL"/>
        </w:rPr>
        <w:t>בט</w:t>
      </w:r>
      <w:r w:rsidRPr="00AA5065">
        <w:rPr>
          <w:rFonts w:eastAsia="Calibri"/>
          <w:rtl/>
          <w:lang w:eastAsia="he-IL"/>
        </w:rPr>
        <w:t xml:space="preserve">"ל </w:t>
      </w:r>
      <w:r w:rsidRPr="00AA5065">
        <w:rPr>
          <w:rFonts w:eastAsia="Calibri" w:hint="cs"/>
          <w:rtl/>
          <w:lang w:eastAsia="he-IL"/>
        </w:rPr>
        <w:t>מסרו לצוות הביקורת</w:t>
      </w:r>
      <w:r w:rsidRPr="00AA5065">
        <w:rPr>
          <w:rFonts w:eastAsia="Calibri"/>
          <w:rtl/>
          <w:lang w:eastAsia="he-IL"/>
        </w:rPr>
        <w:t xml:space="preserve"> כי "התשלום לאלמנה עשוי לכלול גם את התשלום עבור הילדים. כמו כן, כמחצית מהנשים המדוברות מקבלות תוספת השלמת הכנסה. אין באפשרותנו להפריד שני מרכיבים אלו מהתשלום לאלמנה וכן לא ניתן לדעת למה היתה זכאית לולא היתה מקבלת קצבת שאירים (חלקן היו זכאיות להשלמת הכנסה או להבטחת הכנסה אם לא היו מקבלות קצבת שאירים)".</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עוד נמצא בביקורת המעקב כי בט"ל משלם למשפחות רבות מהמגזר הבדואי בנגב סכומי כסף נכבדים במסגרת "תוספת תלויים</w:t>
      </w:r>
      <w:r>
        <w:rPr>
          <w:rFonts w:eastAsia="Calibri"/>
          <w:b/>
          <w:bCs/>
          <w:vertAlign w:val="superscript"/>
          <w:rtl/>
        </w:rPr>
        <w:footnoteReference w:id="40"/>
      </w:r>
      <w:r w:rsidRPr="00AA5065">
        <w:rPr>
          <w:rFonts w:eastAsia="Calibri" w:hint="cs"/>
          <w:b/>
          <w:bCs/>
          <w:rtl/>
        </w:rPr>
        <w:t xml:space="preserve"> לקצבת נכות" כפועל יוצא מהחלת מונח ה"תלויים" גם על שתי נשים ויותר וכן על הילדים שמכל הנשים גם יחד. הדבר מוביל להגדלת תוספת התלויים האמורה במאות אחוזים ומגיע לכדי סכומים נכבדים. נציגי בט"ל מסרו לצוות הביקורת כי אין בידם נתונים על היקף התופעה.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bookmarkStart w:id="37" w:name="_Hlk204850192"/>
      <w:r w:rsidRPr="00AA5065">
        <w:rPr>
          <w:rFonts w:eastAsia="Calibri" w:hint="cs"/>
          <w:b/>
          <w:bCs/>
          <w:rtl/>
        </w:rPr>
        <w:t>משרד מבקר המדינה מעיר כי תשלומי שני סוגי הקצבאות על ידי בט</w:t>
      </w:r>
      <w:r w:rsidRPr="00AA5065">
        <w:rPr>
          <w:rFonts w:eastAsia="Calibri"/>
          <w:b/>
          <w:bCs/>
          <w:rtl/>
        </w:rPr>
        <w:t>"</w:t>
      </w:r>
      <w:r w:rsidRPr="00AA5065">
        <w:rPr>
          <w:rFonts w:eastAsia="Calibri" w:hint="cs"/>
          <w:b/>
          <w:bCs/>
          <w:rtl/>
        </w:rPr>
        <w:t>ל, הן קצבת שארים ליותר מאלמנה אחת בגין כל גבר שנפטר והן "תוספת תלויים לקצבת נכות" גם על שתי נשים ויותר, ייתכן שאף מהווים תמריץ כלכלי לעידוד תופעת הפוליגמיה</w:t>
      </w:r>
      <w:bookmarkStart w:id="38" w:name="_Hlk189999145"/>
      <w:r w:rsidRPr="00AA5065">
        <w:rPr>
          <w:rFonts w:eastAsia="Calibri" w:hint="cs"/>
          <w:b/>
          <w:bCs/>
          <w:rtl/>
        </w:rPr>
        <w:t>.</w:t>
      </w:r>
      <w:bookmarkEnd w:id="38"/>
    </w:p>
    <w:bookmarkEnd w:id="37"/>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eastAsia"/>
          <w:b/>
          <w:bCs/>
          <w:rtl/>
        </w:rPr>
        <w:t>מומלץ</w:t>
      </w:r>
      <w:r w:rsidRPr="00AA5065">
        <w:rPr>
          <w:rFonts w:eastAsia="Calibri"/>
          <w:b/>
          <w:bCs/>
          <w:rtl/>
        </w:rPr>
        <w:t xml:space="preserve"> כי </w:t>
      </w:r>
      <w:r w:rsidRPr="00AA5065">
        <w:rPr>
          <w:rFonts w:eastAsia="Calibri" w:hint="eastAsia"/>
          <w:b/>
          <w:bCs/>
          <w:rtl/>
        </w:rPr>
        <w:t>בט</w:t>
      </w:r>
      <w:r w:rsidRPr="00AA5065">
        <w:rPr>
          <w:rFonts w:eastAsia="Calibri"/>
          <w:b/>
          <w:bCs/>
          <w:rtl/>
        </w:rPr>
        <w:t>"</w:t>
      </w:r>
      <w:r w:rsidRPr="00AA5065">
        <w:rPr>
          <w:rFonts w:eastAsia="Calibri" w:hint="eastAsia"/>
          <w:b/>
          <w:bCs/>
          <w:rtl/>
        </w:rPr>
        <w:t>ל</w:t>
      </w:r>
      <w:r w:rsidRPr="00AA5065">
        <w:rPr>
          <w:rFonts w:eastAsia="Calibri"/>
          <w:b/>
          <w:bCs/>
          <w:rtl/>
        </w:rPr>
        <w:t xml:space="preserve"> ימשיך ויבחן את נושא תשלום קצבאות למשפחות פוליגמיות באמצעות הצוות הבין</w:t>
      </w:r>
      <w:r w:rsidRPr="00AA5065">
        <w:rPr>
          <w:rFonts w:eastAsia="Calibri" w:hint="cs"/>
          <w:b/>
          <w:bCs/>
          <w:rtl/>
        </w:rPr>
        <w:t>-</w:t>
      </w:r>
      <w:r w:rsidRPr="00AA5065">
        <w:rPr>
          <w:rFonts w:eastAsia="Calibri"/>
          <w:b/>
          <w:bCs/>
          <w:rtl/>
        </w:rPr>
        <w:t>משרדי העוסק בנושא.</w:t>
      </w:r>
      <w:r w:rsidRPr="00AA5065">
        <w:rPr>
          <w:rFonts w:eastAsia="Calibri" w:hint="cs"/>
          <w:b/>
          <w:bCs/>
          <w:rtl/>
        </w:rPr>
        <w:t xml:space="preserve"> כמו כן משרד מבקר המדינה ממליץ לבט"ל להתאים את המשאבים העומדים לרשות מחלקת החקירות שלו כדי להילחם ביתר שאת בתופעה של קבלת קצבאות במרמה.</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cs"/>
          <w:sz w:val="24"/>
          <w:rtl/>
        </w:rPr>
        <w:t>בתשובת בט"ל נכתב כי "</w:t>
      </w:r>
      <w:r w:rsidRPr="00AA5065">
        <w:rPr>
          <w:rFonts w:ascii="David" w:eastAsia="Calibri" w:hAnsi="David"/>
          <w:sz w:val="24"/>
          <w:rtl/>
        </w:rPr>
        <w:t>תיקון חקיקה כאמור</w:t>
      </w:r>
      <w:r w:rsidRPr="00AA5065">
        <w:rPr>
          <w:rFonts w:ascii="David" w:eastAsia="Calibri" w:hAnsi="David" w:hint="cs"/>
          <w:sz w:val="24"/>
          <w:rtl/>
        </w:rPr>
        <w:t>...</w:t>
      </w:r>
      <w:r w:rsidRPr="00AA5065">
        <w:rPr>
          <w:rFonts w:ascii="David" w:eastAsia="Calibri" w:hAnsi="David"/>
          <w:sz w:val="24"/>
          <w:rtl/>
        </w:rPr>
        <w:t xml:space="preserve"> יחייב מתן מענים כלכליים אחרים (למשל הכרה כמשפחה שבראשה הורה עצמאי, קבלת</w:t>
      </w:r>
      <w:r w:rsidRPr="00AA5065">
        <w:rPr>
          <w:rFonts w:ascii="David" w:eastAsia="Calibri" w:hAnsi="David" w:hint="cs"/>
          <w:sz w:val="24"/>
          <w:rtl/>
        </w:rPr>
        <w:t xml:space="preserve"> </w:t>
      </w:r>
      <w:r w:rsidRPr="00AA5065">
        <w:rPr>
          <w:rFonts w:ascii="David" w:eastAsia="Calibri" w:hAnsi="David"/>
          <w:sz w:val="24"/>
          <w:rtl/>
        </w:rPr>
        <w:t>הבטחת הכנסה במקום זכאות לשאירים ועוד).</w:t>
      </w:r>
      <w:r w:rsidRPr="00AA5065">
        <w:rPr>
          <w:rFonts w:ascii="David" w:eastAsia="Calibri" w:hAnsi="David" w:hint="cs"/>
          <w:sz w:val="24"/>
          <w:rtl/>
        </w:rPr>
        <w:t xml:space="preserve"> </w:t>
      </w:r>
      <w:r w:rsidRPr="00AA5065">
        <w:rPr>
          <w:rFonts w:ascii="David" w:eastAsia="Calibri" w:hAnsi="David"/>
          <w:sz w:val="24"/>
          <w:rtl/>
        </w:rPr>
        <w:t>יצוין כי סוגיה זו נבחנת במסגרת ה</w:t>
      </w:r>
      <w:r w:rsidRPr="00AA5065">
        <w:rPr>
          <w:rFonts w:ascii="David" w:eastAsia="Calibri" w:hAnsi="David" w:hint="cs"/>
          <w:sz w:val="24"/>
          <w:rtl/>
        </w:rPr>
        <w:t>צוות ה</w:t>
      </w:r>
      <w:r w:rsidRPr="00AA5065">
        <w:rPr>
          <w:rFonts w:ascii="David" w:eastAsia="Calibri" w:hAnsi="David"/>
          <w:sz w:val="24"/>
          <w:rtl/>
        </w:rPr>
        <w:t>בין משרדי והמלצות מפורטות יוגשו בעניין</w:t>
      </w:r>
      <w:r w:rsidRPr="00AA5065">
        <w:rPr>
          <w:rFonts w:ascii="David" w:eastAsia="Calibri" w:hAnsi="David" w:hint="cs"/>
          <w:sz w:val="24"/>
          <w:rtl/>
        </w:rPr>
        <w:t>"</w:t>
      </w:r>
      <w:r w:rsidRPr="00AA5065">
        <w:rPr>
          <w:rFonts w:ascii="David" w:eastAsia="Calibri" w:hAnsi="David"/>
          <w:sz w:val="24"/>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eastAsia"/>
          <w:sz w:val="24"/>
          <w:rtl/>
        </w:rPr>
        <w:t>בתשובת</w:t>
      </w:r>
      <w:r w:rsidRPr="00AA5065">
        <w:rPr>
          <w:rFonts w:ascii="David" w:eastAsia="Calibri" w:hAnsi="David"/>
          <w:sz w:val="24"/>
          <w:rtl/>
        </w:rPr>
        <w:t xml:space="preserve"> </w:t>
      </w:r>
      <w:r w:rsidRPr="00AA5065">
        <w:rPr>
          <w:rFonts w:ascii="David" w:eastAsia="Calibri" w:hAnsi="David" w:hint="eastAsia"/>
          <w:sz w:val="24"/>
          <w:rtl/>
        </w:rPr>
        <w:t>משרד</w:t>
      </w:r>
      <w:r w:rsidRPr="00AA5065">
        <w:rPr>
          <w:rFonts w:ascii="David" w:eastAsia="Calibri" w:hAnsi="David"/>
          <w:sz w:val="24"/>
          <w:rtl/>
        </w:rPr>
        <w:t xml:space="preserve"> </w:t>
      </w:r>
      <w:r w:rsidRPr="00AA5065">
        <w:rPr>
          <w:rFonts w:ascii="David" w:eastAsia="Calibri" w:hAnsi="David" w:hint="eastAsia"/>
          <w:sz w:val="24"/>
          <w:rtl/>
        </w:rPr>
        <w:t>המשפטים</w:t>
      </w:r>
      <w:r w:rsidRPr="00AA5065">
        <w:rPr>
          <w:rFonts w:ascii="David" w:eastAsia="Calibri" w:hAnsi="David"/>
          <w:sz w:val="24"/>
          <w:rtl/>
        </w:rPr>
        <w:t xml:space="preserve"> </w:t>
      </w:r>
      <w:r w:rsidRPr="00AA5065">
        <w:rPr>
          <w:rFonts w:ascii="David" w:eastAsia="Calibri" w:hAnsi="David" w:hint="eastAsia"/>
          <w:sz w:val="24"/>
          <w:rtl/>
        </w:rPr>
        <w:t>נכתב</w:t>
      </w:r>
      <w:r w:rsidRPr="00AA5065">
        <w:rPr>
          <w:rFonts w:ascii="David" w:eastAsia="Calibri" w:hAnsi="David"/>
          <w:sz w:val="24"/>
          <w:rtl/>
        </w:rPr>
        <w:t xml:space="preserve"> </w:t>
      </w:r>
      <w:r w:rsidRPr="00AA5065">
        <w:rPr>
          <w:rFonts w:ascii="David" w:eastAsia="Calibri" w:hAnsi="David" w:hint="eastAsia"/>
          <w:sz w:val="24"/>
          <w:rtl/>
        </w:rPr>
        <w:t>כי</w:t>
      </w:r>
      <w:r w:rsidRPr="00AA5065">
        <w:rPr>
          <w:rFonts w:ascii="David" w:eastAsia="Calibri" w:hAnsi="David"/>
          <w:sz w:val="24"/>
          <w:rtl/>
        </w:rPr>
        <w:t xml:space="preserve"> "הנושא נבחן על-ידי הצוות והובאו בפניו נתונים הנוגעים בדבר, בין היתר גובה הקצבה שניתנת בגין אישה שאינה תושבת </w:t>
      </w:r>
      <w:r w:rsidRPr="00AA5065">
        <w:rPr>
          <w:rFonts w:ascii="David" w:eastAsia="Calibri" w:hAnsi="David" w:hint="cs"/>
          <w:sz w:val="24"/>
          <w:rtl/>
        </w:rPr>
        <w:t>(</w:t>
      </w:r>
      <w:r w:rsidRPr="00AA5065">
        <w:rPr>
          <w:rFonts w:ascii="David" w:eastAsia="Calibri" w:hAnsi="David"/>
          <w:sz w:val="24"/>
          <w:rtl/>
        </w:rPr>
        <w:t>קצבה מופחתת</w:t>
      </w:r>
      <w:r w:rsidRPr="00AA5065">
        <w:rPr>
          <w:rFonts w:ascii="David" w:eastAsia="Calibri" w:hAnsi="David" w:hint="cs"/>
          <w:sz w:val="24"/>
          <w:rtl/>
        </w:rPr>
        <w:t>)</w:t>
      </w:r>
      <w:r w:rsidRPr="00AA5065">
        <w:rPr>
          <w:rFonts w:ascii="David" w:eastAsia="Calibri" w:hAnsi="David"/>
          <w:sz w:val="24"/>
          <w:rtl/>
        </w:rPr>
        <w:t xml:space="preserve"> ומספר התאים המשפחתיים הפוליגמיים המקבלים אותן. מתוך כך, לא נמצאו תימוכין לקביעה זו, על אף שהיא נשמעת רבות בפי גורמים שונים".</w:t>
      </w:r>
    </w:p>
    <w:p w:rsidR="00AA5065" w:rsidRPr="00AA5065" w:rsidP="00860D89">
      <w:pPr>
        <w:spacing w:line="269" w:lineRule="auto"/>
        <w:rPr>
          <w:rFonts w:eastAsia="Calibri"/>
          <w:rtl/>
        </w:rPr>
      </w:pPr>
    </w:p>
    <w:p w:rsidR="00AA5065" w:rsidRPr="00AA5065" w:rsidP="004E6B4D">
      <w:pPr>
        <w:keepNext/>
        <w:keepLines/>
        <w:spacing w:before="120" w:line="269" w:lineRule="auto"/>
        <w:outlineLvl w:val="3"/>
        <w:rPr>
          <w:rFonts w:eastAsia="Times New Roman"/>
          <w:bCs/>
          <w:szCs w:val="28"/>
          <w:u w:val="single"/>
          <w:rtl/>
        </w:rPr>
      </w:pPr>
      <w:r w:rsidRPr="00AA5065">
        <w:rPr>
          <w:rFonts w:eastAsia="Times New Roman"/>
          <w:bCs/>
          <w:szCs w:val="28"/>
          <w:u w:val="single"/>
          <w:rtl/>
        </w:rPr>
        <w:t xml:space="preserve">הליכי </w:t>
      </w:r>
      <w:r w:rsidRPr="00AA5065">
        <w:rPr>
          <w:rFonts w:eastAsia="Times New Roman" w:hint="cs"/>
          <w:bCs/>
          <w:szCs w:val="28"/>
          <w:u w:val="single"/>
          <w:rtl/>
        </w:rPr>
        <w:t>ה</w:t>
      </w:r>
      <w:r w:rsidRPr="00AA5065">
        <w:rPr>
          <w:rFonts w:eastAsia="Times New Roman"/>
          <w:bCs/>
          <w:szCs w:val="28"/>
          <w:u w:val="single"/>
          <w:rtl/>
        </w:rPr>
        <w:t xml:space="preserve">אכיפה, </w:t>
      </w:r>
      <w:r w:rsidRPr="00AA5065">
        <w:rPr>
          <w:rFonts w:eastAsia="Times New Roman" w:hint="cs"/>
          <w:bCs/>
          <w:szCs w:val="28"/>
          <w:u w:val="single"/>
          <w:rtl/>
        </w:rPr>
        <w:t>ה</w:t>
      </w:r>
      <w:r w:rsidRPr="00AA5065">
        <w:rPr>
          <w:rFonts w:eastAsia="Times New Roman"/>
          <w:bCs/>
          <w:szCs w:val="28"/>
          <w:u w:val="single"/>
          <w:rtl/>
        </w:rPr>
        <w:t>הרתעה ו</w:t>
      </w:r>
      <w:r w:rsidRPr="00AA5065">
        <w:rPr>
          <w:rFonts w:eastAsia="Times New Roman" w:hint="cs"/>
          <w:bCs/>
          <w:szCs w:val="28"/>
          <w:u w:val="single"/>
          <w:rtl/>
        </w:rPr>
        <w:t>ה</w:t>
      </w:r>
      <w:r w:rsidRPr="00AA5065">
        <w:rPr>
          <w:rFonts w:eastAsia="Times New Roman"/>
          <w:bCs/>
          <w:szCs w:val="28"/>
          <w:u w:val="single"/>
          <w:rtl/>
        </w:rPr>
        <w:t xml:space="preserve">גבייה של חובות מס באזור הנגב </w:t>
      </w:r>
    </w:p>
    <w:p w:rsidR="00AA5065" w:rsidRPr="00AA5065" w:rsidP="00860D89">
      <w:pPr>
        <w:spacing w:line="269" w:lineRule="auto"/>
        <w:rPr>
          <w:rFonts w:eastAsia="Calibri"/>
          <w:rtl/>
        </w:rPr>
      </w:pPr>
    </w:p>
    <w:p w:rsidR="00AA5065" w:rsidRPr="00AA5065" w:rsidP="00860D89">
      <w:pPr>
        <w:keepNext/>
        <w:keepLines/>
        <w:spacing w:line="269" w:lineRule="auto"/>
        <w:outlineLvl w:val="3"/>
        <w:rPr>
          <w:rFonts w:eastAsia="Times New Roman"/>
          <w:bCs/>
          <w:szCs w:val="26"/>
          <w:rtl/>
        </w:rPr>
      </w:pPr>
      <w:r w:rsidRPr="00AA5065">
        <w:rPr>
          <w:rFonts w:eastAsia="Times New Roman"/>
          <w:bCs/>
          <w:szCs w:val="26"/>
          <w:rtl/>
        </w:rPr>
        <w:t>ק</w:t>
      </w:r>
      <w:bookmarkStart w:id="39" w:name="_Hlk204854793"/>
      <w:r w:rsidRPr="00AA5065">
        <w:rPr>
          <w:rFonts w:eastAsia="Times New Roman"/>
          <w:bCs/>
          <w:szCs w:val="26"/>
          <w:rtl/>
        </w:rPr>
        <w:t>שיים באיתור נישומים באזור הנגב</w:t>
      </w:r>
      <w:bookmarkEnd w:id="39"/>
    </w:p>
    <w:p w:rsidR="00AA5065" w:rsidRPr="00AA5065" w:rsidP="00860D89">
      <w:pPr>
        <w:spacing w:line="269" w:lineRule="auto"/>
        <w:ind w:left="-567"/>
        <w:rPr>
          <w:rFonts w:eastAsia="Calibri"/>
          <w:szCs w:val="20"/>
          <w:rtl/>
        </w:rPr>
      </w:pPr>
    </w:p>
    <w:p w:rsidR="00AA5065" w:rsidP="00860D89">
      <w:pPr>
        <w:spacing w:line="269" w:lineRule="auto"/>
        <w:rPr>
          <w:rFonts w:ascii="David" w:eastAsia="Calibri" w:hAnsi="David"/>
          <w:rtl/>
        </w:rPr>
      </w:pPr>
      <w:r w:rsidRPr="00AA5065">
        <w:rPr>
          <w:rFonts w:ascii="David" w:eastAsia="Calibri" w:hAnsi="David"/>
          <w:rtl/>
        </w:rPr>
        <w:t xml:space="preserve">בשל השטח הגיאוגרפי הגדול </w:t>
      </w:r>
      <w:r w:rsidRPr="00AA5065">
        <w:rPr>
          <w:rFonts w:ascii="David" w:eastAsia="Calibri" w:hAnsi="David" w:hint="cs"/>
          <w:rtl/>
        </w:rPr>
        <w:t xml:space="preserve">של מרחב הנגב </w:t>
      </w:r>
      <w:r w:rsidRPr="00AA5065">
        <w:rPr>
          <w:rFonts w:ascii="David" w:eastAsia="Calibri" w:hAnsi="David"/>
          <w:rtl/>
        </w:rPr>
        <w:t>ו</w:t>
      </w:r>
      <w:r w:rsidRPr="00AA5065">
        <w:rPr>
          <w:rFonts w:ascii="David" w:eastAsia="Calibri" w:hAnsi="David" w:hint="cs"/>
          <w:rtl/>
        </w:rPr>
        <w:t xml:space="preserve">בשל </w:t>
      </w:r>
      <w:r w:rsidRPr="00AA5065">
        <w:rPr>
          <w:rFonts w:ascii="David" w:eastAsia="Calibri" w:hAnsi="David"/>
          <w:rtl/>
        </w:rPr>
        <w:t>הפיזור הנרחב של אוכלוסיית העוסקים ב</w:t>
      </w:r>
      <w:r w:rsidRPr="00AA5065">
        <w:rPr>
          <w:rFonts w:ascii="David" w:eastAsia="Calibri" w:hAnsi="David" w:hint="cs"/>
          <w:rtl/>
        </w:rPr>
        <w:t>ו</w:t>
      </w:r>
      <w:r w:rsidRPr="00AA5065">
        <w:rPr>
          <w:rFonts w:ascii="David" w:eastAsia="Calibri" w:hAnsi="David"/>
          <w:rtl/>
        </w:rPr>
        <w:t xml:space="preserve">, התמודדותם של עובדי רשות המיסים באזור </w:t>
      </w:r>
      <w:r w:rsidRPr="00AA5065">
        <w:rPr>
          <w:rFonts w:ascii="David" w:eastAsia="Calibri" w:hAnsi="David" w:hint="cs"/>
          <w:rtl/>
        </w:rPr>
        <w:t>זה</w:t>
      </w:r>
      <w:r w:rsidRPr="00AA5065">
        <w:rPr>
          <w:rFonts w:ascii="David" w:eastAsia="Calibri" w:hAnsi="David"/>
          <w:rtl/>
        </w:rPr>
        <w:t xml:space="preserve"> מורכבת מאוד וייחודית בהשוואה ליתר חלקי הארץ</w:t>
      </w:r>
      <w:r w:rsidRPr="00AA5065">
        <w:rPr>
          <w:rFonts w:ascii="David" w:eastAsia="Calibri" w:hAnsi="David" w:hint="cs"/>
          <w:rtl/>
        </w:rPr>
        <w:t>.</w:t>
      </w:r>
      <w:r w:rsidRPr="00AA5065">
        <w:rPr>
          <w:rFonts w:ascii="David" w:eastAsia="Calibri" w:hAnsi="David"/>
          <w:rtl/>
        </w:rPr>
        <w:t xml:space="preserve"> לצורך הטיפול באוכלוסיית הנישומים יש לאתר את העוסקים, לזמן אותם לחקירה, למסור זימונים לשימוע לפני הגשת כתב אישום, למסור זימונים לבית המשפט, לבצע צווי הבאה ועוד. אי-איתור כתובת הנמען לצורך חלוקת הדואר וחוסר במערכת ‏מסודרת של שמות התושבים וכתובות מדויקות מקשה </w:t>
      </w:r>
      <w:r w:rsidRPr="00AA5065">
        <w:rPr>
          <w:rFonts w:ascii="David" w:eastAsia="Calibri" w:hAnsi="David" w:hint="cs"/>
          <w:rtl/>
        </w:rPr>
        <w:t>את</w:t>
      </w:r>
      <w:r w:rsidRPr="00AA5065">
        <w:rPr>
          <w:rFonts w:ascii="David" w:eastAsia="Calibri" w:hAnsi="David"/>
          <w:rtl/>
        </w:rPr>
        <w:t xml:space="preserve"> האכיפה כלפי נישומים. הימנעות מכניסה לאזורים </w:t>
      </w:r>
      <w:r w:rsidRPr="00AA5065">
        <w:rPr>
          <w:rFonts w:ascii="David" w:eastAsia="Calibri" w:hAnsi="David" w:hint="cs"/>
          <w:rtl/>
        </w:rPr>
        <w:t xml:space="preserve">מסוימים </w:t>
      </w:r>
      <w:r w:rsidRPr="00AA5065">
        <w:rPr>
          <w:rFonts w:ascii="David" w:eastAsia="Calibri" w:hAnsi="David"/>
          <w:rtl/>
        </w:rPr>
        <w:t>מצמצמת את כושר ההרתעה של רשות המ</w:t>
      </w:r>
      <w:r w:rsidRPr="00AA5065">
        <w:rPr>
          <w:rFonts w:ascii="David" w:eastAsia="Calibri" w:hAnsi="David" w:hint="cs"/>
          <w:rtl/>
        </w:rPr>
        <w:t>י</w:t>
      </w:r>
      <w:r w:rsidRPr="00AA5065">
        <w:rPr>
          <w:rFonts w:ascii="David" w:eastAsia="Calibri" w:hAnsi="David"/>
          <w:rtl/>
        </w:rPr>
        <w:t xml:space="preserve">סים ומגבירה </w:t>
      </w:r>
      <w:r w:rsidRPr="00AA5065">
        <w:rPr>
          <w:rFonts w:ascii="David" w:eastAsia="Calibri" w:hAnsi="David" w:hint="cs"/>
          <w:rtl/>
        </w:rPr>
        <w:t>את ה</w:t>
      </w:r>
      <w:r w:rsidRPr="00AA5065">
        <w:rPr>
          <w:rFonts w:ascii="David" w:eastAsia="Calibri" w:hAnsi="David"/>
          <w:rtl/>
        </w:rPr>
        <w:t xml:space="preserve">תופעות </w:t>
      </w:r>
      <w:r w:rsidRPr="00AA5065">
        <w:rPr>
          <w:rFonts w:ascii="David" w:eastAsia="Calibri" w:hAnsi="David" w:hint="cs"/>
          <w:rtl/>
        </w:rPr>
        <w:t xml:space="preserve">של </w:t>
      </w:r>
      <w:r w:rsidRPr="00AA5065">
        <w:rPr>
          <w:rFonts w:ascii="David" w:eastAsia="Calibri" w:hAnsi="David"/>
          <w:rtl/>
        </w:rPr>
        <w:t>העלמת מס והון שחור</w:t>
      </w:r>
      <w:r w:rsidRPr="00AA5065">
        <w:rPr>
          <w:rFonts w:ascii="David" w:eastAsia="Calibri" w:hAnsi="David" w:hint="cs"/>
          <w:rtl/>
        </w:rPr>
        <w:t>,</w:t>
      </w:r>
      <w:r w:rsidRPr="00AA5065">
        <w:rPr>
          <w:rFonts w:ascii="David" w:eastAsia="Calibri" w:hAnsi="David"/>
          <w:rtl/>
        </w:rPr>
        <w:t xml:space="preserve"> הגורמות נזק כבד לכלכלת ישראל.</w:t>
      </w:r>
    </w:p>
    <w:p w:rsidR="002E078F" w:rsidRPr="00AA5065" w:rsidP="00860D89">
      <w:pPr>
        <w:spacing w:line="269" w:lineRule="auto"/>
        <w:rPr>
          <w:rFonts w:ascii="David" w:eastAsia="Calibri" w:hAnsi="David"/>
          <w:rtl/>
        </w:rPr>
      </w:pPr>
    </w:p>
    <w:p w:rsidR="00AA5065" w:rsidRPr="00AA5065" w:rsidP="00860D89">
      <w:pPr>
        <w:spacing w:line="269" w:lineRule="auto"/>
        <w:rPr>
          <w:rFonts w:ascii="David" w:eastAsia="Calibri" w:hAnsi="David"/>
          <w:rtl/>
        </w:rPr>
      </w:pPr>
      <w:r w:rsidRPr="00AA5065">
        <w:rPr>
          <w:rFonts w:ascii="David" w:eastAsia="Calibri" w:hAnsi="David"/>
          <w:rtl/>
        </w:rPr>
        <w:t xml:space="preserve">בפקודת העיריות [נוסח חדש] נקבע כי העירייה "תקרא שמות לכל הדרכים, ‏הרחובות, הסימטאות... ותדאג לקביעתם במקומות בולטים ולסימון </w:t>
      </w:r>
      <w:r w:rsidRPr="00AA5065">
        <w:rPr>
          <w:rFonts w:ascii="David" w:eastAsia="Calibri" w:hAnsi="David" w:hint="cs"/>
          <w:rtl/>
        </w:rPr>
        <w:t>הבנייני</w:t>
      </w:r>
      <w:r w:rsidRPr="00AA5065">
        <w:rPr>
          <w:rFonts w:ascii="David" w:eastAsia="Calibri" w:hAnsi="David" w:hint="eastAsia"/>
          <w:rtl/>
        </w:rPr>
        <w:t>ם</w:t>
      </w:r>
      <w:r w:rsidRPr="00AA5065">
        <w:rPr>
          <w:rFonts w:ascii="David" w:eastAsia="Calibri" w:hAnsi="David"/>
          <w:rtl/>
        </w:rPr>
        <w:t xml:space="preserve"> ‏במקומות אלה במספרים". בדומה לכך, נקבעה הוראה דומה בפקודת המועצות ‏המקומיות [נוסח חדש]. גם תקנות העיריות (מתן מספרים ושמות לרחובות ‏וסימון בתים במספרים), התשל"א-1971, עוסקות בנושא זה‏. כלומר</w:t>
      </w:r>
      <w:r w:rsidRPr="00AA5065">
        <w:rPr>
          <w:rFonts w:ascii="David" w:eastAsia="Calibri" w:hAnsi="David" w:hint="cs"/>
          <w:rtl/>
        </w:rPr>
        <w:t>,</w:t>
      </w:r>
      <w:r w:rsidRPr="00AA5065">
        <w:rPr>
          <w:rFonts w:ascii="David" w:eastAsia="Calibri" w:hAnsi="David"/>
          <w:rtl/>
        </w:rPr>
        <w:t xml:space="preserve"> האחריות למתן שמות לרחובות ‏ולעדכון הכתובות מוטלת כאמור על הרשות המקומית באישור משרד ‏הפנים.‏</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בדוח הקודם</w:t>
      </w:r>
      <w:r w:rsidRPr="00AA5065">
        <w:rPr>
          <w:rFonts w:ascii="David" w:eastAsia="Calibri" w:hAnsi="David"/>
          <w:rtl/>
        </w:rPr>
        <w:t xml:space="preserve"> </w:t>
      </w:r>
      <w:r w:rsidRPr="00AA5065">
        <w:rPr>
          <w:rFonts w:ascii="David" w:eastAsia="Calibri" w:hAnsi="David" w:hint="cs"/>
          <w:rtl/>
        </w:rPr>
        <w:t xml:space="preserve">צוין כי ביישובי הבדואים ובפזורה הבדואית </w:t>
      </w:r>
      <w:r w:rsidRPr="00AA5065">
        <w:rPr>
          <w:rFonts w:ascii="David" w:eastAsia="Calibri" w:hAnsi="David"/>
          <w:rtl/>
        </w:rPr>
        <w:t>קיימת בעיה של היעדר שמות לרחובות ומספרי בתי</w:t>
      </w:r>
      <w:r w:rsidRPr="00AA5065">
        <w:rPr>
          <w:rFonts w:ascii="David" w:eastAsia="Calibri" w:hAnsi="David" w:hint="cs"/>
          <w:rtl/>
        </w:rPr>
        <w:t>ם, המקשה על רשות המיסים לאתר</w:t>
      </w:r>
      <w:r w:rsidRPr="00AA5065">
        <w:rPr>
          <w:rFonts w:ascii="David" w:eastAsia="Calibri" w:hAnsi="David"/>
          <w:rtl/>
        </w:rPr>
        <w:t xml:space="preserve"> </w:t>
      </w:r>
      <w:r w:rsidRPr="00AA5065">
        <w:rPr>
          <w:rFonts w:ascii="David" w:eastAsia="Calibri" w:hAnsi="David" w:hint="cs"/>
          <w:rtl/>
        </w:rPr>
        <w:t>נישומים ולמסור להם מכתבים, והוער על היעדר ביקורות ניהול פנקסי חשבונות ביישובי האוכלוסייה הלא-יהודית בנגב ועל אי-</w:t>
      </w:r>
      <w:r w:rsidRPr="00AA5065">
        <w:rPr>
          <w:rFonts w:ascii="David" w:eastAsia="Calibri" w:hAnsi="David"/>
          <w:rtl/>
        </w:rPr>
        <w:t>כניסתם של עובדי רשות המ</w:t>
      </w:r>
      <w:r w:rsidRPr="00AA5065">
        <w:rPr>
          <w:rFonts w:ascii="David" w:eastAsia="Calibri" w:hAnsi="David" w:hint="cs"/>
          <w:rtl/>
        </w:rPr>
        <w:t>י</w:t>
      </w:r>
      <w:r w:rsidRPr="00AA5065">
        <w:rPr>
          <w:rFonts w:ascii="David" w:eastAsia="Calibri" w:hAnsi="David"/>
          <w:rtl/>
        </w:rPr>
        <w:t xml:space="preserve">סים לאזורים </w:t>
      </w:r>
      <w:r w:rsidRPr="00AA5065">
        <w:rPr>
          <w:rFonts w:ascii="David" w:eastAsia="Calibri" w:hAnsi="David" w:hint="cs"/>
          <w:rtl/>
        </w:rPr>
        <w:t>ש</w:t>
      </w:r>
      <w:r w:rsidRPr="00AA5065">
        <w:rPr>
          <w:rFonts w:ascii="David" w:eastAsia="Calibri" w:hAnsi="David"/>
          <w:rtl/>
        </w:rPr>
        <w:t>בהם נדרש</w:t>
      </w:r>
      <w:r w:rsidRPr="00AA5065">
        <w:rPr>
          <w:rFonts w:ascii="David" w:eastAsia="Calibri" w:hAnsi="David" w:hint="cs"/>
          <w:rtl/>
        </w:rPr>
        <w:t>ו</w:t>
      </w:r>
      <w:r w:rsidRPr="00AA5065">
        <w:rPr>
          <w:rFonts w:ascii="David" w:eastAsia="Calibri" w:hAnsi="David"/>
          <w:rtl/>
        </w:rPr>
        <w:t>ת גבייה ואכיפה</w:t>
      </w:r>
      <w:r w:rsidRPr="00AA5065">
        <w:rPr>
          <w:rFonts w:ascii="David" w:eastAsia="Calibri" w:hAnsi="David" w:hint="cs"/>
          <w:rtl/>
        </w:rPr>
        <w:t>.</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 xml:space="preserve">בביקורת המעקב מסר מנהל </w:t>
      </w:r>
      <w:r w:rsidRPr="00AA5065">
        <w:rPr>
          <w:rFonts w:ascii="David" w:eastAsia="Calibri" w:hAnsi="David"/>
          <w:rtl/>
        </w:rPr>
        <w:t xml:space="preserve">פקיד השומה בבאר שבע כי </w:t>
      </w:r>
      <w:r w:rsidRPr="00AA5065">
        <w:rPr>
          <w:rFonts w:ascii="David" w:eastAsia="Calibri" w:hAnsi="David" w:hint="cs"/>
          <w:rtl/>
        </w:rPr>
        <w:t xml:space="preserve">עדיין </w:t>
      </w:r>
      <w:r w:rsidRPr="00AA5065">
        <w:rPr>
          <w:rFonts w:ascii="David" w:eastAsia="Calibri" w:hAnsi="David"/>
          <w:rtl/>
        </w:rPr>
        <w:t xml:space="preserve">קיימת בעיה </w:t>
      </w:r>
      <w:r w:rsidRPr="00AA5065">
        <w:rPr>
          <w:rFonts w:ascii="David" w:eastAsia="Calibri" w:hAnsi="David" w:hint="cs"/>
          <w:rtl/>
        </w:rPr>
        <w:t>חמורה</w:t>
      </w:r>
      <w:r w:rsidRPr="00AA5065">
        <w:rPr>
          <w:rFonts w:ascii="David" w:eastAsia="Calibri" w:hAnsi="David"/>
          <w:rtl/>
        </w:rPr>
        <w:t xml:space="preserve"> </w:t>
      </w:r>
      <w:r w:rsidRPr="00AA5065">
        <w:rPr>
          <w:rFonts w:ascii="David" w:eastAsia="Calibri" w:hAnsi="David" w:hint="cs"/>
          <w:rtl/>
        </w:rPr>
        <w:t>במשלוח</w:t>
      </w:r>
      <w:r w:rsidRPr="00AA5065">
        <w:rPr>
          <w:rFonts w:ascii="David" w:eastAsia="Calibri" w:hAnsi="David"/>
          <w:rtl/>
        </w:rPr>
        <w:t xml:space="preserve"> דואר </w:t>
      </w:r>
      <w:r w:rsidRPr="00AA5065">
        <w:rPr>
          <w:rFonts w:ascii="David" w:eastAsia="Calibri" w:hAnsi="David" w:hint="cs"/>
          <w:rtl/>
        </w:rPr>
        <w:t>ליישוב</w:t>
      </w:r>
      <w:r w:rsidRPr="00AA5065">
        <w:rPr>
          <w:rFonts w:ascii="David" w:eastAsia="Calibri" w:hAnsi="David" w:hint="eastAsia"/>
          <w:rtl/>
        </w:rPr>
        <w:t>י</w:t>
      </w:r>
      <w:r w:rsidRPr="00AA5065">
        <w:rPr>
          <w:rFonts w:ascii="David" w:eastAsia="Calibri" w:hAnsi="David"/>
          <w:rtl/>
        </w:rPr>
        <w:t xml:space="preserve"> הבדואים ו</w:t>
      </w:r>
      <w:r w:rsidRPr="00AA5065">
        <w:rPr>
          <w:rFonts w:ascii="David" w:eastAsia="Calibri" w:hAnsi="David" w:hint="cs"/>
          <w:rtl/>
        </w:rPr>
        <w:t>ל</w:t>
      </w:r>
      <w:r w:rsidRPr="00AA5065">
        <w:rPr>
          <w:rFonts w:ascii="David" w:eastAsia="Calibri" w:hAnsi="David"/>
          <w:rtl/>
        </w:rPr>
        <w:t>פזור</w:t>
      </w:r>
      <w:r w:rsidRPr="00AA5065">
        <w:rPr>
          <w:rFonts w:ascii="David" w:eastAsia="Calibri" w:hAnsi="David" w:hint="cs"/>
          <w:rtl/>
        </w:rPr>
        <w:t>ה</w:t>
      </w:r>
      <w:r w:rsidRPr="00AA5065">
        <w:rPr>
          <w:rFonts w:ascii="David" w:eastAsia="Calibri" w:hAnsi="David"/>
          <w:rtl/>
        </w:rPr>
        <w:t xml:space="preserve">, </w:t>
      </w:r>
      <w:r w:rsidRPr="00AA5065">
        <w:rPr>
          <w:rFonts w:ascii="David" w:eastAsia="Calibri" w:hAnsi="David" w:hint="cs"/>
          <w:rtl/>
        </w:rPr>
        <w:t>בשל היעדר</w:t>
      </w:r>
      <w:r w:rsidRPr="00AA5065">
        <w:rPr>
          <w:rFonts w:ascii="David" w:eastAsia="Calibri" w:hAnsi="David"/>
          <w:rtl/>
        </w:rPr>
        <w:t xml:space="preserve"> הכתובות מוסדרות</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 xml:space="preserve">עקב כך </w:t>
      </w:r>
      <w:r w:rsidRPr="00AA5065">
        <w:rPr>
          <w:rFonts w:ascii="David" w:eastAsia="Calibri" w:hAnsi="David"/>
          <w:rtl/>
        </w:rPr>
        <w:t xml:space="preserve">מכתבים </w:t>
      </w:r>
      <w:r w:rsidRPr="00AA5065">
        <w:rPr>
          <w:rFonts w:ascii="David" w:eastAsia="Calibri" w:hAnsi="David" w:hint="cs"/>
          <w:rtl/>
        </w:rPr>
        <w:t>רשמיים</w:t>
      </w:r>
      <w:r w:rsidRPr="00AA5065">
        <w:rPr>
          <w:rFonts w:ascii="David" w:eastAsia="Calibri" w:hAnsi="David"/>
          <w:rtl/>
        </w:rPr>
        <w:t xml:space="preserve"> </w:t>
      </w:r>
      <w:r w:rsidRPr="00AA5065">
        <w:rPr>
          <w:rFonts w:ascii="David" w:eastAsia="Calibri" w:hAnsi="David" w:hint="cs"/>
          <w:rtl/>
        </w:rPr>
        <w:t xml:space="preserve">- לרבות הודעות שומה - </w:t>
      </w:r>
      <w:r w:rsidRPr="00AA5065">
        <w:rPr>
          <w:rFonts w:ascii="David" w:eastAsia="Calibri" w:hAnsi="David"/>
          <w:rtl/>
        </w:rPr>
        <w:t>מוחזרים</w:t>
      </w:r>
      <w:r w:rsidRPr="00AA5065">
        <w:rPr>
          <w:rFonts w:ascii="David" w:eastAsia="Calibri" w:hAnsi="David" w:hint="cs"/>
          <w:rtl/>
        </w:rPr>
        <w:t xml:space="preserve"> לשולח</w:t>
      </w:r>
      <w:r w:rsidRPr="00AA5065">
        <w:rPr>
          <w:rFonts w:ascii="David" w:eastAsia="Calibri" w:hAnsi="David"/>
          <w:rtl/>
        </w:rPr>
        <w:t xml:space="preserve"> </w:t>
      </w:r>
      <w:r w:rsidRPr="00AA5065">
        <w:rPr>
          <w:rFonts w:ascii="David" w:eastAsia="Calibri" w:hAnsi="David" w:hint="cs"/>
          <w:rtl/>
        </w:rPr>
        <w:t>ו</w:t>
      </w:r>
      <w:r w:rsidRPr="00AA5065">
        <w:rPr>
          <w:rFonts w:ascii="David" w:eastAsia="Calibri" w:hAnsi="David"/>
          <w:rtl/>
        </w:rPr>
        <w:t>אינם מגיע</w:t>
      </w:r>
      <w:r w:rsidRPr="00AA5065">
        <w:rPr>
          <w:rFonts w:ascii="David" w:eastAsia="Calibri" w:hAnsi="David" w:hint="cs"/>
          <w:rtl/>
        </w:rPr>
        <w:t>ים</w:t>
      </w:r>
      <w:r w:rsidRPr="00AA5065">
        <w:rPr>
          <w:rFonts w:ascii="David" w:eastAsia="Calibri" w:hAnsi="David"/>
          <w:rtl/>
        </w:rPr>
        <w:t xml:space="preserve"> ליעד</w:t>
      </w:r>
      <w:r w:rsidRPr="00AA5065">
        <w:rPr>
          <w:rFonts w:ascii="David" w:eastAsia="Calibri" w:hAnsi="David" w:hint="cs"/>
          <w:rtl/>
        </w:rPr>
        <w:t>ם.</w:t>
      </w:r>
      <w:r w:rsidRPr="00AA5065">
        <w:rPr>
          <w:rFonts w:ascii="David" w:eastAsia="Calibri" w:hAnsi="David"/>
          <w:rtl/>
        </w:rPr>
        <w:t xml:space="preserve"> </w:t>
      </w:r>
      <w:r w:rsidRPr="00AA5065">
        <w:rPr>
          <w:rFonts w:ascii="David" w:eastAsia="Calibri" w:hAnsi="David" w:hint="cs"/>
          <w:rtl/>
        </w:rPr>
        <w:t>לפיכך,</w:t>
      </w:r>
      <w:r w:rsidRPr="00AA5065">
        <w:rPr>
          <w:rFonts w:ascii="David" w:eastAsia="Calibri" w:hAnsi="David"/>
          <w:rtl/>
        </w:rPr>
        <w:t xml:space="preserve"> </w:t>
      </w:r>
      <w:r w:rsidRPr="00AA5065">
        <w:rPr>
          <w:rFonts w:ascii="David" w:eastAsia="Calibri" w:hAnsi="David" w:hint="cs"/>
          <w:rtl/>
        </w:rPr>
        <w:t>במקרים רבים נאלצים</w:t>
      </w:r>
      <w:r w:rsidRPr="00AA5065">
        <w:rPr>
          <w:rFonts w:ascii="David" w:eastAsia="Calibri" w:hAnsi="David"/>
          <w:rtl/>
        </w:rPr>
        <w:t xml:space="preserve"> </w:t>
      </w:r>
      <w:r w:rsidRPr="00AA5065">
        <w:rPr>
          <w:rFonts w:ascii="David" w:eastAsia="Calibri" w:hAnsi="David" w:hint="cs"/>
          <w:rtl/>
        </w:rPr>
        <w:t xml:space="preserve">עובדי רשות המיסים </w:t>
      </w:r>
      <w:r w:rsidRPr="00AA5065">
        <w:rPr>
          <w:rFonts w:ascii="David" w:eastAsia="Calibri" w:hAnsi="David"/>
          <w:rtl/>
        </w:rPr>
        <w:t xml:space="preserve">למסור </w:t>
      </w:r>
      <w:r w:rsidRPr="00AA5065">
        <w:rPr>
          <w:rFonts w:ascii="David" w:eastAsia="Calibri" w:hAnsi="David" w:hint="cs"/>
          <w:rtl/>
        </w:rPr>
        <w:t>את ה</w:t>
      </w:r>
      <w:r w:rsidRPr="00AA5065">
        <w:rPr>
          <w:rFonts w:ascii="David" w:eastAsia="Calibri" w:hAnsi="David"/>
          <w:rtl/>
        </w:rPr>
        <w:t>מסמכים ידנית בבת</w:t>
      </w:r>
      <w:r w:rsidRPr="00AA5065">
        <w:rPr>
          <w:rFonts w:ascii="David" w:eastAsia="Calibri" w:hAnsi="David" w:hint="cs"/>
          <w:rtl/>
        </w:rPr>
        <w:t>י</w:t>
      </w:r>
      <w:r w:rsidRPr="00AA5065">
        <w:rPr>
          <w:rFonts w:ascii="David" w:eastAsia="Calibri" w:hAnsi="David"/>
          <w:rtl/>
        </w:rPr>
        <w:t xml:space="preserve"> הנישו</w:t>
      </w:r>
      <w:r w:rsidRPr="00AA5065">
        <w:rPr>
          <w:rFonts w:ascii="David" w:eastAsia="Calibri" w:hAnsi="David" w:hint="cs"/>
          <w:rtl/>
        </w:rPr>
        <w:t>מים,</w:t>
      </w:r>
      <w:r w:rsidRPr="00AA5065">
        <w:rPr>
          <w:rFonts w:ascii="David" w:eastAsia="Calibri" w:hAnsi="David"/>
          <w:rtl/>
        </w:rPr>
        <w:t xml:space="preserve"> בליווי משטרתי, בניגוד ל</w:t>
      </w:r>
      <w:r w:rsidRPr="00AA5065">
        <w:rPr>
          <w:rFonts w:ascii="David" w:eastAsia="Calibri" w:hAnsi="David" w:hint="cs"/>
          <w:rtl/>
        </w:rPr>
        <w:t>נהוג ביתר</w:t>
      </w:r>
      <w:r w:rsidRPr="00AA5065">
        <w:rPr>
          <w:rFonts w:ascii="David" w:eastAsia="Calibri" w:hAnsi="David"/>
          <w:rtl/>
        </w:rPr>
        <w:t xml:space="preserve"> ה</w:t>
      </w:r>
      <w:r w:rsidRPr="00AA5065">
        <w:rPr>
          <w:rFonts w:ascii="David" w:eastAsia="Calibri" w:hAnsi="David" w:hint="cs"/>
          <w:rtl/>
        </w:rPr>
        <w:t>י</w:t>
      </w:r>
      <w:r w:rsidRPr="00AA5065">
        <w:rPr>
          <w:rFonts w:ascii="David" w:eastAsia="Calibri" w:hAnsi="David"/>
          <w:rtl/>
        </w:rPr>
        <w:t xml:space="preserve">ישובים בדרום.‏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מהיחידה הארצית לניהול ספרים </w:t>
      </w:r>
      <w:r w:rsidRPr="00AA5065">
        <w:rPr>
          <w:rFonts w:ascii="David" w:eastAsia="Calibri" w:hAnsi="David" w:hint="cs"/>
          <w:rtl/>
        </w:rPr>
        <w:t xml:space="preserve">ברשות המיסים </w:t>
      </w:r>
      <w:r w:rsidRPr="00AA5065">
        <w:rPr>
          <w:rFonts w:ascii="David" w:eastAsia="Calibri" w:hAnsi="David"/>
          <w:rtl/>
        </w:rPr>
        <w:t xml:space="preserve">נמסר לנציגי משרד מבקר המדינה ‏כי </w:t>
      </w:r>
      <w:r w:rsidRPr="00AA5065">
        <w:rPr>
          <w:rFonts w:ascii="David" w:eastAsia="Calibri" w:hAnsi="David" w:hint="cs"/>
          <w:rtl/>
        </w:rPr>
        <w:t>הם נתקלים ב</w:t>
      </w:r>
      <w:r w:rsidRPr="00AA5065">
        <w:rPr>
          <w:rFonts w:ascii="David" w:eastAsia="Calibri" w:hAnsi="David"/>
          <w:rtl/>
        </w:rPr>
        <w:t>קשיים באיתור כתובות באזור הנגב</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ולכן</w:t>
      </w:r>
      <w:r w:rsidRPr="00AA5065">
        <w:rPr>
          <w:rFonts w:ascii="David" w:eastAsia="Calibri" w:hAnsi="David"/>
          <w:rtl/>
        </w:rPr>
        <w:t xml:space="preserve"> </w:t>
      </w:r>
      <w:r w:rsidRPr="00AA5065">
        <w:rPr>
          <w:rFonts w:ascii="David" w:eastAsia="Calibri" w:hAnsi="David" w:hint="cs"/>
          <w:rtl/>
        </w:rPr>
        <w:t xml:space="preserve">הם החלו </w:t>
      </w:r>
      <w:r w:rsidRPr="00AA5065">
        <w:rPr>
          <w:rFonts w:ascii="David" w:eastAsia="Calibri" w:hAnsi="David"/>
          <w:rtl/>
        </w:rPr>
        <w:t>במהלך ל</w:t>
      </w:r>
      <w:r w:rsidRPr="00AA5065">
        <w:rPr>
          <w:rFonts w:ascii="David" w:eastAsia="Calibri" w:hAnsi="David" w:hint="cs"/>
          <w:rtl/>
        </w:rPr>
        <w:t>יישום</w:t>
      </w:r>
      <w:r w:rsidRPr="00AA5065">
        <w:rPr>
          <w:rFonts w:ascii="David" w:eastAsia="Calibri" w:hAnsi="David"/>
          <w:rtl/>
        </w:rPr>
        <w:t xml:space="preserve"> מערכת </w:t>
      </w:r>
      <w:r w:rsidRPr="00AA5065">
        <w:rPr>
          <w:rFonts w:ascii="David" w:eastAsia="Calibri" w:hAnsi="David"/>
        </w:rPr>
        <w:t>GIS</w:t>
      </w:r>
      <w:r w:rsidRPr="00AA5065">
        <w:rPr>
          <w:rFonts w:ascii="David" w:eastAsia="Calibri" w:hAnsi="David"/>
          <w:rtl/>
        </w:rPr>
        <w:t xml:space="preserve"> </w:t>
      </w:r>
      <w:r w:rsidRPr="00AA5065">
        <w:rPr>
          <w:rFonts w:ascii="David" w:eastAsia="Calibri" w:hAnsi="David" w:hint="cs"/>
          <w:rtl/>
        </w:rPr>
        <w:t>שמאפשרת</w:t>
      </w:r>
      <w:r w:rsidRPr="00AA5065">
        <w:rPr>
          <w:rFonts w:ascii="David" w:eastAsia="Calibri" w:hAnsi="David"/>
          <w:rtl/>
        </w:rPr>
        <w:t xml:space="preserve"> </w:t>
      </w:r>
      <w:r w:rsidRPr="00AA5065">
        <w:rPr>
          <w:rFonts w:ascii="David" w:eastAsia="Calibri" w:hAnsi="David" w:hint="cs"/>
          <w:rtl/>
        </w:rPr>
        <w:t xml:space="preserve">מיפוי מדויק של </w:t>
      </w:r>
      <w:r w:rsidRPr="00AA5065">
        <w:rPr>
          <w:rFonts w:ascii="David" w:eastAsia="Calibri" w:hAnsi="David"/>
          <w:rtl/>
        </w:rPr>
        <w:t>נקוד</w:t>
      </w:r>
      <w:r w:rsidRPr="00AA5065">
        <w:rPr>
          <w:rFonts w:ascii="David" w:eastAsia="Calibri" w:hAnsi="David" w:hint="cs"/>
          <w:rtl/>
        </w:rPr>
        <w:t>ות</w:t>
      </w:r>
      <w:r w:rsidRPr="00AA5065">
        <w:rPr>
          <w:rFonts w:ascii="David" w:eastAsia="Calibri" w:hAnsi="David"/>
          <w:rtl/>
        </w:rPr>
        <w:t xml:space="preserve"> במרחב, ועל </w:t>
      </w:r>
      <w:r w:rsidRPr="00AA5065">
        <w:rPr>
          <w:rFonts w:ascii="David" w:eastAsia="Calibri" w:hAnsi="David" w:hint="cs"/>
          <w:rtl/>
        </w:rPr>
        <w:t xml:space="preserve">גביהן </w:t>
      </w:r>
      <w:r w:rsidRPr="00AA5065">
        <w:rPr>
          <w:rFonts w:ascii="David" w:eastAsia="Calibri" w:hAnsi="David"/>
          <w:rtl/>
        </w:rPr>
        <w:t>ניתן יהיה להוסיף שכבות של מידע רלוונטי</w:t>
      </w:r>
      <w:r w:rsidRPr="00AA5065">
        <w:rPr>
          <w:rFonts w:ascii="David" w:eastAsia="Calibri" w:hAnsi="David" w:hint="cs"/>
          <w:rtl/>
        </w:rPr>
        <w:t>,</w:t>
      </w:r>
      <w:r w:rsidRPr="00AA5065">
        <w:rPr>
          <w:rFonts w:ascii="David" w:eastAsia="Calibri" w:hAnsi="David"/>
          <w:rtl/>
        </w:rPr>
        <w:t xml:space="preserve"> כגון </w:t>
      </w:r>
      <w:r w:rsidRPr="00AA5065">
        <w:rPr>
          <w:rFonts w:ascii="David" w:eastAsia="Calibri" w:hAnsi="David" w:hint="cs"/>
          <w:rtl/>
        </w:rPr>
        <w:t xml:space="preserve">נתוני </w:t>
      </w:r>
      <w:r w:rsidRPr="00AA5065">
        <w:rPr>
          <w:rFonts w:ascii="David" w:eastAsia="Calibri" w:hAnsi="David"/>
          <w:rtl/>
        </w:rPr>
        <w:t xml:space="preserve">רישוי עסקים </w:t>
      </w:r>
      <w:r w:rsidRPr="00AA5065">
        <w:rPr>
          <w:rFonts w:ascii="David" w:eastAsia="Calibri" w:hAnsi="David" w:hint="cs"/>
          <w:rtl/>
        </w:rPr>
        <w:t>ו</w:t>
      </w:r>
      <w:r w:rsidRPr="00AA5065">
        <w:rPr>
          <w:rFonts w:ascii="David" w:eastAsia="Calibri" w:hAnsi="David"/>
          <w:rtl/>
        </w:rPr>
        <w:t>מ</w:t>
      </w:r>
      <w:r w:rsidRPr="00AA5065">
        <w:rPr>
          <w:rFonts w:ascii="David" w:eastAsia="Calibri" w:hAnsi="David" w:hint="cs"/>
          <w:rtl/>
        </w:rPr>
        <w:t xml:space="preserve">ועדי </w:t>
      </w:r>
      <w:r w:rsidRPr="00AA5065">
        <w:rPr>
          <w:rFonts w:ascii="David" w:eastAsia="Calibri" w:hAnsi="David"/>
          <w:rtl/>
        </w:rPr>
        <w:t>ביקורות</w:t>
      </w:r>
      <w:r w:rsidRPr="00AA5065">
        <w:rPr>
          <w:rFonts w:ascii="David" w:eastAsia="Calibri" w:hAnsi="David" w:hint="cs"/>
          <w:rtl/>
        </w:rPr>
        <w:t xml:space="preserve"> שבוצעו. כמו כן, המערכת תאפשר </w:t>
      </w:r>
      <w:r w:rsidRPr="00AA5065">
        <w:rPr>
          <w:rFonts w:ascii="David" w:eastAsia="Calibri" w:hAnsi="David"/>
          <w:rtl/>
        </w:rPr>
        <w:t>הצלב</w:t>
      </w:r>
      <w:r w:rsidRPr="00AA5065">
        <w:rPr>
          <w:rFonts w:ascii="David" w:eastAsia="Calibri" w:hAnsi="David" w:hint="cs"/>
          <w:rtl/>
        </w:rPr>
        <w:t>ת</w:t>
      </w:r>
      <w:r w:rsidRPr="00AA5065">
        <w:rPr>
          <w:rFonts w:ascii="David" w:eastAsia="Calibri" w:hAnsi="David"/>
          <w:rtl/>
        </w:rPr>
        <w:t xml:space="preserve"> מידע בין גופים</w:t>
      </w:r>
      <w:r w:rsidRPr="00AA5065">
        <w:rPr>
          <w:rFonts w:ascii="David" w:eastAsia="Calibri" w:hAnsi="David" w:hint="cs"/>
          <w:rtl/>
        </w:rPr>
        <w:t xml:space="preserve">, </w:t>
      </w:r>
      <w:r w:rsidRPr="00AA5065">
        <w:rPr>
          <w:rFonts w:ascii="David" w:eastAsia="Calibri" w:hAnsi="David"/>
          <w:rtl/>
        </w:rPr>
        <w:t>לדוגמ</w:t>
      </w:r>
      <w:r w:rsidRPr="00AA5065">
        <w:rPr>
          <w:rFonts w:ascii="David" w:eastAsia="Calibri" w:hAnsi="David" w:hint="cs"/>
          <w:rtl/>
        </w:rPr>
        <w:t>ה:</w:t>
      </w:r>
      <w:r w:rsidRPr="00AA5065">
        <w:rPr>
          <w:rFonts w:ascii="David" w:eastAsia="Calibri" w:hAnsi="David"/>
          <w:rtl/>
        </w:rPr>
        <w:t xml:space="preserve"> </w:t>
      </w:r>
      <w:r w:rsidRPr="00AA5065">
        <w:rPr>
          <w:rFonts w:ascii="David" w:eastAsia="Calibri" w:hAnsi="David" w:hint="cs"/>
          <w:rtl/>
        </w:rPr>
        <w:t xml:space="preserve">במקרים שבהם ניתן </w:t>
      </w:r>
      <w:r w:rsidRPr="00AA5065">
        <w:rPr>
          <w:rFonts w:ascii="David" w:eastAsia="Calibri" w:hAnsi="David"/>
          <w:rtl/>
        </w:rPr>
        <w:t xml:space="preserve">רישוי </w:t>
      </w:r>
      <w:r w:rsidRPr="00AA5065">
        <w:rPr>
          <w:rFonts w:ascii="David" w:eastAsia="Calibri" w:hAnsi="David" w:hint="cs"/>
          <w:rtl/>
        </w:rPr>
        <w:t>ל</w:t>
      </w:r>
      <w:r w:rsidRPr="00AA5065">
        <w:rPr>
          <w:rFonts w:ascii="David" w:eastAsia="Calibri" w:hAnsi="David"/>
          <w:rtl/>
        </w:rPr>
        <w:t>עסק מסוים</w:t>
      </w:r>
      <w:r w:rsidRPr="00AA5065">
        <w:rPr>
          <w:rFonts w:ascii="David" w:eastAsia="Calibri" w:hAnsi="David" w:hint="cs"/>
          <w:rtl/>
        </w:rPr>
        <w:t xml:space="preserve"> ש</w:t>
      </w:r>
      <w:r w:rsidRPr="00AA5065">
        <w:rPr>
          <w:rFonts w:ascii="David" w:eastAsia="Calibri" w:hAnsi="David"/>
          <w:rtl/>
        </w:rPr>
        <w:t xml:space="preserve">לא נרשם </w:t>
      </w:r>
      <w:r w:rsidRPr="00AA5065">
        <w:rPr>
          <w:rFonts w:ascii="David" w:eastAsia="Calibri" w:hAnsi="David" w:hint="cs"/>
          <w:rtl/>
        </w:rPr>
        <w:t>ברשות,</w:t>
      </w:r>
      <w:r w:rsidRPr="00AA5065">
        <w:rPr>
          <w:rFonts w:ascii="David" w:eastAsia="Calibri" w:hAnsi="David"/>
          <w:rtl/>
        </w:rPr>
        <w:t xml:space="preserve"> </w:t>
      </w:r>
      <w:r w:rsidRPr="00AA5065">
        <w:rPr>
          <w:rFonts w:ascii="David" w:eastAsia="Calibri" w:hAnsi="David" w:hint="cs"/>
          <w:rtl/>
        </w:rPr>
        <w:t>תיווצר</w:t>
      </w:r>
      <w:r w:rsidRPr="00AA5065">
        <w:rPr>
          <w:rFonts w:ascii="David" w:eastAsia="Calibri" w:hAnsi="David"/>
          <w:rtl/>
        </w:rPr>
        <w:t xml:space="preserve"> אינדיקציה ל</w:t>
      </w:r>
      <w:r w:rsidRPr="00AA5065">
        <w:rPr>
          <w:rFonts w:ascii="David" w:eastAsia="Calibri" w:hAnsi="David" w:hint="cs"/>
          <w:rtl/>
        </w:rPr>
        <w:t xml:space="preserve">ביצוע </w:t>
      </w:r>
      <w:r w:rsidRPr="00AA5065">
        <w:rPr>
          <w:rFonts w:ascii="David" w:eastAsia="Calibri" w:hAnsi="David"/>
          <w:rtl/>
        </w:rPr>
        <w:t>ביקורת</w:t>
      </w:r>
      <w:r w:rsidRPr="00AA5065">
        <w:rPr>
          <w:rFonts w:ascii="David" w:eastAsia="Calibri" w:hAnsi="David" w:hint="cs"/>
          <w:rtl/>
        </w:rPr>
        <w:t xml:space="preserve"> במקום</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bookmarkStart w:id="40" w:name="_Hlk204850221"/>
      <w:r w:rsidRPr="00AA5065">
        <w:rPr>
          <w:rFonts w:ascii="David" w:eastAsia="Calibri" w:hAnsi="David" w:hint="cs"/>
          <w:b/>
          <w:bCs/>
          <w:rtl/>
        </w:rPr>
        <w:t xml:space="preserve">בביקורת הקודמת הועלה כי רשות המיסים מתקשה בטיפול בנישומים אשר מתגוררים </w:t>
      </w:r>
      <w:r w:rsidRPr="00AA5065">
        <w:rPr>
          <w:rFonts w:ascii="David" w:eastAsia="Calibri" w:hAnsi="David"/>
          <w:b/>
          <w:bCs/>
          <w:rtl/>
        </w:rPr>
        <w:t xml:space="preserve">ביישובים הלא-יהודיים בנגב </w:t>
      </w:r>
      <w:r w:rsidRPr="00AA5065">
        <w:rPr>
          <w:rFonts w:ascii="David" w:eastAsia="Calibri" w:hAnsi="David" w:hint="cs"/>
          <w:b/>
          <w:bCs/>
          <w:rtl/>
        </w:rPr>
        <w:t xml:space="preserve">נוכח </w:t>
      </w:r>
      <w:r w:rsidRPr="00AA5065">
        <w:rPr>
          <w:rFonts w:ascii="David" w:eastAsia="Calibri" w:hAnsi="David"/>
          <w:b/>
          <w:bCs/>
          <w:rtl/>
        </w:rPr>
        <w:t>בעיה של היעדר שמות לרחובות ומספרים לבתי</w:t>
      </w:r>
      <w:r w:rsidRPr="00AA5065">
        <w:rPr>
          <w:rFonts w:ascii="David" w:eastAsia="Calibri" w:hAnsi="David"/>
          <w:b/>
          <w:bCs/>
        </w:rPr>
        <w:t xml:space="preserve"> </w:t>
      </w:r>
      <w:r w:rsidRPr="00AA5065">
        <w:rPr>
          <w:rFonts w:ascii="David" w:eastAsia="Calibri" w:hAnsi="David"/>
          <w:b/>
          <w:bCs/>
          <w:rtl/>
        </w:rPr>
        <w:t>התושבים</w:t>
      </w:r>
      <w:r w:rsidRPr="00AA5065">
        <w:rPr>
          <w:rFonts w:ascii="David" w:eastAsia="Calibri" w:hAnsi="David" w:hint="cs"/>
          <w:b/>
          <w:bCs/>
          <w:rtl/>
        </w:rPr>
        <w:t xml:space="preserve">. בביקורת המעקב עלה כי </w:t>
      </w:r>
      <w:r w:rsidRPr="00AA5065">
        <w:rPr>
          <w:rFonts w:ascii="David" w:eastAsia="Calibri" w:hAnsi="David"/>
          <w:b/>
          <w:bCs/>
          <w:rtl/>
        </w:rPr>
        <w:t xml:space="preserve">הליקוי </w:t>
      </w:r>
      <w:r w:rsidRPr="00AA5065">
        <w:rPr>
          <w:rFonts w:ascii="David" w:eastAsia="Calibri" w:hAnsi="David" w:hint="cs"/>
          <w:b/>
          <w:bCs/>
          <w:rtl/>
        </w:rPr>
        <w:t>תוקן במידה מועטה;</w:t>
      </w:r>
      <w:r w:rsidRPr="00AA5065">
        <w:rPr>
          <w:rFonts w:ascii="David" w:eastAsia="Calibri" w:hAnsi="David"/>
          <w:b/>
          <w:bCs/>
          <w:rtl/>
        </w:rPr>
        <w:t xml:space="preserve"> </w:t>
      </w:r>
      <w:r w:rsidRPr="00AA5065">
        <w:rPr>
          <w:rFonts w:ascii="David" w:eastAsia="Calibri" w:hAnsi="David" w:hint="cs"/>
          <w:b/>
          <w:bCs/>
          <w:rtl/>
        </w:rPr>
        <w:t xml:space="preserve">עדיין קיים </w:t>
      </w:r>
      <w:r w:rsidRPr="00AA5065">
        <w:rPr>
          <w:rFonts w:ascii="David" w:eastAsia="Calibri" w:hAnsi="David"/>
          <w:b/>
          <w:bCs/>
          <w:rtl/>
        </w:rPr>
        <w:t>קושי באיתור נישומים בנגב</w:t>
      </w:r>
      <w:r w:rsidRPr="00AA5065">
        <w:rPr>
          <w:rFonts w:ascii="David" w:eastAsia="Calibri" w:hAnsi="David" w:hint="cs"/>
          <w:b/>
          <w:bCs/>
          <w:rtl/>
        </w:rPr>
        <w:t xml:space="preserve"> בשל היעדר כתובות מוסדרות. קושי זה</w:t>
      </w:r>
      <w:r w:rsidRPr="00AA5065">
        <w:rPr>
          <w:rFonts w:ascii="David" w:eastAsia="Calibri" w:hAnsi="David"/>
          <w:b/>
          <w:bCs/>
          <w:rtl/>
        </w:rPr>
        <w:t xml:space="preserve"> </w:t>
      </w:r>
      <w:r w:rsidRPr="00AA5065">
        <w:rPr>
          <w:rFonts w:ascii="David" w:eastAsia="Calibri" w:hAnsi="David" w:hint="cs"/>
          <w:b/>
          <w:bCs/>
          <w:rtl/>
        </w:rPr>
        <w:t>מתבטא, בין היתר, בקושי באיתור עסקים ובמשלוח דברי דואר, ו</w:t>
      </w:r>
      <w:r w:rsidRPr="00AA5065">
        <w:rPr>
          <w:rFonts w:ascii="David" w:eastAsia="Calibri" w:hAnsi="David"/>
          <w:b/>
          <w:bCs/>
          <w:rtl/>
        </w:rPr>
        <w:t xml:space="preserve">מכתבים רבים </w:t>
      </w:r>
      <w:r w:rsidRPr="00AA5065">
        <w:rPr>
          <w:rFonts w:ascii="David" w:eastAsia="Calibri" w:hAnsi="David" w:hint="cs"/>
          <w:b/>
          <w:bCs/>
          <w:rtl/>
        </w:rPr>
        <w:t>אינם מגיעים ליעדם ו</w:t>
      </w:r>
      <w:r w:rsidRPr="00AA5065">
        <w:rPr>
          <w:rFonts w:ascii="David" w:eastAsia="Calibri" w:hAnsi="David"/>
          <w:b/>
          <w:bCs/>
          <w:rtl/>
        </w:rPr>
        <w:t>מוחזרים</w:t>
      </w:r>
      <w:r w:rsidRPr="00AA5065">
        <w:rPr>
          <w:rFonts w:ascii="David" w:eastAsia="Calibri" w:hAnsi="David" w:hint="cs"/>
          <w:b/>
          <w:bCs/>
          <w:rtl/>
        </w:rPr>
        <w:t xml:space="preserve"> לשולח. עם זאת, רשות המיסים החלה בישום מערכת </w:t>
      </w:r>
      <w:r w:rsidRPr="00AA5065">
        <w:rPr>
          <w:rFonts w:ascii="David" w:eastAsia="Calibri" w:hAnsi="David" w:hint="cs"/>
          <w:b/>
          <w:bCs/>
        </w:rPr>
        <w:t>GIS</w:t>
      </w:r>
      <w:r w:rsidRPr="00AA5065">
        <w:rPr>
          <w:rFonts w:ascii="David" w:eastAsia="Calibri" w:hAnsi="David" w:hint="cs"/>
          <w:b/>
          <w:bCs/>
          <w:rtl/>
        </w:rPr>
        <w:t xml:space="preserve"> שתאפשר מיפוי והוספת מידע רלוונטי.</w:t>
      </w:r>
    </w:p>
    <w:bookmarkEnd w:id="40"/>
    <w:p w:rsidR="00AA5065" w:rsidRPr="00AA5065" w:rsidP="00860D89">
      <w:pPr>
        <w:spacing w:line="269" w:lineRule="auto"/>
        <w:ind w:left="-567"/>
        <w:rPr>
          <w:rFonts w:eastAsia="Calibri"/>
          <w:szCs w:val="20"/>
          <w:rtl/>
        </w:rPr>
      </w:pPr>
    </w:p>
    <w:p w:rsidR="00AA5065" w:rsidRPr="00AA5065" w:rsidP="00860D89">
      <w:pPr>
        <w:keepNext/>
        <w:keepLines/>
        <w:spacing w:line="269" w:lineRule="auto"/>
        <w:ind w:left="397"/>
        <w:jc w:val="center"/>
        <w:rPr>
          <w:rFonts w:ascii="David" w:eastAsia="Calibri" w:hAnsi="David"/>
          <w:b/>
          <w:bCs/>
          <w:rtl/>
        </w:rPr>
      </w:pPr>
      <w:r w:rsidRPr="00AA5065">
        <w:rPr>
          <w:rFonts w:ascii="David" w:eastAsia="Calibri" w:hAnsi="David"/>
          <w:b/>
          <w:bCs/>
          <w:rtl/>
        </w:rPr>
        <w:t>מידת תיקון הליקוי</w:t>
      </w:r>
    </w:p>
    <w:p w:rsidR="00AA5065" w:rsidRPr="00AA5065" w:rsidP="00860D89">
      <w:pPr>
        <w:keepNext/>
        <w:keepLines/>
        <w:spacing w:line="269" w:lineRule="auto"/>
        <w:ind w:left="-1"/>
        <w:jc w:val="center"/>
        <w:rPr>
          <w:rFonts w:ascii="David" w:eastAsia="Calibri" w:hAnsi="David"/>
          <w:b/>
          <w:bCs/>
          <w:rtl/>
        </w:rPr>
      </w:pPr>
      <w:r w:rsidRPr="00AA5065">
        <w:rPr>
          <w:rFonts w:ascii="David" w:eastAsia="Tw Cen MT" w:hAnsi="David"/>
          <w:noProof/>
        </w:rPr>
        <w:drawing>
          <wp:inline distT="0" distB="0" distL="0" distR="0">
            <wp:extent cx="3960000" cy="794146"/>
            <wp:effectExtent l="0" t="0" r="2540" b="0"/>
            <wp:docPr id="54"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תמונה 115"/>
                    <pic:cNvPicPr>
                      <a:picLocks noChangeAspect="1" noChangeArrowheads="1"/>
                    </pic:cNvPicPr>
                  </pic:nvPicPr>
                  <pic:blipFill>
                    <a:blip xmlns:r="http://schemas.openxmlformats.org/officeDocument/2006/relationships" r:embed="rId12">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0000" cy="794146"/>
                    </a:xfrm>
                    <a:prstGeom prst="rect">
                      <a:avLst/>
                    </a:prstGeom>
                    <a:noFill/>
                    <a:ln>
                      <a:noFill/>
                    </a:ln>
                  </pic:spPr>
                </pic:pic>
              </a:graphicData>
            </a:graphic>
          </wp:inline>
        </w:drawing>
      </w:r>
    </w:p>
    <w:p w:rsidR="00AA5065" w:rsidRPr="00AA5065" w:rsidP="004E6B4D">
      <w:pPr>
        <w:spacing w:before="120"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cs"/>
          <w:b/>
          <w:bCs/>
          <w:rtl/>
        </w:rPr>
        <w:t>מומלץ</w:t>
      </w:r>
      <w:r w:rsidRPr="00AA5065">
        <w:rPr>
          <w:rFonts w:ascii="David" w:eastAsia="Calibri" w:hAnsi="David"/>
          <w:b/>
          <w:bCs/>
          <w:rtl/>
        </w:rPr>
        <w:t xml:space="preserve"> </w:t>
      </w:r>
      <w:r w:rsidRPr="00AA5065">
        <w:rPr>
          <w:rFonts w:ascii="David" w:eastAsia="Calibri" w:hAnsi="David" w:hint="cs"/>
          <w:b/>
          <w:bCs/>
          <w:rtl/>
        </w:rPr>
        <w:t xml:space="preserve">כי עד להסדרה כוללת של שמות הרחובות ומספרי הבתים, רשות המיסים תמשיך לקדם פיתוח </w:t>
      </w:r>
      <w:r w:rsidRPr="00AA5065">
        <w:rPr>
          <w:rFonts w:ascii="David" w:eastAsia="Calibri" w:hAnsi="David"/>
          <w:b/>
          <w:bCs/>
          <w:rtl/>
        </w:rPr>
        <w:t>והטמעה של מערכ</w:t>
      </w:r>
      <w:r w:rsidRPr="00AA5065">
        <w:rPr>
          <w:rFonts w:ascii="David" w:eastAsia="Calibri" w:hAnsi="David" w:hint="cs"/>
          <w:b/>
          <w:bCs/>
          <w:rtl/>
        </w:rPr>
        <w:t>ו</w:t>
      </w:r>
      <w:r w:rsidRPr="00AA5065">
        <w:rPr>
          <w:rFonts w:ascii="David" w:eastAsia="Calibri" w:hAnsi="David"/>
          <w:b/>
          <w:bCs/>
          <w:rtl/>
        </w:rPr>
        <w:t>ת מיפוי</w:t>
      </w:r>
      <w:r w:rsidRPr="00AA5065">
        <w:rPr>
          <w:rFonts w:ascii="David" w:eastAsia="Calibri" w:hAnsi="David" w:hint="cs"/>
          <w:b/>
          <w:bCs/>
          <w:rtl/>
        </w:rPr>
        <w:t xml:space="preserve"> טכנולוגיות</w:t>
      </w:r>
      <w:r w:rsidRPr="00AA5065">
        <w:rPr>
          <w:rFonts w:ascii="David" w:eastAsia="Calibri" w:hAnsi="David"/>
          <w:b/>
          <w:bCs/>
          <w:rtl/>
        </w:rPr>
        <w:t xml:space="preserve"> ש</w:t>
      </w:r>
      <w:r w:rsidRPr="00AA5065">
        <w:rPr>
          <w:rFonts w:ascii="David" w:eastAsia="Calibri" w:hAnsi="David" w:hint="cs"/>
          <w:b/>
          <w:bCs/>
          <w:rtl/>
        </w:rPr>
        <w:t>י</w:t>
      </w:r>
      <w:r w:rsidRPr="00AA5065">
        <w:rPr>
          <w:rFonts w:ascii="David" w:eastAsia="Calibri" w:hAnsi="David"/>
          <w:b/>
          <w:bCs/>
          <w:rtl/>
        </w:rPr>
        <w:t>אפשר</w:t>
      </w:r>
      <w:r w:rsidRPr="00AA5065">
        <w:rPr>
          <w:rFonts w:ascii="David" w:eastAsia="Calibri" w:hAnsi="David" w:hint="cs"/>
          <w:b/>
          <w:bCs/>
          <w:rtl/>
        </w:rPr>
        <w:t>ו</w:t>
      </w:r>
      <w:r w:rsidRPr="00AA5065">
        <w:rPr>
          <w:rFonts w:ascii="David" w:eastAsia="Calibri" w:hAnsi="David"/>
          <w:b/>
          <w:bCs/>
          <w:rtl/>
        </w:rPr>
        <w:t xml:space="preserve"> ל</w:t>
      </w:r>
      <w:r w:rsidRPr="00AA5065">
        <w:rPr>
          <w:rFonts w:ascii="David" w:eastAsia="Calibri" w:hAnsi="David" w:hint="cs"/>
          <w:b/>
          <w:bCs/>
          <w:rtl/>
        </w:rPr>
        <w:t xml:space="preserve">ה </w:t>
      </w:r>
      <w:r w:rsidRPr="00AA5065">
        <w:rPr>
          <w:rFonts w:ascii="David" w:eastAsia="Calibri" w:hAnsi="David"/>
          <w:b/>
          <w:bCs/>
          <w:rtl/>
        </w:rPr>
        <w:t xml:space="preserve">‏לנהל </w:t>
      </w:r>
      <w:r w:rsidRPr="00AA5065">
        <w:rPr>
          <w:rFonts w:ascii="David" w:eastAsia="Calibri" w:hAnsi="David" w:hint="cs"/>
          <w:b/>
          <w:bCs/>
          <w:rtl/>
        </w:rPr>
        <w:t>את נתוני</w:t>
      </w:r>
      <w:r w:rsidRPr="00AA5065">
        <w:rPr>
          <w:rFonts w:ascii="David" w:eastAsia="Calibri" w:hAnsi="David"/>
          <w:b/>
          <w:bCs/>
          <w:rtl/>
        </w:rPr>
        <w:t xml:space="preserve"> </w:t>
      </w:r>
      <w:r w:rsidRPr="00AA5065">
        <w:rPr>
          <w:rFonts w:ascii="David" w:eastAsia="Calibri" w:hAnsi="David" w:hint="cs"/>
          <w:b/>
          <w:bCs/>
          <w:rtl/>
        </w:rPr>
        <w:t>ה</w:t>
      </w:r>
      <w:r w:rsidRPr="00AA5065">
        <w:rPr>
          <w:rFonts w:ascii="David" w:eastAsia="Calibri" w:hAnsi="David"/>
          <w:b/>
          <w:bCs/>
          <w:rtl/>
        </w:rPr>
        <w:t>כתובות ו</w:t>
      </w:r>
      <w:r w:rsidRPr="00AA5065">
        <w:rPr>
          <w:rFonts w:ascii="David" w:eastAsia="Calibri" w:hAnsi="David" w:hint="cs"/>
          <w:b/>
          <w:bCs/>
          <w:rtl/>
        </w:rPr>
        <w:t>ה</w:t>
      </w:r>
      <w:r w:rsidRPr="00AA5065">
        <w:rPr>
          <w:rFonts w:ascii="David" w:eastAsia="Calibri" w:hAnsi="David"/>
          <w:b/>
          <w:bCs/>
          <w:rtl/>
        </w:rPr>
        <w:t xml:space="preserve">עסקים בצורה מסודרת ומדויקת </w:t>
      </w:r>
      <w:r w:rsidRPr="00AA5065">
        <w:rPr>
          <w:rFonts w:ascii="David" w:eastAsia="Calibri" w:hAnsi="David" w:hint="cs"/>
          <w:b/>
          <w:bCs/>
          <w:rtl/>
        </w:rPr>
        <w:t>ול</w:t>
      </w:r>
      <w:r w:rsidRPr="00AA5065">
        <w:rPr>
          <w:rFonts w:ascii="David" w:eastAsia="Calibri" w:hAnsi="David"/>
          <w:b/>
          <w:bCs/>
          <w:rtl/>
        </w:rPr>
        <w:t>חזק את יכולת האכיפה והגב</w:t>
      </w:r>
      <w:r w:rsidRPr="00AA5065">
        <w:rPr>
          <w:rFonts w:ascii="David" w:eastAsia="Calibri" w:hAnsi="David" w:hint="cs"/>
          <w:b/>
          <w:bCs/>
          <w:rtl/>
        </w:rPr>
        <w:t>י</w:t>
      </w:r>
      <w:r w:rsidRPr="00AA5065">
        <w:rPr>
          <w:rFonts w:ascii="David" w:eastAsia="Calibri" w:hAnsi="David"/>
          <w:b/>
          <w:bCs/>
          <w:rtl/>
        </w:rPr>
        <w:t>יה</w:t>
      </w:r>
      <w:r w:rsidRPr="00AA5065">
        <w:rPr>
          <w:rFonts w:ascii="David" w:eastAsia="Calibri" w:hAnsi="David" w:hint="cs"/>
          <w:b/>
          <w:bCs/>
          <w:rtl/>
        </w:rPr>
        <w:t xml:space="preserve"> שלה.</w:t>
      </w:r>
    </w:p>
    <w:p w:rsidR="00AA5065" w:rsidRPr="00AA5065" w:rsidP="00860D89">
      <w:pPr>
        <w:spacing w:line="269" w:lineRule="auto"/>
        <w:rPr>
          <w:rFonts w:eastAsia="Calibri"/>
          <w:rtl/>
        </w:rPr>
      </w:pPr>
    </w:p>
    <w:p w:rsidR="00AA5065" w:rsidRPr="00AA5065" w:rsidP="004E6B4D">
      <w:pPr>
        <w:keepNext/>
        <w:keepLines/>
        <w:spacing w:before="120" w:line="269" w:lineRule="auto"/>
        <w:outlineLvl w:val="3"/>
        <w:rPr>
          <w:rFonts w:eastAsia="Times New Roman"/>
          <w:bCs/>
          <w:szCs w:val="26"/>
          <w:rtl/>
        </w:rPr>
      </w:pPr>
      <w:r w:rsidRPr="00AA5065">
        <w:rPr>
          <w:rFonts w:eastAsia="Times New Roman" w:hint="cs"/>
          <w:bCs/>
          <w:szCs w:val="26"/>
          <w:rtl/>
        </w:rPr>
        <w:t>ה</w:t>
      </w:r>
      <w:r w:rsidRPr="00AA5065">
        <w:rPr>
          <w:rFonts w:eastAsia="Times New Roman"/>
          <w:bCs/>
          <w:szCs w:val="26"/>
          <w:rtl/>
        </w:rPr>
        <w:t>חשש לפגיעה בעובדי רשות המיסים</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eastAsia="Calibri"/>
          <w:rtl/>
        </w:rPr>
        <w:t>לצורך גביית מס אמת נדרשים עובדי רשות המיסים לערוך ביקורות בבתי העסק, לבצע ספירות מלאי ולגבות עדויות. קיום ביקורת חשוב גם לצורך הרתעה, שכן בידי הרשות אמצעים להטלת עיצומים על נישומים</w:t>
      </w:r>
      <w:r w:rsidRPr="00AA5065">
        <w:rPr>
          <w:rFonts w:eastAsia="Calibri" w:hint="cs"/>
          <w:rtl/>
        </w:rPr>
        <w:t>.</w:t>
      </w:r>
      <w:r w:rsidRPr="00AA5065">
        <w:rPr>
          <w:rFonts w:eastAsia="Calibri"/>
          <w:rtl/>
        </w:rPr>
        <w:t xml:space="preserve"> </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בדוח הקודם התריע משרד מבקר המדינה על חשש לפגיעה בעובדי רשות המיסים בעת ביצוע תפקידם בגביית מס אמת. עובדי הרשות נדרשים לבצע ביקורות בעסקים, לערוך ספירות מלאי ולאסוף עדויות. ביקורות </w:t>
      </w:r>
      <w:r w:rsidRPr="00AA5065">
        <w:rPr>
          <w:rFonts w:ascii="David" w:eastAsia="Calibri" w:hAnsi="David" w:hint="cs"/>
          <w:rtl/>
        </w:rPr>
        <w:t>אלו</w:t>
      </w:r>
      <w:r w:rsidRPr="00AA5065">
        <w:rPr>
          <w:rFonts w:ascii="David" w:eastAsia="Calibri" w:hAnsi="David"/>
          <w:rtl/>
        </w:rPr>
        <w:t xml:space="preserve"> </w:t>
      </w:r>
      <w:r w:rsidRPr="00AA5065">
        <w:rPr>
          <w:rFonts w:ascii="David" w:eastAsia="Calibri" w:hAnsi="David" w:hint="cs"/>
          <w:rtl/>
        </w:rPr>
        <w:t>הן</w:t>
      </w:r>
      <w:r w:rsidRPr="00AA5065">
        <w:rPr>
          <w:rFonts w:ascii="David" w:eastAsia="Calibri" w:hAnsi="David"/>
          <w:rtl/>
        </w:rPr>
        <w:t xml:space="preserve"> כלי </w:t>
      </w:r>
      <w:r w:rsidRPr="00AA5065">
        <w:rPr>
          <w:rFonts w:ascii="David" w:eastAsia="Calibri" w:hAnsi="David" w:hint="cs"/>
          <w:rtl/>
        </w:rPr>
        <w:t>מרכזי באכיפת המס</w:t>
      </w:r>
      <w:r w:rsidRPr="00AA5065">
        <w:rPr>
          <w:rFonts w:ascii="David" w:eastAsia="Calibri" w:hAnsi="David"/>
          <w:rtl/>
        </w:rPr>
        <w:t xml:space="preserve"> שכן עלותן נמוכה </w:t>
      </w:r>
      <w:r w:rsidRPr="00AA5065">
        <w:rPr>
          <w:rFonts w:ascii="David" w:eastAsia="Calibri" w:hAnsi="David" w:hint="cs"/>
          <w:rtl/>
        </w:rPr>
        <w:t>ו</w:t>
      </w:r>
      <w:r w:rsidRPr="00AA5065">
        <w:rPr>
          <w:rFonts w:ascii="David" w:eastAsia="Calibri" w:hAnsi="David"/>
          <w:rtl/>
        </w:rPr>
        <w:t>תרומתן רבה בבדיקת אופן ניהול הספרים של הנישומים</w:t>
      </w:r>
      <w:r w:rsidRPr="00AA5065">
        <w:rPr>
          <w:rFonts w:ascii="David" w:eastAsia="Calibri" w:hAnsi="David"/>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 xml:space="preserve">בתשובתה לדוח הקודם </w:t>
      </w:r>
      <w:r w:rsidRPr="00AA5065">
        <w:rPr>
          <w:rFonts w:ascii="David" w:eastAsia="Calibri" w:hAnsi="David"/>
          <w:rtl/>
        </w:rPr>
        <w:t xml:space="preserve">מינואר 2021 </w:t>
      </w:r>
      <w:r w:rsidRPr="00AA5065">
        <w:rPr>
          <w:rFonts w:ascii="David" w:eastAsia="Calibri" w:hAnsi="David" w:hint="cs"/>
          <w:rtl/>
        </w:rPr>
        <w:t xml:space="preserve">ציינה </w:t>
      </w:r>
      <w:r w:rsidRPr="00AA5065">
        <w:rPr>
          <w:rFonts w:ascii="David" w:eastAsia="Calibri" w:hAnsi="David" w:hint="eastAsia"/>
          <w:rtl/>
        </w:rPr>
        <w:t>רשות</w:t>
      </w:r>
      <w:r w:rsidRPr="00AA5065">
        <w:rPr>
          <w:rFonts w:ascii="David" w:eastAsia="Calibri" w:hAnsi="David"/>
          <w:rtl/>
        </w:rPr>
        <w:t xml:space="preserve"> המיסים </w:t>
      </w:r>
      <w:r w:rsidRPr="00AA5065">
        <w:rPr>
          <w:rFonts w:ascii="David" w:eastAsia="Calibri" w:hAnsi="David" w:hint="eastAsia"/>
          <w:rtl/>
        </w:rPr>
        <w:t>כי</w:t>
      </w:r>
      <w:r w:rsidRPr="00AA5065">
        <w:rPr>
          <w:rFonts w:ascii="David" w:eastAsia="Calibri" w:hAnsi="David"/>
          <w:rtl/>
        </w:rPr>
        <w:t xml:space="preserve"> </w:t>
      </w:r>
      <w:r w:rsidRPr="00AA5065">
        <w:rPr>
          <w:rFonts w:ascii="David" w:eastAsia="Calibri" w:hAnsi="David" w:hint="eastAsia"/>
          <w:rtl/>
        </w:rPr>
        <w:t>היא</w:t>
      </w:r>
      <w:r w:rsidRPr="00AA5065">
        <w:rPr>
          <w:rFonts w:ascii="David" w:eastAsia="Calibri" w:hAnsi="David"/>
          <w:rtl/>
        </w:rPr>
        <w:t xml:space="preserve"> "מקבלת </w:t>
      </w:r>
      <w:r w:rsidRPr="00AA5065">
        <w:rPr>
          <w:rFonts w:ascii="David" w:eastAsia="Calibri" w:hAnsi="David" w:hint="eastAsia"/>
          <w:rtl/>
        </w:rPr>
        <w:t>את</w:t>
      </w:r>
      <w:r w:rsidRPr="00AA5065">
        <w:rPr>
          <w:rFonts w:ascii="David" w:eastAsia="Calibri" w:hAnsi="David"/>
          <w:rtl/>
        </w:rPr>
        <w:t xml:space="preserve"> </w:t>
      </w:r>
      <w:r w:rsidRPr="00AA5065">
        <w:rPr>
          <w:rFonts w:ascii="David" w:eastAsia="Calibri" w:hAnsi="David" w:hint="eastAsia"/>
          <w:rtl/>
        </w:rPr>
        <w:t>המלצת</w:t>
      </w:r>
      <w:r w:rsidRPr="00AA5065">
        <w:rPr>
          <w:rFonts w:ascii="David" w:eastAsia="Calibri" w:hAnsi="David"/>
          <w:rtl/>
        </w:rPr>
        <w:t xml:space="preserve"> </w:t>
      </w:r>
      <w:r w:rsidRPr="00AA5065">
        <w:rPr>
          <w:rFonts w:ascii="David" w:eastAsia="Calibri" w:hAnsi="David" w:hint="eastAsia"/>
          <w:rtl/>
        </w:rPr>
        <w:t>המבקר</w:t>
      </w:r>
      <w:r w:rsidRPr="00AA5065">
        <w:rPr>
          <w:rFonts w:ascii="David" w:eastAsia="Calibri" w:hAnsi="David"/>
          <w:rtl/>
        </w:rPr>
        <w:t xml:space="preserve"> </w:t>
      </w:r>
      <w:r w:rsidRPr="00AA5065">
        <w:rPr>
          <w:rFonts w:ascii="David" w:eastAsia="Calibri" w:hAnsi="David" w:hint="eastAsia"/>
          <w:rtl/>
        </w:rPr>
        <w:t>ותפעל</w:t>
      </w:r>
      <w:r w:rsidRPr="00AA5065">
        <w:rPr>
          <w:rFonts w:ascii="David" w:eastAsia="Calibri" w:hAnsi="David"/>
          <w:rtl/>
        </w:rPr>
        <w:t xml:space="preserve"> </w:t>
      </w:r>
      <w:r w:rsidRPr="00AA5065">
        <w:rPr>
          <w:rFonts w:ascii="David" w:eastAsia="Calibri" w:hAnsi="David" w:hint="eastAsia"/>
          <w:rtl/>
        </w:rPr>
        <w:t>להגברת</w:t>
      </w:r>
      <w:r w:rsidRPr="00AA5065">
        <w:rPr>
          <w:rFonts w:ascii="David" w:eastAsia="Calibri" w:hAnsi="David"/>
          <w:rtl/>
        </w:rPr>
        <w:t xml:space="preserve"> </w:t>
      </w:r>
      <w:r w:rsidRPr="00AA5065">
        <w:rPr>
          <w:rFonts w:ascii="David" w:eastAsia="Calibri" w:hAnsi="David" w:hint="eastAsia"/>
          <w:rtl/>
        </w:rPr>
        <w:t>ביצוע</w:t>
      </w:r>
      <w:r w:rsidRPr="00AA5065">
        <w:rPr>
          <w:rFonts w:ascii="David" w:eastAsia="Calibri" w:hAnsi="David"/>
          <w:rtl/>
        </w:rPr>
        <w:t xml:space="preserve"> </w:t>
      </w:r>
      <w:r w:rsidRPr="00AA5065">
        <w:rPr>
          <w:rFonts w:ascii="David" w:eastAsia="Calibri" w:hAnsi="David" w:hint="eastAsia"/>
          <w:rtl/>
        </w:rPr>
        <w:t>ביקורות</w:t>
      </w:r>
      <w:r w:rsidRPr="00AA5065">
        <w:rPr>
          <w:rFonts w:ascii="David" w:eastAsia="Calibri" w:hAnsi="David"/>
          <w:rtl/>
        </w:rPr>
        <w:t xml:space="preserve"> </w:t>
      </w:r>
      <w:r w:rsidRPr="00AA5065">
        <w:rPr>
          <w:rFonts w:ascii="David" w:eastAsia="Calibri" w:hAnsi="David" w:hint="eastAsia"/>
          <w:rtl/>
        </w:rPr>
        <w:t>ניהול</w:t>
      </w:r>
      <w:r w:rsidRPr="00AA5065">
        <w:rPr>
          <w:rFonts w:ascii="David" w:eastAsia="Calibri" w:hAnsi="David"/>
          <w:rtl/>
        </w:rPr>
        <w:t xml:space="preserve"> </w:t>
      </w:r>
      <w:r w:rsidRPr="00AA5065">
        <w:rPr>
          <w:rFonts w:ascii="David" w:eastAsia="Calibri" w:hAnsi="David" w:hint="eastAsia"/>
          <w:rtl/>
        </w:rPr>
        <w:t>ספרים</w:t>
      </w:r>
      <w:r w:rsidRPr="00AA5065">
        <w:rPr>
          <w:rFonts w:ascii="David" w:eastAsia="Calibri" w:hAnsi="David"/>
          <w:rtl/>
        </w:rPr>
        <w:t xml:space="preserve"> </w:t>
      </w:r>
      <w:r w:rsidRPr="00AA5065">
        <w:rPr>
          <w:rFonts w:ascii="David" w:eastAsia="Calibri" w:hAnsi="David" w:hint="eastAsia"/>
          <w:rtl/>
        </w:rPr>
        <w:t>בכל</w:t>
      </w:r>
      <w:r w:rsidRPr="00AA5065">
        <w:rPr>
          <w:rFonts w:ascii="David" w:eastAsia="Calibri" w:hAnsi="David"/>
          <w:rtl/>
        </w:rPr>
        <w:t xml:space="preserve"> </w:t>
      </w:r>
      <w:r w:rsidRPr="00AA5065">
        <w:rPr>
          <w:rFonts w:ascii="David" w:eastAsia="Calibri" w:hAnsi="David" w:hint="eastAsia"/>
          <w:rtl/>
        </w:rPr>
        <w:t>האזורים</w:t>
      </w:r>
      <w:r w:rsidRPr="00AA5065">
        <w:rPr>
          <w:rFonts w:ascii="David" w:eastAsia="Calibri" w:hAnsi="David"/>
          <w:rtl/>
        </w:rPr>
        <w:t xml:space="preserve"> </w:t>
      </w:r>
      <w:r w:rsidRPr="00AA5065">
        <w:rPr>
          <w:rFonts w:ascii="David" w:eastAsia="Calibri" w:hAnsi="David" w:hint="eastAsia"/>
          <w:rtl/>
        </w:rPr>
        <w:t>בנגב</w:t>
      </w:r>
      <w:r w:rsidRPr="00AA5065">
        <w:rPr>
          <w:rFonts w:ascii="David" w:eastAsia="Calibri" w:hAnsi="David"/>
          <w:rtl/>
        </w:rPr>
        <w:t xml:space="preserve">, </w:t>
      </w:r>
      <w:r w:rsidRPr="00AA5065">
        <w:rPr>
          <w:rFonts w:ascii="David" w:eastAsia="Calibri" w:hAnsi="David" w:hint="eastAsia"/>
          <w:rtl/>
        </w:rPr>
        <w:t>לרבות</w:t>
      </w:r>
      <w:r w:rsidRPr="00AA5065">
        <w:rPr>
          <w:rFonts w:ascii="David" w:eastAsia="Calibri" w:hAnsi="David"/>
          <w:rtl/>
        </w:rPr>
        <w:t xml:space="preserve"> </w:t>
      </w:r>
      <w:r w:rsidRPr="00AA5065">
        <w:rPr>
          <w:rFonts w:ascii="David" w:eastAsia="Calibri" w:hAnsi="David" w:hint="eastAsia"/>
          <w:rtl/>
        </w:rPr>
        <w:t>בפזורה</w:t>
      </w:r>
      <w:r w:rsidRPr="00AA5065">
        <w:rPr>
          <w:rFonts w:ascii="David" w:eastAsia="Calibri" w:hAnsi="David"/>
          <w:rtl/>
        </w:rPr>
        <w:t xml:space="preserve"> </w:t>
      </w:r>
      <w:r w:rsidRPr="00AA5065">
        <w:rPr>
          <w:rFonts w:ascii="David" w:eastAsia="Calibri" w:hAnsi="David" w:hint="eastAsia"/>
          <w:rtl/>
        </w:rPr>
        <w:t>הבדואית</w:t>
      </w:r>
      <w:r w:rsidRPr="00AA5065">
        <w:rPr>
          <w:rFonts w:ascii="David" w:eastAsia="Calibri" w:hAnsi="David"/>
          <w:rtl/>
        </w:rPr>
        <w:t xml:space="preserve">, </w:t>
      </w:r>
      <w:r w:rsidRPr="00AA5065">
        <w:rPr>
          <w:rFonts w:ascii="David" w:eastAsia="Calibri" w:hAnsi="David" w:hint="eastAsia"/>
          <w:rtl/>
        </w:rPr>
        <w:t>תוך</w:t>
      </w:r>
      <w:r w:rsidRPr="00AA5065">
        <w:rPr>
          <w:rFonts w:ascii="David" w:eastAsia="Calibri" w:hAnsi="David"/>
          <w:rtl/>
        </w:rPr>
        <w:t xml:space="preserve"> </w:t>
      </w:r>
      <w:r w:rsidRPr="00AA5065">
        <w:rPr>
          <w:rFonts w:ascii="David" w:eastAsia="Calibri" w:hAnsi="David" w:hint="eastAsia"/>
          <w:rtl/>
        </w:rPr>
        <w:t>תיאום</w:t>
      </w:r>
      <w:r w:rsidRPr="00AA5065">
        <w:rPr>
          <w:rFonts w:ascii="David" w:eastAsia="Calibri" w:hAnsi="David"/>
          <w:rtl/>
        </w:rPr>
        <w:t xml:space="preserve"> </w:t>
      </w:r>
      <w:r w:rsidRPr="00AA5065">
        <w:rPr>
          <w:rFonts w:ascii="David" w:eastAsia="Calibri" w:hAnsi="David" w:hint="eastAsia"/>
          <w:rtl/>
        </w:rPr>
        <w:t>ליווי</w:t>
      </w:r>
      <w:r w:rsidRPr="00AA5065">
        <w:rPr>
          <w:rFonts w:ascii="David" w:eastAsia="Calibri" w:hAnsi="David"/>
          <w:rtl/>
        </w:rPr>
        <w:t xml:space="preserve"> </w:t>
      </w:r>
      <w:r w:rsidRPr="00AA5065">
        <w:rPr>
          <w:rFonts w:ascii="David" w:eastAsia="Calibri" w:hAnsi="David" w:hint="eastAsia"/>
          <w:rtl/>
        </w:rPr>
        <w:t>והגנה</w:t>
      </w:r>
      <w:r w:rsidRPr="00AA5065">
        <w:rPr>
          <w:rFonts w:ascii="David" w:eastAsia="Calibri" w:hAnsi="David"/>
          <w:rtl/>
        </w:rPr>
        <w:t xml:space="preserve"> </w:t>
      </w:r>
      <w:r w:rsidRPr="00AA5065">
        <w:rPr>
          <w:rFonts w:ascii="David" w:eastAsia="Calibri" w:hAnsi="David" w:hint="eastAsia"/>
          <w:rtl/>
        </w:rPr>
        <w:t>משטרתית</w:t>
      </w:r>
      <w:r w:rsidRPr="00AA5065">
        <w:rPr>
          <w:rFonts w:ascii="David" w:eastAsia="Calibri" w:hAnsi="David"/>
          <w:rtl/>
        </w:rPr>
        <w:t>".</w:t>
      </w:r>
      <w:r w:rsidRPr="00AA5065">
        <w:rPr>
          <w:rFonts w:ascii="David" w:eastAsia="Calibri" w:hAnsi="David" w:hint="cs"/>
          <w:rtl/>
        </w:rPr>
        <w:t xml:space="preserve"> עוד ציינה </w:t>
      </w:r>
      <w:r w:rsidRPr="00AA5065">
        <w:rPr>
          <w:rFonts w:ascii="David" w:eastAsia="Calibri" w:hAnsi="David" w:hint="eastAsia"/>
          <w:rtl/>
        </w:rPr>
        <w:t>כי</w:t>
      </w:r>
      <w:r w:rsidRPr="00AA5065">
        <w:rPr>
          <w:rFonts w:ascii="David" w:eastAsia="Calibri" w:hAnsi="David"/>
          <w:rtl/>
        </w:rPr>
        <w:t xml:space="preserve"> </w:t>
      </w:r>
      <w:r w:rsidRPr="00AA5065">
        <w:rPr>
          <w:rFonts w:ascii="David" w:eastAsia="Calibri" w:hAnsi="David" w:hint="eastAsia"/>
          <w:rtl/>
        </w:rPr>
        <w:t>היא</w:t>
      </w:r>
      <w:r w:rsidRPr="00AA5065">
        <w:rPr>
          <w:rFonts w:ascii="David" w:eastAsia="Calibri" w:hAnsi="David"/>
          <w:rtl/>
        </w:rPr>
        <w:t xml:space="preserve"> "מבצעת </w:t>
      </w:r>
      <w:r w:rsidRPr="00AA5065">
        <w:rPr>
          <w:rFonts w:ascii="David" w:eastAsia="Calibri" w:hAnsi="David" w:hint="eastAsia"/>
          <w:rtl/>
        </w:rPr>
        <w:t>פעולות</w:t>
      </w:r>
      <w:r w:rsidRPr="00AA5065">
        <w:rPr>
          <w:rFonts w:ascii="David" w:eastAsia="Calibri" w:hAnsi="David"/>
          <w:rtl/>
        </w:rPr>
        <w:t xml:space="preserve"> </w:t>
      </w:r>
      <w:r w:rsidRPr="00AA5065">
        <w:rPr>
          <w:rFonts w:ascii="David" w:eastAsia="Calibri" w:hAnsi="David" w:hint="eastAsia"/>
          <w:rtl/>
        </w:rPr>
        <w:t>גבייה</w:t>
      </w:r>
      <w:r w:rsidRPr="00AA5065">
        <w:rPr>
          <w:rFonts w:ascii="David" w:eastAsia="Calibri" w:hAnsi="David"/>
          <w:rtl/>
        </w:rPr>
        <w:t xml:space="preserve"> </w:t>
      </w:r>
      <w:r w:rsidRPr="00AA5065">
        <w:rPr>
          <w:rFonts w:ascii="David" w:eastAsia="Calibri" w:hAnsi="David" w:hint="eastAsia"/>
          <w:rtl/>
        </w:rPr>
        <w:t>משרדיות</w:t>
      </w:r>
      <w:r w:rsidRPr="00AA5065">
        <w:rPr>
          <w:rFonts w:ascii="David" w:eastAsia="Calibri" w:hAnsi="David"/>
          <w:rtl/>
        </w:rPr>
        <w:t xml:space="preserve">, </w:t>
      </w:r>
      <w:r w:rsidRPr="00AA5065">
        <w:rPr>
          <w:rFonts w:ascii="David" w:eastAsia="Calibri" w:hAnsi="David" w:hint="eastAsia"/>
          <w:rtl/>
        </w:rPr>
        <w:t>אולם</w:t>
      </w:r>
      <w:r w:rsidRPr="00AA5065">
        <w:rPr>
          <w:rFonts w:ascii="David" w:eastAsia="Calibri" w:hAnsi="David"/>
          <w:rtl/>
        </w:rPr>
        <w:t xml:space="preserve"> </w:t>
      </w:r>
      <w:r w:rsidRPr="00AA5065">
        <w:rPr>
          <w:rFonts w:ascii="David" w:eastAsia="Calibri" w:hAnsi="David" w:hint="eastAsia"/>
          <w:rtl/>
        </w:rPr>
        <w:t>בחלק</w:t>
      </w:r>
      <w:r w:rsidRPr="00AA5065">
        <w:rPr>
          <w:rFonts w:ascii="David" w:eastAsia="Calibri" w:hAnsi="David"/>
          <w:rtl/>
        </w:rPr>
        <w:t xml:space="preserve"> </w:t>
      </w:r>
      <w:r w:rsidRPr="00AA5065">
        <w:rPr>
          <w:rFonts w:ascii="David" w:eastAsia="Calibri" w:hAnsi="David" w:hint="eastAsia"/>
          <w:rtl/>
        </w:rPr>
        <w:t>מהמקרים</w:t>
      </w:r>
      <w:r w:rsidRPr="00AA5065">
        <w:rPr>
          <w:rFonts w:ascii="David" w:eastAsia="Calibri" w:hAnsi="David"/>
          <w:rtl/>
        </w:rPr>
        <w:t xml:space="preserve"> </w:t>
      </w:r>
      <w:r w:rsidRPr="00AA5065">
        <w:rPr>
          <w:rFonts w:ascii="David" w:eastAsia="Calibri" w:hAnsi="David" w:hint="eastAsia"/>
          <w:rtl/>
        </w:rPr>
        <w:t>אין</w:t>
      </w:r>
      <w:r w:rsidRPr="00AA5065">
        <w:rPr>
          <w:rFonts w:ascii="David" w:eastAsia="Calibri" w:hAnsi="David"/>
          <w:rtl/>
        </w:rPr>
        <w:t xml:space="preserve"> </w:t>
      </w:r>
      <w:r w:rsidRPr="00AA5065">
        <w:rPr>
          <w:rFonts w:ascii="David" w:eastAsia="Calibri" w:hAnsi="David" w:hint="eastAsia"/>
          <w:rtl/>
        </w:rPr>
        <w:t>תוצאות</w:t>
      </w:r>
      <w:r w:rsidRPr="00AA5065">
        <w:rPr>
          <w:rFonts w:ascii="David" w:eastAsia="Calibri" w:hAnsi="David"/>
          <w:rtl/>
        </w:rPr>
        <w:t xml:space="preserve"> </w:t>
      </w:r>
      <w:r w:rsidRPr="00AA5065">
        <w:rPr>
          <w:rFonts w:ascii="David" w:eastAsia="Calibri" w:hAnsi="David" w:hint="eastAsia"/>
          <w:rtl/>
        </w:rPr>
        <w:t>שכן</w:t>
      </w:r>
      <w:r w:rsidRPr="00AA5065">
        <w:rPr>
          <w:rFonts w:ascii="David" w:eastAsia="Calibri" w:hAnsi="David"/>
          <w:rtl/>
        </w:rPr>
        <w:t xml:space="preserve"> </w:t>
      </w:r>
      <w:r w:rsidRPr="00AA5065">
        <w:rPr>
          <w:rFonts w:ascii="David" w:eastAsia="Calibri" w:hAnsi="David" w:hint="eastAsia"/>
          <w:rtl/>
        </w:rPr>
        <w:t>הבעלות</w:t>
      </w:r>
      <w:r w:rsidRPr="00AA5065">
        <w:rPr>
          <w:rFonts w:ascii="David" w:eastAsia="Calibri" w:hAnsi="David"/>
          <w:rtl/>
        </w:rPr>
        <w:t xml:space="preserve"> </w:t>
      </w:r>
      <w:r w:rsidRPr="00AA5065">
        <w:rPr>
          <w:rFonts w:ascii="David" w:eastAsia="Calibri" w:hAnsi="David" w:hint="eastAsia"/>
          <w:rtl/>
        </w:rPr>
        <w:t>על</w:t>
      </w:r>
      <w:r w:rsidRPr="00AA5065">
        <w:rPr>
          <w:rFonts w:ascii="David" w:eastAsia="Calibri" w:hAnsi="David"/>
          <w:rtl/>
        </w:rPr>
        <w:t xml:space="preserve"> </w:t>
      </w:r>
      <w:r w:rsidRPr="00AA5065">
        <w:rPr>
          <w:rFonts w:ascii="David" w:eastAsia="Calibri" w:hAnsi="David" w:hint="eastAsia"/>
          <w:rtl/>
        </w:rPr>
        <w:t>הרכוש</w:t>
      </w:r>
      <w:r w:rsidRPr="00AA5065">
        <w:rPr>
          <w:rFonts w:ascii="David" w:eastAsia="Calibri" w:hAnsi="David"/>
          <w:rtl/>
        </w:rPr>
        <w:t xml:space="preserve"> </w:t>
      </w:r>
      <w:r w:rsidRPr="00AA5065">
        <w:rPr>
          <w:rFonts w:ascii="David" w:eastAsia="Calibri" w:hAnsi="David" w:hint="eastAsia"/>
          <w:rtl/>
        </w:rPr>
        <w:t>אינה</w:t>
      </w:r>
      <w:r w:rsidRPr="00AA5065">
        <w:rPr>
          <w:rFonts w:ascii="David" w:eastAsia="Calibri" w:hAnsi="David"/>
          <w:rtl/>
        </w:rPr>
        <w:t xml:space="preserve"> </w:t>
      </w:r>
      <w:r w:rsidRPr="00AA5065">
        <w:rPr>
          <w:rFonts w:ascii="David" w:eastAsia="Calibri" w:hAnsi="David" w:hint="eastAsia"/>
          <w:rtl/>
        </w:rPr>
        <w:t>מוסדרת</w:t>
      </w:r>
      <w:r w:rsidRPr="00AA5065">
        <w:rPr>
          <w:rFonts w:ascii="David" w:eastAsia="Calibri" w:hAnsi="David"/>
          <w:rtl/>
        </w:rPr>
        <w:t xml:space="preserve"> (רכב </w:t>
      </w:r>
      <w:r w:rsidRPr="00AA5065">
        <w:rPr>
          <w:rFonts w:ascii="David" w:eastAsia="Calibri" w:hAnsi="David" w:hint="eastAsia"/>
          <w:rtl/>
        </w:rPr>
        <w:t>שאינו</w:t>
      </w:r>
      <w:r w:rsidRPr="00AA5065">
        <w:rPr>
          <w:rFonts w:ascii="David" w:eastAsia="Calibri" w:hAnsi="David"/>
          <w:rtl/>
        </w:rPr>
        <w:t xml:space="preserve"> </w:t>
      </w:r>
      <w:r w:rsidRPr="00AA5065">
        <w:rPr>
          <w:rFonts w:ascii="David" w:eastAsia="Calibri" w:hAnsi="David" w:hint="eastAsia"/>
          <w:rtl/>
        </w:rPr>
        <w:t>רשום</w:t>
      </w:r>
      <w:r w:rsidRPr="00AA5065">
        <w:rPr>
          <w:rFonts w:ascii="David" w:eastAsia="Calibri" w:hAnsi="David"/>
          <w:rtl/>
        </w:rPr>
        <w:t xml:space="preserve"> </w:t>
      </w:r>
      <w:r w:rsidRPr="00AA5065">
        <w:rPr>
          <w:rFonts w:ascii="David" w:eastAsia="Calibri" w:hAnsi="David" w:hint="eastAsia"/>
          <w:rtl/>
        </w:rPr>
        <w:t>על</w:t>
      </w:r>
      <w:r w:rsidRPr="00AA5065">
        <w:rPr>
          <w:rFonts w:ascii="David" w:eastAsia="Calibri" w:hAnsi="David"/>
          <w:rtl/>
        </w:rPr>
        <w:t xml:space="preserve"> </w:t>
      </w:r>
      <w:r w:rsidRPr="00AA5065">
        <w:rPr>
          <w:rFonts w:ascii="David" w:eastAsia="Calibri" w:hAnsi="David" w:hint="eastAsia"/>
          <w:rtl/>
        </w:rPr>
        <w:t>שם</w:t>
      </w:r>
      <w:r w:rsidRPr="00AA5065">
        <w:rPr>
          <w:rFonts w:ascii="David" w:eastAsia="Calibri" w:hAnsi="David"/>
          <w:rtl/>
        </w:rPr>
        <w:t xml:space="preserve"> </w:t>
      </w:r>
      <w:r w:rsidRPr="00AA5065">
        <w:rPr>
          <w:rFonts w:ascii="David" w:eastAsia="Calibri" w:hAnsi="David" w:hint="eastAsia"/>
          <w:rtl/>
        </w:rPr>
        <w:t>החייב</w:t>
      </w:r>
      <w:r w:rsidRPr="00AA5065">
        <w:rPr>
          <w:rFonts w:ascii="David" w:eastAsia="Calibri" w:hAnsi="David"/>
          <w:rtl/>
        </w:rPr>
        <w:t xml:space="preserve">, </w:t>
      </w:r>
      <w:r w:rsidRPr="00AA5065">
        <w:rPr>
          <w:rFonts w:ascii="David" w:eastAsia="Calibri" w:hAnsi="David" w:hint="eastAsia"/>
          <w:rtl/>
        </w:rPr>
        <w:t>מכירה</w:t>
      </w:r>
      <w:r w:rsidRPr="00AA5065">
        <w:rPr>
          <w:rFonts w:ascii="David" w:eastAsia="Calibri" w:hAnsi="David"/>
          <w:rtl/>
        </w:rPr>
        <w:t xml:space="preserve"> </w:t>
      </w:r>
      <w:r w:rsidRPr="00AA5065">
        <w:rPr>
          <w:rFonts w:ascii="David" w:eastAsia="Calibri" w:hAnsi="David" w:hint="eastAsia"/>
          <w:rtl/>
        </w:rPr>
        <w:t>והעברת</w:t>
      </w:r>
      <w:r w:rsidRPr="00AA5065">
        <w:rPr>
          <w:rFonts w:ascii="David" w:eastAsia="Calibri" w:hAnsi="David"/>
          <w:rtl/>
        </w:rPr>
        <w:t xml:space="preserve"> </w:t>
      </w:r>
      <w:r w:rsidRPr="00AA5065">
        <w:rPr>
          <w:rFonts w:ascii="David" w:eastAsia="Calibri" w:hAnsi="David" w:hint="eastAsia"/>
          <w:rtl/>
        </w:rPr>
        <w:t>בעלות</w:t>
      </w:r>
      <w:r w:rsidRPr="00AA5065">
        <w:rPr>
          <w:rFonts w:ascii="David" w:eastAsia="Calibri" w:hAnsi="David"/>
          <w:rtl/>
        </w:rPr>
        <w:t xml:space="preserve"> </w:t>
      </w:r>
      <w:r w:rsidRPr="00AA5065">
        <w:rPr>
          <w:rFonts w:ascii="David" w:eastAsia="Calibri" w:hAnsi="David" w:hint="eastAsia"/>
          <w:rtl/>
        </w:rPr>
        <w:t>ללא</w:t>
      </w:r>
      <w:r w:rsidRPr="00AA5065">
        <w:rPr>
          <w:rFonts w:ascii="David" w:eastAsia="Calibri" w:hAnsi="David"/>
          <w:rtl/>
        </w:rPr>
        <w:t xml:space="preserve"> </w:t>
      </w:r>
      <w:r w:rsidRPr="00AA5065">
        <w:rPr>
          <w:rFonts w:ascii="David" w:eastAsia="Calibri" w:hAnsi="David" w:hint="eastAsia"/>
          <w:rtl/>
        </w:rPr>
        <w:t>דיווח</w:t>
      </w:r>
      <w:r w:rsidRPr="00AA5065">
        <w:rPr>
          <w:rFonts w:ascii="David" w:eastAsia="Calibri" w:hAnsi="David"/>
          <w:rtl/>
        </w:rPr>
        <w:t xml:space="preserve"> </w:t>
      </w:r>
      <w:r w:rsidRPr="00AA5065">
        <w:rPr>
          <w:rFonts w:ascii="David" w:eastAsia="Calibri" w:hAnsi="David" w:hint="eastAsia"/>
          <w:rtl/>
        </w:rPr>
        <w:t>למשרד</w:t>
      </w:r>
      <w:r w:rsidRPr="00AA5065">
        <w:rPr>
          <w:rFonts w:ascii="David" w:eastAsia="Calibri" w:hAnsi="David"/>
          <w:rtl/>
        </w:rPr>
        <w:t xml:space="preserve"> </w:t>
      </w:r>
      <w:r w:rsidRPr="00AA5065">
        <w:rPr>
          <w:rFonts w:ascii="David" w:eastAsia="Calibri" w:hAnsi="David" w:hint="eastAsia"/>
          <w:rtl/>
        </w:rPr>
        <w:t>הרישוי</w:t>
      </w:r>
      <w:r w:rsidRPr="00AA5065">
        <w:rPr>
          <w:rFonts w:ascii="David" w:eastAsia="Calibri" w:hAnsi="David"/>
          <w:rtl/>
        </w:rPr>
        <w:t xml:space="preserve">, </w:t>
      </w:r>
      <w:r w:rsidRPr="00AA5065">
        <w:rPr>
          <w:rFonts w:ascii="David" w:eastAsia="Calibri" w:hAnsi="David" w:hint="eastAsia"/>
          <w:rtl/>
        </w:rPr>
        <w:t>קשיים</w:t>
      </w:r>
      <w:r w:rsidRPr="00AA5065">
        <w:rPr>
          <w:rFonts w:ascii="David" w:eastAsia="Calibri" w:hAnsi="David"/>
          <w:rtl/>
        </w:rPr>
        <w:t xml:space="preserve"> </w:t>
      </w:r>
      <w:r w:rsidRPr="00AA5065">
        <w:rPr>
          <w:rFonts w:ascii="David" w:eastAsia="Calibri" w:hAnsi="David" w:hint="eastAsia"/>
          <w:rtl/>
        </w:rPr>
        <w:t>במימוש</w:t>
      </w:r>
      <w:r w:rsidRPr="00AA5065">
        <w:rPr>
          <w:rFonts w:ascii="David" w:eastAsia="Calibri" w:hAnsi="David"/>
          <w:rtl/>
        </w:rPr>
        <w:t xml:space="preserve"> </w:t>
      </w:r>
      <w:r w:rsidRPr="00AA5065">
        <w:rPr>
          <w:rFonts w:ascii="David" w:eastAsia="Calibri" w:hAnsi="David" w:hint="eastAsia"/>
          <w:rtl/>
        </w:rPr>
        <w:t>נדל</w:t>
      </w:r>
      <w:r w:rsidRPr="00AA5065">
        <w:rPr>
          <w:rFonts w:ascii="David" w:eastAsia="Calibri" w:hAnsi="David"/>
          <w:rtl/>
        </w:rPr>
        <w:t xml:space="preserve">"ן </w:t>
      </w:r>
      <w:r w:rsidRPr="00AA5065">
        <w:rPr>
          <w:rFonts w:ascii="David" w:eastAsia="Calibri" w:hAnsi="David" w:hint="eastAsia"/>
          <w:rtl/>
        </w:rPr>
        <w:t>במידה</w:t>
      </w:r>
      <w:r w:rsidRPr="00AA5065">
        <w:rPr>
          <w:rFonts w:ascii="David" w:eastAsia="Calibri" w:hAnsi="David"/>
          <w:rtl/>
        </w:rPr>
        <w:t xml:space="preserve"> </w:t>
      </w:r>
      <w:r w:rsidRPr="00AA5065">
        <w:rPr>
          <w:rFonts w:ascii="David" w:eastAsia="Calibri" w:hAnsi="David" w:hint="eastAsia"/>
          <w:rtl/>
        </w:rPr>
        <w:t>והעיקול</w:t>
      </w:r>
      <w:r w:rsidRPr="00AA5065">
        <w:rPr>
          <w:rFonts w:ascii="David" w:eastAsia="Calibri" w:hAnsi="David"/>
          <w:rtl/>
        </w:rPr>
        <w:t xml:space="preserve"> </w:t>
      </w:r>
      <w:r w:rsidRPr="00AA5065">
        <w:rPr>
          <w:rFonts w:ascii="David" w:eastAsia="Calibri" w:hAnsi="David" w:hint="eastAsia"/>
          <w:rtl/>
        </w:rPr>
        <w:t>צלח</w:t>
      </w:r>
      <w:r w:rsidRPr="00AA5065">
        <w:rPr>
          <w:rFonts w:ascii="David" w:eastAsia="Calibri" w:hAnsi="David"/>
          <w:rtl/>
        </w:rPr>
        <w:t xml:space="preserve">). </w:t>
      </w:r>
      <w:r w:rsidRPr="00AA5065">
        <w:rPr>
          <w:rFonts w:ascii="David" w:eastAsia="Calibri" w:hAnsi="David" w:hint="eastAsia"/>
          <w:rtl/>
        </w:rPr>
        <w:t>בנוסף</w:t>
      </w:r>
      <w:r w:rsidRPr="00AA5065">
        <w:rPr>
          <w:rFonts w:ascii="David" w:eastAsia="Calibri" w:hAnsi="David"/>
          <w:rtl/>
        </w:rPr>
        <w:t xml:space="preserve">, </w:t>
      </w:r>
      <w:r w:rsidRPr="00AA5065">
        <w:rPr>
          <w:rFonts w:ascii="David" w:eastAsia="Calibri" w:hAnsi="David" w:hint="eastAsia"/>
          <w:rtl/>
        </w:rPr>
        <w:t>פעולות</w:t>
      </w:r>
      <w:r w:rsidRPr="00AA5065">
        <w:rPr>
          <w:rFonts w:ascii="David" w:eastAsia="Calibri" w:hAnsi="David"/>
          <w:rtl/>
        </w:rPr>
        <w:t xml:space="preserve"> </w:t>
      </w:r>
      <w:r w:rsidRPr="00AA5065">
        <w:rPr>
          <w:rFonts w:ascii="David" w:eastAsia="Calibri" w:hAnsi="David" w:hint="eastAsia"/>
          <w:rtl/>
        </w:rPr>
        <w:t>אכיפה</w:t>
      </w:r>
      <w:r w:rsidRPr="00AA5065">
        <w:rPr>
          <w:rFonts w:ascii="David" w:eastAsia="Calibri" w:hAnsi="David"/>
          <w:rtl/>
        </w:rPr>
        <w:t xml:space="preserve"> </w:t>
      </w:r>
      <w:r w:rsidRPr="00AA5065">
        <w:rPr>
          <w:rFonts w:ascii="David" w:eastAsia="Calibri" w:hAnsi="David" w:hint="eastAsia"/>
          <w:rtl/>
        </w:rPr>
        <w:t>והוצאה</w:t>
      </w:r>
      <w:r w:rsidRPr="00AA5065">
        <w:rPr>
          <w:rFonts w:ascii="David" w:eastAsia="Calibri" w:hAnsi="David"/>
          <w:rtl/>
        </w:rPr>
        <w:t xml:space="preserve"> </w:t>
      </w:r>
      <w:r w:rsidRPr="00AA5065">
        <w:rPr>
          <w:rFonts w:ascii="David" w:eastAsia="Calibri" w:hAnsi="David" w:hint="eastAsia"/>
          <w:rtl/>
        </w:rPr>
        <w:t>לפועל</w:t>
      </w:r>
      <w:r w:rsidRPr="00AA5065">
        <w:rPr>
          <w:rFonts w:ascii="David" w:eastAsia="Calibri" w:hAnsi="David"/>
          <w:rtl/>
        </w:rPr>
        <w:t xml:space="preserve"> </w:t>
      </w:r>
      <w:r w:rsidRPr="00AA5065">
        <w:rPr>
          <w:rFonts w:ascii="David" w:eastAsia="Calibri" w:hAnsi="David" w:hint="eastAsia"/>
          <w:rtl/>
        </w:rPr>
        <w:t>בשטח</w:t>
      </w:r>
      <w:r w:rsidRPr="00AA5065">
        <w:rPr>
          <w:rFonts w:ascii="David" w:eastAsia="Calibri" w:hAnsi="David"/>
          <w:rtl/>
        </w:rPr>
        <w:t xml:space="preserve"> </w:t>
      </w:r>
      <w:r w:rsidRPr="00AA5065">
        <w:rPr>
          <w:rFonts w:ascii="David" w:eastAsia="Calibri" w:hAnsi="David" w:hint="eastAsia"/>
          <w:rtl/>
        </w:rPr>
        <w:t>נתקלת</w:t>
      </w:r>
      <w:r w:rsidRPr="00AA5065">
        <w:rPr>
          <w:rFonts w:ascii="David" w:eastAsia="Calibri" w:hAnsi="David"/>
          <w:rtl/>
        </w:rPr>
        <w:t xml:space="preserve"> </w:t>
      </w:r>
      <w:r w:rsidRPr="00AA5065">
        <w:rPr>
          <w:rFonts w:ascii="David" w:eastAsia="Calibri" w:hAnsi="David" w:hint="eastAsia"/>
          <w:rtl/>
        </w:rPr>
        <w:t>בקשיי</w:t>
      </w:r>
      <w:r w:rsidRPr="00AA5065">
        <w:rPr>
          <w:rFonts w:ascii="David" w:eastAsia="Calibri" w:hAnsi="David"/>
          <w:rtl/>
        </w:rPr>
        <w:t xml:space="preserve"> </w:t>
      </w:r>
      <w:r w:rsidRPr="00AA5065">
        <w:rPr>
          <w:rFonts w:ascii="David" w:eastAsia="Calibri" w:hAnsi="David" w:hint="eastAsia"/>
          <w:rtl/>
        </w:rPr>
        <w:t>איתור</w:t>
      </w:r>
      <w:r w:rsidRPr="00AA5065">
        <w:rPr>
          <w:rFonts w:ascii="David" w:eastAsia="Calibri" w:hAnsi="David"/>
          <w:rtl/>
        </w:rPr>
        <w:t xml:space="preserve"> </w:t>
      </w:r>
      <w:r w:rsidRPr="00AA5065">
        <w:rPr>
          <w:rFonts w:ascii="David" w:eastAsia="Calibri" w:hAnsi="David" w:hint="eastAsia"/>
          <w:rtl/>
        </w:rPr>
        <w:t>וחשש</w:t>
      </w:r>
      <w:r w:rsidRPr="00AA5065">
        <w:rPr>
          <w:rFonts w:ascii="David" w:eastAsia="Calibri" w:hAnsi="David"/>
          <w:rtl/>
        </w:rPr>
        <w:t xml:space="preserve"> </w:t>
      </w:r>
      <w:r w:rsidRPr="00AA5065">
        <w:rPr>
          <w:rFonts w:ascii="David" w:eastAsia="Calibri" w:hAnsi="David" w:hint="eastAsia"/>
          <w:rtl/>
        </w:rPr>
        <w:t>לאלימות</w:t>
      </w:r>
      <w:r w:rsidRPr="00AA5065">
        <w:rPr>
          <w:rFonts w:ascii="David" w:eastAsia="Calibri" w:hAnsi="David"/>
          <w:rtl/>
        </w:rPr>
        <w:t xml:space="preserve"> </w:t>
      </w:r>
      <w:r w:rsidRPr="00AA5065">
        <w:rPr>
          <w:rFonts w:ascii="David" w:eastAsia="Calibri" w:hAnsi="David" w:hint="eastAsia"/>
          <w:rtl/>
        </w:rPr>
        <w:t>שדורש</w:t>
      </w:r>
      <w:r w:rsidRPr="00AA5065">
        <w:rPr>
          <w:rFonts w:ascii="David" w:eastAsia="Calibri" w:hAnsi="David"/>
          <w:rtl/>
        </w:rPr>
        <w:t xml:space="preserve"> </w:t>
      </w:r>
      <w:r w:rsidRPr="00AA5065">
        <w:rPr>
          <w:rFonts w:ascii="David" w:eastAsia="Calibri" w:hAnsi="David" w:hint="eastAsia"/>
          <w:rtl/>
        </w:rPr>
        <w:t>ליווי</w:t>
      </w:r>
      <w:r w:rsidRPr="00AA5065">
        <w:rPr>
          <w:rFonts w:ascii="David" w:eastAsia="Calibri" w:hAnsi="David"/>
          <w:rtl/>
        </w:rPr>
        <w:t xml:space="preserve"> </w:t>
      </w:r>
      <w:r w:rsidRPr="00AA5065">
        <w:rPr>
          <w:rFonts w:ascii="David" w:eastAsia="Calibri" w:hAnsi="David" w:hint="eastAsia"/>
          <w:rtl/>
        </w:rPr>
        <w:t>משטרתי</w:t>
      </w:r>
      <w:r w:rsidRPr="00AA5065">
        <w:rPr>
          <w:rFonts w:ascii="David" w:eastAsia="Calibri" w:hAnsi="David"/>
          <w:rtl/>
        </w:rPr>
        <w:t xml:space="preserve">. </w:t>
      </w:r>
      <w:r w:rsidRPr="00AA5065">
        <w:rPr>
          <w:rFonts w:ascii="David" w:eastAsia="Calibri" w:hAnsi="David" w:hint="eastAsia"/>
          <w:rtl/>
        </w:rPr>
        <w:t>במישור</w:t>
      </w:r>
      <w:r w:rsidRPr="00AA5065">
        <w:rPr>
          <w:rFonts w:ascii="David" w:eastAsia="Calibri" w:hAnsi="David"/>
          <w:rtl/>
        </w:rPr>
        <w:t xml:space="preserve"> </w:t>
      </w:r>
      <w:r w:rsidRPr="00AA5065">
        <w:rPr>
          <w:rFonts w:ascii="David" w:eastAsia="Calibri" w:hAnsi="David" w:hint="eastAsia"/>
          <w:rtl/>
        </w:rPr>
        <w:t>המודיעיני</w:t>
      </w:r>
      <w:r w:rsidRPr="00AA5065">
        <w:rPr>
          <w:rFonts w:ascii="David" w:eastAsia="Calibri" w:hAnsi="David"/>
          <w:rtl/>
        </w:rPr>
        <w:t xml:space="preserve"> (איתור </w:t>
      </w:r>
      <w:r w:rsidRPr="00AA5065">
        <w:rPr>
          <w:rFonts w:ascii="David" w:eastAsia="Calibri" w:hAnsi="David" w:hint="eastAsia"/>
          <w:rtl/>
        </w:rPr>
        <w:t>חייבים</w:t>
      </w:r>
      <w:r w:rsidRPr="00AA5065">
        <w:rPr>
          <w:rFonts w:ascii="David" w:eastAsia="Calibri" w:hAnsi="David"/>
          <w:rtl/>
        </w:rPr>
        <w:t xml:space="preserve">) </w:t>
      </w:r>
      <w:r w:rsidRPr="00AA5065">
        <w:rPr>
          <w:rFonts w:ascii="David" w:eastAsia="Calibri" w:hAnsi="David" w:hint="eastAsia"/>
          <w:rtl/>
        </w:rPr>
        <w:t>רשות</w:t>
      </w:r>
      <w:r w:rsidRPr="00AA5065">
        <w:rPr>
          <w:rFonts w:ascii="David" w:eastAsia="Calibri" w:hAnsi="David"/>
          <w:rtl/>
        </w:rPr>
        <w:t xml:space="preserve"> </w:t>
      </w:r>
      <w:r w:rsidRPr="00AA5065">
        <w:rPr>
          <w:rFonts w:ascii="David" w:eastAsia="Calibri" w:hAnsi="David" w:hint="eastAsia"/>
          <w:rtl/>
        </w:rPr>
        <w:t>המיסים</w:t>
      </w:r>
      <w:r w:rsidRPr="00AA5065">
        <w:rPr>
          <w:rFonts w:ascii="David" w:eastAsia="Calibri" w:hAnsi="David"/>
          <w:rtl/>
        </w:rPr>
        <w:t xml:space="preserve"> </w:t>
      </w:r>
      <w:r w:rsidRPr="00AA5065">
        <w:rPr>
          <w:rFonts w:ascii="David" w:eastAsia="Calibri" w:hAnsi="David" w:hint="eastAsia"/>
          <w:rtl/>
        </w:rPr>
        <w:t>תחתור</w:t>
      </w:r>
      <w:r w:rsidRPr="00AA5065">
        <w:rPr>
          <w:rFonts w:ascii="David" w:eastAsia="Calibri" w:hAnsi="David"/>
          <w:rtl/>
        </w:rPr>
        <w:t xml:space="preserve"> </w:t>
      </w:r>
      <w:r w:rsidRPr="00AA5065">
        <w:rPr>
          <w:rFonts w:ascii="David" w:eastAsia="Calibri" w:hAnsi="David" w:hint="eastAsia"/>
          <w:rtl/>
        </w:rPr>
        <w:t>לפעילות</w:t>
      </w:r>
      <w:r w:rsidRPr="00AA5065">
        <w:rPr>
          <w:rFonts w:ascii="David" w:eastAsia="Calibri" w:hAnsi="David"/>
          <w:rtl/>
        </w:rPr>
        <w:t xml:space="preserve"> </w:t>
      </w:r>
      <w:r w:rsidRPr="00AA5065">
        <w:rPr>
          <w:rFonts w:ascii="David" w:eastAsia="Calibri" w:hAnsi="David" w:hint="eastAsia"/>
          <w:rtl/>
        </w:rPr>
        <w:t>קבועה</w:t>
      </w:r>
      <w:r w:rsidRPr="00AA5065">
        <w:rPr>
          <w:rFonts w:ascii="David" w:eastAsia="Calibri" w:hAnsi="David"/>
          <w:rtl/>
        </w:rPr>
        <w:t xml:space="preserve"> </w:t>
      </w:r>
      <w:r w:rsidRPr="00AA5065">
        <w:rPr>
          <w:rFonts w:ascii="David" w:eastAsia="Calibri" w:hAnsi="David" w:hint="eastAsia"/>
          <w:rtl/>
        </w:rPr>
        <w:t>מול</w:t>
      </w:r>
      <w:r w:rsidRPr="00AA5065">
        <w:rPr>
          <w:rFonts w:ascii="David" w:eastAsia="Calibri" w:hAnsi="David"/>
          <w:rtl/>
        </w:rPr>
        <w:t xml:space="preserve"> </w:t>
      </w:r>
      <w:r w:rsidRPr="00AA5065">
        <w:rPr>
          <w:rFonts w:ascii="David" w:eastAsia="Calibri" w:hAnsi="David" w:hint="eastAsia"/>
          <w:rtl/>
        </w:rPr>
        <w:t>תחנות</w:t>
      </w:r>
      <w:r w:rsidRPr="00AA5065">
        <w:rPr>
          <w:rFonts w:ascii="David" w:eastAsia="Calibri" w:hAnsi="David"/>
          <w:rtl/>
        </w:rPr>
        <w:t xml:space="preserve"> </w:t>
      </w:r>
      <w:r w:rsidRPr="00AA5065">
        <w:rPr>
          <w:rFonts w:ascii="David" w:eastAsia="Calibri" w:hAnsi="David" w:hint="eastAsia"/>
          <w:rtl/>
        </w:rPr>
        <w:t>המשטרה</w:t>
      </w:r>
      <w:r w:rsidRPr="00AA5065">
        <w:rPr>
          <w:rFonts w:ascii="David" w:eastAsia="Calibri" w:hAnsi="David"/>
          <w:rtl/>
        </w:rPr>
        <w:t xml:space="preserve"> </w:t>
      </w:r>
      <w:r w:rsidRPr="00AA5065">
        <w:rPr>
          <w:rFonts w:ascii="David" w:eastAsia="Calibri" w:hAnsi="David" w:hint="eastAsia"/>
          <w:rtl/>
        </w:rPr>
        <w:t>המקומיות</w:t>
      </w:r>
      <w:r w:rsidRPr="00AA5065">
        <w:rPr>
          <w:rFonts w:ascii="David" w:eastAsia="Calibri" w:hAnsi="David"/>
          <w:rtl/>
        </w:rPr>
        <w:t xml:space="preserve"> (תלוי </w:t>
      </w:r>
      <w:r w:rsidRPr="00AA5065">
        <w:rPr>
          <w:rFonts w:ascii="David" w:eastAsia="Calibri" w:hAnsi="David" w:hint="eastAsia"/>
          <w:rtl/>
        </w:rPr>
        <w:t>מאוד</w:t>
      </w:r>
      <w:r w:rsidRPr="00AA5065">
        <w:rPr>
          <w:rFonts w:ascii="David" w:eastAsia="Calibri" w:hAnsi="David"/>
          <w:rtl/>
        </w:rPr>
        <w:t xml:space="preserve"> </w:t>
      </w:r>
      <w:r w:rsidRPr="00AA5065">
        <w:rPr>
          <w:rFonts w:ascii="David" w:eastAsia="Calibri" w:hAnsi="David" w:hint="eastAsia"/>
          <w:rtl/>
        </w:rPr>
        <w:t>במדיניות</w:t>
      </w:r>
      <w:r w:rsidRPr="00AA5065">
        <w:rPr>
          <w:rFonts w:ascii="David" w:eastAsia="Calibri" w:hAnsi="David"/>
          <w:rtl/>
        </w:rPr>
        <w:t xml:space="preserve"> </w:t>
      </w:r>
      <w:r w:rsidRPr="00AA5065">
        <w:rPr>
          <w:rFonts w:ascii="David" w:eastAsia="Calibri" w:hAnsi="David" w:hint="eastAsia"/>
          <w:rtl/>
        </w:rPr>
        <w:t>המשטרה</w:t>
      </w:r>
      <w:r w:rsidRPr="00AA5065">
        <w:rPr>
          <w:rFonts w:ascii="David" w:eastAsia="Calibri" w:hAnsi="David"/>
          <w:rtl/>
        </w:rPr>
        <w:t xml:space="preserve">) </w:t>
      </w:r>
      <w:r w:rsidRPr="00AA5065">
        <w:rPr>
          <w:rFonts w:ascii="David" w:eastAsia="Calibri" w:hAnsi="David" w:hint="eastAsia"/>
          <w:rtl/>
        </w:rPr>
        <w:t>ותגבש</w:t>
      </w:r>
      <w:r w:rsidRPr="00AA5065">
        <w:rPr>
          <w:rFonts w:ascii="David" w:eastAsia="Calibri" w:hAnsi="David"/>
          <w:rtl/>
        </w:rPr>
        <w:t xml:space="preserve"> </w:t>
      </w:r>
      <w:r w:rsidRPr="00AA5065">
        <w:rPr>
          <w:rFonts w:ascii="David" w:eastAsia="Calibri" w:hAnsi="David" w:hint="eastAsia"/>
          <w:rtl/>
        </w:rPr>
        <w:t>תוכניות</w:t>
      </w:r>
      <w:r w:rsidRPr="00AA5065">
        <w:rPr>
          <w:rFonts w:ascii="David" w:eastAsia="Calibri" w:hAnsi="David"/>
          <w:rtl/>
        </w:rPr>
        <w:t xml:space="preserve"> </w:t>
      </w:r>
      <w:r w:rsidRPr="00AA5065">
        <w:rPr>
          <w:rFonts w:ascii="David" w:eastAsia="Calibri" w:hAnsi="David" w:hint="eastAsia"/>
          <w:rtl/>
        </w:rPr>
        <w:t>עבודה</w:t>
      </w:r>
      <w:r w:rsidRPr="00AA5065">
        <w:rPr>
          <w:rFonts w:ascii="David" w:eastAsia="Calibri" w:hAnsi="David"/>
          <w:rtl/>
        </w:rPr>
        <w:t xml:space="preserve"> </w:t>
      </w:r>
      <w:r w:rsidRPr="00AA5065">
        <w:rPr>
          <w:rFonts w:ascii="David" w:eastAsia="Calibri" w:hAnsi="David" w:hint="eastAsia"/>
          <w:rtl/>
        </w:rPr>
        <w:t>שוטפות</w:t>
      </w:r>
      <w:r w:rsidRPr="00AA5065">
        <w:rPr>
          <w:rFonts w:ascii="David" w:eastAsia="Calibri" w:hAnsi="David"/>
          <w:rtl/>
        </w:rPr>
        <w:t xml:space="preserve"> </w:t>
      </w:r>
      <w:r w:rsidRPr="00AA5065">
        <w:rPr>
          <w:rFonts w:ascii="David" w:eastAsia="Calibri" w:hAnsi="David" w:hint="eastAsia"/>
          <w:rtl/>
        </w:rPr>
        <w:t>לפעילות</w:t>
      </w:r>
      <w:r w:rsidRPr="00AA5065">
        <w:rPr>
          <w:rFonts w:ascii="David" w:eastAsia="Calibri" w:hAnsi="David"/>
          <w:rtl/>
        </w:rPr>
        <w:t xml:space="preserve"> </w:t>
      </w:r>
      <w:r w:rsidRPr="00AA5065">
        <w:rPr>
          <w:rFonts w:ascii="David" w:eastAsia="Calibri" w:hAnsi="David" w:hint="eastAsia"/>
          <w:rtl/>
        </w:rPr>
        <w:t>בפזורה</w:t>
      </w:r>
      <w:r w:rsidRPr="00AA5065">
        <w:rPr>
          <w:rFonts w:ascii="David" w:eastAsia="Calibri" w:hAnsi="David"/>
          <w:rtl/>
        </w:rPr>
        <w:t xml:space="preserve"> </w:t>
      </w:r>
      <w:r w:rsidRPr="00AA5065">
        <w:rPr>
          <w:rFonts w:ascii="David" w:eastAsia="Calibri" w:hAnsi="David" w:hint="eastAsia"/>
          <w:rtl/>
        </w:rPr>
        <w:t>עם</w:t>
      </w:r>
      <w:r w:rsidRPr="00AA5065">
        <w:rPr>
          <w:rFonts w:ascii="David" w:eastAsia="Calibri" w:hAnsi="David"/>
          <w:rtl/>
        </w:rPr>
        <w:t xml:space="preserve"> </w:t>
      </w:r>
      <w:r w:rsidRPr="00AA5065">
        <w:rPr>
          <w:rFonts w:ascii="David" w:eastAsia="Calibri" w:hAnsi="David" w:hint="eastAsia"/>
          <w:rtl/>
        </w:rPr>
        <w:t>החזרה</w:t>
      </w:r>
      <w:r w:rsidRPr="00AA5065">
        <w:rPr>
          <w:rFonts w:ascii="David" w:eastAsia="Calibri" w:hAnsi="David"/>
          <w:rtl/>
        </w:rPr>
        <w:t xml:space="preserve"> </w:t>
      </w:r>
      <w:r w:rsidRPr="00AA5065">
        <w:rPr>
          <w:rFonts w:ascii="David" w:eastAsia="Calibri" w:hAnsi="David" w:hint="eastAsia"/>
          <w:rtl/>
        </w:rPr>
        <w:t>לשגרה</w:t>
      </w:r>
      <w:r w:rsidRPr="00AA5065">
        <w:rPr>
          <w:rFonts w:ascii="David" w:eastAsia="Calibri" w:hAnsi="David"/>
          <w:rtl/>
        </w:rPr>
        <w:t xml:space="preserve"> </w:t>
      </w:r>
      <w:r w:rsidRPr="00AA5065">
        <w:rPr>
          <w:rFonts w:ascii="David" w:eastAsia="Calibri" w:hAnsi="David" w:hint="eastAsia"/>
          <w:rtl/>
        </w:rPr>
        <w:t>במקביל</w:t>
      </w:r>
      <w:r w:rsidRPr="00AA5065">
        <w:rPr>
          <w:rFonts w:ascii="David" w:eastAsia="Calibri" w:hAnsi="David"/>
          <w:rtl/>
        </w:rPr>
        <w:t xml:space="preserve"> </w:t>
      </w:r>
      <w:r w:rsidRPr="00AA5065">
        <w:rPr>
          <w:rFonts w:ascii="David" w:eastAsia="Calibri" w:hAnsi="David" w:hint="eastAsia"/>
          <w:rtl/>
        </w:rPr>
        <w:t>לפעילות</w:t>
      </w:r>
      <w:r w:rsidRPr="00AA5065">
        <w:rPr>
          <w:rFonts w:ascii="David" w:eastAsia="Calibri" w:hAnsi="David"/>
          <w:rtl/>
        </w:rPr>
        <w:t xml:space="preserve"> </w:t>
      </w:r>
      <w:r w:rsidRPr="00AA5065">
        <w:rPr>
          <w:rFonts w:ascii="David" w:eastAsia="Calibri" w:hAnsi="David" w:hint="eastAsia"/>
          <w:rtl/>
        </w:rPr>
        <w:t>בשאר</w:t>
      </w:r>
      <w:r w:rsidRPr="00AA5065">
        <w:rPr>
          <w:rFonts w:ascii="David" w:eastAsia="Calibri" w:hAnsi="David"/>
          <w:rtl/>
        </w:rPr>
        <w:t xml:space="preserve"> </w:t>
      </w:r>
      <w:r w:rsidRPr="00AA5065">
        <w:rPr>
          <w:rFonts w:ascii="David" w:eastAsia="Calibri" w:hAnsi="David" w:hint="eastAsia"/>
          <w:rtl/>
        </w:rPr>
        <w:t>חלקי</w:t>
      </w:r>
      <w:r w:rsidRPr="00AA5065">
        <w:rPr>
          <w:rFonts w:ascii="David" w:eastAsia="Calibri" w:hAnsi="David"/>
          <w:rtl/>
        </w:rPr>
        <w:t xml:space="preserve"> </w:t>
      </w:r>
      <w:r w:rsidRPr="00AA5065">
        <w:rPr>
          <w:rFonts w:ascii="David" w:eastAsia="Calibri" w:hAnsi="David" w:hint="eastAsia"/>
          <w:rtl/>
        </w:rPr>
        <w:t>המחוז</w:t>
      </w:r>
      <w:r w:rsidRPr="00AA5065">
        <w:rPr>
          <w:rFonts w:ascii="David" w:eastAsia="Calibri" w:hAnsi="David"/>
          <w:rtl/>
        </w:rPr>
        <w:t>".</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rtl/>
        </w:rPr>
      </w:pPr>
      <w:r w:rsidRPr="00AA5065">
        <w:rPr>
          <w:rFonts w:ascii="David" w:eastAsia="Calibri" w:hAnsi="David" w:hint="cs"/>
          <w:b/>
          <w:rtl/>
        </w:rPr>
        <w:t>בביקורת המעקב מסר מנהל פקיד השומה בבאר שבע כי</w:t>
      </w:r>
      <w:r w:rsidRPr="00AA5065">
        <w:rPr>
          <w:rFonts w:ascii="David" w:eastAsia="Calibri" w:hAnsi="David"/>
          <w:b/>
          <w:rtl/>
        </w:rPr>
        <w:t xml:space="preserve"> </w:t>
      </w:r>
      <w:r w:rsidRPr="00AA5065">
        <w:rPr>
          <w:rFonts w:ascii="David" w:eastAsia="Calibri" w:hAnsi="David" w:hint="cs"/>
          <w:b/>
          <w:rtl/>
        </w:rPr>
        <w:t>"</w:t>
      </w:r>
      <w:r w:rsidRPr="00AA5065">
        <w:rPr>
          <w:rFonts w:ascii="David" w:eastAsia="Calibri" w:hAnsi="David"/>
          <w:b/>
          <w:rtl/>
        </w:rPr>
        <w:t>בין השנים 2020</w:t>
      </w:r>
      <w:r w:rsidRPr="00AA5065">
        <w:rPr>
          <w:rFonts w:ascii="David" w:eastAsia="Calibri" w:hAnsi="David"/>
          <w:b/>
        </w:rPr>
        <w:t xml:space="preserve"> </w:t>
      </w:r>
      <w:r w:rsidRPr="00AA5065">
        <w:rPr>
          <w:rFonts w:ascii="David" w:eastAsia="Calibri" w:hAnsi="David" w:hint="cs"/>
          <w:b/>
          <w:rtl/>
        </w:rPr>
        <w:t xml:space="preserve">ועד למחצית 2023 הייתה הנחיה לפיה השיעור הנדרש לביקורת בעסקים </w:t>
      </w:r>
      <w:r w:rsidRPr="00AA5065">
        <w:rPr>
          <w:rFonts w:ascii="David" w:eastAsia="Calibri" w:hAnsi="David"/>
          <w:b/>
          <w:rtl/>
        </w:rPr>
        <w:t>‏</w:t>
      </w:r>
      <w:r w:rsidRPr="00AA5065">
        <w:rPr>
          <w:rFonts w:ascii="David" w:eastAsia="Calibri" w:hAnsi="David" w:hint="cs"/>
          <w:b/>
          <w:rtl/>
        </w:rPr>
        <w:t>[</w:t>
      </w:r>
      <w:r w:rsidRPr="00AA5065">
        <w:rPr>
          <w:rFonts w:ascii="David" w:eastAsia="Calibri" w:hAnsi="David"/>
          <w:b/>
          <w:rtl/>
        </w:rPr>
        <w:t>בקרב האוכלוסי</w:t>
      </w:r>
      <w:r w:rsidRPr="00AA5065">
        <w:rPr>
          <w:rFonts w:ascii="David" w:eastAsia="Calibri" w:hAnsi="David" w:hint="cs"/>
          <w:b/>
          <w:rtl/>
        </w:rPr>
        <w:t>י</w:t>
      </w:r>
      <w:r w:rsidRPr="00AA5065">
        <w:rPr>
          <w:rFonts w:ascii="David" w:eastAsia="Calibri" w:hAnsi="David"/>
          <w:b/>
          <w:rtl/>
        </w:rPr>
        <w:t>ה הכללית</w:t>
      </w:r>
      <w:r w:rsidRPr="00AA5065">
        <w:rPr>
          <w:rFonts w:ascii="David" w:eastAsia="Calibri" w:hAnsi="David" w:hint="cs"/>
          <w:b/>
          <w:rtl/>
        </w:rPr>
        <w:t>]</w:t>
      </w:r>
      <w:r w:rsidRPr="00AA5065">
        <w:rPr>
          <w:rFonts w:ascii="David" w:eastAsia="Calibri" w:hAnsi="David"/>
          <w:b/>
          <w:rtl/>
        </w:rPr>
        <w:t xml:space="preserve"> ‏</w:t>
      </w:r>
      <w:r w:rsidRPr="00AA5065">
        <w:rPr>
          <w:rFonts w:ascii="David" w:eastAsia="Calibri" w:hAnsi="David" w:hint="cs"/>
          <w:b/>
          <w:rtl/>
        </w:rPr>
        <w:t xml:space="preserve"> הופחת... לעניין ביקורת שומות ביישובי הבדואים והפזורה יש לציין שהעובדים חוששים להגיע לעסקים בישובים הבדואים ולכן מקום שנעשית ביקורת שומתית בחברות שמקום העסק נמצא בישובים הבדואים יש פחות נכונות להגיע לביקורת שומות בעסק עצמו". </w:t>
      </w:r>
      <w:r w:rsidRPr="00AA5065">
        <w:rPr>
          <w:rFonts w:ascii="David" w:eastAsia="Calibri" w:hAnsi="David"/>
          <w:b/>
          <w:rtl/>
        </w:rPr>
        <w:t xml:space="preserve">עוד </w:t>
      </w:r>
      <w:r w:rsidRPr="00AA5065">
        <w:rPr>
          <w:rFonts w:ascii="David" w:eastAsia="Calibri" w:hAnsi="David" w:hint="cs"/>
          <w:b/>
          <w:rtl/>
        </w:rPr>
        <w:t>הוא מסר</w:t>
      </w:r>
      <w:r w:rsidRPr="00AA5065">
        <w:rPr>
          <w:rFonts w:ascii="David" w:eastAsia="Calibri" w:hAnsi="David"/>
          <w:b/>
          <w:rtl/>
        </w:rPr>
        <w:t xml:space="preserve"> כי בקרב החברה הבדואית יש פחות דיווחים על ידיעות מודיעיניות ביחס לשאר האוכלוסייה.</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rtl/>
        </w:rPr>
      </w:pPr>
      <w:r w:rsidRPr="00AA5065">
        <w:rPr>
          <w:rFonts w:ascii="David" w:eastAsia="Calibri" w:hAnsi="David"/>
          <w:b/>
          <w:rtl/>
        </w:rPr>
        <w:t>מ</w:t>
      </w:r>
      <w:r w:rsidRPr="00AA5065">
        <w:rPr>
          <w:rFonts w:ascii="David" w:eastAsia="Calibri" w:hAnsi="David" w:hint="cs"/>
          <w:b/>
          <w:rtl/>
        </w:rPr>
        <w:t xml:space="preserve">בירור שנעשה עם </w:t>
      </w:r>
      <w:r w:rsidRPr="00AA5065">
        <w:rPr>
          <w:rFonts w:ascii="David" w:eastAsia="Calibri" w:hAnsi="David"/>
          <w:b/>
          <w:rtl/>
        </w:rPr>
        <w:t>היחידה הארצית לניהול ספרים</w:t>
      </w:r>
      <w:r w:rsidRPr="00AA5065">
        <w:rPr>
          <w:rFonts w:ascii="David" w:eastAsia="Calibri" w:hAnsi="David" w:hint="cs"/>
          <w:b/>
          <w:rtl/>
        </w:rPr>
        <w:t xml:space="preserve"> ברשות המיסים</w:t>
      </w:r>
      <w:r w:rsidRPr="00AA5065">
        <w:rPr>
          <w:rFonts w:ascii="David" w:eastAsia="Calibri" w:hAnsi="David"/>
          <w:b/>
          <w:rtl/>
        </w:rPr>
        <w:t xml:space="preserve"> עולה כי בעת כניס</w:t>
      </w:r>
      <w:r w:rsidRPr="00AA5065">
        <w:rPr>
          <w:rFonts w:ascii="David" w:eastAsia="Calibri" w:hAnsi="David" w:hint="cs"/>
          <w:b/>
          <w:rtl/>
        </w:rPr>
        <w:t>ת העובדים</w:t>
      </w:r>
      <w:r w:rsidRPr="00AA5065">
        <w:rPr>
          <w:rFonts w:ascii="David" w:eastAsia="Calibri" w:hAnsi="David"/>
          <w:b/>
          <w:rtl/>
        </w:rPr>
        <w:t xml:space="preserve"> ליישוב בדואי לצ</w:t>
      </w:r>
      <w:r w:rsidRPr="00AA5065">
        <w:rPr>
          <w:rFonts w:ascii="David" w:eastAsia="Calibri" w:hAnsi="David" w:hint="cs"/>
          <w:b/>
          <w:rtl/>
        </w:rPr>
        <w:t>ו</w:t>
      </w:r>
      <w:r w:rsidRPr="00AA5065">
        <w:rPr>
          <w:rFonts w:ascii="David" w:eastAsia="Calibri" w:hAnsi="David"/>
          <w:b/>
          <w:rtl/>
        </w:rPr>
        <w:t xml:space="preserve">רכי בחינת ניהול ספרים, מתרחשות התקהלויות, עימותים בין חמולות ואף אירועי ירי בסמוך למקום הפעילות. כמו כן, עובדי היחידה נחשפים לאיומים וחשים פחד מפני היחס </w:t>
      </w:r>
      <w:r w:rsidRPr="00AA5065">
        <w:rPr>
          <w:rFonts w:ascii="David" w:eastAsia="Calibri" w:hAnsi="David" w:hint="cs"/>
          <w:b/>
          <w:rtl/>
        </w:rPr>
        <w:t xml:space="preserve">המופנה </w:t>
      </w:r>
      <w:r w:rsidRPr="00AA5065">
        <w:rPr>
          <w:rFonts w:ascii="David" w:eastAsia="Calibri" w:hAnsi="David"/>
          <w:b/>
          <w:rtl/>
        </w:rPr>
        <w:t>כלפיהם כעובדי ציבור. ל</w:t>
      </w:r>
      <w:r w:rsidRPr="00AA5065">
        <w:rPr>
          <w:rFonts w:ascii="David" w:eastAsia="Calibri" w:hAnsi="David" w:hint="cs"/>
          <w:b/>
          <w:rtl/>
        </w:rPr>
        <w:t>נוכח</w:t>
      </w:r>
      <w:r w:rsidRPr="00AA5065">
        <w:rPr>
          <w:rFonts w:ascii="David" w:eastAsia="Calibri" w:hAnsi="David"/>
          <w:b/>
          <w:rtl/>
        </w:rPr>
        <w:t xml:space="preserve"> זאת, כל ביקורת המתבצעת במגזר הבדואי מלווה בכוחות משטרה.</w:t>
      </w:r>
      <w:r w:rsidRPr="00AA5065">
        <w:rPr>
          <w:rFonts w:ascii="David" w:eastAsia="Calibri" w:hAnsi="David" w:hint="cs"/>
          <w:b/>
          <w:rtl/>
        </w:rPr>
        <w:t xml:space="preserve"> עוד מסרה היחידה הארצית כי </w:t>
      </w:r>
      <w:r w:rsidRPr="00AA5065">
        <w:rPr>
          <w:rFonts w:ascii="David" w:eastAsia="Calibri" w:hAnsi="David"/>
          <w:b/>
          <w:rtl/>
        </w:rPr>
        <w:t xml:space="preserve">במקרים רבים העובדים </w:t>
      </w:r>
      <w:r w:rsidRPr="00AA5065">
        <w:rPr>
          <w:rFonts w:ascii="David" w:eastAsia="Calibri" w:hAnsi="David" w:hint="cs"/>
          <w:b/>
          <w:rtl/>
        </w:rPr>
        <w:t>אינם</w:t>
      </w:r>
      <w:r w:rsidRPr="00AA5065">
        <w:rPr>
          <w:rFonts w:ascii="David" w:eastAsia="Calibri" w:hAnsi="David"/>
          <w:b/>
          <w:rtl/>
        </w:rPr>
        <w:t xml:space="preserve"> מוכנים להגיש תלונה במשטרה </w:t>
      </w:r>
      <w:r w:rsidRPr="00AA5065">
        <w:rPr>
          <w:rFonts w:ascii="David" w:eastAsia="Calibri" w:hAnsi="David" w:hint="cs"/>
          <w:b/>
          <w:rtl/>
        </w:rPr>
        <w:t>מ</w:t>
      </w:r>
      <w:r w:rsidRPr="00AA5065">
        <w:rPr>
          <w:rFonts w:ascii="David" w:eastAsia="Calibri" w:hAnsi="David"/>
          <w:b/>
          <w:rtl/>
        </w:rPr>
        <w:t xml:space="preserve">חשש </w:t>
      </w:r>
      <w:r w:rsidRPr="00AA5065">
        <w:rPr>
          <w:rFonts w:ascii="David" w:eastAsia="Calibri" w:hAnsi="David" w:hint="cs"/>
          <w:b/>
          <w:rtl/>
        </w:rPr>
        <w:t xml:space="preserve">לביטחונם האישי.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rtl/>
        </w:rPr>
      </w:pPr>
      <w:r w:rsidRPr="00AA5065">
        <w:rPr>
          <w:rFonts w:ascii="David" w:eastAsia="Calibri" w:hAnsi="David" w:hint="cs"/>
          <w:rtl/>
        </w:rPr>
        <w:t xml:space="preserve">מנתוני </w:t>
      </w:r>
      <w:r w:rsidRPr="00AA5065">
        <w:rPr>
          <w:rFonts w:ascii="David" w:eastAsia="Calibri" w:hAnsi="David"/>
          <w:rtl/>
        </w:rPr>
        <w:t>היחידה הארצית לניהול ספרים</w:t>
      </w:r>
      <w:r w:rsidRPr="00AA5065">
        <w:rPr>
          <w:rFonts w:ascii="David" w:eastAsia="Calibri" w:hAnsi="David" w:hint="cs"/>
          <w:rtl/>
        </w:rPr>
        <w:t xml:space="preserve"> בנוגע לביקורות ניהול ספרים שביצע פקיד השומה בבאר שבע עולה כי </w:t>
      </w:r>
      <w:r w:rsidRPr="00AA5065">
        <w:rPr>
          <w:rFonts w:ascii="David" w:eastAsia="Calibri" w:hAnsi="David"/>
          <w:rtl/>
        </w:rPr>
        <w:t>בין השנים 2016</w:t>
      </w:r>
      <w:r w:rsidRPr="00AA5065">
        <w:rPr>
          <w:rFonts w:ascii="David" w:eastAsia="Calibri" w:hAnsi="David" w:hint="cs"/>
          <w:rtl/>
        </w:rPr>
        <w:t xml:space="preserve"> עד </w:t>
      </w:r>
      <w:r w:rsidRPr="00AA5065">
        <w:rPr>
          <w:rFonts w:ascii="David" w:eastAsia="Calibri" w:hAnsi="David"/>
          <w:rtl/>
        </w:rPr>
        <w:t xml:space="preserve">2019 </w:t>
      </w:r>
      <w:r w:rsidRPr="00AA5065">
        <w:rPr>
          <w:rFonts w:ascii="David" w:eastAsia="Calibri" w:hAnsi="David" w:hint="cs"/>
          <w:rtl/>
        </w:rPr>
        <w:t>ו</w:t>
      </w:r>
      <w:r w:rsidRPr="00AA5065">
        <w:rPr>
          <w:rFonts w:ascii="David" w:eastAsia="Calibri" w:hAnsi="David"/>
          <w:rtl/>
        </w:rPr>
        <w:t xml:space="preserve">בין השנים 2020 - 2024 חל שינוי </w:t>
      </w:r>
      <w:r w:rsidRPr="00AA5065">
        <w:rPr>
          <w:rFonts w:ascii="David" w:eastAsia="Calibri" w:hAnsi="David" w:hint="cs"/>
          <w:rtl/>
        </w:rPr>
        <w:t>ניכר</w:t>
      </w:r>
      <w:r w:rsidRPr="00AA5065">
        <w:rPr>
          <w:rFonts w:ascii="David" w:eastAsia="Calibri" w:hAnsi="David"/>
          <w:rtl/>
        </w:rPr>
        <w:t xml:space="preserve"> בהיקף ובשיעור </w:t>
      </w:r>
      <w:r w:rsidRPr="00AA5065">
        <w:rPr>
          <w:rFonts w:ascii="David" w:eastAsia="Calibri" w:hAnsi="David" w:hint="cs"/>
          <w:rtl/>
        </w:rPr>
        <w:t xml:space="preserve">של </w:t>
      </w:r>
      <w:r w:rsidRPr="00AA5065">
        <w:rPr>
          <w:rFonts w:ascii="David" w:eastAsia="Calibri" w:hAnsi="David"/>
          <w:rtl/>
        </w:rPr>
        <w:t xml:space="preserve">הביקורות </w:t>
      </w:r>
      <w:r w:rsidRPr="00AA5065">
        <w:rPr>
          <w:rFonts w:ascii="David" w:eastAsia="Calibri" w:hAnsi="David" w:hint="cs"/>
          <w:rtl/>
        </w:rPr>
        <w:t xml:space="preserve">שבוצעו </w:t>
      </w:r>
      <w:r w:rsidRPr="00AA5065">
        <w:rPr>
          <w:rFonts w:ascii="David" w:eastAsia="Calibri" w:hAnsi="David"/>
          <w:rtl/>
        </w:rPr>
        <w:t>ביישובים הבדואים ובפזורה הסמוכה להם</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מתוך</w:t>
      </w:r>
      <w:r w:rsidRPr="00AA5065">
        <w:rPr>
          <w:rFonts w:ascii="David" w:eastAsia="Calibri" w:hAnsi="David"/>
          <w:rtl/>
        </w:rPr>
        <w:t xml:space="preserve"> 7,982 ביקורות</w:t>
      </w:r>
      <w:r w:rsidRPr="00AA5065">
        <w:rPr>
          <w:rFonts w:ascii="David" w:eastAsia="Calibri" w:hAnsi="David" w:hint="cs"/>
          <w:rtl/>
        </w:rPr>
        <w:t xml:space="preserve"> ניהול ספרים שבוצעו בתקופת הביקורת הקודמת -</w:t>
      </w:r>
      <w:r w:rsidRPr="00AA5065">
        <w:rPr>
          <w:rFonts w:ascii="David" w:eastAsia="Calibri" w:hAnsi="David"/>
          <w:rtl/>
        </w:rPr>
        <w:t xml:space="preserve"> 256 </w:t>
      </w:r>
      <w:r w:rsidRPr="00AA5065">
        <w:rPr>
          <w:rFonts w:ascii="David" w:eastAsia="Calibri" w:hAnsi="David" w:hint="cs"/>
          <w:rtl/>
        </w:rPr>
        <w:t xml:space="preserve">התבצעו </w:t>
      </w:r>
      <w:r w:rsidRPr="00AA5065">
        <w:rPr>
          <w:rFonts w:ascii="David" w:eastAsia="Calibri" w:hAnsi="David"/>
          <w:rtl/>
        </w:rPr>
        <w:t xml:space="preserve">ביישובים הבדואים (שיעור ממוצע של 3.2%), </w:t>
      </w:r>
      <w:r w:rsidRPr="00AA5065">
        <w:rPr>
          <w:rFonts w:ascii="David" w:eastAsia="Calibri" w:hAnsi="David" w:hint="cs"/>
          <w:rtl/>
        </w:rPr>
        <w:t>ואילו מתוך</w:t>
      </w:r>
      <w:r w:rsidRPr="00AA5065">
        <w:rPr>
          <w:rFonts w:ascii="David" w:eastAsia="Calibri" w:hAnsi="David"/>
          <w:rtl/>
        </w:rPr>
        <w:t xml:space="preserve"> 4,574 ביקורות</w:t>
      </w:r>
      <w:r w:rsidRPr="00AA5065">
        <w:rPr>
          <w:rFonts w:ascii="David" w:eastAsia="Calibri" w:hAnsi="David" w:hint="cs"/>
          <w:rtl/>
        </w:rPr>
        <w:t xml:space="preserve"> שבוצעו בתקופת ביקורת המעקב</w:t>
      </w:r>
      <w:r w:rsidRPr="00AA5065">
        <w:rPr>
          <w:rFonts w:ascii="David" w:eastAsia="Calibri" w:hAnsi="David"/>
          <w:rtl/>
        </w:rPr>
        <w:t>, 869</w:t>
      </w:r>
      <w:r w:rsidRPr="00AA5065">
        <w:rPr>
          <w:rFonts w:ascii="David" w:eastAsia="Calibri" w:hAnsi="David" w:hint="cs"/>
          <w:rtl/>
        </w:rPr>
        <w:t xml:space="preserve"> </w:t>
      </w:r>
      <w:r w:rsidRPr="00AA5065">
        <w:rPr>
          <w:rFonts w:ascii="David" w:eastAsia="Calibri" w:hAnsi="David"/>
          <w:rtl/>
        </w:rPr>
        <w:t xml:space="preserve">היו ביישובים הבדואים </w:t>
      </w:r>
      <w:r w:rsidRPr="00AA5065">
        <w:rPr>
          <w:rFonts w:ascii="David" w:eastAsia="Calibri" w:hAnsi="David" w:hint="cs"/>
          <w:rtl/>
        </w:rPr>
        <w:t>(</w:t>
      </w:r>
      <w:r w:rsidRPr="00AA5065">
        <w:rPr>
          <w:rFonts w:ascii="David" w:eastAsia="Calibri" w:hAnsi="David"/>
          <w:rtl/>
        </w:rPr>
        <w:t>שיעור ממוצע של 19%</w:t>
      </w:r>
      <w:r w:rsidRPr="00AA5065">
        <w:rPr>
          <w:rFonts w:ascii="David" w:eastAsia="Calibri" w:hAnsi="David" w:hint="cs"/>
          <w:rtl/>
        </w:rPr>
        <w:t>)</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rtl/>
        </w:rPr>
      </w:pPr>
      <w:r w:rsidRPr="00AA5065">
        <w:rPr>
          <w:rFonts w:ascii="David" w:eastAsia="Calibri" w:hAnsi="David"/>
          <w:b/>
          <w:rtl/>
        </w:rPr>
        <w:t>בלוח</w:t>
      </w:r>
      <w:r w:rsidRPr="00AA5065">
        <w:rPr>
          <w:rFonts w:ascii="David" w:eastAsia="Calibri" w:hAnsi="David" w:hint="cs"/>
          <w:b/>
          <w:rtl/>
        </w:rPr>
        <w:t xml:space="preserve"> 5</w:t>
      </w:r>
      <w:r w:rsidRPr="00AA5065">
        <w:rPr>
          <w:rFonts w:ascii="David" w:eastAsia="Calibri" w:hAnsi="David"/>
          <w:b/>
          <w:rtl/>
        </w:rPr>
        <w:t xml:space="preserve"> </w:t>
      </w:r>
      <w:r w:rsidRPr="00AA5065">
        <w:rPr>
          <w:rFonts w:ascii="David" w:eastAsia="Calibri" w:hAnsi="David" w:hint="cs"/>
          <w:b/>
          <w:rtl/>
        </w:rPr>
        <w:t>ש</w:t>
      </w:r>
      <w:r w:rsidRPr="00AA5065">
        <w:rPr>
          <w:rFonts w:ascii="David" w:eastAsia="Calibri" w:hAnsi="David"/>
          <w:b/>
          <w:rtl/>
        </w:rPr>
        <w:t xml:space="preserve">להלן מוצגים נתוני ביקורות ניהול פנקסים של פקיד </w:t>
      </w:r>
      <w:r w:rsidRPr="00AA5065">
        <w:rPr>
          <w:rFonts w:ascii="David" w:eastAsia="Calibri" w:hAnsi="David" w:hint="cs"/>
          <w:b/>
          <w:rtl/>
        </w:rPr>
        <w:t>ה</w:t>
      </w:r>
      <w:r w:rsidRPr="00AA5065">
        <w:rPr>
          <w:rFonts w:ascii="David" w:eastAsia="Calibri" w:hAnsi="David"/>
          <w:b/>
          <w:rtl/>
        </w:rPr>
        <w:t>שומה</w:t>
      </w:r>
      <w:r w:rsidRPr="00AA5065">
        <w:rPr>
          <w:rFonts w:ascii="David" w:eastAsia="Calibri" w:hAnsi="David" w:hint="cs"/>
          <w:b/>
          <w:rtl/>
        </w:rPr>
        <w:t xml:space="preserve"> בבאר שבע</w:t>
      </w:r>
      <w:r w:rsidRPr="00AA5065">
        <w:rPr>
          <w:rFonts w:ascii="David" w:eastAsia="Calibri" w:hAnsi="David"/>
          <w:b/>
          <w:rtl/>
        </w:rPr>
        <w:t xml:space="preserve"> לשנים 2020 </w:t>
      </w:r>
      <w:r w:rsidRPr="00AA5065">
        <w:rPr>
          <w:rFonts w:ascii="David" w:eastAsia="Calibri" w:hAnsi="David" w:hint="cs"/>
          <w:b/>
          <w:rtl/>
        </w:rPr>
        <w:t>עד</w:t>
      </w:r>
      <w:r w:rsidRPr="00AA5065">
        <w:rPr>
          <w:rFonts w:ascii="David" w:eastAsia="Calibri" w:hAnsi="David"/>
          <w:b/>
          <w:rtl/>
        </w:rPr>
        <w:t xml:space="preserve"> 2024:</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eastAsia="Calibri"/>
          <w:b/>
          <w:bCs/>
          <w:sz w:val="28"/>
          <w:szCs w:val="28"/>
          <w:rtl/>
        </w:rPr>
      </w:pPr>
      <w:r w:rsidRPr="00AA5065">
        <w:rPr>
          <w:rFonts w:eastAsia="Calibri"/>
          <w:rtl/>
        </w:rPr>
        <w:t>לוח</w:t>
      </w:r>
      <w:r w:rsidRPr="00AA5065">
        <w:rPr>
          <w:rFonts w:eastAsia="Calibri" w:hint="cs"/>
          <w:rtl/>
        </w:rPr>
        <w:t xml:space="preserve"> 5:</w:t>
      </w:r>
      <w:r w:rsidRPr="00AA5065">
        <w:rPr>
          <w:rFonts w:eastAsia="Calibri"/>
          <w:rtl/>
        </w:rPr>
        <w:t xml:space="preserve"> </w:t>
      </w:r>
      <w:r w:rsidRPr="00AA5065">
        <w:rPr>
          <w:rFonts w:eastAsia="Calibri"/>
          <w:b/>
          <w:bCs/>
          <w:rtl/>
        </w:rPr>
        <w:t xml:space="preserve">ביקורות ניהול פנקסים של פקיד </w:t>
      </w:r>
      <w:r w:rsidRPr="00AA5065">
        <w:rPr>
          <w:rFonts w:eastAsia="Calibri" w:hint="cs"/>
          <w:b/>
          <w:bCs/>
          <w:rtl/>
        </w:rPr>
        <w:t>ה</w:t>
      </w:r>
      <w:r w:rsidRPr="00AA5065">
        <w:rPr>
          <w:rFonts w:eastAsia="Calibri"/>
          <w:b/>
          <w:bCs/>
          <w:rtl/>
        </w:rPr>
        <w:t>שומה</w:t>
      </w:r>
      <w:r w:rsidRPr="00AA5065">
        <w:rPr>
          <w:rFonts w:eastAsia="Calibri" w:hint="cs"/>
          <w:b/>
          <w:bCs/>
          <w:rtl/>
        </w:rPr>
        <w:t xml:space="preserve"> בבאר שבע</w:t>
      </w:r>
      <w:r w:rsidRPr="00AA5065">
        <w:rPr>
          <w:rFonts w:eastAsia="Calibri"/>
          <w:b/>
          <w:bCs/>
          <w:rtl/>
        </w:rPr>
        <w:t xml:space="preserve">, בפילוח </w:t>
      </w:r>
      <w:r w:rsidRPr="00AA5065">
        <w:rPr>
          <w:rFonts w:eastAsia="Calibri" w:hint="cs"/>
          <w:b/>
          <w:bCs/>
          <w:rtl/>
        </w:rPr>
        <w:t xml:space="preserve">של </w:t>
      </w:r>
      <w:r w:rsidRPr="00AA5065">
        <w:rPr>
          <w:rFonts w:eastAsia="Calibri"/>
          <w:b/>
          <w:bCs/>
          <w:rtl/>
        </w:rPr>
        <w:t xml:space="preserve">כלל הביקורות מול </w:t>
      </w:r>
      <w:r w:rsidRPr="00AA5065">
        <w:rPr>
          <w:rFonts w:eastAsia="Calibri" w:hint="cs"/>
          <w:b/>
          <w:bCs/>
          <w:rtl/>
        </w:rPr>
        <w:t>ה</w:t>
      </w:r>
      <w:r w:rsidRPr="00AA5065">
        <w:rPr>
          <w:rFonts w:eastAsia="Calibri"/>
          <w:b/>
          <w:bCs/>
          <w:rtl/>
        </w:rPr>
        <w:t>ביקורות ב</w:t>
      </w:r>
      <w:r w:rsidRPr="00AA5065">
        <w:rPr>
          <w:rFonts w:eastAsia="Calibri" w:hint="cs"/>
          <w:b/>
          <w:bCs/>
          <w:rtl/>
        </w:rPr>
        <w:t>י</w:t>
      </w:r>
      <w:r w:rsidRPr="00AA5065">
        <w:rPr>
          <w:rFonts w:eastAsia="Calibri"/>
          <w:b/>
          <w:bCs/>
          <w:rtl/>
        </w:rPr>
        <w:t>ישובים הבדואים ובפזורה הסמוכה להם</w:t>
      </w:r>
      <w:r w:rsidRPr="00AA5065">
        <w:rPr>
          <w:rFonts w:eastAsia="Calibri" w:hint="cs"/>
          <w:b/>
          <w:bCs/>
          <w:rtl/>
        </w:rPr>
        <w:t>, 2020 - 2024</w:t>
      </w:r>
    </w:p>
    <w:tbl>
      <w:tblPr>
        <w:tblStyle w:val="5-11"/>
        <w:bidiVisual/>
        <w:tblW w:w="6540" w:type="dxa"/>
        <w:jc w:val="center"/>
        <w:tblLook w:val="04A0"/>
      </w:tblPr>
      <w:tblGrid>
        <w:gridCol w:w="1230"/>
        <w:gridCol w:w="1770"/>
        <w:gridCol w:w="1770"/>
        <w:gridCol w:w="1770"/>
      </w:tblGrid>
      <w:tr w:rsidTr="00AA5065">
        <w:tblPrEx>
          <w:tblW w:w="6540" w:type="dxa"/>
          <w:jc w:val="center"/>
          <w:tblLook w:val="04A0"/>
        </w:tblPrEx>
        <w:trPr>
          <w:trHeight w:val="615"/>
          <w:jc w:val="center"/>
        </w:trPr>
        <w:tc>
          <w:tcPr>
            <w:tcW w:w="0" w:type="dxa"/>
            <w:shd w:val="clear" w:color="auto" w:fill="DBE5F1"/>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שנה</w:t>
            </w:r>
          </w:p>
        </w:tc>
        <w:tc>
          <w:tcPr>
            <w:tcW w:w="0" w:type="dxa"/>
            <w:shd w:val="clear" w:color="auto" w:fill="DBE5F1"/>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color w:val="000000"/>
                <w:sz w:val="22"/>
                <w:szCs w:val="22"/>
                <w:rtl/>
              </w:rPr>
              <w:t xml:space="preserve">מספר </w:t>
            </w:r>
            <w:r w:rsidRPr="00AA5065">
              <w:rPr>
                <w:rFonts w:ascii="David" w:eastAsia="Calibri" w:hAnsi="David" w:hint="cs"/>
                <w:color w:val="000000"/>
                <w:sz w:val="22"/>
                <w:szCs w:val="22"/>
                <w:rtl/>
              </w:rPr>
              <w:t>ה</w:t>
            </w:r>
            <w:r w:rsidRPr="00AA5065">
              <w:rPr>
                <w:rFonts w:ascii="David" w:eastAsia="Calibri" w:hAnsi="David"/>
                <w:color w:val="000000"/>
                <w:sz w:val="22"/>
                <w:szCs w:val="22"/>
                <w:rtl/>
              </w:rPr>
              <w:t>ביקורות</w:t>
            </w:r>
          </w:p>
        </w:tc>
        <w:tc>
          <w:tcPr>
            <w:tcW w:w="0" w:type="dxa"/>
            <w:shd w:val="clear" w:color="auto" w:fill="DBE5F1"/>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ביקורות ביישובים הבדואים ובפזורה הסמוכה להם</w:t>
            </w:r>
            <w:r>
              <w:rPr>
                <w:rFonts w:ascii="David" w:eastAsia="Calibri" w:hAnsi="David"/>
                <w:color w:val="000000"/>
                <w:sz w:val="22"/>
                <w:szCs w:val="22"/>
                <w:vertAlign w:val="superscript"/>
                <w:rtl/>
              </w:rPr>
              <w:footnoteReference w:id="41"/>
            </w:r>
            <w:r w:rsidRPr="00AA5065">
              <w:rPr>
                <w:rFonts w:ascii="David" w:eastAsia="Calibri" w:hAnsi="David"/>
                <w:color w:val="000000"/>
                <w:sz w:val="22"/>
                <w:szCs w:val="22"/>
                <w:rtl/>
              </w:rPr>
              <w:t xml:space="preserve"> </w:t>
            </w:r>
          </w:p>
        </w:tc>
        <w:tc>
          <w:tcPr>
            <w:tcW w:w="0" w:type="dxa"/>
            <w:shd w:val="clear" w:color="auto" w:fill="DBE5F1"/>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color w:val="000000"/>
                <w:sz w:val="22"/>
                <w:szCs w:val="22"/>
                <w:rtl/>
              </w:rPr>
              <w:t>שיעור הביקורות בי</w:t>
            </w:r>
            <w:r w:rsidRPr="00AA5065">
              <w:rPr>
                <w:rFonts w:ascii="David" w:eastAsia="Calibri" w:hAnsi="David" w:hint="cs"/>
                <w:color w:val="000000"/>
                <w:sz w:val="22"/>
                <w:szCs w:val="22"/>
                <w:rtl/>
              </w:rPr>
              <w:t>י</w:t>
            </w:r>
            <w:r w:rsidRPr="00AA5065">
              <w:rPr>
                <w:rFonts w:ascii="David" w:eastAsia="Calibri" w:hAnsi="David"/>
                <w:color w:val="000000"/>
                <w:sz w:val="22"/>
                <w:szCs w:val="22"/>
                <w:rtl/>
              </w:rPr>
              <w:t xml:space="preserve">שובי הבדואים </w:t>
            </w:r>
          </w:p>
        </w:tc>
      </w:tr>
      <w:tr w:rsidTr="00AA5065">
        <w:tblPrEx>
          <w:tblW w:w="6540" w:type="dxa"/>
          <w:jc w:val="center"/>
          <w:tblLook w:val="04A0"/>
        </w:tblPrEx>
        <w:trPr>
          <w:trHeight w:val="300"/>
          <w:jc w:val="center"/>
        </w:trPr>
        <w:tc>
          <w:tcPr>
            <w:tcW w:w="0"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color w:val="000000"/>
                <w:sz w:val="22"/>
                <w:szCs w:val="22"/>
                <w:rtl/>
              </w:rPr>
              <w:t>2020</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1</w:t>
            </w:r>
            <w:r w:rsidRPr="00AA5065">
              <w:rPr>
                <w:rFonts w:ascii="David" w:eastAsia="Calibri" w:hAnsi="David" w:hint="cs"/>
                <w:color w:val="000000"/>
                <w:sz w:val="22"/>
                <w:szCs w:val="22"/>
                <w:rtl/>
              </w:rPr>
              <w:t>,</w:t>
            </w:r>
            <w:r w:rsidRPr="00AA5065">
              <w:rPr>
                <w:rFonts w:ascii="David" w:eastAsia="Calibri" w:hAnsi="David"/>
                <w:color w:val="000000"/>
                <w:sz w:val="22"/>
                <w:szCs w:val="22"/>
                <w:rtl/>
              </w:rPr>
              <w:t>339</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182</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14%</w:t>
            </w:r>
          </w:p>
        </w:tc>
      </w:tr>
      <w:tr w:rsidTr="00AA5065">
        <w:tblPrEx>
          <w:tblW w:w="6540" w:type="dxa"/>
          <w:jc w:val="center"/>
          <w:tblLook w:val="04A0"/>
        </w:tblPrEx>
        <w:trPr>
          <w:trHeight w:val="300"/>
          <w:jc w:val="center"/>
        </w:trPr>
        <w:tc>
          <w:tcPr>
            <w:tcW w:w="0" w:type="dxa"/>
            <w:shd w:val="clear" w:color="auto" w:fill="DBE5F1"/>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tl/>
              </w:rPr>
              <w:t>2021</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773</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164</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21%</w:t>
            </w:r>
          </w:p>
        </w:tc>
      </w:tr>
      <w:tr w:rsidTr="00AA5065">
        <w:tblPrEx>
          <w:tblW w:w="6540" w:type="dxa"/>
          <w:jc w:val="center"/>
          <w:tblLook w:val="04A0"/>
        </w:tblPrEx>
        <w:trPr>
          <w:trHeight w:val="300"/>
          <w:jc w:val="center"/>
        </w:trPr>
        <w:tc>
          <w:tcPr>
            <w:tcW w:w="0"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tl/>
              </w:rPr>
              <w:t>2022</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805</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178</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22%</w:t>
            </w:r>
          </w:p>
        </w:tc>
      </w:tr>
      <w:tr w:rsidTr="00AA5065">
        <w:tblPrEx>
          <w:tblW w:w="6540" w:type="dxa"/>
          <w:jc w:val="center"/>
          <w:tblLook w:val="04A0"/>
        </w:tblPrEx>
        <w:trPr>
          <w:trHeight w:val="300"/>
          <w:jc w:val="center"/>
        </w:trPr>
        <w:tc>
          <w:tcPr>
            <w:tcW w:w="0" w:type="dxa"/>
            <w:shd w:val="clear" w:color="auto" w:fill="DBE5F1"/>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tl/>
              </w:rPr>
              <w:t>2023</w:t>
            </w:r>
          </w:p>
        </w:tc>
        <w:tc>
          <w:tcPr>
            <w:tcW w:w="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789</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144</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18%</w:t>
            </w:r>
          </w:p>
        </w:tc>
      </w:tr>
      <w:tr w:rsidTr="00AA5065">
        <w:tblPrEx>
          <w:tblW w:w="6540" w:type="dxa"/>
          <w:jc w:val="center"/>
          <w:tblLook w:val="04A0"/>
        </w:tblPrEx>
        <w:trPr>
          <w:trHeight w:val="300"/>
          <w:jc w:val="center"/>
        </w:trPr>
        <w:tc>
          <w:tcPr>
            <w:tcW w:w="0"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tl/>
              </w:rPr>
              <w:t>2024</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868</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201</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23%</w:t>
            </w:r>
          </w:p>
        </w:tc>
      </w:tr>
      <w:tr w:rsidTr="00AA5065">
        <w:tblPrEx>
          <w:tblW w:w="6540" w:type="dxa"/>
          <w:jc w:val="center"/>
          <w:tblLook w:val="04A0"/>
        </w:tblPrEx>
        <w:trPr>
          <w:trHeight w:val="315"/>
          <w:jc w:val="center"/>
        </w:trPr>
        <w:tc>
          <w:tcPr>
            <w:tcW w:w="0" w:type="dxa"/>
            <w:shd w:val="clear" w:color="auto" w:fill="DBE5F1"/>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tl/>
              </w:rPr>
              <w:t>סה"כ</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4</w:t>
            </w:r>
            <w:r w:rsidRPr="00AA5065">
              <w:rPr>
                <w:rFonts w:ascii="David" w:eastAsia="Calibri" w:hAnsi="David" w:hint="cs"/>
                <w:color w:val="000000"/>
                <w:sz w:val="22"/>
                <w:szCs w:val="22"/>
                <w:rtl/>
              </w:rPr>
              <w:t>,</w:t>
            </w:r>
            <w:r w:rsidRPr="00AA5065">
              <w:rPr>
                <w:rFonts w:ascii="David" w:eastAsia="Calibri" w:hAnsi="David"/>
                <w:color w:val="000000"/>
                <w:sz w:val="22"/>
                <w:szCs w:val="22"/>
                <w:rtl/>
              </w:rPr>
              <w:t>574</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869</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19%</w:t>
            </w:r>
          </w:p>
        </w:tc>
      </w:tr>
    </w:tbl>
    <w:p w:rsidR="00AA5065" w:rsidRPr="00AA5065" w:rsidP="00860D89">
      <w:pPr>
        <w:spacing w:line="269" w:lineRule="auto"/>
        <w:rPr>
          <w:rFonts w:ascii="David" w:eastAsia="Calibri" w:hAnsi="David"/>
          <w:b/>
          <w:sz w:val="16"/>
          <w:szCs w:val="20"/>
          <w:rtl/>
        </w:rPr>
      </w:pPr>
      <w:r w:rsidRPr="00AA5065">
        <w:rPr>
          <w:rFonts w:ascii="David" w:eastAsia="Calibri" w:hAnsi="David" w:hint="cs"/>
          <w:b/>
          <w:sz w:val="16"/>
          <w:szCs w:val="20"/>
          <w:rtl/>
        </w:rPr>
        <w:t>ה</w:t>
      </w:r>
      <w:r w:rsidRPr="00AA5065">
        <w:rPr>
          <w:rFonts w:ascii="David" w:eastAsia="Calibri" w:hAnsi="David"/>
          <w:b/>
          <w:sz w:val="16"/>
          <w:szCs w:val="20"/>
          <w:rtl/>
        </w:rPr>
        <w:t>מקור: רשות המיסים</w:t>
      </w:r>
      <w:r w:rsidRPr="00AA5065">
        <w:rPr>
          <w:rFonts w:ascii="David" w:eastAsia="Calibri" w:hAnsi="David" w:hint="cs"/>
          <w:b/>
          <w:sz w:val="16"/>
          <w:szCs w:val="20"/>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highlight w:val="yellow"/>
          <w:rtl/>
        </w:rPr>
      </w:pPr>
      <w:r w:rsidRPr="00AA5065">
        <w:rPr>
          <w:rFonts w:ascii="David" w:eastAsia="Calibri" w:hAnsi="David"/>
          <w:b/>
          <w:rtl/>
        </w:rPr>
        <w:t xml:space="preserve">מהלוח עולה כי </w:t>
      </w:r>
      <w:r w:rsidRPr="00AA5065">
        <w:rPr>
          <w:rFonts w:ascii="David" w:eastAsia="Calibri" w:hAnsi="David"/>
          <w:rtl/>
        </w:rPr>
        <w:t xml:space="preserve">בשנים </w:t>
      </w:r>
      <w:r w:rsidRPr="00AA5065">
        <w:rPr>
          <w:rFonts w:ascii="David" w:eastAsia="Calibri" w:hAnsi="David" w:hint="cs"/>
          <w:rtl/>
        </w:rPr>
        <w:t>2020 עד 2024</w:t>
      </w:r>
      <w:r w:rsidRPr="00AA5065">
        <w:rPr>
          <w:rFonts w:ascii="David" w:eastAsia="Calibri" w:hAnsi="David"/>
          <w:rtl/>
        </w:rPr>
        <w:t xml:space="preserve"> </w:t>
      </w:r>
      <w:r w:rsidRPr="00AA5065">
        <w:rPr>
          <w:rFonts w:ascii="David" w:eastAsia="Calibri" w:hAnsi="David" w:hint="cs"/>
          <w:rtl/>
        </w:rPr>
        <w:t>נרשמה</w:t>
      </w:r>
      <w:r w:rsidRPr="00AA5065">
        <w:rPr>
          <w:rFonts w:ascii="David" w:eastAsia="Calibri" w:hAnsi="David"/>
          <w:rtl/>
        </w:rPr>
        <w:t xml:space="preserve"> מגמה כללית של </w:t>
      </w:r>
      <w:r w:rsidRPr="00AA5065">
        <w:rPr>
          <w:rFonts w:ascii="David" w:eastAsia="Calibri" w:hAnsi="David" w:hint="cs"/>
          <w:rtl/>
        </w:rPr>
        <w:t>גידול</w:t>
      </w:r>
      <w:r w:rsidRPr="00AA5065">
        <w:rPr>
          <w:rFonts w:ascii="David" w:eastAsia="Calibri" w:hAnsi="David"/>
          <w:rtl/>
        </w:rPr>
        <w:t xml:space="preserve"> בשיעור ביקורות</w:t>
      </w:r>
      <w:r w:rsidRPr="00AA5065">
        <w:rPr>
          <w:rFonts w:ascii="David" w:eastAsia="Calibri" w:hAnsi="David" w:hint="cs"/>
          <w:rtl/>
        </w:rPr>
        <w:t xml:space="preserve"> ניהול הספרים שביצע פקיד השומה בבאר שבע</w:t>
      </w:r>
      <w:r w:rsidRPr="00AA5065">
        <w:rPr>
          <w:rFonts w:ascii="David" w:eastAsia="Calibri" w:hAnsi="David"/>
          <w:rtl/>
        </w:rPr>
        <w:t xml:space="preserve"> ביישובי הבדואים</w:t>
      </w:r>
      <w:r w:rsidRPr="00AA5065">
        <w:rPr>
          <w:rFonts w:ascii="David" w:eastAsia="Calibri" w:hAnsi="David" w:hint="cs"/>
          <w:rtl/>
        </w:rPr>
        <w:t xml:space="preserve">. מגמה זו הגיעה לשיא בשנת 2024, לכרבע מסך הביקורות.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rtl/>
        </w:rPr>
      </w:pPr>
      <w:r w:rsidRPr="00AA5065">
        <w:rPr>
          <w:rFonts w:ascii="David" w:eastAsia="Calibri" w:hAnsi="David" w:hint="cs"/>
          <w:b/>
          <w:rtl/>
        </w:rPr>
        <w:t xml:space="preserve">מרשות המיסים נמסר כי "בשנת 2023 בעקבות המלחמה, כמות הביקורת ירדה בכל הארץ ולא רק בנגב... </w:t>
      </w:r>
      <w:r w:rsidRPr="00AA5065">
        <w:rPr>
          <w:rFonts w:ascii="David" w:eastAsia="Calibri" w:hAnsi="David"/>
          <w:b/>
          <w:rtl/>
        </w:rPr>
        <w:t xml:space="preserve">כמות הביקורות הופחתה בכל הארץ כפועל יוצא של שינוי תפיסת ההפעלה של רשות המיסים בכל </w:t>
      </w:r>
      <w:r w:rsidRPr="00AA5065">
        <w:rPr>
          <w:rFonts w:ascii="David" w:eastAsia="Calibri" w:hAnsi="David"/>
          <w:b/>
          <w:cs/>
        </w:rPr>
        <w:t>‎</w:t>
      </w:r>
      <w:r w:rsidRPr="00AA5065">
        <w:rPr>
          <w:rFonts w:ascii="David" w:eastAsia="Calibri" w:hAnsi="David"/>
          <w:b/>
          <w:rtl/>
        </w:rPr>
        <w:t xml:space="preserve">הקשור לביקורות ניהול ספרים, מתוך מטרה למקד את ביצוע הביקורות רק בעסקים הנדרשים </w:t>
      </w:r>
      <w:r w:rsidRPr="00AA5065">
        <w:rPr>
          <w:rFonts w:ascii="David" w:eastAsia="Calibri" w:hAnsi="David"/>
          <w:b/>
          <w:cs/>
        </w:rPr>
        <w:t>‎</w:t>
      </w:r>
      <w:r w:rsidRPr="00AA5065">
        <w:rPr>
          <w:rFonts w:ascii="David" w:eastAsia="Calibri" w:hAnsi="David"/>
          <w:b/>
          <w:rtl/>
        </w:rPr>
        <w:t>ביקורת וזאת לאחר ניתוח נתונים ואיסוף מידע מודיעיני, בחינת סמ</w:t>
      </w:r>
      <w:r w:rsidR="00042B1A">
        <w:rPr>
          <w:rFonts w:ascii="David" w:eastAsia="Calibri" w:hAnsi="David" w:hint="cs"/>
          <w:b/>
          <w:rtl/>
        </w:rPr>
        <w:t>"</w:t>
      </w:r>
      <w:r w:rsidRPr="00AA5065">
        <w:rPr>
          <w:rFonts w:ascii="David" w:eastAsia="Calibri" w:hAnsi="David"/>
          <w:b/>
          <w:rtl/>
        </w:rPr>
        <w:t xml:space="preserve">חים ושאר מאפיינים ובכך </w:t>
      </w:r>
      <w:r w:rsidRPr="00AA5065">
        <w:rPr>
          <w:rFonts w:ascii="David" w:eastAsia="Calibri" w:hAnsi="David"/>
          <w:b/>
          <w:cs/>
        </w:rPr>
        <w:t>‎</w:t>
      </w:r>
      <w:r w:rsidRPr="00AA5065">
        <w:rPr>
          <w:rFonts w:ascii="David" w:eastAsia="Calibri" w:hAnsi="David"/>
          <w:b/>
          <w:rtl/>
        </w:rPr>
        <w:t xml:space="preserve">להפחית בביקורות אקראיות. בכך מתאפשר לבצע ביקורות איכותיות ועמוקות יותר במקומות </w:t>
      </w:r>
      <w:r w:rsidRPr="00AA5065">
        <w:rPr>
          <w:rFonts w:ascii="David" w:eastAsia="Calibri" w:hAnsi="David"/>
          <w:b/>
          <w:cs/>
        </w:rPr>
        <w:t>‎</w:t>
      </w:r>
      <w:r w:rsidRPr="00AA5065">
        <w:rPr>
          <w:rFonts w:ascii="David" w:eastAsia="Calibri" w:hAnsi="David"/>
          <w:b/>
          <w:rtl/>
        </w:rPr>
        <w:t>הנדרשים</w:t>
      </w:r>
      <w:r w:rsidRPr="00AA5065">
        <w:rPr>
          <w:rFonts w:ascii="David" w:eastAsia="Calibri" w:hAnsi="David" w:hint="cs"/>
          <w:b/>
          <w:rtl/>
        </w:rPr>
        <w:t>"</w:t>
      </w:r>
      <w:r w:rsidRPr="00AA5065">
        <w:rPr>
          <w:rFonts w:ascii="David" w:eastAsia="Calibri" w:hAnsi="David"/>
          <w:b/>
          <w:rtl/>
        </w:rPr>
        <w:t xml:space="preserve">. </w:t>
      </w:r>
      <w:r w:rsidRPr="00AA5065">
        <w:rPr>
          <w:rFonts w:ascii="David" w:eastAsia="Calibri" w:hAnsi="David" w:hint="cs"/>
          <w:b/>
          <w:rtl/>
        </w:rPr>
        <w:t>עוד מסרה</w:t>
      </w:r>
      <w:r w:rsidRPr="00AA5065">
        <w:rPr>
          <w:rFonts w:ascii="David" w:eastAsia="Calibri" w:hAnsi="David"/>
          <w:b/>
          <w:rtl/>
        </w:rPr>
        <w:t xml:space="preserve"> </w:t>
      </w:r>
      <w:r w:rsidRPr="00AA5065">
        <w:rPr>
          <w:rFonts w:ascii="David" w:eastAsia="Calibri" w:hAnsi="David" w:hint="cs"/>
          <w:b/>
          <w:rtl/>
        </w:rPr>
        <w:t xml:space="preserve">הרשות </w:t>
      </w:r>
      <w:r w:rsidRPr="00AA5065">
        <w:rPr>
          <w:rFonts w:ascii="David" w:eastAsia="Calibri" w:hAnsi="David"/>
          <w:b/>
          <w:rtl/>
        </w:rPr>
        <w:t xml:space="preserve">כי </w:t>
      </w:r>
      <w:r w:rsidRPr="00AA5065">
        <w:rPr>
          <w:rFonts w:ascii="David" w:eastAsia="Calibri" w:hAnsi="David" w:hint="cs"/>
          <w:b/>
          <w:rtl/>
        </w:rPr>
        <w:t>"</w:t>
      </w:r>
      <w:r w:rsidRPr="00AA5065">
        <w:rPr>
          <w:rFonts w:ascii="David" w:eastAsia="Calibri" w:hAnsi="David"/>
          <w:b/>
          <w:rtl/>
        </w:rPr>
        <w:t>מחסור בכוח אדם ביחידה מגביל גם הוא את כמות הביקורות המבוצעות</w:t>
      </w:r>
      <w:r w:rsidRPr="00AA5065">
        <w:rPr>
          <w:rFonts w:ascii="David" w:eastAsia="Calibri" w:hAnsi="David" w:hint="cs"/>
          <w:b/>
          <w:rtl/>
        </w:rPr>
        <w:t>"</w:t>
      </w:r>
      <w:r w:rsidRPr="00AA5065">
        <w:rPr>
          <w:rFonts w:ascii="David" w:eastAsia="Calibri" w:hAnsi="David"/>
          <w:b/>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Cs/>
          <w:rtl/>
        </w:rPr>
      </w:pPr>
      <w:r w:rsidRPr="00AA5065">
        <w:rPr>
          <w:rFonts w:ascii="David" w:eastAsia="Calibri" w:hAnsi="David" w:hint="cs"/>
          <w:b/>
          <w:bCs/>
          <w:rtl/>
        </w:rPr>
        <w:t>בביקורת הקודמת נמצא כי</w:t>
      </w:r>
      <w:r w:rsidRPr="00AA5065">
        <w:rPr>
          <w:rFonts w:ascii="David" w:eastAsia="Calibri" w:hAnsi="David"/>
          <w:rtl/>
        </w:rPr>
        <w:t xml:space="preserve"> </w:t>
      </w:r>
      <w:r w:rsidRPr="00AA5065">
        <w:rPr>
          <w:rFonts w:ascii="David" w:eastAsia="Calibri" w:hAnsi="David" w:hint="cs"/>
          <w:b/>
          <w:bCs/>
          <w:rtl/>
        </w:rPr>
        <w:t xml:space="preserve">רשות המיסים </w:t>
      </w:r>
      <w:r w:rsidRPr="00AA5065">
        <w:rPr>
          <w:rFonts w:ascii="David" w:eastAsia="Calibri" w:hAnsi="David" w:hint="cs"/>
          <w:bCs/>
          <w:rtl/>
        </w:rPr>
        <w:t>נמנעת מלפעול באופן מלא באזור הנגב בשל חשש לשלום עובדיה</w:t>
      </w:r>
      <w:r w:rsidRPr="00AA5065">
        <w:rPr>
          <w:rFonts w:ascii="David" w:eastAsia="Calibri" w:hAnsi="David"/>
          <w:b/>
          <w:bCs/>
          <w:rtl/>
        </w:rPr>
        <w:t xml:space="preserve"> </w:t>
      </w:r>
      <w:r w:rsidRPr="00AA5065">
        <w:rPr>
          <w:rFonts w:ascii="David" w:eastAsia="Calibri" w:hAnsi="David" w:hint="cs"/>
          <w:b/>
          <w:bCs/>
          <w:rtl/>
        </w:rPr>
        <w:t xml:space="preserve">אף שהדבר פוגע באכיפת חוקי המס, וכי </w:t>
      </w:r>
      <w:r w:rsidRPr="00AA5065">
        <w:rPr>
          <w:rFonts w:ascii="David" w:eastAsia="Calibri" w:hAnsi="David"/>
          <w:b/>
          <w:bCs/>
          <w:rtl/>
        </w:rPr>
        <w:t>שיעור ביקורות</w:t>
      </w:r>
      <w:r w:rsidRPr="00AA5065">
        <w:rPr>
          <w:rFonts w:ascii="David" w:eastAsia="Calibri" w:hAnsi="David" w:hint="cs"/>
          <w:b/>
          <w:bCs/>
          <w:rtl/>
        </w:rPr>
        <w:t xml:space="preserve"> ניהול הספרים</w:t>
      </w:r>
      <w:r w:rsidRPr="00AA5065">
        <w:rPr>
          <w:rFonts w:ascii="David" w:eastAsia="Calibri" w:hAnsi="David"/>
          <w:b/>
          <w:bCs/>
          <w:rtl/>
        </w:rPr>
        <w:t xml:space="preserve"> </w:t>
      </w:r>
      <w:r w:rsidRPr="00AA5065">
        <w:rPr>
          <w:rFonts w:ascii="David" w:eastAsia="Calibri" w:hAnsi="David" w:hint="cs"/>
          <w:b/>
          <w:bCs/>
          <w:rtl/>
        </w:rPr>
        <w:t xml:space="preserve">של פקיד השומה בבאר שבע </w:t>
      </w:r>
      <w:r w:rsidRPr="00AA5065">
        <w:rPr>
          <w:rFonts w:ascii="David" w:eastAsia="Calibri" w:hAnsi="David"/>
          <w:b/>
          <w:bCs/>
          <w:rtl/>
        </w:rPr>
        <w:t>במגזר הלא-יהודי</w:t>
      </w:r>
      <w:r w:rsidRPr="00AA5065">
        <w:rPr>
          <w:rFonts w:ascii="David" w:eastAsia="Calibri" w:hAnsi="David" w:hint="cs"/>
          <w:b/>
          <w:bCs/>
          <w:rtl/>
        </w:rPr>
        <w:t xml:space="preserve"> </w:t>
      </w:r>
      <w:r w:rsidRPr="00AA5065">
        <w:rPr>
          <w:rFonts w:ascii="David" w:eastAsia="Calibri" w:hAnsi="David"/>
          <w:b/>
          <w:bCs/>
          <w:rtl/>
        </w:rPr>
        <w:t>‏(3.2%‏</w:t>
      </w:r>
      <w:r w:rsidRPr="00AA5065">
        <w:rPr>
          <w:rFonts w:ascii="David" w:eastAsia="Calibri" w:hAnsi="David"/>
          <w:b/>
          <w:bCs/>
          <w:cs/>
        </w:rPr>
        <w:t>‎</w:t>
      </w:r>
      <w:r w:rsidRPr="00AA5065">
        <w:rPr>
          <w:rFonts w:ascii="David" w:eastAsia="Calibri" w:hAnsi="David"/>
          <w:b/>
          <w:bCs/>
        </w:rPr>
        <w:t xml:space="preserve"> </w:t>
      </w:r>
      <w:r w:rsidRPr="00AA5065">
        <w:rPr>
          <w:rFonts w:ascii="David" w:eastAsia="Calibri" w:hAnsi="David"/>
          <w:b/>
          <w:bCs/>
          <w:cs/>
        </w:rPr>
        <w:t>‎</w:t>
      </w:r>
      <w:r w:rsidRPr="00AA5065">
        <w:rPr>
          <w:rFonts w:ascii="David" w:eastAsia="Calibri" w:hAnsi="David"/>
          <w:b/>
          <w:bCs/>
          <w:rtl/>
        </w:rPr>
        <w:t xml:space="preserve">בממוצע) </w:t>
      </w:r>
      <w:r w:rsidRPr="00AA5065">
        <w:rPr>
          <w:rFonts w:ascii="David" w:eastAsia="Calibri" w:hAnsi="David" w:hint="cs"/>
          <w:b/>
          <w:bCs/>
          <w:rtl/>
        </w:rPr>
        <w:t xml:space="preserve">נמוך, </w:t>
      </w:r>
      <w:r w:rsidRPr="00AA5065">
        <w:rPr>
          <w:rFonts w:ascii="David" w:eastAsia="Calibri" w:hAnsi="David"/>
          <w:b/>
          <w:bCs/>
          <w:rtl/>
        </w:rPr>
        <w:t>ביחס לחלקם באוכלוסיית העוסקים בנגב</w:t>
      </w:r>
      <w:r w:rsidRPr="00AA5065">
        <w:rPr>
          <w:rFonts w:ascii="David" w:eastAsia="Calibri" w:hAnsi="David" w:hint="cs"/>
          <w:b/>
          <w:bCs/>
          <w:rtl/>
        </w:rPr>
        <w:t xml:space="preserve"> (20%). בביקורת המעקב הועלה כי </w:t>
      </w:r>
      <w:r w:rsidRPr="00AA5065">
        <w:rPr>
          <w:rFonts w:ascii="David" w:eastAsia="Calibri" w:hAnsi="David"/>
          <w:b/>
          <w:bCs/>
          <w:rtl/>
        </w:rPr>
        <w:t xml:space="preserve">הליקוי תוקן </w:t>
      </w:r>
      <w:r w:rsidRPr="00AA5065">
        <w:rPr>
          <w:rFonts w:ascii="David" w:eastAsia="Calibri" w:hAnsi="David" w:hint="cs"/>
          <w:b/>
          <w:bCs/>
          <w:rtl/>
        </w:rPr>
        <w:t xml:space="preserve">במידה </w:t>
      </w:r>
      <w:r w:rsidRPr="00AA5065">
        <w:rPr>
          <w:rFonts w:ascii="David" w:eastAsia="Calibri" w:hAnsi="David" w:hint="eastAsia"/>
          <w:b/>
          <w:bCs/>
          <w:rtl/>
        </w:rPr>
        <w:t>חלקית</w:t>
      </w:r>
      <w:r w:rsidRPr="00AA5065">
        <w:rPr>
          <w:rFonts w:ascii="David" w:eastAsia="Calibri" w:hAnsi="David" w:hint="cs"/>
          <w:b/>
          <w:bCs/>
          <w:rtl/>
        </w:rPr>
        <w:t>. אף ש</w:t>
      </w:r>
      <w:r w:rsidRPr="00AA5065">
        <w:rPr>
          <w:rFonts w:ascii="David" w:eastAsia="Calibri" w:hAnsi="David"/>
          <w:b/>
          <w:bCs/>
          <w:rtl/>
        </w:rPr>
        <w:t xml:space="preserve">מספר </w:t>
      </w:r>
      <w:r w:rsidRPr="00AA5065">
        <w:rPr>
          <w:rFonts w:ascii="David" w:eastAsia="Calibri" w:hAnsi="David" w:hint="cs"/>
          <w:b/>
          <w:bCs/>
          <w:rtl/>
        </w:rPr>
        <w:t>ביקורות ניהול הספרים בתיקי פקיד השומה בבאר שבע</w:t>
      </w:r>
      <w:r>
        <w:rPr>
          <w:rFonts w:ascii="David" w:eastAsia="Calibri" w:hAnsi="David"/>
          <w:b/>
          <w:bCs/>
          <w:vertAlign w:val="superscript"/>
          <w:rtl/>
        </w:rPr>
        <w:footnoteReference w:id="42"/>
      </w:r>
      <w:r w:rsidRPr="00AA5065">
        <w:rPr>
          <w:rFonts w:ascii="David" w:eastAsia="Calibri" w:hAnsi="David" w:hint="cs"/>
          <w:b/>
          <w:bCs/>
          <w:rtl/>
        </w:rPr>
        <w:t xml:space="preserve"> </w:t>
      </w:r>
      <w:r w:rsidRPr="00AA5065">
        <w:rPr>
          <w:rFonts w:ascii="David" w:eastAsia="Calibri" w:hAnsi="David"/>
          <w:b/>
          <w:bCs/>
          <w:rtl/>
        </w:rPr>
        <w:t>ירד משמעותית</w:t>
      </w:r>
      <w:r w:rsidRPr="00AA5065">
        <w:rPr>
          <w:rFonts w:ascii="David" w:eastAsia="Calibri" w:hAnsi="David" w:hint="cs"/>
          <w:b/>
          <w:bCs/>
          <w:rtl/>
        </w:rPr>
        <w:t xml:space="preserve"> מכ-7,982 ביקורות בתקופת הביקורת הקודמת</w:t>
      </w:r>
      <w:r w:rsidRPr="00AA5065">
        <w:rPr>
          <w:rFonts w:ascii="David" w:eastAsia="Calibri" w:hAnsi="David"/>
          <w:b/>
          <w:bCs/>
          <w:rtl/>
        </w:rPr>
        <w:t>‏</w:t>
      </w:r>
      <w:r w:rsidRPr="00AA5065">
        <w:rPr>
          <w:rFonts w:ascii="David" w:eastAsia="Calibri" w:hAnsi="David" w:hint="cs"/>
          <w:b/>
          <w:bCs/>
          <w:rtl/>
        </w:rPr>
        <w:t xml:space="preserve"> </w:t>
      </w:r>
      <w:r w:rsidRPr="00AA5065">
        <w:rPr>
          <w:rFonts w:ascii="David" w:eastAsia="Calibri" w:hAnsi="David"/>
          <w:b/>
          <w:bCs/>
          <w:rtl/>
        </w:rPr>
        <w:t>(2016 - 2019)</w:t>
      </w:r>
      <w:r w:rsidRPr="00AA5065">
        <w:rPr>
          <w:rFonts w:ascii="David" w:eastAsia="Calibri" w:hAnsi="David" w:hint="cs"/>
          <w:b/>
          <w:bCs/>
          <w:rtl/>
        </w:rPr>
        <w:t>, לכ-4,574 ביקורות בתקופת ביקורת המעקב</w:t>
      </w:r>
      <w:r w:rsidRPr="00AA5065">
        <w:rPr>
          <w:rFonts w:ascii="David" w:eastAsia="Calibri" w:hAnsi="David"/>
          <w:b/>
          <w:bCs/>
          <w:rtl/>
        </w:rPr>
        <w:t>‏</w:t>
      </w:r>
      <w:r w:rsidRPr="00AA5065">
        <w:rPr>
          <w:rFonts w:ascii="David" w:eastAsia="Calibri" w:hAnsi="David" w:hint="cs"/>
          <w:b/>
          <w:bCs/>
          <w:rtl/>
        </w:rPr>
        <w:t xml:space="preserve"> </w:t>
      </w:r>
      <w:r w:rsidRPr="00AA5065">
        <w:rPr>
          <w:rFonts w:ascii="David" w:eastAsia="Calibri" w:hAnsi="David"/>
          <w:b/>
          <w:bCs/>
          <w:rtl/>
        </w:rPr>
        <w:t>(2020 - 2024)</w:t>
      </w:r>
      <w:r w:rsidRPr="00AA5065">
        <w:rPr>
          <w:rFonts w:ascii="David" w:eastAsia="Calibri" w:hAnsi="David" w:hint="cs"/>
          <w:b/>
          <w:bCs/>
          <w:rtl/>
        </w:rPr>
        <w:t>,</w:t>
      </w:r>
      <w:r w:rsidRPr="00AA5065">
        <w:rPr>
          <w:rFonts w:ascii="David" w:eastAsia="Calibri" w:hAnsi="David"/>
          <w:b/>
          <w:bCs/>
          <w:rtl/>
        </w:rPr>
        <w:t xml:space="preserve"> חלה עלייה חדה</w:t>
      </w:r>
      <w:r w:rsidRPr="00AA5065">
        <w:rPr>
          <w:rFonts w:ascii="David" w:eastAsia="Calibri" w:hAnsi="David" w:hint="cs"/>
          <w:b/>
          <w:bCs/>
          <w:rtl/>
        </w:rPr>
        <w:t xml:space="preserve"> </w:t>
      </w:r>
      <w:r w:rsidRPr="00AA5065">
        <w:rPr>
          <w:rFonts w:ascii="David" w:eastAsia="Calibri" w:hAnsi="David"/>
          <w:b/>
          <w:bCs/>
          <w:rtl/>
        </w:rPr>
        <w:t>‏(כ-16% בממוצע) ‏</w:t>
      </w:r>
      <w:r w:rsidRPr="00AA5065">
        <w:rPr>
          <w:rFonts w:ascii="David" w:eastAsia="Calibri" w:hAnsi="David" w:hint="cs"/>
          <w:b/>
          <w:bCs/>
          <w:rtl/>
        </w:rPr>
        <w:t>בשכיחות</w:t>
      </w:r>
      <w:r w:rsidRPr="00AA5065">
        <w:rPr>
          <w:rFonts w:ascii="David" w:eastAsia="Calibri" w:hAnsi="David"/>
          <w:b/>
          <w:bCs/>
          <w:rtl/>
        </w:rPr>
        <w:t xml:space="preserve"> הביקורות ביישובי הבדואים</w:t>
      </w:r>
      <w:r w:rsidRPr="00AA5065">
        <w:rPr>
          <w:rFonts w:ascii="David" w:eastAsia="Calibri" w:hAnsi="David" w:hint="cs"/>
          <w:b/>
          <w:bCs/>
          <w:rtl/>
        </w:rPr>
        <w:t xml:space="preserve">. עוד </w:t>
      </w:r>
      <w:r w:rsidRPr="00AA5065">
        <w:rPr>
          <w:rFonts w:ascii="David" w:eastAsia="Calibri" w:hAnsi="David" w:hint="cs"/>
          <w:bCs/>
          <w:rtl/>
        </w:rPr>
        <w:t>נמצא כי</w:t>
      </w:r>
      <w:r w:rsidRPr="00AA5065">
        <w:rPr>
          <w:rFonts w:ascii="David" w:eastAsia="Calibri" w:hAnsi="David" w:hint="cs"/>
          <w:b/>
          <w:rtl/>
        </w:rPr>
        <w:t xml:space="preserve"> </w:t>
      </w:r>
      <w:r w:rsidRPr="00AA5065">
        <w:rPr>
          <w:rFonts w:ascii="David" w:eastAsia="Calibri" w:hAnsi="David" w:hint="eastAsia"/>
          <w:bCs/>
          <w:rtl/>
        </w:rPr>
        <w:t>עובדי</w:t>
      </w:r>
      <w:r w:rsidRPr="00AA5065">
        <w:rPr>
          <w:rFonts w:ascii="David" w:eastAsia="Calibri" w:hAnsi="David"/>
          <w:bCs/>
          <w:rtl/>
        </w:rPr>
        <w:t xml:space="preserve"> </w:t>
      </w:r>
      <w:r w:rsidRPr="00AA5065">
        <w:rPr>
          <w:rFonts w:ascii="David" w:eastAsia="Calibri" w:hAnsi="David" w:hint="eastAsia"/>
          <w:bCs/>
          <w:rtl/>
        </w:rPr>
        <w:t>פקיד</w:t>
      </w:r>
      <w:r w:rsidRPr="00AA5065">
        <w:rPr>
          <w:rFonts w:ascii="David" w:eastAsia="Calibri" w:hAnsi="David"/>
          <w:bCs/>
          <w:rtl/>
        </w:rPr>
        <w:t xml:space="preserve"> </w:t>
      </w:r>
      <w:r w:rsidRPr="00AA5065">
        <w:rPr>
          <w:rFonts w:ascii="David" w:eastAsia="Calibri" w:hAnsi="David" w:hint="cs"/>
          <w:bCs/>
          <w:rtl/>
        </w:rPr>
        <w:t>ה</w:t>
      </w:r>
      <w:r w:rsidRPr="00AA5065">
        <w:rPr>
          <w:rFonts w:ascii="David" w:eastAsia="Calibri" w:hAnsi="David"/>
          <w:bCs/>
          <w:rtl/>
        </w:rPr>
        <w:t xml:space="preserve">שומה </w:t>
      </w:r>
      <w:r w:rsidRPr="00AA5065">
        <w:rPr>
          <w:rFonts w:ascii="David" w:eastAsia="Calibri" w:hAnsi="David" w:hint="cs"/>
          <w:bCs/>
          <w:rtl/>
        </w:rPr>
        <w:t>ב</w:t>
      </w:r>
      <w:r w:rsidRPr="00AA5065">
        <w:rPr>
          <w:rFonts w:ascii="David" w:eastAsia="Calibri" w:hAnsi="David"/>
          <w:bCs/>
          <w:rtl/>
        </w:rPr>
        <w:t xml:space="preserve">באר שבע </w:t>
      </w:r>
      <w:r w:rsidRPr="00AA5065">
        <w:rPr>
          <w:rFonts w:ascii="David" w:eastAsia="Calibri" w:hAnsi="David" w:hint="cs"/>
          <w:bCs/>
          <w:rtl/>
        </w:rPr>
        <w:t>חשים חוסר בטחון בעת הגעה</w:t>
      </w:r>
      <w:r w:rsidRPr="00AA5065">
        <w:rPr>
          <w:rFonts w:ascii="David" w:eastAsia="Calibri" w:hAnsi="David"/>
          <w:bCs/>
          <w:rtl/>
        </w:rPr>
        <w:t xml:space="preserve"> לעסקים בי</w:t>
      </w:r>
      <w:r w:rsidRPr="00AA5065">
        <w:rPr>
          <w:rFonts w:ascii="David" w:eastAsia="Calibri" w:hAnsi="David" w:hint="cs"/>
          <w:bCs/>
          <w:rtl/>
        </w:rPr>
        <w:t>י</w:t>
      </w:r>
      <w:r w:rsidRPr="00AA5065">
        <w:rPr>
          <w:rFonts w:ascii="David" w:eastAsia="Calibri" w:hAnsi="David"/>
          <w:bCs/>
          <w:rtl/>
        </w:rPr>
        <w:t>שובים הבדואי</w:t>
      </w:r>
      <w:r w:rsidRPr="00AA5065">
        <w:rPr>
          <w:rFonts w:ascii="David" w:eastAsia="Calibri" w:hAnsi="David" w:hint="cs"/>
          <w:bCs/>
          <w:rtl/>
        </w:rPr>
        <w:t>י</w:t>
      </w:r>
      <w:r w:rsidRPr="00AA5065">
        <w:rPr>
          <w:rFonts w:ascii="David" w:eastAsia="Calibri" w:hAnsi="David"/>
          <w:bCs/>
          <w:rtl/>
        </w:rPr>
        <w:t>ם</w:t>
      </w:r>
      <w:r w:rsidRPr="00AA5065">
        <w:rPr>
          <w:rFonts w:ascii="David" w:eastAsia="Calibri" w:hAnsi="David" w:hint="cs"/>
          <w:bCs/>
          <w:rtl/>
        </w:rPr>
        <w:t>,</w:t>
      </w:r>
      <w:r w:rsidRPr="00AA5065">
        <w:rPr>
          <w:rFonts w:ascii="David" w:eastAsia="Calibri" w:hAnsi="David"/>
          <w:bCs/>
          <w:rtl/>
        </w:rPr>
        <w:t xml:space="preserve"> </w:t>
      </w:r>
      <w:r w:rsidRPr="00AA5065">
        <w:rPr>
          <w:rFonts w:ascii="David" w:eastAsia="Calibri" w:hAnsi="David" w:hint="cs"/>
          <w:bCs/>
          <w:rtl/>
        </w:rPr>
        <w:t>דבר המביא לירידה בנכונות לבצע ביקורות שומה באזורים אלה ומתבצעות פחות ביקורות שומה בעסקים הנמצאים ביישובים אלו.</w:t>
      </w:r>
      <w:r w:rsidRPr="00AA5065">
        <w:rPr>
          <w:rFonts w:ascii="David" w:eastAsia="Calibri" w:hAnsi="David"/>
          <w:bCs/>
          <w:rtl/>
        </w:rPr>
        <w:t xml:space="preserve"> </w:t>
      </w:r>
      <w:r w:rsidRPr="00AA5065">
        <w:rPr>
          <w:rFonts w:ascii="David" w:eastAsia="Calibri" w:hAnsi="David" w:hint="cs"/>
          <w:bCs/>
          <w:rtl/>
        </w:rPr>
        <w:t xml:space="preserve">בכך נוצרות </w:t>
      </w:r>
      <w:r w:rsidRPr="00AA5065">
        <w:rPr>
          <w:rFonts w:ascii="David" w:eastAsia="Calibri" w:hAnsi="David"/>
          <w:bCs/>
          <w:rtl/>
        </w:rPr>
        <w:t>אכיפה בלתי אחידה באזורים שונים, פג</w:t>
      </w:r>
      <w:r w:rsidRPr="00AA5065">
        <w:rPr>
          <w:rFonts w:ascii="David" w:eastAsia="Calibri" w:hAnsi="David" w:hint="cs"/>
          <w:bCs/>
          <w:rtl/>
        </w:rPr>
        <w:t>י</w:t>
      </w:r>
      <w:r w:rsidRPr="00AA5065">
        <w:rPr>
          <w:rFonts w:ascii="David" w:eastAsia="Calibri" w:hAnsi="David"/>
          <w:bCs/>
          <w:rtl/>
        </w:rPr>
        <w:t>ע</w:t>
      </w:r>
      <w:r w:rsidRPr="00AA5065">
        <w:rPr>
          <w:rFonts w:ascii="David" w:eastAsia="Calibri" w:hAnsi="David" w:hint="cs"/>
          <w:bCs/>
          <w:rtl/>
        </w:rPr>
        <w:t>ה</w:t>
      </w:r>
      <w:r w:rsidRPr="00AA5065">
        <w:rPr>
          <w:rFonts w:ascii="David" w:eastAsia="Calibri" w:hAnsi="David"/>
          <w:bCs/>
          <w:rtl/>
        </w:rPr>
        <w:t xml:space="preserve"> בשוויון בפני החוק ופוטנציאל להגדלת ההון השחור באזורים</w:t>
      </w:r>
      <w:r w:rsidRPr="00AA5065">
        <w:rPr>
          <w:rFonts w:ascii="David" w:eastAsia="Calibri" w:hAnsi="David" w:hint="cs"/>
          <w:bCs/>
          <w:rtl/>
        </w:rPr>
        <w:t xml:space="preserve"> אלה</w:t>
      </w:r>
      <w:r w:rsidRPr="00AA5065">
        <w:rPr>
          <w:rFonts w:ascii="David" w:eastAsia="Calibri" w:hAnsi="David"/>
          <w:bCs/>
          <w:rtl/>
        </w:rPr>
        <w:t>.</w:t>
      </w:r>
    </w:p>
    <w:p w:rsidR="00AA5065" w:rsidRPr="00AA5065" w:rsidP="00860D89">
      <w:pPr>
        <w:spacing w:line="269" w:lineRule="auto"/>
        <w:ind w:left="-567"/>
        <w:rPr>
          <w:rFonts w:eastAsia="Calibri"/>
          <w:szCs w:val="20"/>
          <w:rtl/>
        </w:rPr>
      </w:pPr>
    </w:p>
    <w:p w:rsidR="00AA5065" w:rsidRPr="00AA5065" w:rsidP="004E6B4D">
      <w:pPr>
        <w:spacing w:before="120" w:line="269" w:lineRule="auto"/>
        <w:jc w:val="center"/>
        <w:rPr>
          <w:rFonts w:eastAsia="Calibri"/>
          <w:b/>
          <w:bCs/>
          <w:rtl/>
        </w:rPr>
      </w:pPr>
      <w:r w:rsidRPr="00AA5065">
        <w:rPr>
          <w:rFonts w:eastAsia="Calibri"/>
          <w:b/>
          <w:bCs/>
          <w:rtl/>
        </w:rPr>
        <w:t>מידת תיקון הליקוי</w:t>
      </w:r>
    </w:p>
    <w:p w:rsidR="00AA5065" w:rsidRPr="00AA5065" w:rsidP="00860D89">
      <w:pPr>
        <w:spacing w:line="269" w:lineRule="auto"/>
        <w:jc w:val="center"/>
        <w:rPr>
          <w:rFonts w:eastAsia="Calibri"/>
          <w:rtl/>
        </w:rPr>
      </w:pPr>
      <w:r w:rsidRPr="00AA5065">
        <w:rPr>
          <w:rFonts w:eastAsia="Calibri"/>
          <w:noProof/>
        </w:rPr>
        <w:drawing>
          <wp:inline distT="0" distB="0" distL="0" distR="0">
            <wp:extent cx="4324350" cy="933450"/>
            <wp:effectExtent l="0" t="0" r="0" b="0"/>
            <wp:docPr id="44" name="תמונה 44"/>
            <wp:cNvGraphicFramePr/>
            <a:graphic xmlns:a="http://schemas.openxmlformats.org/drawingml/2006/main">
              <a:graphicData uri="http://schemas.openxmlformats.org/drawingml/2006/picture">
                <pic:pic xmlns:pic="http://schemas.openxmlformats.org/drawingml/2006/picture">
                  <pic:nvPicPr>
                    <pic:cNvPr id="44" name="תמונה 6"/>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324350" cy="933450"/>
                    </a:xfrm>
                    <a:prstGeom prst="rect">
                      <a:avLst/>
                    </a:prstGeom>
                    <a:noFill/>
                    <a:ln>
                      <a:noFill/>
                    </a:ln>
                  </pic:spPr>
                </pic:pic>
              </a:graphicData>
            </a:graphic>
          </wp:inline>
        </w:drawing>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sz w:val="24"/>
          <w:rtl/>
        </w:rPr>
      </w:pPr>
      <w:r w:rsidRPr="00AA5065">
        <w:rPr>
          <w:rFonts w:ascii="David" w:eastAsia="Calibri" w:hAnsi="David"/>
          <w:b/>
          <w:bCs/>
          <w:sz w:val="24"/>
          <w:rtl/>
        </w:rPr>
        <w:t xml:space="preserve">מומלץ כי משטרת ישראל </w:t>
      </w:r>
      <w:r w:rsidRPr="00AA5065">
        <w:rPr>
          <w:rFonts w:ascii="David" w:eastAsia="Calibri" w:hAnsi="David" w:hint="eastAsia"/>
          <w:b/>
          <w:bCs/>
          <w:sz w:val="24"/>
          <w:rtl/>
        </w:rPr>
        <w:t>תפעל</w:t>
      </w:r>
      <w:r w:rsidRPr="00AA5065">
        <w:rPr>
          <w:rFonts w:ascii="David" w:eastAsia="Calibri" w:hAnsi="David"/>
          <w:b/>
          <w:bCs/>
          <w:sz w:val="24"/>
          <w:rtl/>
        </w:rPr>
        <w:t xml:space="preserve"> לספק לעובדי רשות המיסים את הכלים הנדרשים הכוללים, בין היתר, ליווי משטרתי. </w:t>
      </w:r>
      <w:r w:rsidRPr="00AA5065">
        <w:rPr>
          <w:rFonts w:ascii="David" w:eastAsia="Calibri" w:hAnsi="David" w:hint="eastAsia"/>
          <w:b/>
          <w:bCs/>
          <w:sz w:val="24"/>
          <w:rtl/>
        </w:rPr>
        <w:t>דבר</w:t>
      </w:r>
      <w:r w:rsidRPr="00AA5065">
        <w:rPr>
          <w:rFonts w:ascii="David" w:eastAsia="Calibri" w:hAnsi="David"/>
          <w:b/>
          <w:bCs/>
          <w:sz w:val="24"/>
          <w:rtl/>
        </w:rPr>
        <w:t xml:space="preserve"> אשר יסייע אל מול האיומים ומעשי האלימות.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sz w:val="24"/>
          <w:rtl/>
        </w:rPr>
        <w:t>רשות המ</w:t>
      </w:r>
      <w:r w:rsidRPr="00AA5065">
        <w:rPr>
          <w:rFonts w:ascii="David" w:eastAsia="Calibri" w:hAnsi="David" w:hint="cs"/>
          <w:sz w:val="24"/>
          <w:rtl/>
        </w:rPr>
        <w:t>י</w:t>
      </w:r>
      <w:r w:rsidRPr="00AA5065">
        <w:rPr>
          <w:rFonts w:ascii="David" w:eastAsia="Calibri" w:hAnsi="David"/>
          <w:sz w:val="24"/>
          <w:rtl/>
        </w:rPr>
        <w:t>סים מסרה בתשובתה ‏</w:t>
      </w:r>
      <w:r w:rsidRPr="00AA5065">
        <w:rPr>
          <w:rFonts w:ascii="David" w:eastAsia="Calibri" w:hAnsi="David" w:hint="cs"/>
          <w:sz w:val="24"/>
          <w:rtl/>
        </w:rPr>
        <w:t xml:space="preserve">כי </w:t>
      </w:r>
      <w:r w:rsidRPr="00AA5065">
        <w:rPr>
          <w:rFonts w:ascii="David" w:eastAsia="Calibri" w:hAnsi="David"/>
          <w:sz w:val="24"/>
          <w:rtl/>
        </w:rPr>
        <w:t xml:space="preserve">"אכן </w:t>
      </w:r>
      <w:r w:rsidRPr="00AA5065">
        <w:rPr>
          <w:rFonts w:ascii="David" w:eastAsia="Calibri" w:hAnsi="David" w:hint="cs"/>
          <w:sz w:val="24"/>
          <w:rtl/>
        </w:rPr>
        <w:t>קיים</w:t>
      </w:r>
      <w:r w:rsidRPr="00AA5065">
        <w:rPr>
          <w:rFonts w:ascii="David" w:eastAsia="Calibri" w:hAnsi="David"/>
          <w:sz w:val="24"/>
          <w:rtl/>
        </w:rPr>
        <w:t xml:space="preserve"> </w:t>
      </w:r>
      <w:r w:rsidRPr="00AA5065">
        <w:rPr>
          <w:rFonts w:ascii="David" w:eastAsia="Calibri" w:hAnsi="David" w:hint="cs"/>
          <w:sz w:val="24"/>
          <w:rtl/>
        </w:rPr>
        <w:t>חשש</w:t>
      </w:r>
      <w:r w:rsidRPr="00AA5065">
        <w:rPr>
          <w:rFonts w:ascii="David" w:eastAsia="Calibri" w:hAnsi="David"/>
          <w:sz w:val="24"/>
          <w:rtl/>
        </w:rPr>
        <w:t xml:space="preserve"> </w:t>
      </w:r>
      <w:r w:rsidRPr="00AA5065">
        <w:rPr>
          <w:rFonts w:ascii="David" w:eastAsia="Calibri" w:hAnsi="David" w:hint="cs"/>
          <w:sz w:val="24"/>
          <w:rtl/>
        </w:rPr>
        <w:t>לבצע</w:t>
      </w:r>
      <w:r w:rsidRPr="00AA5065">
        <w:rPr>
          <w:rFonts w:ascii="David" w:eastAsia="Calibri" w:hAnsi="David"/>
          <w:sz w:val="24"/>
          <w:rtl/>
        </w:rPr>
        <w:t xml:space="preserve"> </w:t>
      </w:r>
      <w:r w:rsidRPr="00AA5065">
        <w:rPr>
          <w:rFonts w:ascii="David" w:eastAsia="Calibri" w:hAnsi="David" w:hint="cs"/>
          <w:sz w:val="24"/>
          <w:rtl/>
        </w:rPr>
        <w:t>ביקורות</w:t>
      </w:r>
      <w:r w:rsidRPr="00AA5065">
        <w:rPr>
          <w:rFonts w:ascii="David" w:eastAsia="Calibri" w:hAnsi="David"/>
          <w:sz w:val="24"/>
          <w:rtl/>
        </w:rPr>
        <w:t xml:space="preserve"> </w:t>
      </w:r>
      <w:r w:rsidRPr="00AA5065">
        <w:rPr>
          <w:rFonts w:ascii="David" w:eastAsia="Calibri" w:hAnsi="David" w:hint="cs"/>
          <w:sz w:val="24"/>
          <w:rtl/>
        </w:rPr>
        <w:t>בעסקים</w:t>
      </w:r>
      <w:r w:rsidRPr="00AA5065">
        <w:rPr>
          <w:rFonts w:ascii="David" w:eastAsia="Calibri" w:hAnsi="David"/>
          <w:sz w:val="24"/>
          <w:rtl/>
        </w:rPr>
        <w:t xml:space="preserve"> </w:t>
      </w:r>
      <w:r w:rsidRPr="00AA5065">
        <w:rPr>
          <w:rFonts w:ascii="David" w:eastAsia="Calibri" w:hAnsi="David" w:hint="cs"/>
          <w:sz w:val="24"/>
          <w:rtl/>
        </w:rPr>
        <w:t>ללא</w:t>
      </w:r>
      <w:r w:rsidRPr="00AA5065">
        <w:rPr>
          <w:rFonts w:ascii="David" w:eastAsia="Calibri" w:hAnsi="David"/>
          <w:sz w:val="24"/>
          <w:rtl/>
        </w:rPr>
        <w:t xml:space="preserve"> </w:t>
      </w:r>
      <w:r w:rsidRPr="00AA5065">
        <w:rPr>
          <w:rFonts w:ascii="David" w:eastAsia="Calibri" w:hAnsi="David" w:hint="cs"/>
          <w:sz w:val="24"/>
          <w:rtl/>
        </w:rPr>
        <w:t>ליווי</w:t>
      </w:r>
      <w:r w:rsidRPr="00AA5065">
        <w:rPr>
          <w:rFonts w:ascii="David" w:eastAsia="Calibri" w:hAnsi="David"/>
          <w:sz w:val="24"/>
          <w:rtl/>
        </w:rPr>
        <w:t xml:space="preserve"> </w:t>
      </w:r>
      <w:r w:rsidRPr="00AA5065">
        <w:rPr>
          <w:rFonts w:ascii="David" w:eastAsia="Calibri" w:hAnsi="David" w:hint="cs"/>
          <w:sz w:val="24"/>
          <w:rtl/>
        </w:rPr>
        <w:t>משטרתי</w:t>
      </w:r>
      <w:r w:rsidRPr="00AA5065">
        <w:rPr>
          <w:rFonts w:ascii="David" w:eastAsia="Calibri" w:hAnsi="David"/>
          <w:sz w:val="24"/>
          <w:rtl/>
        </w:rPr>
        <w:t xml:space="preserve"> </w:t>
      </w:r>
      <w:r w:rsidRPr="00AA5065">
        <w:rPr>
          <w:rFonts w:ascii="David" w:eastAsia="Calibri" w:hAnsi="David" w:hint="cs"/>
          <w:sz w:val="24"/>
          <w:rtl/>
        </w:rPr>
        <w:t>עקב</w:t>
      </w:r>
      <w:r w:rsidRPr="00AA5065">
        <w:rPr>
          <w:rFonts w:ascii="David" w:eastAsia="Calibri" w:hAnsi="David"/>
          <w:sz w:val="24"/>
          <w:rtl/>
        </w:rPr>
        <w:t xml:space="preserve"> </w:t>
      </w:r>
      <w:r w:rsidRPr="00AA5065">
        <w:rPr>
          <w:rFonts w:ascii="David" w:eastAsia="Calibri" w:hAnsi="David" w:hint="cs"/>
          <w:sz w:val="24"/>
          <w:rtl/>
        </w:rPr>
        <w:t>חשש</w:t>
      </w:r>
      <w:r w:rsidRPr="00AA5065">
        <w:rPr>
          <w:rFonts w:ascii="David" w:eastAsia="Calibri" w:hAnsi="David"/>
          <w:sz w:val="24"/>
          <w:rtl/>
        </w:rPr>
        <w:t xml:space="preserve"> </w:t>
      </w:r>
      <w:r w:rsidRPr="00AA5065">
        <w:rPr>
          <w:rFonts w:ascii="David" w:eastAsia="Calibri" w:hAnsi="David" w:hint="cs"/>
          <w:sz w:val="24"/>
          <w:rtl/>
        </w:rPr>
        <w:t>לגילויי</w:t>
      </w:r>
      <w:r w:rsidRPr="00AA5065">
        <w:rPr>
          <w:rFonts w:ascii="David" w:eastAsia="Calibri" w:hAnsi="David"/>
          <w:sz w:val="24"/>
          <w:rtl/>
        </w:rPr>
        <w:t xml:space="preserve"> </w:t>
      </w:r>
      <w:r w:rsidRPr="00AA5065">
        <w:rPr>
          <w:rFonts w:ascii="David" w:eastAsia="Calibri" w:hAnsi="David" w:hint="cs"/>
          <w:sz w:val="24"/>
          <w:rtl/>
        </w:rPr>
        <w:t>אלימות</w:t>
      </w:r>
      <w:r w:rsidRPr="00AA5065">
        <w:rPr>
          <w:rFonts w:ascii="David" w:eastAsia="Calibri" w:hAnsi="David"/>
          <w:sz w:val="24"/>
          <w:rtl/>
        </w:rPr>
        <w:t xml:space="preserve">. </w:t>
      </w:r>
      <w:r w:rsidRPr="00AA5065">
        <w:rPr>
          <w:rFonts w:ascii="David" w:eastAsia="Calibri" w:hAnsi="David" w:hint="cs"/>
          <w:sz w:val="24"/>
          <w:rtl/>
        </w:rPr>
        <w:t>כתוצאה</w:t>
      </w:r>
      <w:r w:rsidRPr="00AA5065">
        <w:rPr>
          <w:rFonts w:ascii="David" w:eastAsia="Calibri" w:hAnsi="David"/>
          <w:sz w:val="24"/>
          <w:rtl/>
        </w:rPr>
        <w:t xml:space="preserve"> </w:t>
      </w:r>
      <w:r w:rsidRPr="00AA5065">
        <w:rPr>
          <w:rFonts w:ascii="David" w:eastAsia="Calibri" w:hAnsi="David" w:hint="cs"/>
          <w:sz w:val="24"/>
          <w:rtl/>
        </w:rPr>
        <w:t>מכך</w:t>
      </w:r>
      <w:r w:rsidRPr="00AA5065">
        <w:rPr>
          <w:rFonts w:ascii="David" w:eastAsia="Calibri" w:hAnsi="David"/>
          <w:sz w:val="24"/>
          <w:rtl/>
        </w:rPr>
        <w:t xml:space="preserve"> </w:t>
      </w:r>
      <w:r w:rsidRPr="00AA5065">
        <w:rPr>
          <w:rFonts w:ascii="David" w:eastAsia="Calibri" w:hAnsi="David" w:hint="cs"/>
          <w:sz w:val="24"/>
          <w:rtl/>
        </w:rPr>
        <w:t>נמנעים</w:t>
      </w:r>
      <w:r w:rsidRPr="00AA5065">
        <w:rPr>
          <w:rFonts w:ascii="David" w:eastAsia="Calibri" w:hAnsi="David"/>
          <w:sz w:val="24"/>
          <w:rtl/>
        </w:rPr>
        <w:t xml:space="preserve"> </w:t>
      </w:r>
      <w:r w:rsidRPr="00AA5065">
        <w:rPr>
          <w:rFonts w:ascii="David" w:eastAsia="Calibri" w:hAnsi="David" w:hint="cs"/>
          <w:sz w:val="24"/>
          <w:rtl/>
        </w:rPr>
        <w:t>בעת</w:t>
      </w:r>
      <w:r w:rsidRPr="00AA5065">
        <w:rPr>
          <w:rFonts w:ascii="David" w:eastAsia="Calibri" w:hAnsi="David"/>
          <w:sz w:val="24"/>
          <w:rtl/>
        </w:rPr>
        <w:t xml:space="preserve"> </w:t>
      </w:r>
      <w:r w:rsidRPr="00AA5065">
        <w:rPr>
          <w:rFonts w:ascii="David" w:eastAsia="Calibri" w:hAnsi="David" w:hint="cs"/>
          <w:sz w:val="24"/>
          <w:rtl/>
        </w:rPr>
        <w:t>טיפול</w:t>
      </w:r>
      <w:r w:rsidRPr="00AA5065">
        <w:rPr>
          <w:rFonts w:ascii="David" w:eastAsia="Calibri" w:hAnsi="David"/>
          <w:sz w:val="24"/>
          <w:rtl/>
        </w:rPr>
        <w:t xml:space="preserve"> </w:t>
      </w:r>
      <w:r w:rsidRPr="00AA5065">
        <w:rPr>
          <w:rFonts w:ascii="David" w:eastAsia="Calibri" w:hAnsi="David" w:hint="cs"/>
          <w:sz w:val="24"/>
          <w:rtl/>
        </w:rPr>
        <w:t>שומתי</w:t>
      </w:r>
      <w:r w:rsidRPr="00AA5065">
        <w:rPr>
          <w:rFonts w:ascii="David" w:eastAsia="Calibri" w:hAnsi="David"/>
          <w:sz w:val="24"/>
          <w:rtl/>
        </w:rPr>
        <w:t xml:space="preserve"> </w:t>
      </w:r>
      <w:r w:rsidRPr="00AA5065">
        <w:rPr>
          <w:rFonts w:ascii="David" w:eastAsia="Calibri" w:hAnsi="David" w:hint="cs"/>
          <w:sz w:val="24"/>
          <w:rtl/>
        </w:rPr>
        <w:t>לבקר</w:t>
      </w:r>
      <w:r w:rsidRPr="00AA5065">
        <w:rPr>
          <w:rFonts w:ascii="David" w:eastAsia="Calibri" w:hAnsi="David"/>
          <w:sz w:val="24"/>
          <w:rtl/>
        </w:rPr>
        <w:t xml:space="preserve"> </w:t>
      </w:r>
      <w:r w:rsidRPr="00AA5065">
        <w:rPr>
          <w:rFonts w:ascii="David" w:eastAsia="Calibri" w:hAnsi="David" w:hint="cs"/>
          <w:sz w:val="24"/>
          <w:rtl/>
        </w:rPr>
        <w:t>במקום</w:t>
      </w:r>
      <w:r w:rsidRPr="00AA5065">
        <w:rPr>
          <w:rFonts w:ascii="David" w:eastAsia="Calibri" w:hAnsi="David"/>
          <w:sz w:val="24"/>
          <w:rtl/>
        </w:rPr>
        <w:t xml:space="preserve"> </w:t>
      </w:r>
      <w:r w:rsidRPr="00AA5065">
        <w:rPr>
          <w:rFonts w:ascii="David" w:eastAsia="Calibri" w:hAnsi="David" w:hint="cs"/>
          <w:sz w:val="24"/>
          <w:rtl/>
        </w:rPr>
        <w:t>העסק</w:t>
      </w:r>
      <w:r w:rsidRPr="00AA5065">
        <w:rPr>
          <w:rFonts w:ascii="David" w:eastAsia="Calibri" w:hAnsi="David"/>
          <w:sz w:val="24"/>
          <w:rtl/>
        </w:rPr>
        <w:t>.</w:t>
      </w:r>
      <w:r w:rsidRPr="00AA5065">
        <w:rPr>
          <w:rFonts w:ascii="David" w:eastAsia="Calibri" w:hAnsi="David" w:hint="cs"/>
          <w:sz w:val="24"/>
          <w:rtl/>
        </w:rPr>
        <w:t>..</w:t>
      </w:r>
      <w:r w:rsidRPr="00AA5065">
        <w:rPr>
          <w:rFonts w:ascii="David" w:eastAsia="Calibri" w:hAnsi="David"/>
          <w:sz w:val="24"/>
          <w:rtl/>
        </w:rPr>
        <w:t xml:space="preserve"> פעילות אכיפה והוצל״פ בשטח נתקלת בקשיי איתור וחשש לאלימות שדורש ליווי </w:t>
      </w:r>
      <w:r w:rsidRPr="00AA5065">
        <w:rPr>
          <w:rFonts w:ascii="David" w:eastAsia="Calibri" w:hAnsi="David"/>
          <w:sz w:val="24"/>
          <w:cs/>
        </w:rPr>
        <w:t>‎</w:t>
      </w:r>
      <w:r w:rsidRPr="00AA5065">
        <w:rPr>
          <w:rFonts w:ascii="David" w:eastAsia="Calibri" w:hAnsi="David"/>
          <w:sz w:val="24"/>
          <w:rtl/>
        </w:rPr>
        <w:t>משטרתי".</w:t>
      </w:r>
      <w:r w:rsidRPr="00AA5065">
        <w:rPr>
          <w:rFonts w:ascii="David" w:eastAsia="Calibri" w:hAnsi="David" w:hint="cs"/>
          <w:sz w:val="24"/>
          <w:rtl/>
        </w:rPr>
        <w:t xml:space="preserve"> עוד מסרה הרשות כי היא פועלת ותמשיך לפעול במגזר הבדואי ובמגזרים אחרים, בכל זמן ומקום, תוך שמירה על ביטחון העובדים, ובתיאום ושיתוף פעולה עם משטרת ישראל.</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sz w:val="24"/>
          <w:rtl/>
        </w:rPr>
      </w:pPr>
      <w:r w:rsidRPr="00AA5065">
        <w:rPr>
          <w:rFonts w:ascii="David" w:eastAsia="Calibri" w:hAnsi="David" w:hint="cs"/>
          <w:sz w:val="24"/>
          <w:rtl/>
        </w:rPr>
        <w:t>משטרת ישראל מסרה בתשובתה כי "</w:t>
      </w:r>
      <w:r w:rsidRPr="00AA5065">
        <w:rPr>
          <w:rFonts w:ascii="David" w:eastAsia="Calibri" w:hAnsi="David"/>
          <w:sz w:val="24"/>
          <w:rtl/>
        </w:rPr>
        <w:t>יחידות המחוז הדרומי יפעלו במסגרת תפקידן וסמכויותיהן ויסייעו לנציגי רשות המיסים ככל ויתבקשו</w:t>
      </w:r>
      <w:r w:rsidRPr="00AA5065">
        <w:rPr>
          <w:rFonts w:ascii="David" w:eastAsia="Calibri" w:hAnsi="David" w:hint="cs"/>
          <w:sz w:val="24"/>
          <w:rtl/>
        </w:rPr>
        <w:t>"</w:t>
      </w:r>
      <w:r w:rsidRPr="00AA5065">
        <w:rPr>
          <w:rFonts w:ascii="David" w:eastAsia="Calibri" w:hAnsi="David"/>
          <w:sz w:val="24"/>
          <w:rtl/>
        </w:rPr>
        <w:t>.</w:t>
      </w:r>
    </w:p>
    <w:p w:rsidR="00AA5065" w:rsidRPr="00AA5065" w:rsidP="00860D89">
      <w:pPr>
        <w:spacing w:line="269" w:lineRule="auto"/>
        <w:rPr>
          <w:rFonts w:eastAsia="Calibri"/>
          <w:rtl/>
        </w:rPr>
      </w:pPr>
    </w:p>
    <w:p w:rsidR="00AA5065" w:rsidRPr="00AA5065" w:rsidP="004E6B4D">
      <w:pPr>
        <w:keepNext/>
        <w:keepLines/>
        <w:spacing w:before="100" w:beforeAutospacing="1" w:line="269" w:lineRule="auto"/>
        <w:outlineLvl w:val="3"/>
        <w:rPr>
          <w:rFonts w:ascii="David" w:eastAsia="Times New Roman" w:hAnsi="David"/>
          <w:bCs/>
          <w:szCs w:val="26"/>
          <w:rtl/>
        </w:rPr>
      </w:pPr>
      <w:r w:rsidRPr="00AA5065">
        <w:rPr>
          <w:rFonts w:ascii="David" w:eastAsia="Times New Roman" w:hAnsi="David"/>
          <w:bCs/>
          <w:szCs w:val="26"/>
          <w:rtl/>
        </w:rPr>
        <w:t>הנפקת אישורי תושבות שלא כדין לצורך קבלת הטבות מס</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Times New Roman" w:hAnsi="David"/>
          <w:sz w:val="24"/>
          <w:rtl/>
        </w:rPr>
      </w:pPr>
      <w:r w:rsidRPr="00AA5065">
        <w:rPr>
          <w:rFonts w:ascii="David" w:eastAsia="Calibri" w:hAnsi="David"/>
          <w:sz w:val="24"/>
          <w:rtl/>
        </w:rPr>
        <w:t>על פי סעיף 11 לפקודת מס הכנסה, יש יישובים שתושביהם זכאים להטבה בשיעור המס מההכנסה, בכפוף לתקרה שנקבעה על ידי המחוקק. שיעור ההטבה והתקרה משתנים בהתאם לתבחינים שנקבעו בחקיקה. הזכאות להטבה מותנית בתושבות רצופה של 12 חודשים לפחות ביישובים אלה</w:t>
      </w:r>
      <w:r w:rsidRPr="00AA5065">
        <w:rPr>
          <w:rFonts w:ascii="David" w:eastAsia="Calibri" w:hAnsi="David" w:hint="cs"/>
          <w:sz w:val="24"/>
          <w:rtl/>
        </w:rPr>
        <w:t>.</w:t>
      </w:r>
      <w:r w:rsidRPr="00AA5065">
        <w:rPr>
          <w:rFonts w:ascii="David" w:eastAsia="Calibri" w:hAnsi="David"/>
          <w:sz w:val="24"/>
          <w:rtl/>
        </w:rPr>
        <w:t xml:space="preserve"> לשם הוכחת תושבות ברשות מקומית מסוימת, על התושב לפנות לרשות המקומית שבה הוא מתגורר ולהגיש לה בקשה לאישור תושבות באמצעות טופס</w:t>
      </w:r>
      <w:r>
        <w:rPr>
          <w:rFonts w:ascii="David" w:eastAsia="Times New Roman" w:hAnsi="David"/>
          <w:sz w:val="24"/>
          <w:vertAlign w:val="superscript"/>
          <w:rtl/>
        </w:rPr>
        <w:footnoteReference w:id="43"/>
      </w:r>
      <w:r w:rsidRPr="00AA5065">
        <w:rPr>
          <w:rFonts w:ascii="David" w:eastAsia="Times New Roman" w:hAnsi="David"/>
          <w:sz w:val="24"/>
          <w:rtl/>
        </w:rPr>
        <w:t xml:space="preserve"> של רשות המיסים. </w:t>
      </w:r>
      <w:r w:rsidRPr="00AA5065">
        <w:rPr>
          <w:rFonts w:ascii="David" w:eastAsia="Times New Roman" w:hAnsi="David" w:hint="cs"/>
          <w:sz w:val="24"/>
          <w:rtl/>
        </w:rPr>
        <w:t xml:space="preserve">את </w:t>
      </w:r>
      <w:r w:rsidRPr="00AA5065">
        <w:rPr>
          <w:rFonts w:ascii="David" w:eastAsia="Times New Roman" w:hAnsi="David"/>
          <w:sz w:val="24"/>
          <w:rtl/>
        </w:rPr>
        <w:t xml:space="preserve">האישור </w:t>
      </w:r>
      <w:r w:rsidRPr="00AA5065">
        <w:rPr>
          <w:rFonts w:ascii="David" w:eastAsia="Times New Roman" w:hAnsi="David" w:hint="cs"/>
          <w:sz w:val="24"/>
          <w:rtl/>
        </w:rPr>
        <w:t>תנפיק</w:t>
      </w:r>
      <w:r w:rsidRPr="00AA5065">
        <w:rPr>
          <w:rFonts w:ascii="David" w:eastAsia="Times New Roman" w:hAnsi="David"/>
          <w:sz w:val="24"/>
          <w:rtl/>
        </w:rPr>
        <w:t xml:space="preserve"> הרשות המקומית. עובד שכיר ימציא את האישור למעסיקו כדי לקבל את ההנחה </w:t>
      </w:r>
      <w:r w:rsidRPr="00AA5065">
        <w:rPr>
          <w:rFonts w:ascii="David" w:eastAsia="Times New Roman" w:hAnsi="David" w:hint="cs"/>
          <w:sz w:val="24"/>
          <w:rtl/>
        </w:rPr>
        <w:t xml:space="preserve">שהוא זכאי לה </w:t>
      </w:r>
      <w:r w:rsidRPr="00AA5065">
        <w:rPr>
          <w:rFonts w:ascii="David" w:eastAsia="Times New Roman" w:hAnsi="David"/>
          <w:sz w:val="24"/>
          <w:rtl/>
        </w:rPr>
        <w:t>במסגרת חישוב השכר</w:t>
      </w:r>
      <w:r>
        <w:rPr>
          <w:rFonts w:ascii="David" w:eastAsia="Times New Roman" w:hAnsi="David"/>
          <w:sz w:val="24"/>
          <w:vertAlign w:val="superscript"/>
          <w:rtl/>
        </w:rPr>
        <w:footnoteReference w:id="44"/>
      </w:r>
      <w:r w:rsidRPr="00AA5065">
        <w:rPr>
          <w:rFonts w:ascii="David" w:eastAsia="Times New Roman" w:hAnsi="David"/>
          <w:sz w:val="24"/>
          <w:rtl/>
        </w:rPr>
        <w:t>.</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b/>
          <w:rtl/>
        </w:rPr>
        <w:t xml:space="preserve">בדוח הקודם </w:t>
      </w:r>
      <w:r w:rsidRPr="00AA5065">
        <w:rPr>
          <w:rFonts w:ascii="David" w:eastAsia="Calibri" w:hAnsi="David" w:hint="eastAsia"/>
          <w:rtl/>
        </w:rPr>
        <w:t>עלה</w:t>
      </w:r>
      <w:r w:rsidRPr="00AA5065">
        <w:rPr>
          <w:rFonts w:ascii="David" w:eastAsia="Calibri" w:hAnsi="David"/>
          <w:rtl/>
        </w:rPr>
        <w:t xml:space="preserve"> </w:t>
      </w:r>
      <w:r w:rsidRPr="00AA5065">
        <w:rPr>
          <w:rFonts w:ascii="David" w:eastAsia="Calibri" w:hAnsi="David" w:hint="cs"/>
          <w:rtl/>
        </w:rPr>
        <w:t xml:space="preserve">בבדיקה מדגמית כי הרשויות המקומיות לקייה וכסיפה והמועצה האזורית אל-קסום </w:t>
      </w:r>
      <w:r w:rsidRPr="00AA5065">
        <w:rPr>
          <w:rFonts w:ascii="David" w:eastAsia="Calibri" w:hAnsi="David"/>
          <w:rtl/>
        </w:rPr>
        <w:t>אינן בודקות</w:t>
      </w:r>
      <w:r w:rsidRPr="00AA5065">
        <w:rPr>
          <w:rFonts w:ascii="David" w:eastAsia="Calibri" w:hAnsi="David" w:hint="cs"/>
          <w:rtl/>
        </w:rPr>
        <w:t xml:space="preserve"> כראוי</w:t>
      </w:r>
      <w:r w:rsidRPr="00AA5065">
        <w:rPr>
          <w:rFonts w:ascii="David" w:eastAsia="Calibri" w:hAnsi="David"/>
          <w:rtl/>
        </w:rPr>
        <w:t xml:space="preserve"> שכל התנאים למתן ההטבה </w:t>
      </w:r>
      <w:r w:rsidRPr="00AA5065">
        <w:rPr>
          <w:rFonts w:ascii="David" w:eastAsia="Calibri" w:hAnsi="David" w:hint="cs"/>
          <w:rtl/>
        </w:rPr>
        <w:t xml:space="preserve">אכן </w:t>
      </w:r>
      <w:r w:rsidRPr="00AA5065">
        <w:rPr>
          <w:rFonts w:ascii="David" w:eastAsia="Calibri" w:hAnsi="David"/>
          <w:rtl/>
        </w:rPr>
        <w:t>מתקיימים, ולמעשה מנפיקות אישורי תושב למבקשים שכלל אינם מתגוררים בתחומיהן</w:t>
      </w:r>
      <w:r w:rsidRPr="00AA5065">
        <w:rPr>
          <w:rFonts w:ascii="David" w:eastAsia="Calibri" w:hAnsi="David" w:hint="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 xml:space="preserve">בדוח הקודם </w:t>
      </w:r>
      <w:r w:rsidRPr="00AA5065">
        <w:rPr>
          <w:rFonts w:ascii="David" w:eastAsia="Calibri" w:hAnsi="David"/>
          <w:rtl/>
        </w:rPr>
        <w:t>הומלץ כי</w:t>
      </w:r>
      <w:r w:rsidRPr="00AA5065">
        <w:rPr>
          <w:rFonts w:ascii="David" w:eastAsia="Calibri" w:hAnsi="David" w:hint="cs"/>
          <w:rtl/>
        </w:rPr>
        <w:t xml:space="preserve"> "</w:t>
      </w:r>
      <w:r w:rsidRPr="00AA5065">
        <w:rPr>
          <w:rFonts w:ascii="David" w:eastAsia="Calibri" w:hAnsi="David"/>
          <w:rtl/>
        </w:rPr>
        <w:t>רשות המיסים תחדד מול הרשויות הבדואיות בנגב את הנחיותיה למתן אישורי תושבות ‏לצורך מס ותבצע הצלבה מול נתוני מרשם האוכלוסין בכל הנוגע לאישורים המתקבלים ‏מהרשויות</w:t>
      </w:r>
      <w:r w:rsidRPr="00AA5065">
        <w:rPr>
          <w:rFonts w:ascii="Tahoma" w:eastAsia="Times New Roman" w:hAnsi="Tahoma" w:cs="Tahoma" w:hint="cs"/>
          <w:sz w:val="17"/>
          <w:szCs w:val="18"/>
          <w:rtl/>
          <w:lang w:eastAsia="he-I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רשות המיסים מסרה בתשובתה</w:t>
      </w:r>
      <w:r w:rsidRPr="00AA5065">
        <w:rPr>
          <w:rFonts w:ascii="David" w:eastAsia="Calibri" w:hAnsi="David" w:hint="cs"/>
          <w:rtl/>
        </w:rPr>
        <w:t xml:space="preserve"> לביקורת הקודמת</w:t>
      </w:r>
      <w:r w:rsidRPr="00AA5065">
        <w:rPr>
          <w:rFonts w:ascii="David" w:eastAsia="Calibri" w:hAnsi="David"/>
          <w:rtl/>
        </w:rPr>
        <w:t xml:space="preserve"> כי "לאור מקרים רבים של ניצול לרעה של אישור תושב, הוקם ב-2018 בפקיד שומה באר שבע צוות שיפור לבחינת הנושא. המלצות הצוות היו ל</w:t>
      </w:r>
      <w:r w:rsidRPr="00AA5065">
        <w:rPr>
          <w:rFonts w:ascii="David" w:eastAsia="Calibri" w:hAnsi="David" w:hint="cs"/>
          <w:rtl/>
        </w:rPr>
        <w:t>קיים</w:t>
      </w:r>
      <w:r w:rsidRPr="00AA5065">
        <w:rPr>
          <w:rFonts w:ascii="David" w:eastAsia="Calibri" w:hAnsi="David"/>
          <w:rtl/>
        </w:rPr>
        <w:t xml:space="preserve"> כנסי הסברה בנושא לכלל ראשי הרשויות הן במגזר היהודי והן במגזר הבדואי"</w:t>
      </w:r>
      <w:r w:rsidRPr="00AA5065">
        <w:rPr>
          <w:rFonts w:ascii="David" w:eastAsia="Calibri" w:hAnsi="David" w:hint="cs"/>
          <w:rtl/>
        </w:rPr>
        <w:t xml:space="preserve">. </w:t>
      </w:r>
      <w:r w:rsidRPr="00AA5065">
        <w:rPr>
          <w:rFonts w:ascii="David" w:eastAsia="Calibri" w:hAnsi="David"/>
          <w:rtl/>
        </w:rPr>
        <w:t>בשנים 2019 ו-2020</w:t>
      </w:r>
      <w:r w:rsidRPr="00AA5065">
        <w:rPr>
          <w:rFonts w:ascii="David" w:eastAsia="Calibri" w:hAnsi="David" w:hint="cs"/>
          <w:rtl/>
        </w:rPr>
        <w:t xml:space="preserve"> התקיימו</w:t>
      </w:r>
      <w:r w:rsidRPr="00AA5065">
        <w:rPr>
          <w:rFonts w:ascii="David" w:eastAsia="Calibri" w:hAnsi="David"/>
          <w:rtl/>
        </w:rPr>
        <w:t xml:space="preserve"> כנסים</w:t>
      </w:r>
      <w:r w:rsidRPr="00AA5065">
        <w:rPr>
          <w:rFonts w:ascii="David" w:eastAsia="Calibri" w:hAnsi="David" w:hint="cs"/>
          <w:rtl/>
        </w:rPr>
        <w:t xml:space="preserve"> כאלה</w:t>
      </w:r>
      <w:r w:rsidRPr="00AA5065">
        <w:rPr>
          <w:rFonts w:ascii="David" w:eastAsia="Calibri" w:hAnsi="David"/>
          <w:rtl/>
        </w:rPr>
        <w:t>, ולקראת</w:t>
      </w:r>
      <w:r w:rsidRPr="00AA5065">
        <w:rPr>
          <w:rFonts w:ascii="David" w:eastAsia="Calibri" w:hAnsi="David" w:hint="cs"/>
          <w:rtl/>
        </w:rPr>
        <w:t xml:space="preserve"> שנת</w:t>
      </w:r>
      <w:r w:rsidRPr="00AA5065">
        <w:rPr>
          <w:rFonts w:ascii="David" w:eastAsia="Calibri" w:hAnsi="David"/>
          <w:rtl/>
        </w:rPr>
        <w:t xml:space="preserve"> 2021</w:t>
      </w:r>
      <w:r w:rsidRPr="00AA5065">
        <w:rPr>
          <w:rFonts w:ascii="David" w:eastAsia="Calibri" w:hAnsi="David" w:hint="cs"/>
          <w:rtl/>
        </w:rPr>
        <w:t>,</w:t>
      </w:r>
      <w:r w:rsidRPr="00AA5065">
        <w:rPr>
          <w:rFonts w:ascii="David" w:eastAsia="Calibri" w:hAnsi="David"/>
          <w:rtl/>
        </w:rPr>
        <w:t xml:space="preserve"> בשל </w:t>
      </w:r>
      <w:r w:rsidRPr="00AA5065">
        <w:rPr>
          <w:rFonts w:ascii="David" w:eastAsia="Calibri" w:hAnsi="David" w:hint="cs"/>
          <w:rtl/>
        </w:rPr>
        <w:t xml:space="preserve">נגיף </w:t>
      </w:r>
      <w:r w:rsidRPr="00AA5065">
        <w:rPr>
          <w:rFonts w:ascii="David" w:eastAsia="Calibri" w:hAnsi="David"/>
          <w:rtl/>
        </w:rPr>
        <w:t>הקורונה</w:t>
      </w:r>
      <w:r w:rsidRPr="00AA5065">
        <w:rPr>
          <w:rFonts w:ascii="David" w:eastAsia="Calibri" w:hAnsi="David" w:hint="cs"/>
          <w:rtl/>
        </w:rPr>
        <w:t>,</w:t>
      </w:r>
      <w:r w:rsidRPr="00AA5065">
        <w:rPr>
          <w:rFonts w:ascii="David" w:eastAsia="Calibri" w:hAnsi="David"/>
          <w:rtl/>
        </w:rPr>
        <w:t xml:space="preserve"> נשלח עדכון ב</w:t>
      </w:r>
      <w:r w:rsidRPr="00AA5065">
        <w:rPr>
          <w:rFonts w:ascii="David" w:eastAsia="Calibri" w:hAnsi="David" w:hint="cs"/>
          <w:rtl/>
        </w:rPr>
        <w:t>דוא"ל</w:t>
      </w:r>
      <w:r w:rsidRPr="00AA5065">
        <w:rPr>
          <w:rFonts w:ascii="David" w:eastAsia="Calibri" w:hAnsi="David"/>
          <w:rtl/>
        </w:rPr>
        <w:t xml:space="preserve"> לכל הרשויות. </w:t>
      </w:r>
      <w:r w:rsidRPr="00AA5065">
        <w:rPr>
          <w:rFonts w:ascii="David" w:eastAsia="Calibri" w:hAnsi="David" w:hint="cs"/>
          <w:rtl/>
        </w:rPr>
        <w:t xml:space="preserve">הרשות ציינה </w:t>
      </w:r>
      <w:r w:rsidRPr="00AA5065">
        <w:rPr>
          <w:rFonts w:ascii="David" w:eastAsia="Calibri" w:hAnsi="David"/>
          <w:rtl/>
        </w:rPr>
        <w:t>כי "שיתוף הפעולה עם חלק מראשי היישובים הבדואים לוקה בחסר, ‏ולא פעם הרשות נתקלת בהערמת קשיים וחוסר נכונות למסור מידע בנושא סקר נכסים", וכי</w:t>
      </w:r>
      <w:r w:rsidRPr="00AA5065">
        <w:rPr>
          <w:rFonts w:ascii="David" w:eastAsia="Calibri" w:hAnsi="David" w:hint="cs"/>
          <w:rtl/>
        </w:rPr>
        <w:t xml:space="preserve"> היא</w:t>
      </w:r>
      <w:r w:rsidRPr="00AA5065">
        <w:rPr>
          <w:rFonts w:ascii="David" w:eastAsia="Calibri" w:hAnsi="David"/>
          <w:rtl/>
        </w:rPr>
        <w:t xml:space="preserve"> ‏‏"תבצע הצלבה למול נתוני מרשם האוכלוסין בכל הנוגע לאישורים המתקבלים מהרשויות".‏</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פקיד השומה בבאר שבע מסר לצוות הביקורת</w:t>
      </w:r>
      <w:r>
        <w:rPr>
          <w:rFonts w:ascii="David" w:eastAsia="Calibri" w:hAnsi="David"/>
          <w:vertAlign w:val="superscript"/>
          <w:rtl/>
        </w:rPr>
        <w:footnoteReference w:id="45"/>
      </w:r>
      <w:r w:rsidRPr="00AA5065">
        <w:rPr>
          <w:rFonts w:ascii="David" w:eastAsia="Calibri" w:hAnsi="David" w:hint="cs"/>
          <w:rtl/>
        </w:rPr>
        <w:t xml:space="preserve"> </w:t>
      </w:r>
      <w:r w:rsidRPr="00AA5065">
        <w:rPr>
          <w:rFonts w:ascii="David" w:eastAsia="Calibri" w:hAnsi="David"/>
          <w:rtl/>
        </w:rPr>
        <w:t>כי</w:t>
      </w:r>
      <w:r w:rsidRPr="00AA5065">
        <w:rPr>
          <w:rFonts w:ascii="David" w:eastAsia="Calibri" w:hAnsi="David" w:hint="cs"/>
          <w:rtl/>
        </w:rPr>
        <w:t xml:space="preserve"> </w:t>
      </w:r>
      <w:r w:rsidRPr="00AA5065">
        <w:rPr>
          <w:rFonts w:ascii="David" w:eastAsia="Calibri" w:hAnsi="David"/>
          <w:rtl/>
        </w:rPr>
        <w:t xml:space="preserve">"אנחנו לא מצליחים לאמת היכן הם גרים, חלקם מקבלים הטבות מס שכנראה לא מגיעים להם". </w:t>
      </w:r>
      <w:r w:rsidRPr="00AA5065">
        <w:rPr>
          <w:rFonts w:ascii="David" w:eastAsia="Calibri" w:hAnsi="David" w:hint="cs"/>
          <w:rtl/>
        </w:rPr>
        <w:t>עוד נמסר</w:t>
      </w:r>
      <w:r w:rsidRPr="00AA5065">
        <w:rPr>
          <w:rFonts w:ascii="David" w:eastAsia="Calibri" w:hAnsi="David"/>
          <w:rtl/>
        </w:rPr>
        <w:t xml:space="preserve"> כי המועצות המקומיות מנפיקות אישורים גם לאנשים שאינם גרים במועצה ואינם זכאים להטבת המס. </w:t>
      </w:r>
      <w:r w:rsidRPr="00AA5065">
        <w:rPr>
          <w:rFonts w:ascii="David" w:eastAsia="Calibri" w:hAnsi="David" w:hint="cs"/>
          <w:rtl/>
        </w:rPr>
        <w:t>עוד מסר פקיד השומה</w:t>
      </w:r>
      <w:r w:rsidRPr="00AA5065">
        <w:rPr>
          <w:rFonts w:ascii="David" w:eastAsia="Calibri" w:hAnsi="David"/>
          <w:rtl/>
        </w:rPr>
        <w:t xml:space="preserve"> כי נשלחו פניות ונעשו פעולות מול ראשי הי</w:t>
      </w:r>
      <w:r w:rsidRPr="00AA5065">
        <w:rPr>
          <w:rFonts w:ascii="David" w:eastAsia="Calibri" w:hAnsi="David" w:hint="cs"/>
          <w:rtl/>
        </w:rPr>
        <w:t>י</w:t>
      </w:r>
      <w:r w:rsidRPr="00AA5065">
        <w:rPr>
          <w:rFonts w:ascii="David" w:eastAsia="Calibri" w:hAnsi="David"/>
          <w:rtl/>
        </w:rPr>
        <w:t xml:space="preserve">שובים הבדואים ובפזורה </w:t>
      </w:r>
      <w:r w:rsidRPr="00AA5065">
        <w:rPr>
          <w:rFonts w:ascii="David" w:eastAsia="Calibri" w:hAnsi="David" w:hint="cs"/>
          <w:rtl/>
        </w:rPr>
        <w:t>כדי</w:t>
      </w:r>
      <w:r w:rsidRPr="00AA5065">
        <w:rPr>
          <w:rFonts w:ascii="David" w:eastAsia="Calibri" w:hAnsi="David"/>
          <w:rtl/>
        </w:rPr>
        <w:t xml:space="preserve"> לחדד את ההנחיות בנושא מתן אישור תושבות. במסגרת זו התקיימו </w:t>
      </w:r>
      <w:r w:rsidRPr="00AA5065">
        <w:rPr>
          <w:rFonts w:ascii="David" w:eastAsia="Calibri" w:hAnsi="David" w:hint="cs"/>
          <w:rtl/>
        </w:rPr>
        <w:t>כמה</w:t>
      </w:r>
      <w:r w:rsidRPr="00AA5065">
        <w:rPr>
          <w:rFonts w:ascii="David" w:eastAsia="Calibri" w:hAnsi="David"/>
          <w:rtl/>
        </w:rPr>
        <w:t xml:space="preserve"> כנסים שנתיים </w:t>
      </w:r>
      <w:r w:rsidRPr="00AA5065">
        <w:rPr>
          <w:rFonts w:ascii="David" w:eastAsia="Calibri" w:hAnsi="David" w:hint="cs"/>
          <w:rtl/>
        </w:rPr>
        <w:t>ש</w:t>
      </w:r>
      <w:r w:rsidRPr="00AA5065">
        <w:rPr>
          <w:rFonts w:ascii="David" w:eastAsia="Calibri" w:hAnsi="David"/>
          <w:rtl/>
        </w:rPr>
        <w:t>אליהם הוזמנו נציגי המועצות והעיריות</w:t>
      </w:r>
      <w:r w:rsidRPr="00AA5065">
        <w:rPr>
          <w:rFonts w:ascii="David" w:eastAsia="Calibri" w:hAnsi="David" w:hint="cs"/>
          <w:rtl/>
        </w:rPr>
        <w:t>.</w:t>
      </w:r>
      <w:r w:rsidRPr="00AA5065">
        <w:rPr>
          <w:rFonts w:ascii="David" w:eastAsia="Calibri" w:hAnsi="David"/>
          <w:rtl/>
        </w:rPr>
        <w:t xml:space="preserve"> הכנסים נועדו לחידוד ההנחיות המקצועיות הקשורות בהנפקת אישורי תושב וכן לקבלת משוב לצורך פתרון סוגיות שונות. בנוסף</w:t>
      </w:r>
      <w:r w:rsidRPr="00AA5065">
        <w:rPr>
          <w:rFonts w:ascii="David" w:eastAsia="Calibri" w:hAnsi="David" w:hint="cs"/>
          <w:rtl/>
        </w:rPr>
        <w:t>,</w:t>
      </w:r>
      <w:r w:rsidRPr="00AA5065">
        <w:rPr>
          <w:rFonts w:ascii="David" w:eastAsia="Calibri" w:hAnsi="David"/>
          <w:rtl/>
        </w:rPr>
        <w:t xml:space="preserve"> התקיימו ישיבות עם ראשי מועצות וראשי ערים לחיזוק הקשר עם משרד השומה ולצורך הנפקת אישורים כדין, לדוגמ</w:t>
      </w:r>
      <w:r w:rsidRPr="00AA5065">
        <w:rPr>
          <w:rFonts w:ascii="David" w:eastAsia="Calibri" w:hAnsi="David" w:hint="cs"/>
          <w:rtl/>
        </w:rPr>
        <w:t>ה:</w:t>
      </w:r>
      <w:r w:rsidRPr="00AA5065">
        <w:rPr>
          <w:rFonts w:ascii="David" w:eastAsia="Calibri" w:hAnsi="David"/>
          <w:rtl/>
        </w:rPr>
        <w:t xml:space="preserve"> בשנה האחרונה התקיימו ישיבות עם </w:t>
      </w:r>
      <w:r w:rsidRPr="00AA5065">
        <w:rPr>
          <w:rFonts w:ascii="David" w:eastAsia="Calibri" w:hAnsi="David" w:hint="cs"/>
          <w:rtl/>
        </w:rPr>
        <w:t>ה</w:t>
      </w:r>
      <w:r w:rsidRPr="00AA5065">
        <w:rPr>
          <w:rFonts w:ascii="David" w:eastAsia="Calibri" w:hAnsi="David"/>
          <w:rtl/>
        </w:rPr>
        <w:t>ע</w:t>
      </w:r>
      <w:r w:rsidRPr="00AA5065">
        <w:rPr>
          <w:rFonts w:ascii="David" w:eastAsia="Calibri" w:hAnsi="David" w:hint="cs"/>
          <w:rtl/>
        </w:rPr>
        <w:t>י</w:t>
      </w:r>
      <w:r w:rsidRPr="00AA5065">
        <w:rPr>
          <w:rFonts w:ascii="David" w:eastAsia="Calibri" w:hAnsi="David"/>
          <w:rtl/>
        </w:rPr>
        <w:t>רי</w:t>
      </w:r>
      <w:r w:rsidRPr="00AA5065">
        <w:rPr>
          <w:rFonts w:ascii="David" w:eastAsia="Calibri" w:hAnsi="David" w:hint="cs"/>
          <w:rtl/>
        </w:rPr>
        <w:t>ו</w:t>
      </w:r>
      <w:r w:rsidRPr="00AA5065">
        <w:rPr>
          <w:rFonts w:ascii="David" w:eastAsia="Calibri" w:hAnsi="David"/>
          <w:rtl/>
        </w:rPr>
        <w:t>ת ירוחם</w:t>
      </w:r>
      <w:r w:rsidRPr="00AA5065">
        <w:rPr>
          <w:rFonts w:ascii="David" w:eastAsia="Calibri" w:hAnsi="David" w:hint="cs"/>
          <w:rtl/>
        </w:rPr>
        <w:t xml:space="preserve"> ערד ו</w:t>
      </w:r>
      <w:r w:rsidRPr="00AA5065">
        <w:rPr>
          <w:rFonts w:ascii="David" w:eastAsia="Calibri" w:hAnsi="David"/>
          <w:rtl/>
        </w:rPr>
        <w:t>רהט</w:t>
      </w:r>
      <w:r w:rsidRPr="00AA5065">
        <w:rPr>
          <w:rFonts w:ascii="David" w:eastAsia="Calibri" w:hAnsi="David" w:hint="cs"/>
          <w:rtl/>
        </w:rPr>
        <w:t xml:space="preserve"> המועצות המקומיות </w:t>
      </w:r>
      <w:r w:rsidRPr="00AA5065">
        <w:rPr>
          <w:rFonts w:ascii="David" w:eastAsia="Calibri" w:hAnsi="David"/>
          <w:rtl/>
        </w:rPr>
        <w:t>לקי</w:t>
      </w:r>
      <w:r w:rsidRPr="00AA5065">
        <w:rPr>
          <w:rFonts w:ascii="David" w:eastAsia="Calibri" w:hAnsi="David" w:hint="cs"/>
          <w:rtl/>
        </w:rPr>
        <w:t>י</w:t>
      </w:r>
      <w:r w:rsidRPr="00AA5065">
        <w:rPr>
          <w:rFonts w:ascii="David" w:eastAsia="Calibri" w:hAnsi="David"/>
          <w:rtl/>
        </w:rPr>
        <w:t xml:space="preserve">ה </w:t>
      </w:r>
      <w:r w:rsidRPr="00AA5065">
        <w:rPr>
          <w:rFonts w:ascii="David" w:eastAsia="Calibri" w:hAnsi="David" w:hint="cs"/>
          <w:rtl/>
        </w:rPr>
        <w:t>ו</w:t>
      </w:r>
      <w:r w:rsidRPr="00AA5065">
        <w:rPr>
          <w:rFonts w:ascii="David" w:eastAsia="Calibri" w:hAnsi="David"/>
          <w:rtl/>
        </w:rPr>
        <w:t xml:space="preserve">תל שבע </w:t>
      </w:r>
      <w:r w:rsidRPr="00AA5065">
        <w:rPr>
          <w:rFonts w:ascii="David" w:eastAsia="Calibri" w:hAnsi="David" w:hint="cs"/>
          <w:rtl/>
        </w:rPr>
        <w:t>וה</w:t>
      </w:r>
      <w:r w:rsidRPr="00AA5065">
        <w:rPr>
          <w:rFonts w:ascii="David" w:eastAsia="Calibri" w:hAnsi="David"/>
          <w:rtl/>
        </w:rPr>
        <w:t xml:space="preserve">מועצה </w:t>
      </w:r>
      <w:r w:rsidRPr="00AA5065">
        <w:rPr>
          <w:rFonts w:ascii="David" w:eastAsia="Calibri" w:hAnsi="David" w:hint="cs"/>
          <w:rtl/>
        </w:rPr>
        <w:t>ה</w:t>
      </w:r>
      <w:r w:rsidRPr="00AA5065">
        <w:rPr>
          <w:rFonts w:ascii="David" w:eastAsia="Calibri" w:hAnsi="David"/>
          <w:rtl/>
        </w:rPr>
        <w:t>אזורית אל</w:t>
      </w:r>
      <w:r w:rsidRPr="00AA5065">
        <w:rPr>
          <w:rFonts w:ascii="David" w:eastAsia="Calibri" w:hAnsi="David" w:hint="cs"/>
          <w:rtl/>
        </w:rPr>
        <w:t>-</w:t>
      </w:r>
      <w:r w:rsidRPr="00AA5065">
        <w:rPr>
          <w:rFonts w:ascii="David" w:eastAsia="Calibri" w:hAnsi="David"/>
          <w:rtl/>
        </w:rPr>
        <w:t>קסום</w:t>
      </w:r>
      <w:r w:rsidRPr="00AA5065">
        <w:rPr>
          <w:rFonts w:ascii="David" w:eastAsia="Calibri" w:hAnsi="David" w:hint="cs"/>
          <w:rtl/>
        </w:rPr>
        <w:t>.</w:t>
      </w:r>
      <w:r w:rsidRPr="00AA5065">
        <w:rPr>
          <w:rFonts w:ascii="David" w:eastAsia="Calibri" w:hAnsi="David"/>
          <w:rtl/>
        </w:rPr>
        <w:t xml:space="preserve"> כמו כן, </w:t>
      </w:r>
      <w:r w:rsidRPr="00AA5065">
        <w:rPr>
          <w:rFonts w:ascii="David" w:eastAsia="Calibri" w:hAnsi="David" w:hint="cs"/>
          <w:rtl/>
        </w:rPr>
        <w:t>נשמר</w:t>
      </w:r>
      <w:r w:rsidRPr="00AA5065">
        <w:rPr>
          <w:rFonts w:ascii="David" w:eastAsia="Calibri" w:hAnsi="David"/>
          <w:rtl/>
        </w:rPr>
        <w:t xml:space="preserve"> קשר רציף עם האחראים על הנפקת אישורי תושב מטעם המועצות והעיריות.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 xml:space="preserve">עוד הוא מסר כי </w:t>
      </w:r>
      <w:r w:rsidRPr="00AA5065">
        <w:rPr>
          <w:rFonts w:ascii="David" w:eastAsia="Calibri" w:hAnsi="David"/>
          <w:rtl/>
        </w:rPr>
        <w:t xml:space="preserve">"משנת 2019 אנחנו מטפלים בתיקי תושבות, גם במסגרת תיאומי והחזרי מס, ויש הצפה של מקרים שמצדיקים בירור וביקורת, אנחנו נעזרים בכל מיני גופים כמו הרשות להסדרה, וגם להם יש קושי". </w:t>
      </w:r>
      <w:r w:rsidRPr="00AA5065">
        <w:rPr>
          <w:rFonts w:ascii="David" w:eastAsia="Calibri" w:hAnsi="David" w:hint="cs"/>
          <w:rtl/>
        </w:rPr>
        <w:t>מדבריו עולה</w:t>
      </w:r>
      <w:r w:rsidRPr="00AA5065">
        <w:rPr>
          <w:rFonts w:ascii="David" w:eastAsia="Calibri" w:hAnsi="David"/>
          <w:rtl/>
        </w:rPr>
        <w:t xml:space="preserve"> כי יש קושי באימות מקום המגורים </w:t>
      </w:r>
      <w:r w:rsidRPr="00AA5065">
        <w:rPr>
          <w:rFonts w:ascii="David" w:eastAsia="Calibri" w:hAnsi="David" w:hint="cs"/>
          <w:rtl/>
        </w:rPr>
        <w:t xml:space="preserve">של תושבים </w:t>
      </w:r>
      <w:r w:rsidRPr="00AA5065">
        <w:rPr>
          <w:rFonts w:ascii="David" w:eastAsia="Calibri" w:hAnsi="David"/>
          <w:rtl/>
        </w:rPr>
        <w:t>במגזר הבדואי, ו</w:t>
      </w:r>
      <w:r w:rsidRPr="00AA5065">
        <w:rPr>
          <w:rFonts w:ascii="David" w:eastAsia="Calibri" w:hAnsi="David" w:hint="cs"/>
          <w:rtl/>
        </w:rPr>
        <w:t xml:space="preserve">במקרים מסוימים תושבים </w:t>
      </w:r>
      <w:r w:rsidRPr="00AA5065">
        <w:rPr>
          <w:rFonts w:ascii="David" w:eastAsia="Calibri" w:hAnsi="David"/>
          <w:rtl/>
        </w:rPr>
        <w:t xml:space="preserve">מקבלים הטבות מס אף שאינם </w:t>
      </w:r>
      <w:r w:rsidRPr="00AA5065">
        <w:rPr>
          <w:rFonts w:ascii="David" w:eastAsia="Calibri" w:hAnsi="David" w:hint="cs"/>
          <w:rtl/>
        </w:rPr>
        <w:t>עומדים בתנאי ה</w:t>
      </w:r>
      <w:r w:rsidRPr="00AA5065">
        <w:rPr>
          <w:rFonts w:ascii="David" w:eastAsia="Calibri" w:hAnsi="David"/>
          <w:rtl/>
        </w:rPr>
        <w:t>זכא</w:t>
      </w:r>
      <w:r w:rsidRPr="00AA5065">
        <w:rPr>
          <w:rFonts w:ascii="David" w:eastAsia="Calibri" w:hAnsi="David" w:hint="cs"/>
          <w:rtl/>
        </w:rPr>
        <w:t>ות</w:t>
      </w:r>
      <w:r w:rsidRPr="00AA5065">
        <w:rPr>
          <w:rFonts w:ascii="David" w:eastAsia="Calibri" w:hAnsi="David"/>
          <w:rtl/>
        </w:rPr>
        <w:t xml:space="preserve">, </w:t>
      </w:r>
      <w:r w:rsidRPr="00AA5065">
        <w:rPr>
          <w:rFonts w:ascii="David" w:eastAsia="Calibri" w:hAnsi="David" w:hint="cs"/>
          <w:rtl/>
        </w:rPr>
        <w:t xml:space="preserve">בין היתר עקב הנפקת אישורי מגורים על ידי </w:t>
      </w:r>
      <w:r w:rsidRPr="00AA5065">
        <w:rPr>
          <w:rFonts w:ascii="David" w:eastAsia="Calibri" w:hAnsi="David"/>
          <w:rtl/>
        </w:rPr>
        <w:t xml:space="preserve">המועצות הבדואיות גם </w:t>
      </w:r>
      <w:r w:rsidRPr="00AA5065">
        <w:rPr>
          <w:rFonts w:ascii="David" w:eastAsia="Calibri" w:hAnsi="David" w:hint="cs"/>
          <w:rtl/>
        </w:rPr>
        <w:t xml:space="preserve">עבור </w:t>
      </w:r>
      <w:r w:rsidRPr="00AA5065">
        <w:rPr>
          <w:rFonts w:ascii="David" w:eastAsia="Calibri" w:hAnsi="David"/>
          <w:rtl/>
        </w:rPr>
        <w:t xml:space="preserve">מי שאינו </w:t>
      </w:r>
      <w:r w:rsidRPr="00AA5065">
        <w:rPr>
          <w:rFonts w:ascii="David" w:eastAsia="Calibri" w:hAnsi="David" w:hint="cs"/>
          <w:rtl/>
        </w:rPr>
        <w:t>מת</w:t>
      </w:r>
      <w:r w:rsidRPr="00AA5065">
        <w:rPr>
          <w:rFonts w:ascii="David" w:eastAsia="Calibri" w:hAnsi="David"/>
          <w:rtl/>
        </w:rPr>
        <w:t>ג</w:t>
      </w:r>
      <w:r w:rsidRPr="00AA5065">
        <w:rPr>
          <w:rFonts w:ascii="David" w:eastAsia="Calibri" w:hAnsi="David" w:hint="cs"/>
          <w:rtl/>
        </w:rPr>
        <w:t>ור</w:t>
      </w:r>
      <w:r w:rsidRPr="00AA5065">
        <w:rPr>
          <w:rFonts w:ascii="David" w:eastAsia="Calibri" w:hAnsi="David"/>
          <w:rtl/>
        </w:rPr>
        <w:t xml:space="preserve">ר </w:t>
      </w:r>
      <w:r w:rsidRPr="00AA5065">
        <w:rPr>
          <w:rFonts w:ascii="David" w:eastAsia="Calibri" w:hAnsi="David" w:hint="cs"/>
          <w:rtl/>
        </w:rPr>
        <w:t xml:space="preserve">בפועל </w:t>
      </w:r>
      <w:r w:rsidRPr="00AA5065">
        <w:rPr>
          <w:rFonts w:ascii="David" w:eastAsia="Calibri" w:hAnsi="David"/>
          <w:rtl/>
        </w:rPr>
        <w:t>ב</w:t>
      </w:r>
      <w:r w:rsidRPr="00AA5065">
        <w:rPr>
          <w:rFonts w:ascii="David" w:eastAsia="Calibri" w:hAnsi="David" w:hint="cs"/>
          <w:rtl/>
        </w:rPr>
        <w:t>תחומן.</w:t>
      </w:r>
      <w:r w:rsidRPr="00AA5065">
        <w:rPr>
          <w:rFonts w:ascii="David" w:eastAsia="Calibri" w:hAnsi="David"/>
          <w:rtl/>
        </w:rPr>
        <w:t xml:space="preserve"> לדוגמ</w:t>
      </w:r>
      <w:r w:rsidRPr="00AA5065">
        <w:rPr>
          <w:rFonts w:ascii="David" w:eastAsia="Calibri" w:hAnsi="David" w:hint="cs"/>
          <w:rtl/>
        </w:rPr>
        <w:t>ה,</w:t>
      </w:r>
      <w:r w:rsidRPr="00AA5065">
        <w:rPr>
          <w:rFonts w:ascii="David" w:eastAsia="Calibri" w:hAnsi="David"/>
          <w:rtl/>
        </w:rPr>
        <w:t xml:space="preserve"> </w:t>
      </w:r>
      <w:r w:rsidRPr="00AA5065">
        <w:rPr>
          <w:rFonts w:ascii="David" w:eastAsia="Calibri" w:hAnsi="David" w:hint="cs"/>
          <w:rtl/>
        </w:rPr>
        <w:t xml:space="preserve">תושבים הגרים בפזורה הבדואית שאינה נחשבת "יישוב מזכה" - אינם זכאים להטבת מס, אך לעיתים מונפקים להם אישורים כאילו הם מתגוררים ביישוב מזכה ובכך מתקבלת זכאות שלא כדין.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לצורך בירור הזכאות להטבות מס על בסיס תושבות, רשות המיסים, בין היתר, מצליבה מידע אל מול נתוני רשות ההסדרה. בביקורת המעקב עלה כי קיים קושי בביצוע ההצלבות בשל התמשכות תהליכי ההסדרה והשפעתם על קבלת הזכאות לאישור התושבות, ומפני שהיא</w:t>
      </w:r>
      <w:r w:rsidRPr="00AA5065">
        <w:rPr>
          <w:rFonts w:ascii="David" w:eastAsia="Calibri" w:hAnsi="David"/>
          <w:rtl/>
        </w:rPr>
        <w:t xml:space="preserve"> </w:t>
      </w:r>
      <w:r w:rsidRPr="00AA5065">
        <w:rPr>
          <w:rFonts w:ascii="David" w:eastAsia="Calibri" w:hAnsi="David" w:hint="cs"/>
          <w:rtl/>
        </w:rPr>
        <w:t>"</w:t>
      </w:r>
      <w:r w:rsidRPr="00AA5065">
        <w:rPr>
          <w:rFonts w:ascii="David" w:eastAsia="Calibri" w:hAnsi="David"/>
          <w:rtl/>
        </w:rPr>
        <w:t>אינה מכירה יחידים, אלא שבטים. כתוצאה מכך רוב התשובות שמתקבלות מרשות ההסדרה מציינות כי הנישום זכאי. בשטח ישנם רכזים שמבצעים בדיקות נקודתיות בלבד, אשר מוביל לקושי משמעותי בבחינת אישורי תושב</w:t>
      </w:r>
      <w:r w:rsidRPr="00AA5065">
        <w:rPr>
          <w:rFonts w:ascii="David" w:eastAsia="Calibri" w:hAnsi="David" w:hint="cs"/>
          <w:rtl/>
        </w:rPr>
        <w:t>"</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cs"/>
          <w:b/>
          <w:bCs/>
          <w:rtl/>
        </w:rPr>
        <w:t xml:space="preserve">בביקורת הקודמת הועלה </w:t>
      </w:r>
      <w:r w:rsidRPr="00AA5065">
        <w:rPr>
          <w:rFonts w:ascii="David" w:eastAsia="Calibri" w:hAnsi="David" w:hint="eastAsia"/>
          <w:b/>
          <w:bCs/>
          <w:rtl/>
        </w:rPr>
        <w:t>בבדיקה</w:t>
      </w:r>
      <w:r w:rsidRPr="00AA5065">
        <w:rPr>
          <w:rFonts w:ascii="David" w:eastAsia="Calibri" w:hAnsi="David"/>
          <w:b/>
          <w:bCs/>
          <w:rtl/>
        </w:rPr>
        <w:t xml:space="preserve"> מדגמית כי הרשויות המקומיות </w:t>
      </w:r>
      <w:r w:rsidRPr="00AA5065">
        <w:rPr>
          <w:rFonts w:ascii="David" w:eastAsia="Calibri" w:hAnsi="David" w:hint="eastAsia"/>
          <w:b/>
          <w:bCs/>
          <w:rtl/>
        </w:rPr>
        <w:t>לקייה</w:t>
      </w:r>
      <w:r w:rsidRPr="00AA5065">
        <w:rPr>
          <w:rFonts w:ascii="David" w:eastAsia="Calibri" w:hAnsi="David"/>
          <w:b/>
          <w:bCs/>
          <w:rtl/>
        </w:rPr>
        <w:t xml:space="preserve"> וכס</w:t>
      </w:r>
      <w:r w:rsidRPr="00AA5065">
        <w:rPr>
          <w:rFonts w:ascii="David" w:eastAsia="Calibri" w:hAnsi="David" w:hint="eastAsia"/>
          <w:b/>
          <w:bCs/>
          <w:rtl/>
        </w:rPr>
        <w:t>יפה</w:t>
      </w:r>
      <w:r w:rsidRPr="00AA5065">
        <w:rPr>
          <w:rFonts w:ascii="David" w:eastAsia="Calibri" w:hAnsi="David"/>
          <w:b/>
          <w:bCs/>
          <w:rtl/>
        </w:rPr>
        <w:t xml:space="preserve"> </w:t>
      </w:r>
      <w:r w:rsidRPr="00AA5065">
        <w:rPr>
          <w:rFonts w:ascii="David" w:eastAsia="Calibri" w:hAnsi="David" w:hint="eastAsia"/>
          <w:b/>
          <w:bCs/>
          <w:rtl/>
        </w:rPr>
        <w:t>והמועצה</w:t>
      </w:r>
      <w:r w:rsidRPr="00AA5065">
        <w:rPr>
          <w:rFonts w:ascii="David" w:eastAsia="Calibri" w:hAnsi="David"/>
          <w:b/>
          <w:bCs/>
          <w:rtl/>
        </w:rPr>
        <w:t xml:space="preserve"> </w:t>
      </w:r>
      <w:r w:rsidRPr="00AA5065">
        <w:rPr>
          <w:rFonts w:ascii="David" w:eastAsia="Calibri" w:hAnsi="David" w:hint="eastAsia"/>
          <w:b/>
          <w:bCs/>
          <w:rtl/>
        </w:rPr>
        <w:t>האזורית</w:t>
      </w:r>
      <w:r w:rsidRPr="00AA5065">
        <w:rPr>
          <w:rFonts w:ascii="David" w:eastAsia="Calibri" w:hAnsi="David"/>
          <w:b/>
          <w:bCs/>
          <w:rtl/>
        </w:rPr>
        <w:t xml:space="preserve"> </w:t>
      </w:r>
      <w:r w:rsidRPr="00AA5065">
        <w:rPr>
          <w:rFonts w:ascii="David" w:eastAsia="Calibri" w:hAnsi="David" w:hint="eastAsia"/>
          <w:b/>
          <w:bCs/>
          <w:rtl/>
        </w:rPr>
        <w:t>אל</w:t>
      </w:r>
      <w:r w:rsidRPr="00AA5065">
        <w:rPr>
          <w:rFonts w:ascii="David" w:eastAsia="Calibri" w:hAnsi="David"/>
          <w:b/>
          <w:bCs/>
          <w:rtl/>
        </w:rPr>
        <w:t>-קסום</w:t>
      </w:r>
      <w:r w:rsidRPr="00AA5065">
        <w:rPr>
          <w:rFonts w:ascii="David" w:eastAsia="Calibri" w:hAnsi="David" w:hint="cs"/>
          <w:rtl/>
        </w:rPr>
        <w:t xml:space="preserve"> </w:t>
      </w:r>
      <w:r w:rsidRPr="00AA5065">
        <w:rPr>
          <w:rFonts w:ascii="David" w:eastAsia="Calibri" w:hAnsi="David" w:hint="cs"/>
          <w:b/>
          <w:bCs/>
          <w:rtl/>
        </w:rPr>
        <w:t xml:space="preserve">מנפיקות </w:t>
      </w:r>
      <w:r w:rsidRPr="00AA5065">
        <w:rPr>
          <w:rFonts w:ascii="David" w:eastAsia="Calibri" w:hAnsi="David"/>
          <w:b/>
          <w:bCs/>
          <w:rtl/>
        </w:rPr>
        <w:t>אישור</w:t>
      </w:r>
      <w:r w:rsidRPr="00AA5065">
        <w:rPr>
          <w:rFonts w:ascii="David" w:eastAsia="Calibri" w:hAnsi="David" w:hint="cs"/>
          <w:b/>
          <w:bCs/>
          <w:rtl/>
        </w:rPr>
        <w:t>י</w:t>
      </w:r>
      <w:r w:rsidRPr="00AA5065">
        <w:rPr>
          <w:rFonts w:ascii="David" w:eastAsia="Calibri" w:hAnsi="David"/>
          <w:b/>
          <w:bCs/>
          <w:rtl/>
        </w:rPr>
        <w:t xml:space="preserve"> תושבות </w:t>
      </w:r>
      <w:r w:rsidRPr="00AA5065">
        <w:rPr>
          <w:rFonts w:ascii="David" w:eastAsia="Calibri" w:hAnsi="David" w:hint="cs"/>
          <w:b/>
          <w:bCs/>
          <w:rtl/>
        </w:rPr>
        <w:t>ש</w:t>
      </w:r>
      <w:r w:rsidRPr="00AA5065">
        <w:rPr>
          <w:rFonts w:ascii="David" w:eastAsia="Calibri" w:hAnsi="David"/>
          <w:b/>
          <w:bCs/>
          <w:rtl/>
        </w:rPr>
        <w:t>אינ</w:t>
      </w:r>
      <w:r w:rsidRPr="00AA5065">
        <w:rPr>
          <w:rFonts w:ascii="David" w:eastAsia="Calibri" w:hAnsi="David" w:hint="cs"/>
          <w:b/>
          <w:bCs/>
          <w:rtl/>
        </w:rPr>
        <w:t>ם</w:t>
      </w:r>
      <w:r w:rsidRPr="00AA5065">
        <w:rPr>
          <w:rFonts w:ascii="David" w:eastAsia="Calibri" w:hAnsi="David"/>
          <w:b/>
          <w:bCs/>
          <w:rtl/>
        </w:rPr>
        <w:t xml:space="preserve"> תוא</w:t>
      </w:r>
      <w:r w:rsidRPr="00AA5065">
        <w:rPr>
          <w:rFonts w:ascii="David" w:eastAsia="Calibri" w:hAnsi="David" w:hint="cs"/>
          <w:b/>
          <w:bCs/>
          <w:rtl/>
        </w:rPr>
        <w:t>מות</w:t>
      </w:r>
      <w:r w:rsidRPr="00AA5065">
        <w:rPr>
          <w:rFonts w:ascii="David" w:eastAsia="Calibri" w:hAnsi="David"/>
          <w:b/>
          <w:bCs/>
          <w:rtl/>
        </w:rPr>
        <w:t xml:space="preserve"> לתושבות של הנישום</w:t>
      </w:r>
      <w:r w:rsidRPr="00AA5065">
        <w:rPr>
          <w:rFonts w:ascii="David" w:eastAsia="Calibri" w:hAnsi="David" w:hint="cs"/>
          <w:b/>
          <w:bCs/>
          <w:rtl/>
        </w:rPr>
        <w:t xml:space="preserve"> ו</w:t>
      </w:r>
      <w:r w:rsidRPr="00AA5065">
        <w:rPr>
          <w:rFonts w:ascii="David" w:eastAsia="Calibri" w:hAnsi="David"/>
          <w:b/>
          <w:bCs/>
          <w:rtl/>
        </w:rPr>
        <w:t xml:space="preserve">ללא בירור מעמיק, דבר </w:t>
      </w:r>
      <w:r w:rsidRPr="00AA5065">
        <w:rPr>
          <w:rFonts w:ascii="David" w:eastAsia="Calibri" w:hAnsi="David" w:hint="cs"/>
          <w:b/>
          <w:bCs/>
          <w:rtl/>
        </w:rPr>
        <w:t>המו</w:t>
      </w:r>
      <w:r w:rsidRPr="00AA5065">
        <w:rPr>
          <w:rFonts w:ascii="David" w:eastAsia="Calibri" w:hAnsi="David"/>
          <w:b/>
          <w:bCs/>
          <w:rtl/>
        </w:rPr>
        <w:t>ביל לנזק כלכלי לקופת המדינה</w:t>
      </w:r>
      <w:r w:rsidRPr="00AA5065">
        <w:rPr>
          <w:rFonts w:ascii="David" w:eastAsia="Calibri" w:hAnsi="David" w:hint="cs"/>
          <w:b/>
          <w:bCs/>
          <w:rtl/>
        </w:rPr>
        <w:t xml:space="preserve">. בביקורת המעקב עלה כי </w:t>
      </w:r>
      <w:r w:rsidRPr="00AA5065">
        <w:rPr>
          <w:rFonts w:ascii="David" w:eastAsia="Calibri" w:hAnsi="David"/>
          <w:b/>
          <w:bCs/>
          <w:rtl/>
        </w:rPr>
        <w:t>הליקוי תוקן במידה מועטה</w:t>
      </w:r>
      <w:r w:rsidRPr="00AA5065">
        <w:rPr>
          <w:rFonts w:ascii="David" w:eastAsia="Calibri" w:hAnsi="David" w:hint="cs"/>
          <w:b/>
          <w:bCs/>
          <w:rtl/>
        </w:rPr>
        <w:t>;</w:t>
      </w:r>
      <w:r w:rsidRPr="00AA5065">
        <w:rPr>
          <w:rFonts w:ascii="David" w:eastAsia="Calibri" w:hAnsi="David"/>
          <w:b/>
          <w:bCs/>
          <w:rtl/>
        </w:rPr>
        <w:t xml:space="preserve"> </w:t>
      </w:r>
      <w:r w:rsidRPr="00AA5065">
        <w:rPr>
          <w:rFonts w:ascii="David" w:eastAsia="Calibri" w:hAnsi="David" w:hint="cs"/>
          <w:b/>
          <w:bCs/>
          <w:rtl/>
        </w:rPr>
        <w:t>אף</w:t>
      </w:r>
      <w:r w:rsidRPr="00AA5065">
        <w:rPr>
          <w:rFonts w:ascii="David" w:eastAsia="Calibri" w:hAnsi="David"/>
          <w:b/>
          <w:bCs/>
          <w:rtl/>
        </w:rPr>
        <w:t xml:space="preserve"> </w:t>
      </w:r>
      <w:r w:rsidRPr="00AA5065">
        <w:rPr>
          <w:rFonts w:ascii="David" w:eastAsia="Calibri" w:hAnsi="David" w:hint="cs"/>
          <w:b/>
          <w:bCs/>
          <w:rtl/>
        </w:rPr>
        <w:t xml:space="preserve">שרשות המיסים משקיעה </w:t>
      </w:r>
      <w:r w:rsidRPr="00AA5065">
        <w:rPr>
          <w:rFonts w:ascii="David" w:eastAsia="Calibri" w:hAnsi="David"/>
          <w:b/>
          <w:bCs/>
          <w:rtl/>
        </w:rPr>
        <w:t>מאמצים בחידוד ההנחיות ובשיפור הקשר עם הרשויות במגזר הבדואי</w:t>
      </w:r>
      <w:r w:rsidRPr="00AA5065">
        <w:rPr>
          <w:rFonts w:ascii="David" w:eastAsia="Calibri" w:hAnsi="David" w:hint="cs"/>
          <w:b/>
          <w:bCs/>
          <w:rtl/>
        </w:rPr>
        <w:t xml:space="preserve"> וכן בפעולות הצלבה מול רשות ההסדרה, עדיין קיימים מקרים רבים שבהם מתקבלות הטבות מס בגין תושבות למי שאינו זכאי להן על בסיס אישורי תושבות המונפקים שלא כדין. </w:t>
      </w:r>
    </w:p>
    <w:p w:rsidR="00AA5065" w:rsidRPr="00AA5065" w:rsidP="00860D89">
      <w:pPr>
        <w:keepNext/>
        <w:keepLines/>
        <w:spacing w:line="269" w:lineRule="auto"/>
        <w:jc w:val="center"/>
        <w:rPr>
          <w:rFonts w:ascii="David" w:eastAsia="Calibri" w:hAnsi="David"/>
          <w:b/>
          <w:bCs/>
          <w:rtl/>
        </w:rPr>
      </w:pPr>
      <w:r w:rsidRPr="00AA5065">
        <w:rPr>
          <w:rFonts w:ascii="David" w:eastAsia="Calibri" w:hAnsi="David"/>
          <w:b/>
          <w:bCs/>
          <w:rtl/>
        </w:rPr>
        <w:t>מידת תיקון הליקוי</w:t>
      </w:r>
    </w:p>
    <w:p w:rsidR="00AA5065" w:rsidRPr="00AA5065" w:rsidP="00860D89">
      <w:pPr>
        <w:spacing w:line="269" w:lineRule="auto"/>
        <w:jc w:val="center"/>
        <w:rPr>
          <w:rFonts w:ascii="David" w:eastAsia="Tw Cen MT" w:hAnsi="David"/>
          <w:rtl/>
        </w:rPr>
      </w:pPr>
      <w:r w:rsidRPr="00AA5065">
        <w:rPr>
          <w:rFonts w:ascii="David" w:eastAsia="Tw Cen MT" w:hAnsi="David"/>
          <w:noProof/>
        </w:rPr>
        <w:drawing>
          <wp:inline distT="0" distB="0" distL="0" distR="0">
            <wp:extent cx="3960000" cy="794146"/>
            <wp:effectExtent l="0" t="0" r="2540" b="0"/>
            <wp:docPr id="344773197" name="תמונה 34477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73197" name="תמונה 115"/>
                    <pic:cNvPicPr>
                      <a:picLocks noChangeAspect="1" noChangeArrowheads="1"/>
                    </pic:cNvPicPr>
                  </pic:nvPicPr>
                  <pic:blipFill>
                    <a:blip xmlns:r="http://schemas.openxmlformats.org/officeDocument/2006/relationships" r:embed="rId12">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0000" cy="794146"/>
                    </a:xfrm>
                    <a:prstGeom prst="rect">
                      <a:avLst/>
                    </a:prstGeom>
                    <a:noFill/>
                    <a:ln>
                      <a:noFill/>
                    </a:ln>
                  </pic:spPr>
                </pic:pic>
              </a:graphicData>
            </a:graphic>
          </wp:inline>
        </w:drawing>
      </w:r>
    </w:p>
    <w:p w:rsidR="00AA5065" w:rsidRPr="00AA5065" w:rsidP="00860D89">
      <w:pPr>
        <w:spacing w:line="269" w:lineRule="auto"/>
        <w:ind w:left="-567"/>
        <w:rPr>
          <w:rFonts w:eastAsia="Calibri"/>
          <w:szCs w:val="20"/>
          <w:rtl/>
        </w:rPr>
      </w:pPr>
    </w:p>
    <w:p w:rsidR="00AA5065" w:rsidRPr="00AA5065" w:rsidP="004E6B4D">
      <w:pPr>
        <w:spacing w:before="120" w:line="269" w:lineRule="auto"/>
        <w:rPr>
          <w:rFonts w:ascii="David" w:eastAsia="Calibri" w:hAnsi="David"/>
          <w:b/>
          <w:bCs/>
          <w:rtl/>
        </w:rPr>
      </w:pPr>
      <w:r w:rsidRPr="00AA5065">
        <w:rPr>
          <w:rFonts w:ascii="David" w:eastAsia="Calibri" w:hAnsi="David" w:hint="cs"/>
          <w:b/>
          <w:bCs/>
          <w:rtl/>
        </w:rPr>
        <w:t xml:space="preserve">על רשות המיסים </w:t>
      </w:r>
      <w:r w:rsidRPr="00AA5065">
        <w:rPr>
          <w:rFonts w:ascii="David" w:eastAsia="Calibri" w:hAnsi="David"/>
          <w:b/>
          <w:bCs/>
          <w:rtl/>
        </w:rPr>
        <w:t>להגביר את הפעילות לבדיקת</w:t>
      </w:r>
      <w:r w:rsidRPr="00AA5065">
        <w:rPr>
          <w:rFonts w:ascii="David" w:eastAsia="Calibri" w:hAnsi="David" w:hint="cs"/>
          <w:b/>
          <w:bCs/>
          <w:rtl/>
        </w:rPr>
        <w:t xml:space="preserve"> </w:t>
      </w:r>
      <w:r w:rsidRPr="00AA5065">
        <w:rPr>
          <w:rFonts w:ascii="David" w:eastAsia="Calibri" w:hAnsi="David"/>
          <w:b/>
          <w:bCs/>
          <w:rtl/>
        </w:rPr>
        <w:t>‏</w:t>
      </w:r>
      <w:r w:rsidRPr="00AA5065">
        <w:rPr>
          <w:rFonts w:ascii="David" w:eastAsia="Calibri" w:hAnsi="David" w:hint="cs"/>
          <w:b/>
          <w:bCs/>
          <w:rtl/>
        </w:rPr>
        <w:t xml:space="preserve">תושבות כדי לוודא את זכאות התושבים לקבלת הטבות מס, תוך הגברת שיתוף הפעולה עם רשות </w:t>
      </w:r>
      <w:r w:rsidRPr="00AA5065">
        <w:rPr>
          <w:rFonts w:ascii="David" w:eastAsia="Calibri" w:hAnsi="David"/>
          <w:b/>
          <w:bCs/>
          <w:rtl/>
        </w:rPr>
        <w:t>ההסדרה, רשות האוכלוסין</w:t>
      </w:r>
      <w:r w:rsidRPr="00AA5065">
        <w:rPr>
          <w:rFonts w:ascii="David" w:eastAsia="Calibri" w:hAnsi="David" w:hint="cs"/>
          <w:b/>
          <w:bCs/>
          <w:rtl/>
        </w:rPr>
        <w:t xml:space="preserve"> ו</w:t>
      </w:r>
      <w:r w:rsidRPr="00AA5065">
        <w:rPr>
          <w:rFonts w:ascii="David" w:eastAsia="Calibri" w:hAnsi="David"/>
          <w:b/>
          <w:bCs/>
          <w:rtl/>
        </w:rPr>
        <w:t xml:space="preserve">רשויות </w:t>
      </w:r>
      <w:r w:rsidRPr="00AA5065">
        <w:rPr>
          <w:rFonts w:ascii="David" w:eastAsia="Calibri" w:hAnsi="David" w:hint="cs"/>
          <w:b/>
          <w:bCs/>
          <w:rtl/>
        </w:rPr>
        <w:t xml:space="preserve">מקומיות </w:t>
      </w:r>
      <w:r w:rsidRPr="00AA5065">
        <w:rPr>
          <w:rFonts w:ascii="David" w:eastAsia="Calibri" w:hAnsi="David"/>
          <w:b/>
          <w:bCs/>
          <w:rtl/>
        </w:rPr>
        <w:t>‏</w:t>
      </w:r>
      <w:r w:rsidRPr="00AA5065">
        <w:rPr>
          <w:rFonts w:ascii="David" w:eastAsia="Calibri" w:hAnsi="David" w:hint="eastAsia"/>
          <w:b/>
          <w:bCs/>
          <w:rtl/>
        </w:rPr>
        <w:t>לצורך</w:t>
      </w:r>
      <w:r w:rsidRPr="00AA5065">
        <w:rPr>
          <w:rFonts w:ascii="David" w:eastAsia="Calibri" w:hAnsi="David"/>
          <w:b/>
          <w:bCs/>
          <w:rtl/>
        </w:rPr>
        <w:t xml:space="preserve"> בדיקה זו.</w:t>
      </w:r>
    </w:p>
    <w:p w:rsidR="00AA5065" w:rsidRPr="00AA5065" w:rsidP="00860D89">
      <w:pPr>
        <w:spacing w:line="269" w:lineRule="auto"/>
        <w:rPr>
          <w:rFonts w:eastAsia="Calibri"/>
          <w:rtl/>
        </w:rPr>
      </w:pPr>
    </w:p>
    <w:p w:rsidR="00AA5065" w:rsidRPr="00AA5065" w:rsidP="00860D89">
      <w:pPr>
        <w:keepNext/>
        <w:keepLines/>
        <w:spacing w:line="269" w:lineRule="auto"/>
        <w:outlineLvl w:val="3"/>
        <w:rPr>
          <w:rFonts w:eastAsia="Times New Roman"/>
          <w:bCs/>
          <w:szCs w:val="26"/>
          <w:rtl/>
        </w:rPr>
      </w:pPr>
      <w:r w:rsidRPr="00AA5065">
        <w:rPr>
          <w:rFonts w:eastAsia="Times New Roman" w:hint="cs"/>
          <w:bCs/>
          <w:szCs w:val="26"/>
          <w:rtl/>
        </w:rPr>
        <w:t>הטיפול בעבירות מע"ם באזור הנגב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 xml:space="preserve">על פי הוראות </w:t>
      </w:r>
      <w:r w:rsidRPr="00AA5065">
        <w:rPr>
          <w:rFonts w:eastAsia="Calibri" w:hint="cs"/>
          <w:rtl/>
        </w:rPr>
        <w:t>רשות המיסים,</w:t>
      </w:r>
      <w:r w:rsidRPr="00AA5065">
        <w:rPr>
          <w:rFonts w:eastAsia="Calibri"/>
          <w:rtl/>
        </w:rPr>
        <w:t xml:space="preserve"> המעוגנות </w:t>
      </w:r>
      <w:r w:rsidRPr="00AA5065">
        <w:rPr>
          <w:rFonts w:eastAsia="Calibri" w:hint="cs"/>
          <w:rtl/>
        </w:rPr>
        <w:t xml:space="preserve">בין היתר </w:t>
      </w:r>
      <w:r w:rsidRPr="00AA5065">
        <w:rPr>
          <w:rFonts w:eastAsia="Calibri"/>
          <w:rtl/>
        </w:rPr>
        <w:t>בתדריכי אגף המכס והמע"ם</w:t>
      </w:r>
      <w:r w:rsidRPr="00AA5065">
        <w:rPr>
          <w:rFonts w:eastAsia="Calibri" w:hint="cs"/>
          <w:rtl/>
        </w:rPr>
        <w:t xml:space="preserve">, </w:t>
      </w:r>
      <w:r w:rsidRPr="00AA5065">
        <w:rPr>
          <w:rFonts w:eastAsia="Calibri"/>
          <w:rtl/>
        </w:rPr>
        <w:t>כאשר עוסק עובר על הוראות החוק</w:t>
      </w:r>
      <w:r w:rsidRPr="00AA5065">
        <w:rPr>
          <w:rFonts w:eastAsia="Calibri" w:hint="cs"/>
          <w:rtl/>
        </w:rPr>
        <w:t xml:space="preserve"> </w:t>
      </w:r>
      <w:r w:rsidRPr="00AA5065">
        <w:rPr>
          <w:rFonts w:eastAsia="Calibri"/>
          <w:rtl/>
        </w:rPr>
        <w:t>או נחשד בע</w:t>
      </w:r>
      <w:r w:rsidRPr="00AA5065">
        <w:rPr>
          <w:rFonts w:eastAsia="Calibri" w:hint="cs"/>
          <w:rtl/>
        </w:rPr>
        <w:t>בי</w:t>
      </w:r>
      <w:r w:rsidRPr="00AA5065">
        <w:rPr>
          <w:rFonts w:eastAsia="Calibri"/>
          <w:rtl/>
        </w:rPr>
        <w:t xml:space="preserve">רה, עובד </w:t>
      </w:r>
      <w:r w:rsidRPr="00AA5065">
        <w:rPr>
          <w:rFonts w:eastAsia="Calibri" w:hint="cs"/>
          <w:rtl/>
        </w:rPr>
        <w:t>משרד</w:t>
      </w:r>
      <w:r w:rsidRPr="00AA5065">
        <w:rPr>
          <w:rFonts w:eastAsia="Calibri"/>
          <w:rtl/>
        </w:rPr>
        <w:t xml:space="preserve"> מע"ם י</w:t>
      </w:r>
      <w:r w:rsidRPr="00AA5065">
        <w:rPr>
          <w:rFonts w:eastAsia="Calibri" w:hint="cs"/>
          <w:rtl/>
        </w:rPr>
        <w:t>מלא</w:t>
      </w:r>
      <w:r w:rsidRPr="00AA5065">
        <w:rPr>
          <w:rFonts w:eastAsia="Calibri"/>
          <w:rtl/>
        </w:rPr>
        <w:t xml:space="preserve"> </w:t>
      </w:r>
      <w:r w:rsidRPr="00AA5065">
        <w:rPr>
          <w:rFonts w:eastAsia="Calibri" w:hint="cs"/>
          <w:rtl/>
        </w:rPr>
        <w:t xml:space="preserve">לגביו </w:t>
      </w:r>
      <w:r w:rsidRPr="00AA5065">
        <w:rPr>
          <w:rFonts w:eastAsia="Calibri"/>
          <w:rtl/>
        </w:rPr>
        <w:t xml:space="preserve">דוח גילוי </w:t>
      </w:r>
      <w:r w:rsidRPr="00AA5065">
        <w:rPr>
          <w:rFonts w:eastAsia="Calibri" w:hint="cs"/>
          <w:rtl/>
        </w:rPr>
        <w:t>עבירה</w:t>
      </w:r>
      <w:r w:rsidRPr="00AA5065">
        <w:rPr>
          <w:rFonts w:eastAsia="Calibri"/>
          <w:rtl/>
        </w:rPr>
        <w:t xml:space="preserve"> (להלן - דג"</w:t>
      </w:r>
      <w:r w:rsidRPr="00AA5065">
        <w:rPr>
          <w:rFonts w:eastAsia="Calibri" w:hint="cs"/>
          <w:rtl/>
        </w:rPr>
        <w:t>ע</w:t>
      </w:r>
      <w:r w:rsidRPr="00AA5065">
        <w:rPr>
          <w:rFonts w:eastAsia="Calibri"/>
          <w:rtl/>
        </w:rPr>
        <w:t>) במערכת הממוחשבת.</w:t>
      </w:r>
      <w:r w:rsidRPr="00AA5065">
        <w:rPr>
          <w:rFonts w:eastAsia="Calibri" w:hint="cs"/>
          <w:rtl/>
        </w:rPr>
        <w:t xml:space="preserve"> קיימים</w:t>
      </w:r>
      <w:r w:rsidRPr="00AA5065">
        <w:rPr>
          <w:rFonts w:eastAsia="Calibri"/>
          <w:rtl/>
        </w:rPr>
        <w:t xml:space="preserve"> שני מסלולים להמשך הטיפול</w:t>
      </w:r>
      <w:r w:rsidRPr="00AA5065">
        <w:rPr>
          <w:rFonts w:eastAsia="Calibri" w:hint="cs"/>
          <w:rtl/>
        </w:rPr>
        <w:t>:</w:t>
      </w:r>
      <w:r w:rsidRPr="00AA5065">
        <w:rPr>
          <w:rFonts w:eastAsia="Calibri"/>
          <w:rtl/>
        </w:rPr>
        <w:t xml:space="preserve"> האחד הוא הגשת כתב אישום או הטלת כופר; </w:t>
      </w:r>
      <w:r w:rsidRPr="00AA5065">
        <w:rPr>
          <w:rFonts w:eastAsia="Calibri" w:hint="cs"/>
          <w:rtl/>
        </w:rPr>
        <w:t>ו</w:t>
      </w:r>
      <w:r w:rsidRPr="00AA5065">
        <w:rPr>
          <w:rFonts w:eastAsia="Calibri"/>
          <w:rtl/>
        </w:rPr>
        <w:t>השני הוא מסלול מינהלי</w:t>
      </w:r>
      <w:r w:rsidRPr="00AA5065">
        <w:rPr>
          <w:rFonts w:eastAsia="Calibri" w:hint="cs"/>
          <w:rtl/>
        </w:rPr>
        <w:t>,</w:t>
      </w:r>
      <w:r w:rsidRPr="00AA5065">
        <w:rPr>
          <w:rFonts w:eastAsia="Calibri"/>
          <w:rtl/>
        </w:rPr>
        <w:t xml:space="preserve"> כגון אזהר</w:t>
      </w:r>
      <w:r w:rsidRPr="00AA5065">
        <w:rPr>
          <w:rFonts w:eastAsia="Calibri" w:hint="cs"/>
          <w:rtl/>
        </w:rPr>
        <w:t>ת</w:t>
      </w:r>
      <w:r w:rsidRPr="00AA5065">
        <w:rPr>
          <w:rFonts w:eastAsia="Calibri"/>
          <w:rtl/>
        </w:rPr>
        <w:t xml:space="preserve"> </w:t>
      </w:r>
      <w:r w:rsidRPr="00AA5065">
        <w:rPr>
          <w:rFonts w:eastAsia="Calibri" w:hint="cs"/>
          <w:rtl/>
        </w:rPr>
        <w:t>החשוד ו</w:t>
      </w:r>
      <w:r w:rsidRPr="00AA5065">
        <w:rPr>
          <w:rFonts w:eastAsia="Calibri"/>
          <w:rtl/>
        </w:rPr>
        <w:t xml:space="preserve">התחייבות </w:t>
      </w:r>
      <w:r w:rsidRPr="00AA5065">
        <w:rPr>
          <w:rFonts w:eastAsia="Calibri" w:hint="cs"/>
          <w:rtl/>
        </w:rPr>
        <w:t xml:space="preserve">שלו </w:t>
      </w:r>
      <w:r w:rsidRPr="00AA5065">
        <w:rPr>
          <w:rFonts w:eastAsia="Calibri"/>
          <w:rtl/>
        </w:rPr>
        <w:t>להימנע מעב</w:t>
      </w:r>
      <w:r w:rsidRPr="00AA5065">
        <w:rPr>
          <w:rFonts w:eastAsia="Calibri" w:hint="cs"/>
          <w:rtl/>
        </w:rPr>
        <w:t>י</w:t>
      </w:r>
      <w:r w:rsidRPr="00AA5065">
        <w:rPr>
          <w:rFonts w:eastAsia="Calibri"/>
          <w:rtl/>
        </w:rPr>
        <w:t>רה למשך תקופה מסוימת</w:t>
      </w:r>
      <w:r w:rsidRPr="00AA5065">
        <w:rPr>
          <w:rFonts w:eastAsia="Calibri" w:hint="cs"/>
          <w:rtl/>
        </w:rPr>
        <w:t>,</w:t>
      </w:r>
      <w:r w:rsidRPr="00AA5065">
        <w:rPr>
          <w:rFonts w:eastAsia="Calibri"/>
          <w:rtl/>
        </w:rPr>
        <w:t xml:space="preserve"> </w:t>
      </w:r>
      <w:r w:rsidRPr="00AA5065">
        <w:rPr>
          <w:rFonts w:eastAsia="Calibri" w:hint="cs"/>
          <w:rtl/>
        </w:rPr>
        <w:t>בליווי</w:t>
      </w:r>
      <w:r w:rsidRPr="00AA5065">
        <w:rPr>
          <w:rFonts w:eastAsia="Calibri"/>
          <w:rtl/>
        </w:rPr>
        <w:t xml:space="preserve"> ערובה להבטחת העמידה בהתחייבות. </w:t>
      </w:r>
    </w:p>
    <w:p w:rsidR="00AA5065" w:rsidRPr="00AA5065" w:rsidP="00860D89">
      <w:pPr>
        <w:spacing w:line="269" w:lineRule="auto"/>
        <w:ind w:left="-567"/>
        <w:rPr>
          <w:rFonts w:eastAsia="Calibri"/>
          <w:szCs w:val="20"/>
          <w:rtl/>
        </w:rPr>
      </w:pPr>
    </w:p>
    <w:p w:rsidR="00AA5065" w:rsidRPr="00AA5065" w:rsidP="00860D89">
      <w:pPr>
        <w:tabs>
          <w:tab w:val="left" w:pos="444"/>
        </w:tabs>
        <w:spacing w:line="269" w:lineRule="auto"/>
        <w:rPr>
          <w:rFonts w:eastAsia="Calibri"/>
          <w:b/>
          <w:bCs/>
          <w:rtl/>
        </w:rPr>
      </w:pPr>
      <w:r w:rsidRPr="00AA5065">
        <w:rPr>
          <w:rFonts w:eastAsia="Calibri"/>
          <w:rtl/>
        </w:rPr>
        <w:t xml:space="preserve">כל </w:t>
      </w:r>
      <w:r w:rsidRPr="00AA5065">
        <w:rPr>
          <w:rFonts w:eastAsia="Calibri" w:hint="cs"/>
          <w:rtl/>
        </w:rPr>
        <w:t>דג"ע</w:t>
      </w:r>
      <w:r w:rsidRPr="00AA5065">
        <w:rPr>
          <w:rFonts w:eastAsia="Calibri"/>
          <w:rtl/>
        </w:rPr>
        <w:t xml:space="preserve"> </w:t>
      </w:r>
      <w:r w:rsidRPr="00AA5065">
        <w:rPr>
          <w:rFonts w:eastAsia="Calibri" w:hint="cs"/>
          <w:rtl/>
        </w:rPr>
        <w:t>מובא</w:t>
      </w:r>
      <w:r w:rsidRPr="00AA5065">
        <w:rPr>
          <w:rFonts w:eastAsia="Calibri"/>
          <w:rtl/>
        </w:rPr>
        <w:t xml:space="preserve"> לדיון בוועדה בראשות מנהל </w:t>
      </w:r>
      <w:r w:rsidRPr="00AA5065">
        <w:rPr>
          <w:rFonts w:eastAsia="Calibri" w:hint="cs"/>
          <w:rtl/>
        </w:rPr>
        <w:t>משרד</w:t>
      </w:r>
      <w:r w:rsidRPr="00AA5065">
        <w:rPr>
          <w:rFonts w:eastAsia="Calibri"/>
          <w:rtl/>
        </w:rPr>
        <w:t xml:space="preserve"> המע"ם </w:t>
      </w:r>
      <w:r w:rsidRPr="00AA5065">
        <w:rPr>
          <w:rFonts w:eastAsia="Calibri" w:hint="cs"/>
          <w:rtl/>
        </w:rPr>
        <w:t>בתוך פרק זמן ש</w:t>
      </w:r>
      <w:r w:rsidRPr="00AA5065">
        <w:rPr>
          <w:rFonts w:eastAsia="Calibri"/>
          <w:rtl/>
        </w:rPr>
        <w:t xml:space="preserve">לא </w:t>
      </w:r>
      <w:r w:rsidRPr="00AA5065">
        <w:rPr>
          <w:rFonts w:eastAsia="Calibri" w:hint="cs"/>
          <w:rtl/>
        </w:rPr>
        <w:t>יעלה</w:t>
      </w:r>
      <w:r w:rsidRPr="00AA5065">
        <w:rPr>
          <w:rFonts w:eastAsia="Calibri"/>
          <w:rtl/>
        </w:rPr>
        <w:t xml:space="preserve"> </w:t>
      </w:r>
      <w:r w:rsidRPr="00AA5065">
        <w:rPr>
          <w:rFonts w:eastAsia="Calibri" w:hint="cs"/>
          <w:rtl/>
        </w:rPr>
        <w:t xml:space="preserve">על </w:t>
      </w:r>
      <w:r w:rsidRPr="00AA5065">
        <w:rPr>
          <w:rFonts w:eastAsia="Calibri"/>
          <w:rtl/>
        </w:rPr>
        <w:t>חודשיים מיום הוצאת השומה</w:t>
      </w:r>
      <w:r w:rsidRPr="00AA5065">
        <w:rPr>
          <w:rFonts w:eastAsia="Calibri" w:hint="cs"/>
          <w:rtl/>
        </w:rPr>
        <w:t xml:space="preserve"> במישור האזרחי</w:t>
      </w:r>
      <w:r w:rsidRPr="00AA5065">
        <w:rPr>
          <w:rFonts w:eastAsia="Calibri"/>
          <w:rtl/>
        </w:rPr>
        <w:t xml:space="preserve"> ל</w:t>
      </w:r>
      <w:r w:rsidRPr="00AA5065">
        <w:rPr>
          <w:rFonts w:eastAsia="Calibri" w:hint="cs"/>
          <w:rtl/>
        </w:rPr>
        <w:t>צורך</w:t>
      </w:r>
      <w:r w:rsidRPr="00AA5065">
        <w:rPr>
          <w:rFonts w:eastAsia="Calibri"/>
          <w:rtl/>
        </w:rPr>
        <w:t xml:space="preserve"> קביעת עמדה בנוגע להמשך הטיפול. במקרים ש</w:t>
      </w:r>
      <w:r w:rsidRPr="00AA5065">
        <w:rPr>
          <w:rFonts w:eastAsia="Calibri" w:hint="cs"/>
          <w:rtl/>
        </w:rPr>
        <w:t xml:space="preserve">בהם </w:t>
      </w:r>
      <w:r w:rsidRPr="00AA5065">
        <w:rPr>
          <w:rFonts w:eastAsia="Calibri"/>
          <w:rtl/>
        </w:rPr>
        <w:t>הוועדה המקומית</w:t>
      </w:r>
      <w:r w:rsidRPr="00AA5065">
        <w:rPr>
          <w:rFonts w:eastAsia="Calibri" w:hint="cs"/>
          <w:rtl/>
        </w:rPr>
        <w:t xml:space="preserve"> ברשות המיסים</w:t>
      </w:r>
      <w:r w:rsidRPr="00AA5065">
        <w:rPr>
          <w:rFonts w:eastAsia="Calibri"/>
          <w:rtl/>
        </w:rPr>
        <w:t xml:space="preserve"> </w:t>
      </w:r>
      <w:r w:rsidRPr="00AA5065">
        <w:rPr>
          <w:rFonts w:eastAsia="Calibri" w:hint="cs"/>
          <w:rtl/>
        </w:rPr>
        <w:t>מ</w:t>
      </w:r>
      <w:r w:rsidRPr="00AA5065">
        <w:rPr>
          <w:rFonts w:eastAsia="Calibri"/>
          <w:rtl/>
        </w:rPr>
        <w:t xml:space="preserve">מליצה </w:t>
      </w:r>
      <w:r w:rsidRPr="00AA5065">
        <w:rPr>
          <w:rFonts w:eastAsia="Calibri" w:hint="cs"/>
          <w:rtl/>
        </w:rPr>
        <w:t>להגיש</w:t>
      </w:r>
      <w:r w:rsidRPr="00AA5065">
        <w:rPr>
          <w:rFonts w:eastAsia="Calibri"/>
          <w:rtl/>
        </w:rPr>
        <w:t xml:space="preserve"> כתב אישום או </w:t>
      </w:r>
      <w:r w:rsidRPr="00AA5065">
        <w:rPr>
          <w:rFonts w:eastAsia="Calibri" w:hint="cs"/>
          <w:rtl/>
        </w:rPr>
        <w:t>שהיא מ</w:t>
      </w:r>
      <w:r w:rsidRPr="00AA5065">
        <w:rPr>
          <w:rFonts w:eastAsia="Calibri"/>
          <w:rtl/>
        </w:rPr>
        <w:t xml:space="preserve">חליטה </w:t>
      </w:r>
      <w:r w:rsidRPr="00AA5065">
        <w:rPr>
          <w:rFonts w:eastAsia="Calibri" w:hint="cs"/>
          <w:rtl/>
        </w:rPr>
        <w:t xml:space="preserve">להטיל </w:t>
      </w:r>
      <w:r w:rsidRPr="00AA5065">
        <w:rPr>
          <w:rFonts w:eastAsia="Calibri"/>
          <w:rtl/>
        </w:rPr>
        <w:t xml:space="preserve">כופר, התיק </w:t>
      </w:r>
      <w:r w:rsidRPr="00AA5065">
        <w:rPr>
          <w:rFonts w:eastAsia="Calibri" w:hint="cs"/>
          <w:rtl/>
        </w:rPr>
        <w:t xml:space="preserve">מועבר </w:t>
      </w:r>
      <w:r w:rsidRPr="00AA5065">
        <w:rPr>
          <w:rFonts w:eastAsia="Calibri"/>
          <w:rtl/>
        </w:rPr>
        <w:t>ללשכה המשפטית</w:t>
      </w:r>
      <w:r w:rsidRPr="00AA5065">
        <w:rPr>
          <w:rFonts w:eastAsia="Calibri"/>
        </w:rPr>
        <w:t xml:space="preserve"> </w:t>
      </w:r>
      <w:r w:rsidRPr="00AA5065">
        <w:rPr>
          <w:rFonts w:eastAsia="Calibri"/>
          <w:rtl/>
        </w:rPr>
        <w:t>לבחינת המקרה ול</w:t>
      </w:r>
      <w:r w:rsidRPr="00AA5065">
        <w:rPr>
          <w:rFonts w:eastAsia="Calibri" w:hint="cs"/>
          <w:rtl/>
        </w:rPr>
        <w:t>קבלת</w:t>
      </w:r>
      <w:r w:rsidRPr="00AA5065">
        <w:rPr>
          <w:rFonts w:eastAsia="Calibri"/>
          <w:rtl/>
        </w:rPr>
        <w:t xml:space="preserve"> החלטה בעניין בהתאם לראיות.</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tabs>
          <w:tab w:val="left" w:pos="444"/>
        </w:tabs>
        <w:spacing w:line="269" w:lineRule="auto"/>
        <w:rPr>
          <w:rFonts w:eastAsia="Calibri"/>
          <w:rtl/>
        </w:rPr>
      </w:pPr>
      <w:r w:rsidRPr="00AA5065">
        <w:rPr>
          <w:rFonts w:eastAsia="Calibri" w:hint="cs"/>
          <w:rtl/>
        </w:rPr>
        <w:t xml:space="preserve">ממצאי הביקורת הקודמת העלו כי </w:t>
      </w:r>
      <w:r w:rsidRPr="00AA5065">
        <w:rPr>
          <w:rFonts w:eastAsia="Calibri" w:hint="eastAsia"/>
          <w:rtl/>
        </w:rPr>
        <w:t>על</w:t>
      </w:r>
      <w:r w:rsidRPr="00AA5065">
        <w:rPr>
          <w:rFonts w:eastAsia="Calibri"/>
          <w:rtl/>
        </w:rPr>
        <w:t xml:space="preserve"> פי נתוני רשות המ</w:t>
      </w:r>
      <w:r w:rsidRPr="00AA5065">
        <w:rPr>
          <w:rFonts w:eastAsia="Calibri" w:hint="cs"/>
          <w:rtl/>
        </w:rPr>
        <w:t>י</w:t>
      </w:r>
      <w:r w:rsidRPr="00AA5065">
        <w:rPr>
          <w:rFonts w:eastAsia="Calibri"/>
          <w:rtl/>
        </w:rPr>
        <w:t>סים ל</w:t>
      </w:r>
      <w:r w:rsidRPr="00AA5065">
        <w:rPr>
          <w:rFonts w:eastAsia="Calibri" w:hint="cs"/>
          <w:rtl/>
        </w:rPr>
        <w:t xml:space="preserve">יום </w:t>
      </w:r>
      <w:r w:rsidRPr="00AA5065">
        <w:rPr>
          <w:rFonts w:eastAsia="Calibri"/>
          <w:rtl/>
        </w:rPr>
        <w:t>7.6.20</w:t>
      </w:r>
      <w:r w:rsidRPr="00AA5065">
        <w:rPr>
          <w:rFonts w:eastAsia="Calibri" w:hint="cs"/>
          <w:rtl/>
        </w:rPr>
        <w:t>,</w:t>
      </w:r>
      <w:r w:rsidRPr="00AA5065">
        <w:rPr>
          <w:rFonts w:eastAsia="Calibri"/>
          <w:rtl/>
        </w:rPr>
        <w:t xml:space="preserve"> </w:t>
      </w:r>
      <w:r w:rsidRPr="00AA5065">
        <w:rPr>
          <w:rFonts w:eastAsia="Calibri" w:hint="cs"/>
          <w:rtl/>
        </w:rPr>
        <w:t>218 מתוך</w:t>
      </w:r>
      <w:r w:rsidRPr="00AA5065">
        <w:rPr>
          <w:rFonts w:eastAsia="Calibri"/>
          <w:rtl/>
        </w:rPr>
        <w:t xml:space="preserve"> 388 </w:t>
      </w:r>
      <w:r w:rsidRPr="00AA5065">
        <w:rPr>
          <w:rFonts w:eastAsia="Calibri" w:hint="cs"/>
          <w:rtl/>
        </w:rPr>
        <w:t>ה</w:t>
      </w:r>
      <w:r w:rsidRPr="00AA5065">
        <w:rPr>
          <w:rFonts w:eastAsia="Calibri"/>
          <w:rtl/>
        </w:rPr>
        <w:t>תיקי</w:t>
      </w:r>
      <w:r w:rsidRPr="00AA5065">
        <w:rPr>
          <w:rFonts w:eastAsia="Calibri" w:hint="cs"/>
          <w:rtl/>
        </w:rPr>
        <w:t>ם הפליליים שנפתחו לעברייני מס</w:t>
      </w:r>
      <w:r w:rsidRPr="00AA5065">
        <w:rPr>
          <w:rFonts w:eastAsia="Calibri"/>
          <w:rtl/>
        </w:rPr>
        <w:t xml:space="preserve"> (</w:t>
      </w:r>
      <w:r w:rsidRPr="00AA5065">
        <w:rPr>
          <w:rFonts w:eastAsia="Calibri" w:hint="cs"/>
          <w:rtl/>
        </w:rPr>
        <w:t>דג"ע</w:t>
      </w:r>
      <w:r w:rsidRPr="00AA5065">
        <w:rPr>
          <w:rFonts w:eastAsia="Calibri"/>
          <w:rtl/>
        </w:rPr>
        <w:t xml:space="preserve">) באזור הנגב </w:t>
      </w:r>
      <w:r w:rsidRPr="00AA5065">
        <w:rPr>
          <w:rFonts w:eastAsia="Calibri" w:hint="cs"/>
          <w:rtl/>
        </w:rPr>
        <w:t>(56%)</w:t>
      </w:r>
      <w:r w:rsidRPr="00AA5065">
        <w:rPr>
          <w:rFonts w:eastAsia="Calibri"/>
          <w:rtl/>
        </w:rPr>
        <w:t xml:space="preserve"> משתייכים לאוכלוסייה הלא-יהודית. יצוין כי </w:t>
      </w:r>
      <w:r w:rsidRPr="00AA5065">
        <w:rPr>
          <w:rFonts w:eastAsia="Calibri" w:hint="cs"/>
          <w:rtl/>
        </w:rPr>
        <w:t>מספר</w:t>
      </w:r>
      <w:r w:rsidRPr="00AA5065">
        <w:rPr>
          <w:rFonts w:eastAsia="Calibri"/>
          <w:rtl/>
        </w:rPr>
        <w:t xml:space="preserve"> העוסקים הפעילים באזור הנגב </w:t>
      </w:r>
      <w:r w:rsidRPr="00AA5065">
        <w:rPr>
          <w:rFonts w:eastAsia="Calibri" w:hint="cs"/>
          <w:rtl/>
        </w:rPr>
        <w:t>הוא</w:t>
      </w:r>
      <w:r w:rsidRPr="00AA5065">
        <w:rPr>
          <w:rFonts w:eastAsia="Calibri"/>
          <w:rtl/>
        </w:rPr>
        <w:t xml:space="preserve"> 22,416</w:t>
      </w:r>
      <w:r w:rsidRPr="00AA5065">
        <w:rPr>
          <w:rFonts w:eastAsia="Calibri" w:hint="cs"/>
          <w:rtl/>
        </w:rPr>
        <w:t>,</w:t>
      </w:r>
      <w:r w:rsidRPr="00AA5065">
        <w:rPr>
          <w:rFonts w:eastAsia="Calibri"/>
          <w:rtl/>
        </w:rPr>
        <w:t xml:space="preserve"> מ</w:t>
      </w:r>
      <w:r w:rsidRPr="00AA5065">
        <w:rPr>
          <w:rFonts w:eastAsia="Calibri" w:hint="cs"/>
          <w:rtl/>
        </w:rPr>
        <w:t>ה</w:t>
      </w:r>
      <w:r w:rsidRPr="00AA5065">
        <w:rPr>
          <w:rFonts w:eastAsia="Calibri"/>
          <w:rtl/>
        </w:rPr>
        <w:t xml:space="preserve">ם 3,504 משתייכים לאוכלוסייה הלא-יהודית (כ-20%). כלומר, שיעור עבירות </w:t>
      </w:r>
      <w:r w:rsidRPr="00AA5065">
        <w:rPr>
          <w:rFonts w:eastAsia="Calibri" w:hint="eastAsia"/>
          <w:rtl/>
        </w:rPr>
        <w:t>המע</w:t>
      </w:r>
      <w:r w:rsidRPr="00AA5065">
        <w:rPr>
          <w:rFonts w:eastAsia="Calibri"/>
          <w:rtl/>
        </w:rPr>
        <w:t>"ם של האוכלוסייה הלא-יהודית ג</w:t>
      </w:r>
      <w:r w:rsidRPr="00AA5065">
        <w:rPr>
          <w:rFonts w:eastAsia="Calibri" w:hint="cs"/>
          <w:rtl/>
        </w:rPr>
        <w:t>בוה</w:t>
      </w:r>
      <w:r w:rsidRPr="00AA5065">
        <w:rPr>
          <w:rFonts w:eastAsia="Calibri"/>
          <w:rtl/>
        </w:rPr>
        <w:t xml:space="preserve"> פי </w:t>
      </w:r>
      <w:r w:rsidRPr="00AA5065">
        <w:rPr>
          <w:rFonts w:eastAsia="Calibri" w:hint="cs"/>
          <w:rtl/>
        </w:rPr>
        <w:t>שלושה</w:t>
      </w:r>
      <w:r w:rsidRPr="00AA5065">
        <w:rPr>
          <w:rFonts w:eastAsia="Calibri"/>
          <w:rtl/>
        </w:rPr>
        <w:t xml:space="preserve"> מחלקם היחסי בכלל אוכלוסיית העוסקים בנגב.</w:t>
      </w:r>
      <w:r w:rsidRPr="00AA5065">
        <w:rPr>
          <w:rFonts w:eastAsia="Calibri" w:hint="cs"/>
          <w:rtl/>
        </w:rPr>
        <w:t xml:space="preserve"> </w:t>
      </w:r>
    </w:p>
    <w:p w:rsidR="00AA5065" w:rsidRPr="00AA5065" w:rsidP="00860D89">
      <w:pPr>
        <w:spacing w:line="269" w:lineRule="auto"/>
        <w:ind w:left="-567"/>
        <w:rPr>
          <w:rFonts w:eastAsia="Calibri"/>
          <w:szCs w:val="20"/>
        </w:rPr>
      </w:pPr>
    </w:p>
    <w:p w:rsidR="00AA5065" w:rsidRPr="00AA5065" w:rsidP="00860D89">
      <w:pPr>
        <w:spacing w:line="269" w:lineRule="auto"/>
        <w:rPr>
          <w:rFonts w:eastAsia="Calibri"/>
          <w:rtl/>
        </w:rPr>
      </w:pPr>
      <w:r w:rsidRPr="00AA5065">
        <w:rPr>
          <w:rFonts w:eastAsia="Calibri" w:hint="cs"/>
          <w:rtl/>
        </w:rPr>
        <w:t xml:space="preserve">משרד מבקר המדינה בדק בביקורת הקודמת את מספר תיקי התובע הפתוחים (תיקים שהוועדה המקומית של תחנת מע"ם המליצה בהם על אכיפה או על הגשת כתב אישום) בתחנת המע"ם בבאר שבע לעומת תחנות מע"ם אחרות ברחבי הארץ. עלה כי </w:t>
      </w:r>
      <w:r w:rsidRPr="00AA5065">
        <w:rPr>
          <w:rFonts w:eastAsia="Calibri" w:hint="eastAsia"/>
          <w:rtl/>
        </w:rPr>
        <w:t>נכון</w:t>
      </w:r>
      <w:r w:rsidRPr="00AA5065">
        <w:rPr>
          <w:rFonts w:eastAsia="Calibri"/>
          <w:rtl/>
        </w:rPr>
        <w:t xml:space="preserve"> ליוני 2020 המחלקה המשפטית </w:t>
      </w:r>
      <w:r w:rsidRPr="00AA5065">
        <w:rPr>
          <w:rFonts w:eastAsia="Calibri" w:hint="cs"/>
          <w:rtl/>
        </w:rPr>
        <w:t>בתחנת</w:t>
      </w:r>
      <w:r w:rsidRPr="00AA5065">
        <w:rPr>
          <w:rFonts w:eastAsia="Calibri"/>
          <w:rtl/>
        </w:rPr>
        <w:t xml:space="preserve"> מע"ם באר שבע מטפלת ב</w:t>
      </w:r>
      <w:r w:rsidRPr="00AA5065">
        <w:rPr>
          <w:rFonts w:eastAsia="Calibri" w:hint="cs"/>
          <w:rtl/>
        </w:rPr>
        <w:t xml:space="preserve">מספר התיקים הגדול ביותר: </w:t>
      </w:r>
      <w:r w:rsidRPr="00AA5065">
        <w:rPr>
          <w:rFonts w:eastAsia="Calibri"/>
          <w:rtl/>
        </w:rPr>
        <w:t xml:space="preserve">254 תיקים (כ-29.5%) מ-862 תיקי התובע הפתוחים </w:t>
      </w:r>
      <w:r w:rsidRPr="00AA5065">
        <w:rPr>
          <w:rFonts w:eastAsia="Calibri" w:hint="cs"/>
          <w:rtl/>
        </w:rPr>
        <w:t>ב</w:t>
      </w:r>
      <w:r w:rsidRPr="00AA5065">
        <w:rPr>
          <w:rFonts w:eastAsia="Calibri"/>
          <w:rtl/>
        </w:rPr>
        <w:t xml:space="preserve">כלל הארץ. </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בדצמבר 2024 מסר נציג רשות המיסים נתונים לגבי סך </w:t>
      </w:r>
      <w:r w:rsidRPr="00AA5065">
        <w:rPr>
          <w:rFonts w:eastAsia="Calibri"/>
          <w:rtl/>
        </w:rPr>
        <w:t xml:space="preserve">תיקי </w:t>
      </w:r>
      <w:r w:rsidRPr="00AA5065">
        <w:rPr>
          <w:rFonts w:eastAsia="Calibri" w:hint="cs"/>
          <w:rtl/>
        </w:rPr>
        <w:t>ה</w:t>
      </w:r>
      <w:r w:rsidRPr="00AA5065">
        <w:rPr>
          <w:rFonts w:eastAsia="Calibri"/>
          <w:rtl/>
        </w:rPr>
        <w:t>תובע</w:t>
      </w:r>
      <w:r>
        <w:rPr>
          <w:rFonts w:ascii="David" w:eastAsia="Times New Roman" w:hAnsi="David"/>
          <w:sz w:val="24"/>
          <w:vertAlign w:val="superscript"/>
          <w:rtl/>
        </w:rPr>
        <w:footnoteReference w:id="46"/>
      </w:r>
      <w:r w:rsidRPr="00AA5065">
        <w:rPr>
          <w:rFonts w:eastAsia="Calibri"/>
          <w:rtl/>
        </w:rPr>
        <w:t xml:space="preserve"> </w:t>
      </w:r>
      <w:r w:rsidRPr="00AA5065">
        <w:rPr>
          <w:rFonts w:eastAsia="Calibri" w:hint="cs"/>
          <w:rtl/>
        </w:rPr>
        <w:t>שנפתחו במהלך השנים 2020 עד 2024 ולגבי מספר התיקים שנותרו פתוחים נכון לדצמבר 2024 בחלוקה לתחנות מע"ם השונות. בתחנת באר שבע נפתחו 200 תיקים, מספר התיקים הגבוה ביותר מכלל תחנות מע"מ בארץ.</w:t>
      </w:r>
    </w:p>
    <w:p w:rsidR="00AA5065" w:rsidRPr="00AA5065" w:rsidP="00860D89">
      <w:pPr>
        <w:spacing w:line="269" w:lineRule="auto"/>
        <w:ind w:left="-567"/>
        <w:rPr>
          <w:rFonts w:eastAsia="Calibri"/>
          <w:szCs w:val="20"/>
          <w:rtl/>
        </w:rPr>
      </w:pPr>
    </w:p>
    <w:p w:rsidR="00AA5065" w:rsidRPr="00AA5065" w:rsidP="00860D89">
      <w:pPr>
        <w:tabs>
          <w:tab w:val="left" w:pos="444"/>
        </w:tabs>
        <w:spacing w:line="269" w:lineRule="auto"/>
        <w:rPr>
          <w:rFonts w:eastAsia="Calibri"/>
          <w:rtl/>
        </w:rPr>
      </w:pPr>
      <w:r w:rsidRPr="00AA5065">
        <w:rPr>
          <w:rFonts w:eastAsia="Calibri" w:hint="cs"/>
          <w:rtl/>
        </w:rPr>
        <w:t>בתרשים 2 שלהלן מוצג מספר התיקים שנותרו פתוחים בכל אחת מתחנות מע"ם, נכון לדצמבר 2024:</w:t>
      </w:r>
    </w:p>
    <w:p w:rsidR="00AA5065" w:rsidRPr="00AA5065" w:rsidP="00860D89">
      <w:pPr>
        <w:spacing w:line="269" w:lineRule="auto"/>
        <w:ind w:left="-567"/>
        <w:rPr>
          <w:rFonts w:eastAsia="Calibri"/>
          <w:szCs w:val="20"/>
          <w:rtl/>
        </w:rPr>
      </w:pPr>
    </w:p>
    <w:p w:rsidR="00AA5065" w:rsidRPr="00AA5065" w:rsidP="00860D89">
      <w:pPr>
        <w:widowControl w:val="0"/>
        <w:spacing w:line="269" w:lineRule="auto"/>
        <w:jc w:val="center"/>
        <w:rPr>
          <w:rFonts w:eastAsia="Calibri"/>
          <w:b/>
          <w:bCs/>
          <w:rtl/>
        </w:rPr>
      </w:pPr>
      <w:bookmarkStart w:id="41" w:name="_Hlk205373186"/>
      <w:r w:rsidRPr="00AA5065">
        <w:rPr>
          <w:rFonts w:eastAsia="Times New Roman" w:hint="cs"/>
          <w:rtl/>
          <w:lang w:eastAsia="he-IL"/>
        </w:rPr>
        <w:t>תרשים 2</w:t>
      </w:r>
      <w:r w:rsidRPr="00AA5065">
        <w:rPr>
          <w:rFonts w:eastAsia="Times New Roman"/>
          <w:rtl/>
          <w:lang w:eastAsia="he-IL"/>
        </w:rPr>
        <w:t>:</w:t>
      </w:r>
      <w:r w:rsidRPr="00AA5065">
        <w:rPr>
          <w:rFonts w:eastAsia="Times New Roman" w:hint="cs"/>
          <w:b/>
          <w:bCs/>
          <w:rtl/>
          <w:lang w:eastAsia="he-IL"/>
        </w:rPr>
        <w:t xml:space="preserve"> תיקי תובע דג"ע שנותרו פתוחים לפי תחנות מע"ם,</w:t>
      </w:r>
      <w:r w:rsidRPr="00AA5065">
        <w:rPr>
          <w:rFonts w:eastAsia="Calibri" w:hint="cs"/>
          <w:b/>
          <w:bCs/>
          <w:rtl/>
        </w:rPr>
        <w:t xml:space="preserve"> </w:t>
      </w:r>
      <w:r w:rsidRPr="00AA5065">
        <w:rPr>
          <w:rFonts w:eastAsia="Calibri" w:hint="cs"/>
          <w:b/>
          <w:bCs/>
          <w:rtl/>
        </w:rPr>
        <w:t>דצמבר 2024</w:t>
      </w:r>
    </w:p>
    <w:bookmarkEnd w:id="41"/>
    <w:p w:rsidR="00AA5065" w:rsidRPr="00AA5065" w:rsidP="00860D89">
      <w:pPr>
        <w:tabs>
          <w:tab w:val="left" w:pos="444"/>
        </w:tabs>
        <w:spacing w:line="269" w:lineRule="auto"/>
        <w:rPr>
          <w:rFonts w:eastAsia="Calibri"/>
          <w:b/>
          <w:bCs/>
          <w:rtl/>
        </w:rPr>
      </w:pPr>
      <w:r w:rsidRPr="00AA5065">
        <w:rPr>
          <w:rFonts w:eastAsia="Calibri"/>
          <w:b/>
          <w:bCs/>
          <w:noProof/>
          <w:rtl/>
          <w:lang w:val="he-IL"/>
        </w:rPr>
        <w:drawing>
          <wp:inline distT="0" distB="0" distL="0" distR="0">
            <wp:extent cx="5220335" cy="3208867"/>
            <wp:effectExtent l="0" t="0" r="0" b="0"/>
            <wp:docPr id="62" name="תמונה 62" descr="תוכן התרשים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גרף מעמ.JPG"/>
                    <pic:cNvPicPr/>
                  </pic:nvPicPr>
                  <pic:blipFill>
                    <a:blip xmlns:r="http://schemas.openxmlformats.org/officeDocument/2006/relationships" r:embed="rId15">
                      <a:extLst>
                        <a:ext xmlns:a="http://schemas.openxmlformats.org/drawingml/2006/main" uri="{28A0092B-C50C-407E-A947-70E740481C1C}">
                          <a14:useLocalDpi xmlns:a14="http://schemas.microsoft.com/office/drawing/2010/main" val="0"/>
                        </a:ext>
                      </a:extLst>
                    </a:blip>
                    <a:srcRect b="1839"/>
                    <a:stretch>
                      <a:fillRect/>
                    </a:stretch>
                  </pic:blipFill>
                  <pic:spPr bwMode="auto">
                    <a:xfrm>
                      <a:off x="0" y="0"/>
                      <a:ext cx="5220335" cy="320886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A5065" w:rsidRPr="00AA5065" w:rsidP="004E6B4D">
      <w:pPr>
        <w:spacing w:before="120" w:line="269" w:lineRule="auto"/>
        <w:jc w:val="left"/>
        <w:rPr>
          <w:rFonts w:eastAsia="Calibri"/>
          <w:szCs w:val="20"/>
          <w:rtl/>
        </w:rPr>
      </w:pPr>
      <w:r w:rsidRPr="00AA5065">
        <w:rPr>
          <w:rFonts w:eastAsia="Calibri" w:hint="eastAsia"/>
          <w:szCs w:val="20"/>
          <w:rtl/>
        </w:rPr>
        <w:t>על</w:t>
      </w:r>
      <w:r w:rsidRPr="00AA5065">
        <w:rPr>
          <w:rFonts w:eastAsia="Calibri"/>
          <w:szCs w:val="20"/>
          <w:rtl/>
        </w:rPr>
        <w:t xml:space="preserve"> פי </w:t>
      </w:r>
      <w:r w:rsidRPr="00AA5065">
        <w:rPr>
          <w:rFonts w:eastAsia="Calibri" w:hint="eastAsia"/>
          <w:szCs w:val="20"/>
          <w:rtl/>
        </w:rPr>
        <w:t>נתוני</w:t>
      </w:r>
      <w:r w:rsidRPr="00AA5065">
        <w:rPr>
          <w:rFonts w:eastAsia="Calibri"/>
          <w:szCs w:val="20"/>
          <w:rtl/>
        </w:rPr>
        <w:t xml:space="preserve"> </w:t>
      </w:r>
      <w:r w:rsidRPr="00AA5065">
        <w:rPr>
          <w:rFonts w:eastAsia="Calibri" w:hint="eastAsia"/>
          <w:szCs w:val="20"/>
          <w:rtl/>
        </w:rPr>
        <w:t>רשות</w:t>
      </w:r>
      <w:r w:rsidRPr="00AA5065">
        <w:rPr>
          <w:rFonts w:eastAsia="Calibri"/>
          <w:szCs w:val="20"/>
          <w:rtl/>
        </w:rPr>
        <w:t xml:space="preserve"> </w:t>
      </w:r>
      <w:r w:rsidRPr="00AA5065">
        <w:rPr>
          <w:rFonts w:eastAsia="Calibri" w:hint="eastAsia"/>
          <w:szCs w:val="20"/>
          <w:rtl/>
        </w:rPr>
        <w:t>המיסים</w:t>
      </w:r>
      <w:r w:rsidRPr="00AA5065">
        <w:rPr>
          <w:rFonts w:eastAsia="Calibri"/>
          <w:szCs w:val="20"/>
          <w:rtl/>
        </w:rPr>
        <w:t xml:space="preserve">, </w:t>
      </w:r>
      <w:r w:rsidRPr="00AA5065">
        <w:rPr>
          <w:rFonts w:eastAsia="Calibri" w:hint="eastAsia"/>
          <w:szCs w:val="20"/>
          <w:rtl/>
        </w:rPr>
        <w:t>בעיבוד</w:t>
      </w:r>
      <w:r w:rsidRPr="00AA5065">
        <w:rPr>
          <w:rFonts w:eastAsia="Calibri"/>
          <w:szCs w:val="20"/>
          <w:rtl/>
        </w:rPr>
        <w:t xml:space="preserve"> משרד מבקר המדינה.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b/>
          <w:bCs/>
          <w:rtl/>
        </w:rPr>
        <w:t xml:space="preserve">מהתרשים עולה כי </w:t>
      </w:r>
      <w:r w:rsidRPr="00AA5065">
        <w:rPr>
          <w:rFonts w:eastAsia="Calibri" w:hint="eastAsia"/>
          <w:b/>
          <w:bCs/>
          <w:rtl/>
        </w:rPr>
        <w:t>נכון</w:t>
      </w:r>
      <w:r w:rsidRPr="00AA5065">
        <w:rPr>
          <w:rFonts w:eastAsia="Calibri"/>
          <w:b/>
          <w:bCs/>
          <w:rtl/>
        </w:rPr>
        <w:t xml:space="preserve"> ל</w:t>
      </w:r>
      <w:r w:rsidRPr="00AA5065">
        <w:rPr>
          <w:rFonts w:eastAsia="Calibri" w:hint="cs"/>
          <w:b/>
          <w:bCs/>
          <w:rtl/>
        </w:rPr>
        <w:t>דצמבר</w:t>
      </w:r>
      <w:r w:rsidRPr="00AA5065">
        <w:rPr>
          <w:rFonts w:eastAsia="Calibri"/>
          <w:b/>
          <w:bCs/>
          <w:rtl/>
        </w:rPr>
        <w:t xml:space="preserve"> </w:t>
      </w:r>
      <w:r w:rsidRPr="00AA5065">
        <w:rPr>
          <w:rFonts w:eastAsia="Calibri" w:hint="cs"/>
          <w:b/>
          <w:bCs/>
          <w:rtl/>
        </w:rPr>
        <w:t>2024</w:t>
      </w:r>
      <w:r w:rsidRPr="00AA5065">
        <w:rPr>
          <w:rFonts w:eastAsia="Calibri"/>
          <w:b/>
          <w:bCs/>
          <w:rtl/>
        </w:rPr>
        <w:t xml:space="preserve"> המחלקה המשפטית בתחנת מע"ם באר שבע</w:t>
      </w:r>
      <w:r w:rsidRPr="00AA5065">
        <w:rPr>
          <w:rFonts w:eastAsia="Calibri" w:hint="cs"/>
          <w:b/>
          <w:bCs/>
          <w:rtl/>
        </w:rPr>
        <w:t xml:space="preserve"> נמצאת במקום השלישי, לאחר תחנות מע"ם פתח תקווה וירושלים, במספר תיקי התובע הפתוחים בה, וכי היא</w:t>
      </w:r>
      <w:r w:rsidRPr="00AA5065">
        <w:rPr>
          <w:rFonts w:eastAsia="Calibri"/>
          <w:b/>
          <w:bCs/>
          <w:rtl/>
        </w:rPr>
        <w:t xml:space="preserve"> מטפלת ב-</w:t>
      </w:r>
      <w:r w:rsidRPr="00AA5065">
        <w:rPr>
          <w:rFonts w:eastAsia="Calibri" w:hint="cs"/>
          <w:b/>
          <w:bCs/>
          <w:rtl/>
        </w:rPr>
        <w:t>44</w:t>
      </w:r>
      <w:r w:rsidRPr="00AA5065">
        <w:rPr>
          <w:rFonts w:eastAsia="Calibri"/>
          <w:b/>
          <w:bCs/>
          <w:rtl/>
        </w:rPr>
        <w:t xml:space="preserve"> תיקים (כ-</w:t>
      </w:r>
      <w:r w:rsidRPr="00AA5065">
        <w:rPr>
          <w:rFonts w:eastAsia="Calibri" w:hint="cs"/>
          <w:b/>
          <w:bCs/>
          <w:rtl/>
        </w:rPr>
        <w:t>10</w:t>
      </w:r>
      <w:r w:rsidRPr="00AA5065">
        <w:rPr>
          <w:rFonts w:eastAsia="Calibri"/>
          <w:b/>
          <w:bCs/>
          <w:rtl/>
        </w:rPr>
        <w:t>.5%) מ-</w:t>
      </w:r>
      <w:r w:rsidRPr="00AA5065">
        <w:rPr>
          <w:rFonts w:eastAsia="Calibri" w:hint="cs"/>
          <w:b/>
          <w:bCs/>
          <w:rtl/>
        </w:rPr>
        <w:t>418</w:t>
      </w:r>
      <w:r w:rsidRPr="00AA5065">
        <w:rPr>
          <w:rFonts w:eastAsia="Calibri"/>
          <w:b/>
          <w:bCs/>
          <w:rtl/>
        </w:rPr>
        <w:t xml:space="preserve"> תיקי התובע הפתוחים </w:t>
      </w:r>
      <w:r w:rsidRPr="00AA5065">
        <w:rPr>
          <w:rFonts w:eastAsia="Calibri" w:hint="cs"/>
          <w:b/>
          <w:bCs/>
          <w:rtl/>
        </w:rPr>
        <w:t>ב</w:t>
      </w:r>
      <w:r w:rsidRPr="00AA5065">
        <w:rPr>
          <w:rFonts w:eastAsia="Calibri"/>
          <w:b/>
          <w:bCs/>
          <w:rtl/>
        </w:rPr>
        <w:t>כלל הארץ.</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b/>
          <w:bCs/>
          <w:rtl/>
        </w:rPr>
        <w:t xml:space="preserve">בביקורת הקודמת עלה כי מספר התיקים הפתוחים שטופלו </w:t>
      </w:r>
      <w:r w:rsidRPr="00AA5065">
        <w:rPr>
          <w:rFonts w:eastAsia="Calibri" w:hint="eastAsia"/>
          <w:b/>
          <w:bCs/>
          <w:rtl/>
        </w:rPr>
        <w:t>בתחנת</w:t>
      </w:r>
      <w:r w:rsidRPr="00AA5065">
        <w:rPr>
          <w:rFonts w:eastAsia="Calibri" w:hint="cs"/>
          <w:b/>
          <w:bCs/>
          <w:rtl/>
        </w:rPr>
        <w:t xml:space="preserve"> מע"ם באר שבע היה הגבוה ביותר, ושיעורם מסך התיקים הפתוחים בכלל הארץ היה </w:t>
      </w:r>
      <w:r w:rsidRPr="00AA5065">
        <w:rPr>
          <w:rFonts w:eastAsia="Calibri"/>
          <w:b/>
          <w:bCs/>
          <w:rtl/>
        </w:rPr>
        <w:t>29.5%</w:t>
      </w:r>
      <w:r w:rsidRPr="00AA5065">
        <w:rPr>
          <w:rFonts w:eastAsia="Calibri" w:hint="cs"/>
          <w:b/>
          <w:bCs/>
          <w:rtl/>
        </w:rPr>
        <w:t xml:space="preserve">. </w:t>
      </w:r>
      <w:r w:rsidRPr="00AA5065">
        <w:rPr>
          <w:rFonts w:eastAsia="Calibri" w:hint="eastAsia"/>
          <w:b/>
          <w:bCs/>
          <w:rtl/>
        </w:rPr>
        <w:t>בביקורת</w:t>
      </w:r>
      <w:r w:rsidRPr="00AA5065">
        <w:rPr>
          <w:rFonts w:eastAsia="Calibri"/>
          <w:b/>
          <w:bCs/>
          <w:rtl/>
        </w:rPr>
        <w:t xml:space="preserve"> המעקב נמצא כי הליקוי תוקן במידה רבה</w:t>
      </w:r>
      <w:r w:rsidRPr="00AA5065">
        <w:rPr>
          <w:rFonts w:eastAsia="Calibri" w:hint="cs"/>
          <w:b/>
          <w:bCs/>
          <w:rtl/>
        </w:rPr>
        <w:t>;</w:t>
      </w:r>
      <w:r w:rsidRPr="00AA5065">
        <w:rPr>
          <w:rFonts w:eastAsia="Calibri"/>
          <w:b/>
          <w:bCs/>
          <w:rtl/>
        </w:rPr>
        <w:t xml:space="preserve"> תחנת </w:t>
      </w:r>
      <w:r w:rsidRPr="00AA5065">
        <w:rPr>
          <w:rFonts w:eastAsia="Calibri" w:hint="eastAsia"/>
          <w:b/>
          <w:bCs/>
          <w:rtl/>
        </w:rPr>
        <w:t>מע</w:t>
      </w:r>
      <w:r w:rsidRPr="00AA5065">
        <w:rPr>
          <w:rFonts w:eastAsia="Calibri"/>
          <w:b/>
          <w:bCs/>
          <w:rtl/>
        </w:rPr>
        <w:t>"ם באר שבע נמצאת במקום השלישי עם שיעור תיקים פתוחים של 10.5%</w:t>
      </w:r>
      <w:r w:rsidRPr="00AA5065">
        <w:rPr>
          <w:rFonts w:eastAsia="Calibri" w:hint="cs"/>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eastAsia="Calibri"/>
          <w:rtl/>
        </w:rPr>
      </w:pPr>
      <w:r w:rsidRPr="00AA5065">
        <w:rPr>
          <w:rFonts w:eastAsia="Calibri" w:hint="cs"/>
          <w:b/>
          <w:bCs/>
          <w:rtl/>
          <w:lang w:eastAsia="he-IL"/>
        </w:rPr>
        <w:t>מידת תיקון הליקוי</w:t>
      </w:r>
    </w:p>
    <w:p w:rsidR="00AA5065" w:rsidRPr="00AA5065" w:rsidP="00860D89">
      <w:pPr>
        <w:spacing w:line="269" w:lineRule="auto"/>
        <w:rPr>
          <w:rFonts w:eastAsia="Calibri"/>
          <w:rtl/>
        </w:rPr>
      </w:pPr>
      <w:r w:rsidRPr="00AA5065">
        <w:rPr>
          <w:rFonts w:eastAsia="Calibri"/>
          <w:noProof/>
        </w:rPr>
        <w:drawing>
          <wp:anchor distT="0" distB="0" distL="114300" distR="114300" simplePos="0" relativeHeight="251661312" behindDoc="1" locked="0" layoutInCell="1" allowOverlap="1">
            <wp:simplePos x="0" y="0"/>
            <wp:positionH relativeFrom="column">
              <wp:posOffset>927735</wp:posOffset>
            </wp:positionH>
            <wp:positionV relativeFrom="paragraph">
              <wp:posOffset>52070</wp:posOffset>
            </wp:positionV>
            <wp:extent cx="3422650" cy="933450"/>
            <wp:effectExtent l="0" t="0" r="6350" b="0"/>
            <wp:wrapNone/>
            <wp:docPr id="11"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xmlns:r="http://schemas.openxmlformats.org/officeDocument/2006/relationships" r:embed="rId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265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065" w:rsidRPr="00AA5065" w:rsidP="00860D89">
      <w:pPr>
        <w:spacing w:line="269" w:lineRule="auto"/>
        <w:rPr>
          <w:rFonts w:eastAsia="Calibri"/>
          <w:rtl/>
        </w:rPr>
      </w:pPr>
    </w:p>
    <w:p w:rsidR="00AA5065" w:rsidRPr="00AA5065" w:rsidP="00860D89">
      <w:pPr>
        <w:spacing w:line="269" w:lineRule="auto"/>
        <w:rPr>
          <w:rFonts w:eastAsia="Calibri"/>
          <w:rtl/>
        </w:rPr>
      </w:pPr>
    </w:p>
    <w:p w:rsidR="00AA5065" w:rsidRPr="00AA5065" w:rsidP="00860D89">
      <w:pPr>
        <w:spacing w:line="269" w:lineRule="auto"/>
        <w:rPr>
          <w:rFonts w:eastAsia="Calibri"/>
          <w:rtl/>
        </w:rPr>
      </w:pPr>
    </w:p>
    <w:p w:rsidR="00AA5065" w:rsidRPr="00AA5065" w:rsidP="00860D89">
      <w:pPr>
        <w:spacing w:line="269" w:lineRule="auto"/>
        <w:rPr>
          <w:rFonts w:eastAsia="Calibri"/>
          <w:rtl/>
        </w:rPr>
      </w:pPr>
    </w:p>
    <w:p w:rsidR="00AA5065" w:rsidRPr="00AA5065" w:rsidP="004E6B4D">
      <w:pPr>
        <w:spacing w:before="120"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רשות המיסים מסרה בתשובתה כי "</w:t>
      </w:r>
      <w:r w:rsidRPr="00AA5065">
        <w:rPr>
          <w:rFonts w:eastAsia="Calibri"/>
          <w:rtl/>
        </w:rPr>
        <w:t>נכון ליום 9.9.2025, מצבת תיקי התובע בתחנת מע״ם באר שבע עומדת על 41 תיקי תובע פתוחים</w:t>
      </w:r>
      <w:r w:rsidRPr="00AA5065">
        <w:rPr>
          <w:rFonts w:eastAsia="Calibri" w:hint="cs"/>
          <w:rtl/>
        </w:rPr>
        <w:t>...</w:t>
      </w:r>
      <w:r w:rsidRPr="00AA5065">
        <w:rPr>
          <w:rFonts w:eastAsia="Calibri"/>
          <w:rtl/>
        </w:rPr>
        <w:t xml:space="preserve"> בהתפלגות הבאה: 30 תיקים בהם הוגשו כתבי אישום והם מתנהלים</w:t>
      </w:r>
      <w:r w:rsidRPr="00AA5065">
        <w:rPr>
          <w:rFonts w:eastAsia="Calibri" w:hint="cs"/>
          <w:rtl/>
        </w:rPr>
        <w:t xml:space="preserve"> </w:t>
      </w:r>
      <w:r w:rsidRPr="00AA5065">
        <w:rPr>
          <w:rFonts w:eastAsia="Calibri"/>
          <w:rtl/>
        </w:rPr>
        <w:t xml:space="preserve">בבית משפט השלום בבאר שבע. 11 תיקים נמצאים בשלבי טיפול שונים </w:t>
      </w:r>
      <w:r w:rsidRPr="00AA5065">
        <w:rPr>
          <w:rFonts w:eastAsia="Calibri" w:hint="cs"/>
          <w:rtl/>
        </w:rPr>
        <w:t>(</w:t>
      </w:r>
      <w:r w:rsidRPr="00AA5065">
        <w:rPr>
          <w:rFonts w:eastAsia="Calibri"/>
          <w:rtl/>
        </w:rPr>
        <w:t>השלמת חקירה, מעקב או טיפול</w:t>
      </w:r>
      <w:r w:rsidRPr="00AA5065">
        <w:rPr>
          <w:rFonts w:eastAsia="Calibri" w:hint="cs"/>
          <w:rtl/>
        </w:rPr>
        <w:t xml:space="preserve"> </w:t>
      </w:r>
      <w:r w:rsidRPr="00AA5065">
        <w:rPr>
          <w:rFonts w:eastAsia="Calibri"/>
          <w:rtl/>
        </w:rPr>
        <w:t>תובע</w:t>
      </w:r>
      <w:r w:rsidRPr="00AA5065">
        <w:rPr>
          <w:rFonts w:eastAsia="Calibri" w:hint="cs"/>
          <w:rtl/>
        </w:rPr>
        <w:t>)".</w:t>
      </w:r>
    </w:p>
    <w:p w:rsidR="00AA5065" w:rsidRPr="00AA5065" w:rsidP="00860D89">
      <w:pPr>
        <w:spacing w:line="269" w:lineRule="auto"/>
        <w:rPr>
          <w:rFonts w:eastAsia="Calibri"/>
          <w:rtl/>
        </w:rPr>
      </w:pPr>
    </w:p>
    <w:p w:rsidR="00AA36EE">
      <w:pPr>
        <w:bidi w:val="0"/>
        <w:spacing w:after="200" w:line="276" w:lineRule="auto"/>
        <w:rPr>
          <w:rFonts w:eastAsia="Times New Roman"/>
          <w:bCs/>
          <w:szCs w:val="26"/>
          <w:rtl/>
        </w:rPr>
      </w:pPr>
      <w:bookmarkStart w:id="42" w:name="_Toc31186265"/>
      <w:bookmarkStart w:id="43" w:name="_Toc50362106"/>
      <w:r>
        <w:rPr>
          <w:rFonts w:eastAsia="Times New Roman"/>
          <w:bCs/>
          <w:szCs w:val="26"/>
          <w:rtl/>
        </w:rPr>
        <w:br w:type="page"/>
      </w:r>
    </w:p>
    <w:p w:rsidR="00AA5065" w:rsidRPr="00AA5065" w:rsidP="00860D89">
      <w:pPr>
        <w:keepNext/>
        <w:keepLines/>
        <w:spacing w:line="269" w:lineRule="auto"/>
        <w:ind w:left="-48"/>
        <w:jc w:val="left"/>
        <w:outlineLvl w:val="3"/>
        <w:rPr>
          <w:rFonts w:eastAsia="Times New Roman"/>
          <w:bCs/>
          <w:szCs w:val="26"/>
          <w:rtl/>
        </w:rPr>
      </w:pPr>
      <w:r w:rsidRPr="00AA5065">
        <w:rPr>
          <w:rFonts w:eastAsia="Times New Roman" w:hint="cs"/>
          <w:bCs/>
          <w:szCs w:val="26"/>
          <w:rtl/>
        </w:rPr>
        <w:t>הצלבת בין מאגרי הנתונים של הגופים הכלכליים לצורך גביית תשלומי חובה</w:t>
      </w:r>
      <w:bookmarkEnd w:id="42"/>
      <w:bookmarkEnd w:id="43"/>
    </w:p>
    <w:p w:rsidR="00AA5065" w:rsidRPr="00AA5065" w:rsidP="00860D89">
      <w:pPr>
        <w:spacing w:line="269" w:lineRule="auto"/>
        <w:ind w:left="-567"/>
        <w:rPr>
          <w:rFonts w:eastAsia="Calibri"/>
          <w:szCs w:val="20"/>
          <w:rtl/>
        </w:rPr>
      </w:pPr>
    </w:p>
    <w:p w:rsidR="00AA5065" w:rsidRPr="00AA5065" w:rsidP="00860D89">
      <w:pPr>
        <w:keepNext/>
        <w:keepLines/>
        <w:spacing w:line="269" w:lineRule="auto"/>
        <w:ind w:left="-48"/>
        <w:outlineLvl w:val="3"/>
        <w:rPr>
          <w:rFonts w:eastAsia="Times New Roman"/>
          <w:bCs/>
          <w:szCs w:val="26"/>
          <w:rtl/>
        </w:rPr>
      </w:pPr>
      <w:r w:rsidRPr="00AA5065">
        <w:rPr>
          <w:rFonts w:eastAsia="Calibri" w:hint="cs"/>
          <w:rtl/>
        </w:rPr>
        <w:t xml:space="preserve">מערך המחשוב של רשות המיסים מנוהל באמצעות יחידת שירות עיבודים ממוכנים (שע"ם), ומכיל מידע ונתונים רבים על ציבור הנישומים. הצלבת הנתונים הקיימים במאגר זה עם מקורות מידע נוספים יכולה לסייע לרשויות השונות (רשות המיסים, בט"ל והרשות לאיסור הלבנת הון ומימון טרור </w:t>
      </w:r>
      <w:r w:rsidRPr="00AA5065">
        <w:rPr>
          <w:rFonts w:ascii="David" w:eastAsia="Calibri" w:hAnsi="David" w:hint="cs"/>
          <w:rtl/>
        </w:rPr>
        <w:t xml:space="preserve">[להלן - </w:t>
      </w:r>
      <w:r w:rsidRPr="00AA5065">
        <w:rPr>
          <w:rFonts w:ascii="David" w:eastAsia="Calibri" w:hAnsi="David"/>
          <w:rtl/>
        </w:rPr>
        <w:t>הרשות ל</w:t>
      </w:r>
      <w:r w:rsidRPr="00AA5065">
        <w:rPr>
          <w:rFonts w:ascii="David" w:eastAsia="Calibri" w:hAnsi="David" w:hint="cs"/>
          <w:rtl/>
        </w:rPr>
        <w:t xml:space="preserve">איסור </w:t>
      </w:r>
      <w:r w:rsidRPr="00AA5065">
        <w:rPr>
          <w:rFonts w:ascii="David" w:eastAsia="Calibri" w:hAnsi="David"/>
          <w:rtl/>
        </w:rPr>
        <w:t>הלבנת הון</w:t>
      </w:r>
      <w:r w:rsidRPr="00AA5065">
        <w:rPr>
          <w:rFonts w:ascii="David" w:eastAsia="Calibri" w:hAnsi="David" w:hint="cs"/>
          <w:rtl/>
        </w:rPr>
        <w:t>]</w:t>
      </w:r>
      <w:r w:rsidRPr="00AA5065">
        <w:rPr>
          <w:rFonts w:eastAsia="Calibri" w:hint="cs"/>
          <w:rtl/>
        </w:rPr>
        <w:t>) בעבודתן. לדוגמה, באמצעות הצלבת הנתונים ניתן לבדוק אם קיימות בעניינו של אדם המקבל מבט"ל קצבת הבטחת הכנסה או קצבת השלמת הכנסה ידיעות בדבר העלמת הכנסות. זאת בהתאם להוראות החקיקה בעניין העברת מידע בין הרשויות. על פי סעיף 384א לחוק בט</w:t>
      </w:r>
      <w:r w:rsidRPr="00AA5065">
        <w:rPr>
          <w:rFonts w:eastAsia="Calibri"/>
          <w:rtl/>
        </w:rPr>
        <w:t>"</w:t>
      </w:r>
      <w:r w:rsidRPr="00AA5065">
        <w:rPr>
          <w:rFonts w:eastAsia="Calibri" w:hint="cs"/>
          <w:rtl/>
        </w:rPr>
        <w:t>ל, רשאי עובד בט</w:t>
      </w:r>
      <w:r w:rsidRPr="00AA5065">
        <w:rPr>
          <w:rFonts w:eastAsia="Calibri"/>
          <w:rtl/>
        </w:rPr>
        <w:t>"</w:t>
      </w:r>
      <w:r w:rsidRPr="00AA5065">
        <w:rPr>
          <w:rFonts w:eastAsia="Calibri" w:hint="cs"/>
          <w:rtl/>
        </w:rPr>
        <w:t>ל שהוסמך לכך לקבל מאת מנהל רשות המיסים מידע לצורך קביעת זכאותו של אדם לגמלה וכן מידע לצורך קביעת חיובו בדמי ביטוח.</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בדברי ההסבר להצעת חוק לתיקון לחוק בט</w:t>
      </w:r>
      <w:r w:rsidRPr="00AA5065">
        <w:rPr>
          <w:rFonts w:eastAsia="Calibri"/>
          <w:rtl/>
        </w:rPr>
        <w:t>"</w:t>
      </w:r>
      <w:r w:rsidRPr="00AA5065">
        <w:rPr>
          <w:rFonts w:eastAsia="Calibri" w:hint="cs"/>
          <w:rtl/>
        </w:rPr>
        <w:t>ל משנת 2009 נכתב: "על פי הערכות גורמי מקצוע בארץ, שיעור התשלומים ששולמו בעקבות מעשי הונאה הוא לפחות 5% מסך תשלומי הגמלאות"</w:t>
      </w:r>
      <w:r>
        <w:rPr>
          <w:rFonts w:eastAsia="Calibri"/>
          <w:vertAlign w:val="superscript"/>
          <w:rtl/>
        </w:rPr>
        <w:footnoteReference w:id="47"/>
      </w:r>
      <w:r w:rsidRPr="00AA5065">
        <w:rPr>
          <w:rFonts w:eastAsia="Calibri" w:hint="cs"/>
          <w:rtl/>
        </w:rPr>
        <w:t xml:space="preserve">. נכון לשנת 2018, </w:t>
      </w:r>
      <w:r w:rsidRPr="00AA5065">
        <w:rPr>
          <w:rFonts w:eastAsia="Calibri" w:hint="eastAsia"/>
          <w:rtl/>
        </w:rPr>
        <w:t>על</w:t>
      </w:r>
      <w:r w:rsidRPr="00AA5065">
        <w:rPr>
          <w:rFonts w:eastAsia="Calibri"/>
          <w:rtl/>
        </w:rPr>
        <w:t xml:space="preserve"> </w:t>
      </w:r>
      <w:r w:rsidRPr="00AA5065">
        <w:rPr>
          <w:rFonts w:eastAsia="Calibri" w:hint="eastAsia"/>
          <w:rtl/>
        </w:rPr>
        <w:t>בסיס</w:t>
      </w:r>
      <w:r w:rsidRPr="00AA5065">
        <w:rPr>
          <w:rFonts w:eastAsia="Calibri"/>
          <w:rtl/>
        </w:rPr>
        <w:t xml:space="preserve"> </w:t>
      </w:r>
      <w:r w:rsidRPr="00AA5065">
        <w:rPr>
          <w:rFonts w:eastAsia="Calibri" w:hint="eastAsia"/>
          <w:rtl/>
        </w:rPr>
        <w:t>ההערכה</w:t>
      </w:r>
      <w:r w:rsidRPr="00AA5065">
        <w:rPr>
          <w:rFonts w:eastAsia="Calibri"/>
          <w:rtl/>
        </w:rPr>
        <w:t xml:space="preserve"> </w:t>
      </w:r>
      <w:r w:rsidRPr="00AA5065">
        <w:rPr>
          <w:rFonts w:eastAsia="Calibri" w:hint="eastAsia"/>
          <w:rtl/>
        </w:rPr>
        <w:t>האמורה</w:t>
      </w:r>
      <w:r w:rsidRPr="00AA5065">
        <w:rPr>
          <w:rFonts w:eastAsia="Calibri"/>
          <w:rtl/>
        </w:rPr>
        <w:t xml:space="preserve">, </w:t>
      </w:r>
      <w:r w:rsidRPr="00AA5065">
        <w:rPr>
          <w:rFonts w:eastAsia="Calibri" w:hint="eastAsia"/>
          <w:rtl/>
        </w:rPr>
        <w:t>סכום</w:t>
      </w:r>
      <w:r w:rsidRPr="00AA5065">
        <w:rPr>
          <w:rFonts w:eastAsia="Calibri"/>
          <w:rtl/>
        </w:rPr>
        <w:t xml:space="preserve"> זה </w:t>
      </w:r>
      <w:r w:rsidRPr="00AA5065">
        <w:rPr>
          <w:rFonts w:eastAsia="Calibri" w:hint="eastAsia"/>
          <w:rtl/>
        </w:rPr>
        <w:t>מוערך</w:t>
      </w:r>
      <w:r w:rsidRPr="00AA5065">
        <w:rPr>
          <w:rFonts w:eastAsia="Calibri"/>
          <w:rtl/>
        </w:rPr>
        <w:t xml:space="preserve"> </w:t>
      </w:r>
      <w:r w:rsidRPr="00AA5065">
        <w:rPr>
          <w:rFonts w:eastAsia="Calibri" w:hint="eastAsia"/>
          <w:rtl/>
        </w:rPr>
        <w:t>בכ</w:t>
      </w:r>
      <w:r w:rsidRPr="00AA5065">
        <w:rPr>
          <w:rFonts w:eastAsia="Calibri"/>
          <w:rtl/>
        </w:rPr>
        <w:t>-4.4 מיליארד ש"ח מתוך 88.7 מיליארד ש"ח גמלאות ששולמו באותה שנה.</w:t>
      </w:r>
      <w:r w:rsidRPr="00AA5065">
        <w:rPr>
          <w:rFonts w:eastAsia="Calibri" w:hint="cs"/>
          <w:rtl/>
        </w:rPr>
        <w:t xml:space="preserve"> עוד נכתב בדברי ההסבר להצעת החוק: "מהשוואה בין לאומית, שנערכה על ידי ממשלת אנגליה בין שמונה מדינות במערב אירופה, עולה כי שיעור ההונאות מסך תשלומי הגמלאות במדינות אלה עומד על כ-4%... סיבה אפשרית... לרמייה היא העדר נתונים מספיקים על אודות המבוטחים לצורך בחינת זכאותם לגמלאות השונות המשולמות על ידי בט"ל. חלק מהגמלאות מותנות במבחני הכנסה אשר מתבצעים בפועל על סמך הצהרות התובעים בלבד ובהתבסס על מספר מסמכים מצומצם שאותם נדרש תובע הגמלה להמציא".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בשנת 2009 תוקן חוק בט</w:t>
      </w:r>
      <w:r w:rsidRPr="00AA5065">
        <w:rPr>
          <w:rFonts w:eastAsia="Calibri"/>
          <w:rtl/>
        </w:rPr>
        <w:t>"</w:t>
      </w:r>
      <w:r w:rsidRPr="00AA5065">
        <w:rPr>
          <w:rFonts w:eastAsia="Calibri" w:hint="cs"/>
          <w:rtl/>
        </w:rPr>
        <w:t>ל במסגרת חוק ההתייעלות הכלכלית (תיקוני חקיקה ליישום התוכנית הכלכלית לשנים 2009 ו-2010), התשס"ט-2009</w:t>
      </w:r>
      <w:r>
        <w:rPr>
          <w:rFonts w:eastAsia="Calibri"/>
          <w:vertAlign w:val="superscript"/>
          <w:rtl/>
        </w:rPr>
        <w:footnoteReference w:id="48"/>
      </w:r>
      <w:r w:rsidRPr="00AA5065">
        <w:rPr>
          <w:rFonts w:eastAsia="Calibri" w:hint="cs"/>
          <w:rtl/>
        </w:rPr>
        <w:t>. בעקבות תיקון החוק, בט"ל רשאי לקבל מידע מרשות המיסים בדבר הכנסותיו של נישום וכיו"ב. אימות מידע זה יאפשר למנוע העלמת מידע מבט</w:t>
      </w:r>
      <w:r w:rsidRPr="00AA5065">
        <w:rPr>
          <w:rFonts w:eastAsia="Calibri"/>
          <w:rtl/>
        </w:rPr>
        <w:t>"</w:t>
      </w:r>
      <w:r w:rsidRPr="00AA5065">
        <w:rPr>
          <w:rFonts w:eastAsia="Calibri" w:hint="cs"/>
          <w:rtl/>
        </w:rPr>
        <w:t>ל, בין היתר בקשר לקביעת הזכאות של נישום לגמלה.</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בביקורת הקודמת</w:t>
      </w:r>
      <w:r w:rsidRPr="00AA5065">
        <w:rPr>
          <w:rFonts w:eastAsia="Calibri" w:hint="eastAsia"/>
          <w:rtl/>
        </w:rPr>
        <w:t xml:space="preserve"> </w:t>
      </w:r>
      <w:r w:rsidRPr="00AA5065">
        <w:rPr>
          <w:rFonts w:eastAsia="Calibri" w:hint="cs"/>
          <w:rtl/>
        </w:rPr>
        <w:t xml:space="preserve">נמצא כי בדרך </w:t>
      </w:r>
      <w:r w:rsidRPr="00AA5065">
        <w:rPr>
          <w:rFonts w:eastAsia="Calibri" w:hint="eastAsia"/>
          <w:rtl/>
        </w:rPr>
        <w:t>כלל</w:t>
      </w:r>
      <w:r w:rsidRPr="00AA5065">
        <w:rPr>
          <w:rFonts w:eastAsia="Calibri"/>
          <w:rtl/>
        </w:rPr>
        <w:t xml:space="preserve"> </w:t>
      </w:r>
      <w:r w:rsidRPr="00AA5065">
        <w:rPr>
          <w:rFonts w:eastAsia="Calibri" w:hint="cs"/>
          <w:rtl/>
        </w:rPr>
        <w:t>בט"ל</w:t>
      </w:r>
      <w:r w:rsidRPr="00AA5065">
        <w:rPr>
          <w:rFonts w:eastAsia="Calibri"/>
          <w:rtl/>
        </w:rPr>
        <w:t xml:space="preserve"> </w:t>
      </w:r>
      <w:r w:rsidRPr="00AA5065">
        <w:rPr>
          <w:rFonts w:eastAsia="Calibri" w:hint="eastAsia"/>
          <w:rtl/>
        </w:rPr>
        <w:t>אינו</w:t>
      </w:r>
      <w:r w:rsidRPr="00AA5065">
        <w:rPr>
          <w:rFonts w:eastAsia="Calibri"/>
          <w:rtl/>
        </w:rPr>
        <w:t xml:space="preserve"> </w:t>
      </w:r>
      <w:r w:rsidRPr="00AA5065">
        <w:rPr>
          <w:rFonts w:eastAsia="Calibri" w:hint="eastAsia"/>
          <w:rtl/>
        </w:rPr>
        <w:t>דורש</w:t>
      </w:r>
      <w:r w:rsidRPr="00AA5065">
        <w:rPr>
          <w:rFonts w:eastAsia="Calibri"/>
          <w:rtl/>
        </w:rPr>
        <w:t xml:space="preserve"> </w:t>
      </w:r>
      <w:r w:rsidRPr="00AA5065">
        <w:rPr>
          <w:rFonts w:eastAsia="Calibri" w:hint="eastAsia"/>
          <w:rtl/>
        </w:rPr>
        <w:t>מידע</w:t>
      </w:r>
      <w:r w:rsidRPr="00AA5065">
        <w:rPr>
          <w:rFonts w:eastAsia="Calibri"/>
          <w:rtl/>
        </w:rPr>
        <w:t xml:space="preserve"> </w:t>
      </w:r>
      <w:r w:rsidRPr="00AA5065">
        <w:rPr>
          <w:rFonts w:eastAsia="Calibri" w:hint="eastAsia"/>
          <w:rtl/>
        </w:rPr>
        <w:t>המצוי</w:t>
      </w:r>
      <w:r w:rsidRPr="00AA5065">
        <w:rPr>
          <w:rFonts w:eastAsia="Calibri"/>
          <w:rtl/>
        </w:rPr>
        <w:t xml:space="preserve"> </w:t>
      </w:r>
      <w:r w:rsidRPr="00AA5065">
        <w:rPr>
          <w:rFonts w:eastAsia="Calibri" w:hint="eastAsia"/>
          <w:rtl/>
        </w:rPr>
        <w:t>בחזקת</w:t>
      </w:r>
      <w:r w:rsidRPr="00AA5065">
        <w:rPr>
          <w:rFonts w:eastAsia="Calibri"/>
          <w:rtl/>
        </w:rPr>
        <w:t xml:space="preserve"> </w:t>
      </w:r>
      <w:r w:rsidRPr="00AA5065">
        <w:rPr>
          <w:rFonts w:eastAsia="Calibri" w:hint="eastAsia"/>
          <w:rtl/>
        </w:rPr>
        <w:t>רשות</w:t>
      </w:r>
      <w:r w:rsidRPr="00AA5065">
        <w:rPr>
          <w:rFonts w:eastAsia="Calibri"/>
          <w:rtl/>
        </w:rPr>
        <w:t xml:space="preserve"> </w:t>
      </w:r>
      <w:r w:rsidRPr="00AA5065">
        <w:rPr>
          <w:rFonts w:eastAsia="Calibri" w:hint="eastAsia"/>
          <w:rtl/>
        </w:rPr>
        <w:t>המ</w:t>
      </w:r>
      <w:r w:rsidRPr="00AA5065">
        <w:rPr>
          <w:rFonts w:eastAsia="Calibri" w:hint="cs"/>
          <w:rtl/>
        </w:rPr>
        <w:t>י</w:t>
      </w:r>
      <w:r w:rsidRPr="00AA5065">
        <w:rPr>
          <w:rFonts w:eastAsia="Calibri" w:hint="eastAsia"/>
          <w:rtl/>
        </w:rPr>
        <w:t>סים</w:t>
      </w:r>
      <w:r w:rsidRPr="00AA5065">
        <w:rPr>
          <w:rFonts w:eastAsia="Calibri"/>
          <w:rtl/>
        </w:rPr>
        <w:t xml:space="preserve"> </w:t>
      </w:r>
      <w:r w:rsidRPr="00AA5065">
        <w:rPr>
          <w:rFonts w:eastAsia="Calibri" w:hint="eastAsia"/>
          <w:rtl/>
        </w:rPr>
        <w:t>לצורך</w:t>
      </w:r>
      <w:r w:rsidRPr="00AA5065">
        <w:rPr>
          <w:rFonts w:eastAsia="Calibri"/>
          <w:rtl/>
        </w:rPr>
        <w:t xml:space="preserve"> </w:t>
      </w:r>
      <w:r w:rsidRPr="00AA5065">
        <w:rPr>
          <w:rFonts w:eastAsia="Calibri" w:hint="eastAsia"/>
          <w:rtl/>
        </w:rPr>
        <w:t>בדיקה</w:t>
      </w:r>
      <w:r w:rsidRPr="00AA5065">
        <w:rPr>
          <w:rFonts w:eastAsia="Calibri"/>
          <w:rtl/>
        </w:rPr>
        <w:t xml:space="preserve"> </w:t>
      </w:r>
      <w:r w:rsidRPr="00AA5065">
        <w:rPr>
          <w:rFonts w:eastAsia="Calibri" w:hint="eastAsia"/>
          <w:rtl/>
        </w:rPr>
        <w:t>אם</w:t>
      </w:r>
      <w:r w:rsidRPr="00AA5065">
        <w:rPr>
          <w:rFonts w:eastAsia="Calibri"/>
          <w:rtl/>
        </w:rPr>
        <w:t xml:space="preserve"> </w:t>
      </w:r>
      <w:r w:rsidRPr="00AA5065">
        <w:rPr>
          <w:rFonts w:eastAsia="Calibri" w:hint="eastAsia"/>
          <w:rtl/>
        </w:rPr>
        <w:t>האזרח</w:t>
      </w:r>
      <w:r w:rsidRPr="00AA5065">
        <w:rPr>
          <w:rFonts w:eastAsia="Calibri"/>
          <w:rtl/>
        </w:rPr>
        <w:t xml:space="preserve"> </w:t>
      </w:r>
      <w:r w:rsidRPr="00AA5065">
        <w:rPr>
          <w:rFonts w:eastAsia="Calibri" w:hint="eastAsia"/>
          <w:rtl/>
        </w:rPr>
        <w:t>אכן</w:t>
      </w:r>
      <w:r w:rsidRPr="00AA5065">
        <w:rPr>
          <w:rFonts w:eastAsia="Calibri"/>
          <w:rtl/>
        </w:rPr>
        <w:t xml:space="preserve"> </w:t>
      </w:r>
      <w:r w:rsidRPr="00AA5065">
        <w:rPr>
          <w:rFonts w:eastAsia="Calibri" w:hint="eastAsia"/>
          <w:rtl/>
        </w:rPr>
        <w:t>זכאי</w:t>
      </w:r>
      <w:r w:rsidRPr="00AA5065">
        <w:rPr>
          <w:rFonts w:eastAsia="Calibri"/>
          <w:rtl/>
        </w:rPr>
        <w:t xml:space="preserve"> </w:t>
      </w:r>
      <w:r w:rsidRPr="00AA5065">
        <w:rPr>
          <w:rFonts w:eastAsia="Calibri" w:hint="eastAsia"/>
          <w:rtl/>
        </w:rPr>
        <w:t>לקבל</w:t>
      </w:r>
      <w:r w:rsidRPr="00AA5065">
        <w:rPr>
          <w:rFonts w:eastAsia="Calibri"/>
          <w:rtl/>
        </w:rPr>
        <w:t xml:space="preserve"> </w:t>
      </w:r>
      <w:r w:rsidRPr="00AA5065">
        <w:rPr>
          <w:rFonts w:eastAsia="Calibri" w:hint="eastAsia"/>
          <w:rtl/>
        </w:rPr>
        <w:t>קצבאות</w:t>
      </w:r>
      <w:r w:rsidRPr="00AA5065">
        <w:rPr>
          <w:rFonts w:eastAsia="Calibri"/>
          <w:rtl/>
        </w:rPr>
        <w:t xml:space="preserve"> </w:t>
      </w:r>
      <w:r w:rsidRPr="00AA5065">
        <w:rPr>
          <w:rFonts w:eastAsia="Calibri" w:hint="eastAsia"/>
          <w:rtl/>
        </w:rPr>
        <w:t>המשולמות</w:t>
      </w:r>
      <w:r w:rsidRPr="00AA5065">
        <w:rPr>
          <w:rFonts w:eastAsia="Calibri" w:hint="cs"/>
          <w:rtl/>
        </w:rPr>
        <w:t xml:space="preserve"> לו, וזאת</w:t>
      </w:r>
      <w:r w:rsidRPr="00AA5065">
        <w:rPr>
          <w:rFonts w:eastAsia="Calibri"/>
          <w:rtl/>
        </w:rPr>
        <w:t xml:space="preserve"> </w:t>
      </w:r>
      <w:r w:rsidRPr="00AA5065">
        <w:rPr>
          <w:rFonts w:eastAsia="Calibri" w:hint="eastAsia"/>
          <w:rtl/>
        </w:rPr>
        <w:t>על</w:t>
      </w:r>
      <w:r w:rsidRPr="00AA5065">
        <w:rPr>
          <w:rFonts w:eastAsia="Calibri"/>
          <w:rtl/>
        </w:rPr>
        <w:t xml:space="preserve"> </w:t>
      </w:r>
      <w:r w:rsidRPr="00AA5065">
        <w:rPr>
          <w:rFonts w:eastAsia="Calibri" w:hint="eastAsia"/>
          <w:rtl/>
        </w:rPr>
        <w:t>בסיס</w:t>
      </w:r>
      <w:r w:rsidRPr="00AA5065">
        <w:rPr>
          <w:rFonts w:eastAsia="Calibri"/>
          <w:rtl/>
        </w:rPr>
        <w:t xml:space="preserve"> </w:t>
      </w:r>
      <w:r w:rsidRPr="00AA5065">
        <w:rPr>
          <w:rFonts w:eastAsia="Calibri" w:hint="cs"/>
          <w:rtl/>
        </w:rPr>
        <w:t>ה</w:t>
      </w:r>
      <w:r w:rsidRPr="00AA5065">
        <w:rPr>
          <w:rFonts w:eastAsia="Calibri" w:hint="eastAsia"/>
          <w:rtl/>
        </w:rPr>
        <w:t>הנחה</w:t>
      </w:r>
      <w:r w:rsidRPr="00AA5065">
        <w:rPr>
          <w:rFonts w:eastAsia="Calibri"/>
          <w:rtl/>
        </w:rPr>
        <w:t xml:space="preserve"> </w:t>
      </w:r>
      <w:r w:rsidRPr="00AA5065">
        <w:rPr>
          <w:rFonts w:eastAsia="Calibri" w:hint="eastAsia"/>
          <w:rtl/>
        </w:rPr>
        <w:t>כי</w:t>
      </w:r>
      <w:r w:rsidRPr="00AA5065">
        <w:rPr>
          <w:rFonts w:eastAsia="Calibri"/>
          <w:rtl/>
        </w:rPr>
        <w:t xml:space="preserve"> </w:t>
      </w:r>
      <w:r w:rsidRPr="00AA5065">
        <w:rPr>
          <w:rFonts w:eastAsia="Calibri" w:hint="eastAsia"/>
          <w:rtl/>
        </w:rPr>
        <w:t>אינו</w:t>
      </w:r>
      <w:r w:rsidRPr="00AA5065">
        <w:rPr>
          <w:rFonts w:eastAsia="Calibri"/>
          <w:rtl/>
        </w:rPr>
        <w:t xml:space="preserve"> </w:t>
      </w:r>
      <w:r w:rsidRPr="00AA5065">
        <w:rPr>
          <w:rFonts w:eastAsia="Calibri" w:hint="eastAsia"/>
          <w:rtl/>
        </w:rPr>
        <w:t>עובד</w:t>
      </w:r>
      <w:r w:rsidRPr="00AA5065">
        <w:rPr>
          <w:rFonts w:eastAsia="Calibri"/>
          <w:rtl/>
        </w:rPr>
        <w:t xml:space="preserve"> </w:t>
      </w:r>
      <w:r w:rsidRPr="00AA5065">
        <w:rPr>
          <w:rFonts w:eastAsia="Calibri" w:hint="eastAsia"/>
          <w:rtl/>
        </w:rPr>
        <w:t>או</w:t>
      </w:r>
      <w:r w:rsidRPr="00AA5065">
        <w:rPr>
          <w:rFonts w:eastAsia="Calibri"/>
          <w:rtl/>
        </w:rPr>
        <w:t xml:space="preserve"> </w:t>
      </w:r>
      <w:r w:rsidRPr="00AA5065">
        <w:rPr>
          <w:rFonts w:eastAsia="Calibri" w:hint="cs"/>
          <w:rtl/>
        </w:rPr>
        <w:t>שה</w:t>
      </w:r>
      <w:r w:rsidRPr="00AA5065">
        <w:rPr>
          <w:rFonts w:eastAsia="Calibri" w:hint="eastAsia"/>
          <w:rtl/>
        </w:rPr>
        <w:t>כנסות</w:t>
      </w:r>
      <w:r w:rsidRPr="00AA5065">
        <w:rPr>
          <w:rFonts w:eastAsia="Calibri" w:hint="cs"/>
          <w:rtl/>
        </w:rPr>
        <w:t>יו</w:t>
      </w:r>
      <w:r w:rsidRPr="00AA5065">
        <w:rPr>
          <w:rFonts w:eastAsia="Calibri"/>
          <w:rtl/>
        </w:rPr>
        <w:t xml:space="preserve"> </w:t>
      </w:r>
      <w:r w:rsidRPr="00AA5065">
        <w:rPr>
          <w:rFonts w:eastAsia="Calibri" w:hint="eastAsia"/>
          <w:rtl/>
        </w:rPr>
        <w:t>נמוכות</w:t>
      </w:r>
      <w:r w:rsidRPr="00AA5065">
        <w:rPr>
          <w:rFonts w:eastAsia="Calibri"/>
          <w:rtl/>
        </w:rPr>
        <w:t>.</w:t>
      </w:r>
      <w:r w:rsidRPr="00AA5065">
        <w:rPr>
          <w:rFonts w:eastAsia="Calibri" w:hint="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בדוח הקודם ה</w:t>
      </w:r>
      <w:r w:rsidRPr="00AA5065">
        <w:rPr>
          <w:rFonts w:eastAsia="Calibri" w:hint="eastAsia"/>
          <w:rtl/>
        </w:rPr>
        <w:t>ומלץ</w:t>
      </w:r>
      <w:r w:rsidRPr="00AA5065">
        <w:rPr>
          <w:rFonts w:eastAsia="Calibri"/>
          <w:rtl/>
        </w:rPr>
        <w:t xml:space="preserve"> כי </w:t>
      </w:r>
      <w:r w:rsidRPr="00AA5065">
        <w:rPr>
          <w:rFonts w:eastAsia="Calibri" w:hint="eastAsia"/>
          <w:rtl/>
        </w:rPr>
        <w:t>בט</w:t>
      </w:r>
      <w:r w:rsidRPr="00AA5065">
        <w:rPr>
          <w:rFonts w:eastAsia="Calibri"/>
          <w:rtl/>
        </w:rPr>
        <w:t>"</w:t>
      </w:r>
      <w:r w:rsidRPr="00AA5065">
        <w:rPr>
          <w:rFonts w:eastAsia="Calibri" w:hint="eastAsia"/>
          <w:rtl/>
        </w:rPr>
        <w:t>ל</w:t>
      </w:r>
      <w:r w:rsidRPr="00AA5065">
        <w:rPr>
          <w:rFonts w:eastAsia="Calibri"/>
          <w:rtl/>
        </w:rPr>
        <w:t xml:space="preserve"> ור</w:t>
      </w:r>
      <w:r w:rsidRPr="00AA5065">
        <w:rPr>
          <w:rFonts w:eastAsia="Calibri" w:hint="cs"/>
          <w:rtl/>
        </w:rPr>
        <w:t>ש</w:t>
      </w:r>
      <w:r w:rsidRPr="00AA5065">
        <w:rPr>
          <w:rFonts w:eastAsia="Calibri"/>
          <w:rtl/>
        </w:rPr>
        <w:t xml:space="preserve">ות המיסים </w:t>
      </w:r>
      <w:r w:rsidRPr="00AA5065">
        <w:rPr>
          <w:rFonts w:eastAsia="Calibri" w:hint="eastAsia"/>
          <w:rtl/>
        </w:rPr>
        <w:t>יבחנו</w:t>
      </w:r>
      <w:r w:rsidRPr="00AA5065">
        <w:rPr>
          <w:rFonts w:eastAsia="Calibri"/>
          <w:rtl/>
        </w:rPr>
        <w:t xml:space="preserve"> </w:t>
      </w:r>
      <w:r w:rsidRPr="00AA5065">
        <w:rPr>
          <w:rFonts w:eastAsia="Calibri" w:hint="eastAsia"/>
          <w:rtl/>
        </w:rPr>
        <w:t>דרכים</w:t>
      </w:r>
      <w:r w:rsidRPr="00AA5065">
        <w:rPr>
          <w:rFonts w:eastAsia="Calibri"/>
          <w:rtl/>
        </w:rPr>
        <w:t xml:space="preserve"> </w:t>
      </w:r>
      <w:r w:rsidRPr="00AA5065">
        <w:rPr>
          <w:rFonts w:eastAsia="Calibri" w:hint="cs"/>
          <w:rtl/>
        </w:rPr>
        <w:t>לשפר את</w:t>
      </w:r>
      <w:r w:rsidRPr="00AA5065">
        <w:rPr>
          <w:rFonts w:eastAsia="Calibri"/>
          <w:rtl/>
        </w:rPr>
        <w:t xml:space="preserve"> </w:t>
      </w:r>
      <w:r w:rsidRPr="00AA5065">
        <w:rPr>
          <w:rFonts w:eastAsia="Calibri" w:hint="eastAsia"/>
          <w:rtl/>
        </w:rPr>
        <w:t>שיתוף</w:t>
      </w:r>
      <w:r w:rsidRPr="00AA5065">
        <w:rPr>
          <w:rFonts w:eastAsia="Calibri"/>
          <w:rtl/>
        </w:rPr>
        <w:t xml:space="preserve"> </w:t>
      </w:r>
      <w:r w:rsidRPr="00AA5065">
        <w:rPr>
          <w:rFonts w:eastAsia="Calibri" w:hint="cs"/>
          <w:rtl/>
        </w:rPr>
        <w:t>ה</w:t>
      </w:r>
      <w:r w:rsidRPr="00AA5065">
        <w:rPr>
          <w:rFonts w:eastAsia="Calibri" w:hint="eastAsia"/>
          <w:rtl/>
        </w:rPr>
        <w:t>פעולה</w:t>
      </w:r>
      <w:r w:rsidRPr="00AA5065">
        <w:rPr>
          <w:rFonts w:eastAsia="Calibri"/>
          <w:rtl/>
        </w:rPr>
        <w:t xml:space="preserve"> </w:t>
      </w:r>
      <w:r w:rsidRPr="00AA5065">
        <w:rPr>
          <w:rFonts w:eastAsia="Calibri" w:hint="cs"/>
          <w:rtl/>
        </w:rPr>
        <w:t>ביניהם</w:t>
      </w:r>
      <w:r w:rsidRPr="00AA5065">
        <w:rPr>
          <w:rFonts w:eastAsia="Calibri"/>
          <w:rtl/>
        </w:rPr>
        <w:t xml:space="preserve"> </w:t>
      </w:r>
      <w:r w:rsidRPr="00AA5065">
        <w:rPr>
          <w:rFonts w:eastAsia="Calibri" w:hint="cs"/>
          <w:rtl/>
        </w:rPr>
        <w:t>כדי</w:t>
      </w:r>
      <w:r w:rsidRPr="00AA5065">
        <w:rPr>
          <w:rFonts w:eastAsia="Calibri"/>
          <w:rtl/>
        </w:rPr>
        <w:t xml:space="preserve"> </w:t>
      </w:r>
      <w:r w:rsidRPr="00AA5065">
        <w:rPr>
          <w:rFonts w:eastAsia="Calibri" w:hint="eastAsia"/>
          <w:rtl/>
        </w:rPr>
        <w:t>לקדם</w:t>
      </w:r>
      <w:r w:rsidRPr="00AA5065">
        <w:rPr>
          <w:rFonts w:eastAsia="Calibri"/>
          <w:rtl/>
        </w:rPr>
        <w:t xml:space="preserve"> </w:t>
      </w:r>
      <w:r w:rsidRPr="00AA5065">
        <w:rPr>
          <w:rFonts w:eastAsia="Calibri" w:hint="eastAsia"/>
          <w:rtl/>
        </w:rPr>
        <w:t>את</w:t>
      </w:r>
      <w:r w:rsidRPr="00AA5065">
        <w:rPr>
          <w:rFonts w:eastAsia="Calibri"/>
          <w:rtl/>
        </w:rPr>
        <w:t xml:space="preserve"> </w:t>
      </w:r>
      <w:r w:rsidRPr="00AA5065">
        <w:rPr>
          <w:rFonts w:eastAsia="Calibri" w:hint="eastAsia"/>
          <w:rtl/>
        </w:rPr>
        <w:t>יעדי</w:t>
      </w:r>
      <w:r w:rsidRPr="00AA5065">
        <w:rPr>
          <w:rFonts w:eastAsia="Calibri" w:hint="cs"/>
          <w:rtl/>
        </w:rPr>
        <w:t>הם</w:t>
      </w:r>
      <w:r w:rsidRPr="00AA5065">
        <w:rPr>
          <w:rFonts w:eastAsia="Calibri"/>
          <w:rtl/>
        </w:rPr>
        <w:t xml:space="preserve">, </w:t>
      </w:r>
      <w:r w:rsidRPr="00AA5065">
        <w:rPr>
          <w:rFonts w:eastAsia="Calibri" w:hint="eastAsia"/>
          <w:rtl/>
        </w:rPr>
        <w:t>בפרט</w:t>
      </w:r>
      <w:r w:rsidRPr="00AA5065">
        <w:rPr>
          <w:rFonts w:eastAsia="Calibri"/>
          <w:rtl/>
        </w:rPr>
        <w:t xml:space="preserve"> </w:t>
      </w:r>
      <w:r w:rsidRPr="00AA5065">
        <w:rPr>
          <w:rFonts w:eastAsia="Calibri" w:hint="eastAsia"/>
          <w:rtl/>
        </w:rPr>
        <w:t>בכל</w:t>
      </w:r>
      <w:r w:rsidRPr="00AA5065">
        <w:rPr>
          <w:rFonts w:eastAsia="Calibri"/>
          <w:rtl/>
        </w:rPr>
        <w:t xml:space="preserve"> </w:t>
      </w:r>
      <w:r w:rsidRPr="00AA5065">
        <w:rPr>
          <w:rFonts w:eastAsia="Calibri" w:hint="eastAsia"/>
          <w:rtl/>
        </w:rPr>
        <w:t>הנוגע</w:t>
      </w:r>
      <w:r w:rsidRPr="00AA5065">
        <w:rPr>
          <w:rFonts w:eastAsia="Calibri"/>
          <w:rtl/>
        </w:rPr>
        <w:t xml:space="preserve"> </w:t>
      </w:r>
      <w:r w:rsidRPr="00AA5065">
        <w:rPr>
          <w:rFonts w:eastAsia="Calibri" w:hint="eastAsia"/>
          <w:rtl/>
        </w:rPr>
        <w:t>לאוכלוסייה</w:t>
      </w:r>
      <w:r w:rsidRPr="00AA5065">
        <w:rPr>
          <w:rFonts w:eastAsia="Calibri"/>
          <w:rtl/>
        </w:rPr>
        <w:t xml:space="preserve"> </w:t>
      </w:r>
      <w:r w:rsidRPr="00AA5065">
        <w:rPr>
          <w:rFonts w:eastAsia="Calibri" w:hint="eastAsia"/>
          <w:rtl/>
        </w:rPr>
        <w:t>הלא</w:t>
      </w:r>
      <w:r w:rsidRPr="00AA5065">
        <w:rPr>
          <w:rFonts w:eastAsia="Calibri" w:hint="cs"/>
          <w:rtl/>
        </w:rPr>
        <w:t>-</w:t>
      </w:r>
      <w:r w:rsidRPr="00AA5065">
        <w:rPr>
          <w:rFonts w:eastAsia="Calibri" w:hint="eastAsia"/>
          <w:rtl/>
        </w:rPr>
        <w:t>יהודית</w:t>
      </w:r>
      <w:r w:rsidRPr="00AA5065">
        <w:rPr>
          <w:rFonts w:eastAsia="Calibri"/>
          <w:rtl/>
        </w:rPr>
        <w:t xml:space="preserve"> </w:t>
      </w:r>
      <w:r w:rsidRPr="00AA5065">
        <w:rPr>
          <w:rFonts w:eastAsia="Calibri" w:hint="eastAsia"/>
          <w:rtl/>
        </w:rPr>
        <w:t>בנגב</w:t>
      </w:r>
      <w:r w:rsidRPr="00AA5065">
        <w:rPr>
          <w:rFonts w:eastAsia="Calibri" w:hint="cs"/>
          <w:rtl/>
        </w:rPr>
        <w:t>,</w:t>
      </w:r>
      <w:r w:rsidRPr="00AA5065">
        <w:rPr>
          <w:rFonts w:eastAsia="Calibri"/>
          <w:rtl/>
        </w:rPr>
        <w:t xml:space="preserve"> </w:t>
      </w:r>
      <w:r w:rsidRPr="00AA5065">
        <w:rPr>
          <w:rFonts w:eastAsia="Calibri" w:hint="cs"/>
          <w:rtl/>
        </w:rPr>
        <w:t>שמצד אחד</w:t>
      </w:r>
      <w:r w:rsidRPr="00AA5065">
        <w:rPr>
          <w:rFonts w:eastAsia="Calibri"/>
          <w:rtl/>
        </w:rPr>
        <w:t xml:space="preserve"> כאמור חלקה בגמלאות בט"ל גבוה ביחס לכלל האוכלוסייה</w:t>
      </w:r>
      <w:r w:rsidRPr="00AA5065">
        <w:rPr>
          <w:rFonts w:eastAsia="Calibri" w:hint="cs"/>
          <w:rtl/>
        </w:rPr>
        <w:t>,</w:t>
      </w:r>
      <w:r w:rsidRPr="00AA5065">
        <w:rPr>
          <w:rFonts w:eastAsia="Calibri"/>
          <w:rtl/>
        </w:rPr>
        <w:t xml:space="preserve"> </w:t>
      </w:r>
      <w:r w:rsidRPr="00AA5065">
        <w:rPr>
          <w:rFonts w:eastAsia="Calibri" w:hint="cs"/>
          <w:rtl/>
        </w:rPr>
        <w:t>ומצד שני</w:t>
      </w:r>
      <w:r w:rsidRPr="00AA5065">
        <w:rPr>
          <w:rFonts w:eastAsia="Calibri"/>
          <w:rtl/>
        </w:rPr>
        <w:t xml:space="preserve"> האכיפה </w:t>
      </w:r>
      <w:r w:rsidRPr="00AA5065">
        <w:rPr>
          <w:rFonts w:eastAsia="Calibri" w:hint="cs"/>
          <w:rtl/>
        </w:rPr>
        <w:t>כלפיה</w:t>
      </w:r>
      <w:r w:rsidRPr="00AA5065">
        <w:rPr>
          <w:rFonts w:eastAsia="Calibri"/>
          <w:rtl/>
        </w:rPr>
        <w:t xml:space="preserve"> ברשות המיסים טעונה שיפור. </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lang w:eastAsia="he-IL"/>
        </w:rPr>
      </w:pPr>
      <w:r w:rsidRPr="00AA5065">
        <w:rPr>
          <w:rFonts w:eastAsia="Times New Roman" w:hint="cs"/>
          <w:bCs/>
          <w:spacing w:val="40"/>
          <w:rtl/>
          <w:lang w:eastAsia="he-IL"/>
        </w:rPr>
        <w:t>ביקורת המעקב</w:t>
      </w:r>
    </w:p>
    <w:p w:rsidR="00AA5065" w:rsidRPr="00AA5065" w:rsidP="00860D89">
      <w:pPr>
        <w:spacing w:line="269" w:lineRule="auto"/>
        <w:ind w:left="-567"/>
        <w:rPr>
          <w:rFonts w:eastAsia="Calibri"/>
          <w:szCs w:val="20"/>
          <w:rtl/>
          <w:lang w:eastAsia="he-IL"/>
        </w:rPr>
      </w:pPr>
    </w:p>
    <w:p w:rsidR="00AA5065" w:rsidRPr="00AA5065" w:rsidP="00860D89">
      <w:pPr>
        <w:spacing w:line="269" w:lineRule="auto"/>
        <w:rPr>
          <w:rFonts w:eastAsia="Calibri"/>
          <w:rtl/>
        </w:rPr>
      </w:pPr>
      <w:r w:rsidRPr="00AA5065">
        <w:rPr>
          <w:rFonts w:eastAsia="Calibri" w:hint="cs"/>
          <w:rtl/>
        </w:rPr>
        <w:t>מנהלת אגף פניות הציבור של בט</w:t>
      </w:r>
      <w:r w:rsidRPr="00AA5065">
        <w:rPr>
          <w:rFonts w:eastAsia="Calibri"/>
          <w:rtl/>
        </w:rPr>
        <w:t>"</w:t>
      </w:r>
      <w:r w:rsidRPr="00AA5065">
        <w:rPr>
          <w:rFonts w:eastAsia="Calibri" w:hint="cs"/>
          <w:rtl/>
        </w:rPr>
        <w:t xml:space="preserve">ל </w:t>
      </w:r>
      <w:r w:rsidRPr="00AA5065">
        <w:rPr>
          <w:rFonts w:eastAsia="Calibri" w:hint="eastAsia"/>
          <w:rtl/>
        </w:rPr>
        <w:t>מסרה</w:t>
      </w:r>
      <w:r w:rsidRPr="00AA5065">
        <w:rPr>
          <w:rFonts w:eastAsia="Calibri"/>
          <w:rtl/>
        </w:rPr>
        <w:t xml:space="preserve"> </w:t>
      </w:r>
      <w:r w:rsidRPr="00AA5065">
        <w:rPr>
          <w:rFonts w:eastAsia="Calibri" w:hint="eastAsia"/>
          <w:rtl/>
        </w:rPr>
        <w:t>לצוות</w:t>
      </w:r>
      <w:r w:rsidRPr="00AA5065">
        <w:rPr>
          <w:rFonts w:eastAsia="Calibri"/>
          <w:rtl/>
        </w:rPr>
        <w:t xml:space="preserve"> </w:t>
      </w:r>
      <w:r w:rsidRPr="00AA5065">
        <w:rPr>
          <w:rFonts w:eastAsia="Calibri" w:hint="eastAsia"/>
          <w:rtl/>
        </w:rPr>
        <w:t>הביקורת</w:t>
      </w:r>
      <w:r w:rsidRPr="00AA5065">
        <w:rPr>
          <w:rFonts w:eastAsia="Calibri" w:hint="cs"/>
          <w:rtl/>
        </w:rPr>
        <w:t xml:space="preserve"> בנובמבר 2024 כי "</w:t>
      </w:r>
      <w:r w:rsidRPr="00AA5065">
        <w:rPr>
          <w:rFonts w:eastAsia="Calibri"/>
          <w:rtl/>
        </w:rPr>
        <w:t>בבירור שערכתי מול גורמי המקצוע</w:t>
      </w:r>
      <w:r w:rsidRPr="00AA5065">
        <w:rPr>
          <w:rFonts w:eastAsia="Calibri" w:hint="cs"/>
          <w:rtl/>
        </w:rPr>
        <w:t xml:space="preserve"> </w:t>
      </w:r>
      <w:r w:rsidRPr="00AA5065">
        <w:rPr>
          <w:rFonts w:eastAsia="Calibri"/>
          <w:rtl/>
        </w:rPr>
        <w:t>- לא ידוע על דיונים בינינו לבין רשות המיסים על מנת לקדם נוהל או תיקוני חקיקה שיאפשרו עיכוב גמלאות שונות לחייבים לרשות המיסים</w:t>
      </w:r>
      <w:r w:rsidRPr="00AA5065">
        <w:rPr>
          <w:rFonts w:eastAsia="Calibri" w:hint="cs"/>
          <w:rtl/>
        </w:rPr>
        <w:t>"</w:t>
      </w:r>
      <w:r w:rsidRPr="00AA5065">
        <w:rPr>
          <w:rFonts w:eastAsia="Calibri"/>
          <w:rtl/>
        </w:rPr>
        <w:t>.</w:t>
      </w:r>
      <w:r w:rsidRPr="00AA5065">
        <w:rPr>
          <w:rFonts w:eastAsia="Calibri" w:hint="cs"/>
          <w:rtl/>
        </w:rPr>
        <w:t xml:space="preserve"> בבירור נוסף שבוצע בינואר 2025 מסרה נציגה ממינהל המחקר והתכנון של בט</w:t>
      </w:r>
      <w:r w:rsidRPr="00AA5065">
        <w:rPr>
          <w:rFonts w:eastAsia="Calibri"/>
          <w:rtl/>
        </w:rPr>
        <w:t>"</w:t>
      </w:r>
      <w:r w:rsidRPr="00AA5065">
        <w:rPr>
          <w:rFonts w:eastAsia="Calibri" w:hint="cs"/>
          <w:rtl/>
        </w:rPr>
        <w:t>ל לצוות הביקורת כי אין ברשותם מידע לגבי</w:t>
      </w:r>
      <w:r w:rsidRPr="00AA5065">
        <w:rPr>
          <w:rFonts w:eastAsia="Calibri"/>
          <w:rtl/>
        </w:rPr>
        <w:t xml:space="preserve"> </w:t>
      </w:r>
      <w:r w:rsidRPr="00AA5065">
        <w:rPr>
          <w:rFonts w:eastAsia="Calibri" w:hint="cs"/>
          <w:rtl/>
        </w:rPr>
        <w:t>מספר</w:t>
      </w:r>
      <w:r w:rsidRPr="00AA5065">
        <w:rPr>
          <w:rFonts w:eastAsia="Calibri"/>
          <w:rtl/>
        </w:rPr>
        <w:t xml:space="preserve"> </w:t>
      </w:r>
      <w:r w:rsidRPr="00AA5065">
        <w:rPr>
          <w:rFonts w:eastAsia="Calibri" w:hint="cs"/>
          <w:rtl/>
        </w:rPr>
        <w:t>הפניות של</w:t>
      </w:r>
      <w:r w:rsidRPr="00AA5065">
        <w:rPr>
          <w:rFonts w:eastAsia="Calibri"/>
          <w:rtl/>
        </w:rPr>
        <w:t xml:space="preserve"> </w:t>
      </w:r>
      <w:r w:rsidRPr="00AA5065">
        <w:rPr>
          <w:rFonts w:eastAsia="Calibri" w:hint="cs"/>
          <w:rtl/>
        </w:rPr>
        <w:t>בט"ל</w:t>
      </w:r>
      <w:r w:rsidRPr="00AA5065">
        <w:rPr>
          <w:rFonts w:eastAsia="Calibri"/>
          <w:rtl/>
        </w:rPr>
        <w:t xml:space="preserve"> לרשות המיסים בשנים 2020</w:t>
      </w:r>
      <w:r w:rsidRPr="00AA5065">
        <w:rPr>
          <w:rFonts w:eastAsia="Calibri" w:hint="cs"/>
          <w:rtl/>
        </w:rPr>
        <w:t xml:space="preserve"> עד </w:t>
      </w:r>
      <w:r w:rsidRPr="00AA5065">
        <w:rPr>
          <w:rFonts w:eastAsia="Calibri"/>
          <w:rtl/>
        </w:rPr>
        <w:t xml:space="preserve">2024 בבקשה לקבלת מידע </w:t>
      </w:r>
      <w:r w:rsidRPr="00AA5065">
        <w:rPr>
          <w:rFonts w:eastAsia="Calibri" w:hint="cs"/>
          <w:rtl/>
        </w:rPr>
        <w:t>בנוגע</w:t>
      </w:r>
      <w:r w:rsidRPr="00AA5065">
        <w:rPr>
          <w:rFonts w:eastAsia="Calibri"/>
          <w:rtl/>
        </w:rPr>
        <w:t xml:space="preserve"> </w:t>
      </w:r>
      <w:r w:rsidRPr="00AA5065">
        <w:rPr>
          <w:rFonts w:eastAsia="Calibri" w:hint="cs"/>
          <w:rtl/>
        </w:rPr>
        <w:t>לזכאות</w:t>
      </w:r>
      <w:r w:rsidRPr="00AA5065">
        <w:rPr>
          <w:rFonts w:eastAsia="Calibri"/>
          <w:rtl/>
        </w:rPr>
        <w:t xml:space="preserve"> </w:t>
      </w:r>
      <w:r w:rsidRPr="00AA5065">
        <w:rPr>
          <w:rFonts w:eastAsia="Calibri" w:hint="cs"/>
          <w:rtl/>
        </w:rPr>
        <w:t xml:space="preserve">של </w:t>
      </w:r>
      <w:r w:rsidRPr="00AA5065">
        <w:rPr>
          <w:rFonts w:eastAsia="Calibri"/>
          <w:rtl/>
        </w:rPr>
        <w:t>אזרח</w:t>
      </w:r>
      <w:r w:rsidRPr="00AA5065">
        <w:rPr>
          <w:rFonts w:eastAsia="Calibri" w:hint="cs"/>
          <w:rtl/>
        </w:rPr>
        <w:t>ים</w:t>
      </w:r>
      <w:r w:rsidRPr="00AA5065">
        <w:rPr>
          <w:rFonts w:eastAsia="Calibri"/>
          <w:rtl/>
        </w:rPr>
        <w:t xml:space="preserve"> </w:t>
      </w:r>
      <w:r w:rsidRPr="00AA5065">
        <w:rPr>
          <w:rFonts w:eastAsia="Calibri" w:hint="cs"/>
          <w:rtl/>
        </w:rPr>
        <w:t>ל</w:t>
      </w:r>
      <w:r w:rsidRPr="00AA5065">
        <w:rPr>
          <w:rFonts w:eastAsia="Calibri"/>
          <w:rtl/>
        </w:rPr>
        <w:t>קצבאות המשולמות ל</w:t>
      </w:r>
      <w:r w:rsidRPr="00AA5065">
        <w:rPr>
          <w:rFonts w:eastAsia="Calibri" w:hint="cs"/>
          <w:rtl/>
        </w:rPr>
        <w:t>הם.</w:t>
      </w:r>
    </w:p>
    <w:p w:rsidR="00AA5065" w:rsidRPr="00AA5065" w:rsidP="00860D89">
      <w:pPr>
        <w:spacing w:line="269" w:lineRule="auto"/>
        <w:ind w:left="-567"/>
        <w:rPr>
          <w:rFonts w:eastAsia="Calibri"/>
          <w:szCs w:val="20"/>
        </w:rPr>
      </w:pPr>
    </w:p>
    <w:p w:rsidR="00AA5065" w:rsidRPr="00AA5065" w:rsidP="00860D89">
      <w:pPr>
        <w:spacing w:line="269" w:lineRule="auto"/>
        <w:rPr>
          <w:rFonts w:eastAsia="Calibri"/>
          <w:rtl/>
        </w:rPr>
      </w:pPr>
      <w:r w:rsidRPr="00AA5065">
        <w:rPr>
          <w:rFonts w:eastAsia="Calibri" w:hint="cs"/>
          <w:rtl/>
        </w:rPr>
        <w:t xml:space="preserve">ממונה תחום חקירות בין-לאומיות ברשות המיסים מסר ב-10.11.24 לנציגי משרד מבקר המדינה כי </w:t>
      </w:r>
      <w:r w:rsidRPr="00AA5065">
        <w:rPr>
          <w:rFonts w:eastAsia="Calibri"/>
          <w:rtl/>
        </w:rPr>
        <w:t>על פי חוק מע"</w:t>
      </w:r>
      <w:r w:rsidRPr="00AA5065">
        <w:rPr>
          <w:rFonts w:eastAsia="Calibri" w:hint="cs"/>
          <w:rtl/>
        </w:rPr>
        <w:t>ם</w:t>
      </w:r>
      <w:r w:rsidRPr="00AA5065">
        <w:rPr>
          <w:rFonts w:eastAsia="Calibri"/>
          <w:rtl/>
        </w:rPr>
        <w:t xml:space="preserve"> סעיף 108 א</w:t>
      </w:r>
      <w:r w:rsidRPr="00AA5065">
        <w:rPr>
          <w:rFonts w:eastAsia="Calibri" w:hint="cs"/>
          <w:rtl/>
        </w:rPr>
        <w:t>':</w:t>
      </w:r>
      <w:r w:rsidRPr="00AA5065">
        <w:rPr>
          <w:rFonts w:eastAsia="Calibri"/>
          <w:rtl/>
        </w:rPr>
        <w:t xml:space="preserve"> "רשאי המנהל לקבל מהביטוח הלאומי כל מידע שנקבע לפי סעיף קטן (ב) אשר הגיע אל </w:t>
      </w:r>
      <w:r w:rsidRPr="00AA5065">
        <w:rPr>
          <w:rFonts w:eastAsia="Calibri" w:hint="cs"/>
          <w:rtl/>
        </w:rPr>
        <w:t>בט"ל</w:t>
      </w:r>
      <w:r w:rsidRPr="00AA5065">
        <w:rPr>
          <w:rFonts w:eastAsia="Calibri"/>
          <w:rtl/>
        </w:rPr>
        <w:t xml:space="preserve"> אגב ביצוע תפקידו, והנדרש למנהל לצורך מילוי תפקידו על פי כל דין. אין בידי מידע על פניות </w:t>
      </w:r>
      <w:r w:rsidRPr="00AA5065">
        <w:rPr>
          <w:rFonts w:eastAsia="Calibri" w:hint="cs"/>
          <w:rtl/>
        </w:rPr>
        <w:t>לבט"ל</w:t>
      </w:r>
      <w:r w:rsidRPr="00AA5065">
        <w:rPr>
          <w:rFonts w:eastAsia="Calibri"/>
          <w:rtl/>
        </w:rPr>
        <w:t xml:space="preserve"> על פי סעיף זה</w:t>
      </w:r>
      <w:r w:rsidRPr="00AA5065">
        <w:rPr>
          <w:rFonts w:eastAsia="Calibri"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בביקורת הקודמת עלה כי שיתוף הפעולה בין בט"ל לרשות המיסים לוקה בחסר, ובט"ל אינו פונה לרשות המיסים באופן שוטף לקבלת מידע. בביקורת המעקב נמצא כי הליקוי לא תוקן; שיתוף הפעולה בין בט"ל לרשות המיסים עדיין לוקה בחסר הגם שהנושא הוסדר בחוק הביטוח הלאומי ובחוק מע"ם.</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eastAsia="Calibri"/>
          <w:rtl/>
        </w:rPr>
      </w:pPr>
      <w:r w:rsidRPr="00AA5065">
        <w:rPr>
          <w:rFonts w:eastAsia="Calibri" w:hint="cs"/>
          <w:b/>
          <w:bCs/>
          <w:rtl/>
          <w:lang w:eastAsia="he-IL"/>
        </w:rPr>
        <w:t>מידת תיקון הליקוי</w:t>
      </w:r>
    </w:p>
    <w:p w:rsidR="00AA5065" w:rsidRPr="00AA5065" w:rsidP="00860D89">
      <w:pPr>
        <w:spacing w:line="269" w:lineRule="auto"/>
        <w:jc w:val="center"/>
        <w:rPr>
          <w:rFonts w:eastAsia="Calibri"/>
          <w:rtl/>
        </w:rPr>
      </w:pPr>
      <w:r w:rsidRPr="00AA5065">
        <w:rPr>
          <w:rFonts w:eastAsia="Calibri"/>
          <w:noProof/>
        </w:rPr>
        <w:drawing>
          <wp:inline distT="0" distB="0" distL="0" distR="0">
            <wp:extent cx="3426460" cy="939165"/>
            <wp:effectExtent l="0" t="0" r="2540" b="0"/>
            <wp:docPr id="53" name="תמונה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3"/>
                    <pic:cNvPicPr>
                      <a:picLocks noChangeAspect="1" noChangeArrowheads="1"/>
                    </pic:cNvPicPr>
                  </pic:nvPicPr>
                  <pic:blipFill>
                    <a:blip xmlns:r="http://schemas.openxmlformats.org/officeDocument/2006/relationships" r:embed="rId16">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6460" cy="939165"/>
                    </a:xfrm>
                    <a:prstGeom prst="rect">
                      <a:avLst/>
                    </a:prstGeom>
                    <a:noFill/>
                  </pic:spPr>
                </pic:pic>
              </a:graphicData>
            </a:graphic>
          </wp:inline>
        </w:drawing>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מומלץ כי בט</w:t>
      </w:r>
      <w:r w:rsidRPr="00AA5065">
        <w:rPr>
          <w:rFonts w:eastAsia="Calibri"/>
          <w:b/>
          <w:bCs/>
          <w:rtl/>
        </w:rPr>
        <w:t>"</w:t>
      </w:r>
      <w:r w:rsidRPr="00AA5065">
        <w:rPr>
          <w:rFonts w:eastAsia="Calibri" w:hint="cs"/>
          <w:b/>
          <w:bCs/>
          <w:rtl/>
        </w:rPr>
        <w:t xml:space="preserve">ל ורשות המיסים ישפרו את זרימת המידע ביניהם, </w:t>
      </w:r>
      <w:r w:rsidRPr="00AA5065">
        <w:rPr>
          <w:rFonts w:eastAsia="Calibri" w:hint="eastAsia"/>
          <w:b/>
          <w:bCs/>
          <w:rtl/>
        </w:rPr>
        <w:t>כך</w:t>
      </w:r>
      <w:r w:rsidRPr="00AA5065">
        <w:rPr>
          <w:rFonts w:eastAsia="Calibri"/>
          <w:b/>
          <w:bCs/>
          <w:rtl/>
        </w:rPr>
        <w:t xml:space="preserve"> </w:t>
      </w:r>
      <w:r w:rsidRPr="00AA5065">
        <w:rPr>
          <w:rFonts w:eastAsia="Calibri" w:hint="eastAsia"/>
          <w:b/>
          <w:bCs/>
          <w:rtl/>
        </w:rPr>
        <w:t>שתחוזק</w:t>
      </w:r>
      <w:r w:rsidRPr="00AA5065">
        <w:rPr>
          <w:rFonts w:eastAsia="Calibri"/>
          <w:b/>
          <w:bCs/>
          <w:rtl/>
        </w:rPr>
        <w:t xml:space="preserve"> </w:t>
      </w:r>
      <w:r w:rsidRPr="00AA5065">
        <w:rPr>
          <w:rFonts w:eastAsia="Calibri" w:hint="eastAsia"/>
          <w:b/>
          <w:bCs/>
          <w:rtl/>
        </w:rPr>
        <w:t>היכולת</w:t>
      </w:r>
      <w:r w:rsidRPr="00AA5065">
        <w:rPr>
          <w:rFonts w:eastAsia="Calibri"/>
          <w:b/>
          <w:bCs/>
          <w:rtl/>
        </w:rPr>
        <w:t xml:space="preserve"> המשותפת הנדרשת </w:t>
      </w:r>
      <w:r w:rsidRPr="00AA5065">
        <w:rPr>
          <w:rFonts w:eastAsia="Calibri" w:hint="cs"/>
          <w:b/>
          <w:bCs/>
          <w:rtl/>
        </w:rPr>
        <w:t>ל</w:t>
      </w:r>
      <w:r w:rsidRPr="00AA5065">
        <w:rPr>
          <w:rFonts w:eastAsia="Calibri" w:hint="eastAsia"/>
          <w:b/>
          <w:bCs/>
          <w:rtl/>
        </w:rPr>
        <w:t>צמצום</w:t>
      </w:r>
      <w:r w:rsidRPr="00AA5065">
        <w:rPr>
          <w:rFonts w:eastAsia="Calibri"/>
          <w:b/>
          <w:bCs/>
          <w:rtl/>
        </w:rPr>
        <w:t xml:space="preserve"> </w:t>
      </w:r>
      <w:r w:rsidRPr="00AA5065">
        <w:rPr>
          <w:rFonts w:eastAsia="Calibri" w:hint="eastAsia"/>
          <w:b/>
          <w:bCs/>
          <w:rtl/>
        </w:rPr>
        <w:t>תשלומי</w:t>
      </w:r>
      <w:r w:rsidRPr="00AA5065">
        <w:rPr>
          <w:rFonts w:eastAsia="Calibri"/>
          <w:b/>
          <w:bCs/>
          <w:rtl/>
        </w:rPr>
        <w:t xml:space="preserve"> </w:t>
      </w:r>
      <w:r w:rsidRPr="00AA5065">
        <w:rPr>
          <w:rFonts w:eastAsia="Calibri" w:hint="eastAsia"/>
          <w:b/>
          <w:bCs/>
          <w:rtl/>
        </w:rPr>
        <w:t>הגמלאות</w:t>
      </w:r>
      <w:r w:rsidRPr="00AA5065">
        <w:rPr>
          <w:rFonts w:eastAsia="Calibri"/>
          <w:b/>
          <w:bCs/>
          <w:rtl/>
        </w:rPr>
        <w:t xml:space="preserve"> </w:t>
      </w:r>
      <w:r w:rsidRPr="00AA5065">
        <w:rPr>
          <w:rFonts w:eastAsia="Calibri" w:hint="eastAsia"/>
          <w:b/>
          <w:bCs/>
          <w:rtl/>
        </w:rPr>
        <w:t>שלא</w:t>
      </w:r>
      <w:r w:rsidRPr="00AA5065">
        <w:rPr>
          <w:rFonts w:eastAsia="Calibri"/>
          <w:b/>
          <w:bCs/>
          <w:rtl/>
        </w:rPr>
        <w:t xml:space="preserve"> </w:t>
      </w:r>
      <w:r w:rsidRPr="00AA5065">
        <w:rPr>
          <w:rFonts w:eastAsia="Calibri" w:hint="eastAsia"/>
          <w:b/>
          <w:bCs/>
          <w:rtl/>
        </w:rPr>
        <w:t>לצורך</w:t>
      </w:r>
      <w:r w:rsidRPr="00AA5065">
        <w:rPr>
          <w:rFonts w:eastAsia="Calibri"/>
          <w:b/>
          <w:bCs/>
          <w:rtl/>
        </w:rPr>
        <w:t xml:space="preserve"> </w:t>
      </w:r>
      <w:r w:rsidRPr="00AA5065">
        <w:rPr>
          <w:rFonts w:eastAsia="Calibri" w:hint="cs"/>
          <w:b/>
          <w:bCs/>
          <w:rtl/>
        </w:rPr>
        <w:t>והגדלת</w:t>
      </w:r>
      <w:r w:rsidRPr="00AA5065">
        <w:rPr>
          <w:rFonts w:eastAsia="Calibri"/>
          <w:b/>
          <w:bCs/>
          <w:rtl/>
        </w:rPr>
        <w:t xml:space="preserve"> </w:t>
      </w:r>
      <w:r w:rsidRPr="00AA5065">
        <w:rPr>
          <w:rFonts w:eastAsia="Calibri" w:hint="eastAsia"/>
          <w:b/>
          <w:bCs/>
          <w:rtl/>
        </w:rPr>
        <w:t>גביית</w:t>
      </w:r>
      <w:r w:rsidRPr="00AA5065">
        <w:rPr>
          <w:rFonts w:eastAsia="Calibri"/>
          <w:b/>
          <w:bCs/>
          <w:rtl/>
        </w:rPr>
        <w:t xml:space="preserve"> </w:t>
      </w:r>
      <w:r w:rsidRPr="00AA5065">
        <w:rPr>
          <w:rFonts w:eastAsia="Calibri" w:hint="eastAsia"/>
          <w:b/>
          <w:bCs/>
          <w:rtl/>
        </w:rPr>
        <w:t>המיסים</w:t>
      </w:r>
      <w:r w:rsidRPr="00AA5065">
        <w:rPr>
          <w:rFonts w:eastAsia="Calibri"/>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בתשובת</w:t>
      </w:r>
      <w:r w:rsidRPr="00AA5065">
        <w:rPr>
          <w:rFonts w:eastAsia="Calibri"/>
          <w:rtl/>
        </w:rPr>
        <w:t xml:space="preserve"> </w:t>
      </w:r>
      <w:r w:rsidRPr="00AA5065">
        <w:rPr>
          <w:rFonts w:eastAsia="Calibri" w:hint="eastAsia"/>
          <w:rtl/>
        </w:rPr>
        <w:t>בט</w:t>
      </w:r>
      <w:r w:rsidRPr="00AA5065">
        <w:rPr>
          <w:rFonts w:eastAsia="Calibri"/>
          <w:rtl/>
        </w:rPr>
        <w:t xml:space="preserve">"ל נכתב </w:t>
      </w:r>
      <w:r w:rsidRPr="00AA5065">
        <w:rPr>
          <w:rFonts w:eastAsia="Calibri" w:hint="eastAsia"/>
          <w:rtl/>
        </w:rPr>
        <w:t>כי</w:t>
      </w:r>
      <w:r w:rsidRPr="00AA5065">
        <w:rPr>
          <w:rFonts w:eastAsia="Calibri"/>
          <w:rtl/>
        </w:rPr>
        <w:t xml:space="preserve"> "בשנתיים האחרונות, מתקיים קשר עם רשויות המס (מע"מ, מ"ה) בתיקים משותפים מורכבים בניסיון להצליב מידע, בהתאם להוראות החקיקה בעניין העב</w:t>
      </w:r>
      <w:r w:rsidRPr="00AA5065">
        <w:rPr>
          <w:rFonts w:eastAsia="Calibri" w:hint="eastAsia"/>
          <w:rtl/>
        </w:rPr>
        <w:t>ר</w:t>
      </w:r>
      <w:r w:rsidRPr="00AA5065">
        <w:rPr>
          <w:rFonts w:eastAsia="Calibri"/>
          <w:rtl/>
        </w:rPr>
        <w:t>ת מידע, ע</w:t>
      </w:r>
      <w:r w:rsidRPr="00AA5065">
        <w:rPr>
          <w:rFonts w:eastAsia="Calibri" w:hint="eastAsia"/>
          <w:rtl/>
        </w:rPr>
        <w:t>ל</w:t>
      </w:r>
      <w:r w:rsidRPr="00AA5065">
        <w:rPr>
          <w:rFonts w:eastAsia="Calibri"/>
          <w:rtl/>
        </w:rPr>
        <w:t xml:space="preserve"> </w:t>
      </w:r>
      <w:r w:rsidRPr="00AA5065">
        <w:rPr>
          <w:rFonts w:eastAsia="Calibri" w:hint="eastAsia"/>
          <w:rtl/>
        </w:rPr>
        <w:t>מנת</w:t>
      </w:r>
      <w:r w:rsidRPr="00AA5065">
        <w:rPr>
          <w:rFonts w:eastAsia="Calibri"/>
          <w:rtl/>
        </w:rPr>
        <w:t xml:space="preserve"> למצות את הטיפול בתיק".</w:t>
      </w:r>
    </w:p>
    <w:p w:rsidR="00AA5065" w:rsidRPr="00AA5065" w:rsidP="00860D89">
      <w:pPr>
        <w:spacing w:line="269" w:lineRule="auto"/>
        <w:rPr>
          <w:rFonts w:eastAsia="Calibri"/>
          <w:rtl/>
        </w:rPr>
      </w:pPr>
    </w:p>
    <w:p w:rsidR="00AA5065" w:rsidRPr="00AA5065" w:rsidP="004E6B4D">
      <w:pPr>
        <w:keepNext/>
        <w:keepLines/>
        <w:spacing w:before="120" w:line="269" w:lineRule="auto"/>
        <w:outlineLvl w:val="3"/>
        <w:rPr>
          <w:rFonts w:eastAsia="Times New Roman"/>
          <w:bCs/>
          <w:szCs w:val="26"/>
          <w:rtl/>
        </w:rPr>
      </w:pPr>
      <w:bookmarkStart w:id="44" w:name="_Hlk204854990"/>
      <w:r w:rsidRPr="00AA5065">
        <w:rPr>
          <w:rFonts w:eastAsia="Times New Roman" w:hint="cs"/>
          <w:bCs/>
          <w:szCs w:val="26"/>
          <w:rtl/>
        </w:rPr>
        <w:t>מהילת דלק בתחנות דלק פיראטיות</w:t>
      </w:r>
      <w:bookmarkEnd w:id="44"/>
      <w:r>
        <w:rPr>
          <w:rFonts w:eastAsia="Times New Roman"/>
          <w:sz w:val="26"/>
          <w:szCs w:val="26"/>
          <w:vertAlign w:val="superscript"/>
          <w:rtl/>
        </w:rPr>
        <w:footnoteReference w:id="49"/>
      </w:r>
      <w:r w:rsidRPr="00AA5065">
        <w:rPr>
          <w:rFonts w:eastAsia="Times New Roman" w:hint="cs"/>
          <w:bCs/>
          <w:szCs w:val="26"/>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מהילת דלק מבוצעת בין היתר לשם התחמקות מתשלום מס הבלו, וזאת באמצעות ערבוב מוצר שחל עליו בלו גבוה (כגון בנזין) עם מוצר הפטור ממס (כגון נפטא) או עם מוצר שהבלו עליו נמוך יחסית (כגון סולר או נפט). לנזק שנגרם ממהילת הדלק יש בין היתר היבט כלכלי - פגיעה בהכנסות המדינה בשל הבדלי הבלו על הדלק לסוגיו. גם המס הישיר בגין מכירת דלק בתחנות אלו אינו נגבה שכן המכירה אינה מדווחת כלל.</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rPr>
          <w:rFonts w:eastAsia="Calibri"/>
          <w:rtl/>
        </w:rPr>
      </w:pPr>
    </w:p>
    <w:p w:rsidR="00AA5065" w:rsidRPr="00AA5065" w:rsidP="00860D89">
      <w:pPr>
        <w:spacing w:line="269" w:lineRule="auto"/>
        <w:rPr>
          <w:rFonts w:eastAsia="Calibri"/>
          <w:rtl/>
        </w:rPr>
      </w:pPr>
      <w:r w:rsidRPr="00AA5065">
        <w:rPr>
          <w:rFonts w:eastAsia="Calibri" w:hint="cs"/>
          <w:rtl/>
        </w:rPr>
        <w:t xml:space="preserve">בביקורת הקודמת נמצא כי אין בידי רשות המיסים </w:t>
      </w:r>
      <w:bookmarkStart w:id="45" w:name="_Hlk196375025"/>
      <w:r w:rsidRPr="00AA5065">
        <w:rPr>
          <w:rFonts w:eastAsia="Calibri"/>
          <w:rtl/>
        </w:rPr>
        <w:t>הערכה לאובדן מ</w:t>
      </w:r>
      <w:r w:rsidRPr="00AA5065">
        <w:rPr>
          <w:rFonts w:eastAsia="Calibri" w:hint="cs"/>
          <w:rtl/>
        </w:rPr>
        <w:t>י</w:t>
      </w:r>
      <w:r w:rsidRPr="00AA5065">
        <w:rPr>
          <w:rFonts w:eastAsia="Calibri"/>
          <w:rtl/>
        </w:rPr>
        <w:t>סים</w:t>
      </w:r>
      <w:r w:rsidRPr="00AA5065">
        <w:rPr>
          <w:rFonts w:eastAsia="Calibri" w:hint="cs"/>
          <w:rtl/>
        </w:rPr>
        <w:t xml:space="preserve"> הנובע ממהילות בנזין בתחנות דלק </w:t>
      </w:r>
      <w:bookmarkEnd w:id="45"/>
      <w:r w:rsidRPr="00AA5065">
        <w:rPr>
          <w:rFonts w:eastAsia="Calibri" w:hint="cs"/>
          <w:rtl/>
        </w:rPr>
        <w:t>פיראטיות באזור הנגב אלא רק אומדן כללי של סך הפסד ההכנסות מתופעה זו.</w:t>
      </w:r>
      <w:r w:rsidRPr="00AA5065">
        <w:rPr>
          <w:rFonts w:eastAsia="Calibri" w:hint="cs"/>
          <w:b/>
          <w:b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אובדן ההכנסות השנתיות למדינה ממיסים כתוצאה ממהילת בנזין בתחנות דלק פיראטיות</w:t>
      </w:r>
      <w:r w:rsidRPr="00AA5065">
        <w:rPr>
          <w:rFonts w:eastAsia="Calibri"/>
          <w:rtl/>
        </w:rPr>
        <w:t xml:space="preserve"> </w:t>
      </w:r>
      <w:r w:rsidRPr="00AA5065">
        <w:rPr>
          <w:rFonts w:eastAsia="Calibri" w:hint="cs"/>
          <w:rtl/>
        </w:rPr>
        <w:t>ה</w:t>
      </w:r>
      <w:r w:rsidRPr="00AA5065">
        <w:rPr>
          <w:rFonts w:eastAsia="Calibri" w:hint="eastAsia"/>
          <w:rtl/>
        </w:rPr>
        <w:t>וערך</w:t>
      </w:r>
      <w:r w:rsidRPr="00AA5065">
        <w:rPr>
          <w:rFonts w:eastAsia="Calibri" w:hint="cs"/>
          <w:rtl/>
        </w:rPr>
        <w:t xml:space="preserve"> בדוח הקודם</w:t>
      </w:r>
      <w:r w:rsidRPr="00AA5065">
        <w:rPr>
          <w:rFonts w:eastAsia="Calibri"/>
          <w:rtl/>
        </w:rPr>
        <w:t xml:space="preserve"> </w:t>
      </w:r>
      <w:r w:rsidRPr="00AA5065">
        <w:rPr>
          <w:rFonts w:eastAsia="Calibri" w:hint="eastAsia"/>
          <w:rtl/>
        </w:rPr>
        <w:t>בכ</w:t>
      </w:r>
      <w:r w:rsidRPr="00AA5065">
        <w:rPr>
          <w:rFonts w:eastAsia="Calibri"/>
          <w:rtl/>
        </w:rPr>
        <w:t xml:space="preserve">-400 </w:t>
      </w:r>
      <w:r w:rsidRPr="00AA5065">
        <w:rPr>
          <w:rFonts w:eastAsia="Calibri" w:hint="eastAsia"/>
          <w:rtl/>
        </w:rPr>
        <w:t>מיליון</w:t>
      </w:r>
      <w:r w:rsidRPr="00AA5065">
        <w:rPr>
          <w:rFonts w:eastAsia="Calibri"/>
          <w:rtl/>
        </w:rPr>
        <w:t xml:space="preserve"> </w:t>
      </w:r>
      <w:r w:rsidRPr="00AA5065">
        <w:rPr>
          <w:rFonts w:eastAsia="Calibri" w:hint="eastAsia"/>
          <w:rtl/>
        </w:rPr>
        <w:t>ש</w:t>
      </w:r>
      <w:r w:rsidRPr="00AA5065">
        <w:rPr>
          <w:rFonts w:eastAsia="Calibri"/>
          <w:rtl/>
        </w:rPr>
        <w:t>"ח</w:t>
      </w:r>
      <w:r>
        <w:rPr>
          <w:rFonts w:eastAsia="Calibri"/>
          <w:vertAlign w:val="superscript"/>
          <w:rtl/>
        </w:rPr>
        <w:footnoteReference w:id="50"/>
      </w:r>
      <w:r w:rsidRPr="00AA5065">
        <w:rPr>
          <w:rFonts w:eastAsia="Calibri"/>
          <w:rtl/>
        </w:rPr>
        <w:t xml:space="preserve"> (</w:t>
      </w:r>
      <w:r w:rsidRPr="00AA5065">
        <w:rPr>
          <w:rFonts w:eastAsia="Calibri" w:hint="cs"/>
          <w:rtl/>
        </w:rPr>
        <w:t>בלא</w:t>
      </w:r>
      <w:r w:rsidRPr="00AA5065">
        <w:rPr>
          <w:rFonts w:eastAsia="Calibri"/>
          <w:rtl/>
        </w:rPr>
        <w:t xml:space="preserve"> אובדן המס בעקבות העלמות מס בתחנות דלק</w:t>
      </w:r>
      <w:r w:rsidRPr="00AA5065">
        <w:rPr>
          <w:rFonts w:eastAsia="Calibri" w:hint="cs"/>
          <w:rtl/>
        </w:rPr>
        <w:t xml:space="preserve"> אלה</w:t>
      </w:r>
      <w:r w:rsidRPr="00AA5065">
        <w:rPr>
          <w:rFonts w:eastAsia="Calibri"/>
          <w:rtl/>
        </w:rPr>
        <w:t>). על פי נתוני רשות המיסים מאוקטובר 2020</w:t>
      </w:r>
      <w:r w:rsidRPr="00AA5065">
        <w:rPr>
          <w:rFonts w:eastAsia="Calibri" w:hint="cs"/>
          <w:rtl/>
        </w:rPr>
        <w:t>,</w:t>
      </w:r>
      <w:r w:rsidRPr="00AA5065">
        <w:rPr>
          <w:rFonts w:eastAsia="Calibri"/>
          <w:rtl/>
        </w:rPr>
        <w:t xml:space="preserve"> בשנים 2016</w:t>
      </w:r>
      <w:r w:rsidRPr="00AA5065">
        <w:rPr>
          <w:rFonts w:eastAsia="Calibri" w:hint="cs"/>
          <w:rtl/>
        </w:rPr>
        <w:t xml:space="preserve"> עד </w:t>
      </w:r>
      <w:r w:rsidRPr="00AA5065">
        <w:rPr>
          <w:rFonts w:eastAsia="Calibri"/>
          <w:rtl/>
        </w:rPr>
        <w:t xml:space="preserve">2019 פקיד </w:t>
      </w:r>
      <w:r w:rsidRPr="00AA5065">
        <w:rPr>
          <w:rFonts w:eastAsia="Calibri" w:hint="cs"/>
          <w:rtl/>
        </w:rPr>
        <w:t>ה</w:t>
      </w:r>
      <w:r w:rsidRPr="00AA5065">
        <w:rPr>
          <w:rFonts w:eastAsia="Calibri"/>
          <w:rtl/>
        </w:rPr>
        <w:t xml:space="preserve">שומה </w:t>
      </w:r>
      <w:r w:rsidRPr="00AA5065">
        <w:rPr>
          <w:rFonts w:eastAsia="Calibri" w:hint="cs"/>
          <w:rtl/>
        </w:rPr>
        <w:t>ב</w:t>
      </w:r>
      <w:r w:rsidRPr="00AA5065">
        <w:rPr>
          <w:rFonts w:eastAsia="Calibri"/>
          <w:rtl/>
        </w:rPr>
        <w:t>באר שבע לא ער</w:t>
      </w:r>
      <w:r w:rsidRPr="00AA5065">
        <w:rPr>
          <w:rFonts w:eastAsia="Calibri" w:hint="cs"/>
          <w:rtl/>
        </w:rPr>
        <w:t>ך</w:t>
      </w:r>
      <w:r w:rsidRPr="00AA5065">
        <w:rPr>
          <w:rFonts w:eastAsia="Calibri"/>
          <w:rtl/>
        </w:rPr>
        <w:t xml:space="preserve"> שומות לבעלי תחנות דלק פיר</w:t>
      </w:r>
      <w:r w:rsidRPr="00AA5065">
        <w:rPr>
          <w:rFonts w:eastAsia="Calibri" w:hint="cs"/>
          <w:rtl/>
        </w:rPr>
        <w:t>א</w:t>
      </w:r>
      <w:r w:rsidRPr="00AA5065">
        <w:rPr>
          <w:rFonts w:eastAsia="Calibri"/>
          <w:rtl/>
        </w:rPr>
        <w:t xml:space="preserve">טיות. </w:t>
      </w:r>
      <w:r w:rsidRPr="00AA5065">
        <w:rPr>
          <w:rFonts w:eastAsia="Calibri" w:hint="cs"/>
          <w:rtl/>
        </w:rPr>
        <w:t>ב</w:t>
      </w:r>
      <w:r w:rsidRPr="00AA5065">
        <w:rPr>
          <w:rFonts w:eastAsia="Calibri"/>
          <w:rtl/>
        </w:rPr>
        <w:t>אות</w:t>
      </w:r>
      <w:r w:rsidRPr="00AA5065">
        <w:rPr>
          <w:rFonts w:eastAsia="Calibri" w:hint="cs"/>
          <w:rtl/>
        </w:rPr>
        <w:t>ן</w:t>
      </w:r>
      <w:r w:rsidRPr="00AA5065">
        <w:rPr>
          <w:rFonts w:eastAsia="Calibri"/>
          <w:rtl/>
        </w:rPr>
        <w:t xml:space="preserve"> </w:t>
      </w:r>
      <w:r w:rsidRPr="00AA5065">
        <w:rPr>
          <w:rFonts w:eastAsia="Calibri" w:hint="cs"/>
          <w:rtl/>
        </w:rPr>
        <w:t>השנים</w:t>
      </w:r>
      <w:r w:rsidRPr="00AA5065">
        <w:rPr>
          <w:rFonts w:eastAsia="Calibri"/>
          <w:rtl/>
        </w:rPr>
        <w:t xml:space="preserve"> טופל במשרד מע"ם באר שבע, בשיתו</w:t>
      </w:r>
      <w:r w:rsidRPr="00AA5065">
        <w:rPr>
          <w:rFonts w:eastAsia="Calibri" w:hint="cs"/>
          <w:rtl/>
        </w:rPr>
        <w:t>ף</w:t>
      </w:r>
      <w:r w:rsidRPr="00AA5065">
        <w:rPr>
          <w:rFonts w:eastAsia="Calibri"/>
          <w:rtl/>
        </w:rPr>
        <w:t xml:space="preserve"> </w:t>
      </w:r>
      <w:r w:rsidRPr="00AA5065">
        <w:rPr>
          <w:rFonts w:eastAsia="Calibri" w:hint="cs"/>
          <w:rtl/>
        </w:rPr>
        <w:t>ה</w:t>
      </w:r>
      <w:r w:rsidRPr="00AA5065">
        <w:rPr>
          <w:rFonts w:eastAsia="Calibri"/>
          <w:rtl/>
        </w:rPr>
        <w:t>משטר</w:t>
      </w:r>
      <w:r w:rsidRPr="00AA5065">
        <w:rPr>
          <w:rFonts w:eastAsia="Calibri" w:hint="cs"/>
          <w:rtl/>
        </w:rPr>
        <w:t>ה</w:t>
      </w:r>
      <w:r w:rsidRPr="00AA5065">
        <w:rPr>
          <w:rFonts w:eastAsia="Calibri"/>
          <w:rtl/>
        </w:rPr>
        <w:t xml:space="preserve">, </w:t>
      </w:r>
      <w:r w:rsidRPr="00AA5065">
        <w:rPr>
          <w:rFonts w:eastAsia="Calibri" w:hint="cs"/>
          <w:rtl/>
        </w:rPr>
        <w:t>תיק</w:t>
      </w:r>
      <w:r w:rsidRPr="00AA5065">
        <w:rPr>
          <w:rFonts w:eastAsia="Calibri"/>
          <w:rtl/>
        </w:rPr>
        <w:t xml:space="preserve"> אחד בלבד </w:t>
      </w:r>
      <w:r w:rsidRPr="00AA5065">
        <w:rPr>
          <w:rFonts w:eastAsia="Calibri" w:hint="cs"/>
          <w:rtl/>
        </w:rPr>
        <w:t xml:space="preserve">של אדם </w:t>
      </w:r>
      <w:r w:rsidRPr="00AA5065">
        <w:rPr>
          <w:rFonts w:eastAsia="Calibri"/>
          <w:rtl/>
        </w:rPr>
        <w:t>שמכר דלק בחצר ביתו.</w:t>
      </w:r>
    </w:p>
    <w:p w:rsidR="00AA5065" w:rsidRPr="00AA5065" w:rsidP="00860D89">
      <w:pPr>
        <w:spacing w:line="269" w:lineRule="auto"/>
        <w:rPr>
          <w:rFonts w:eastAsia="Calibri"/>
          <w:rtl/>
        </w:rPr>
      </w:pPr>
      <w:r w:rsidRPr="00AA5065">
        <w:rPr>
          <w:rFonts w:eastAsia="Calibri" w:hint="cs"/>
          <w:rtl/>
        </w:rPr>
        <w:t xml:space="preserve">משרד מבקר </w:t>
      </w:r>
      <w:r w:rsidRPr="00AA5065">
        <w:rPr>
          <w:rFonts w:eastAsia="Calibri" w:hint="eastAsia"/>
          <w:rtl/>
        </w:rPr>
        <w:t>המדינה</w:t>
      </w:r>
      <w:r w:rsidRPr="00AA5065">
        <w:rPr>
          <w:rFonts w:eastAsia="Calibri"/>
          <w:rtl/>
        </w:rPr>
        <w:t xml:space="preserve"> </w:t>
      </w:r>
      <w:r w:rsidRPr="00AA5065">
        <w:rPr>
          <w:rFonts w:eastAsia="Calibri" w:hint="cs"/>
          <w:rtl/>
        </w:rPr>
        <w:t>ה</w:t>
      </w:r>
      <w:r w:rsidRPr="00AA5065">
        <w:rPr>
          <w:rFonts w:eastAsia="Calibri" w:hint="eastAsia"/>
          <w:rtl/>
        </w:rPr>
        <w:t>עיר</w:t>
      </w:r>
      <w:r w:rsidRPr="00AA5065">
        <w:rPr>
          <w:rFonts w:eastAsia="Calibri" w:hint="cs"/>
          <w:rtl/>
        </w:rPr>
        <w:t xml:space="preserve"> בדוח הקודם לרשות המיסים כי היא אינה יכולה להתעלם מפעילות של העלמת מס, שהיא פעילות עבריינית, למרות הקשיים הכרוכים באכיפתה, והמליץ כי</w:t>
      </w:r>
      <w:r w:rsidRPr="00AA5065">
        <w:rPr>
          <w:rFonts w:eastAsia="Calibri"/>
          <w:rtl/>
        </w:rPr>
        <w:t xml:space="preserve"> רשות המ</w:t>
      </w:r>
      <w:r w:rsidRPr="00AA5065">
        <w:rPr>
          <w:rFonts w:eastAsia="Calibri" w:hint="cs"/>
          <w:rtl/>
        </w:rPr>
        <w:t>י</w:t>
      </w:r>
      <w:r w:rsidRPr="00AA5065">
        <w:rPr>
          <w:rFonts w:eastAsia="Calibri"/>
          <w:rtl/>
        </w:rPr>
        <w:t>סים</w:t>
      </w:r>
      <w:r w:rsidRPr="00AA5065">
        <w:rPr>
          <w:rFonts w:eastAsia="Calibri" w:hint="cs"/>
          <w:rtl/>
        </w:rPr>
        <w:t xml:space="preserve"> תגבש תוכנית גבייה שנתית עם יעדים לכלל יישובי הבדואים בנגב, שבה תשלב את הגרים בפזורה, ובהתאם תקצה </w:t>
      </w:r>
      <w:r w:rsidRPr="00AA5065">
        <w:rPr>
          <w:rFonts w:eastAsia="Calibri" w:hint="eastAsia"/>
          <w:rtl/>
        </w:rPr>
        <w:t>משאבי</w:t>
      </w:r>
      <w:r w:rsidRPr="00AA5065">
        <w:rPr>
          <w:rFonts w:eastAsia="Calibri"/>
          <w:rtl/>
        </w:rPr>
        <w:t xml:space="preserve"> אכיפה </w:t>
      </w:r>
      <w:r w:rsidRPr="00AA5065">
        <w:rPr>
          <w:rFonts w:eastAsia="Calibri" w:hint="cs"/>
          <w:rtl/>
        </w:rPr>
        <w:t>כנדרש.</w:t>
      </w:r>
      <w:r w:rsidRPr="00AA5065">
        <w:rPr>
          <w:rFonts w:eastAsia="Calibri"/>
          <w:rtl/>
        </w:rPr>
        <w:t xml:space="preserve"> </w:t>
      </w:r>
      <w:r w:rsidRPr="00AA5065">
        <w:rPr>
          <w:rFonts w:eastAsia="Calibri" w:hint="cs"/>
          <w:rtl/>
        </w:rPr>
        <w:t xml:space="preserve">צוין כי </w:t>
      </w:r>
      <w:r w:rsidRPr="00AA5065">
        <w:rPr>
          <w:rFonts w:eastAsia="Calibri"/>
          <w:rtl/>
        </w:rPr>
        <w:t xml:space="preserve">הגברת הנוכחות הפיזית של יחידות </w:t>
      </w:r>
      <w:r w:rsidRPr="00AA5065">
        <w:rPr>
          <w:rFonts w:eastAsia="Calibri" w:hint="cs"/>
          <w:rtl/>
        </w:rPr>
        <w:t>רשות המיסים ביישובי הבדואים ו</w:t>
      </w:r>
      <w:r w:rsidRPr="00AA5065">
        <w:rPr>
          <w:rFonts w:eastAsia="Calibri"/>
          <w:rtl/>
        </w:rPr>
        <w:t>בפזורה הבדואית תביא לחיזוק יכולת ההרתעה של הרשות</w:t>
      </w:r>
      <w:r w:rsidRPr="00AA5065">
        <w:rPr>
          <w:rFonts w:eastAsia="Calibri" w:hint="cs"/>
          <w:rtl/>
        </w:rPr>
        <w:t>,</w:t>
      </w:r>
      <w:r w:rsidRPr="00AA5065">
        <w:rPr>
          <w:rFonts w:eastAsia="Calibri"/>
          <w:rtl/>
        </w:rPr>
        <w:t xml:space="preserve"> ו</w:t>
      </w:r>
      <w:r w:rsidRPr="00AA5065">
        <w:rPr>
          <w:rFonts w:eastAsia="Calibri" w:hint="cs"/>
          <w:rtl/>
        </w:rPr>
        <w:t xml:space="preserve">היא צפויה להעלות </w:t>
      </w:r>
      <w:r w:rsidRPr="00AA5065">
        <w:rPr>
          <w:rFonts w:eastAsia="Calibri"/>
          <w:rtl/>
        </w:rPr>
        <w:t>את רמת הציות והדיווח בקרב הנישומים והעוסקים.</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נוסף</w:t>
      </w:r>
      <w:r w:rsidRPr="00AA5065">
        <w:rPr>
          <w:rFonts w:eastAsia="Calibri" w:hint="cs"/>
          <w:rtl/>
        </w:rPr>
        <w:t xml:space="preserve"> על כך הומלץ בדוח הקודם כי</w:t>
      </w:r>
      <w:r w:rsidRPr="00AA5065">
        <w:rPr>
          <w:rFonts w:eastAsia="Calibri"/>
          <w:rtl/>
        </w:rPr>
        <w:t xml:space="preserve"> </w:t>
      </w:r>
      <w:r w:rsidRPr="00AA5065">
        <w:rPr>
          <w:rFonts w:eastAsia="Calibri" w:hint="eastAsia"/>
          <w:rtl/>
        </w:rPr>
        <w:t>על</w:t>
      </w:r>
      <w:r w:rsidRPr="00AA5065">
        <w:rPr>
          <w:rFonts w:eastAsia="Calibri"/>
          <w:rtl/>
        </w:rPr>
        <w:t xml:space="preserve"> </w:t>
      </w:r>
      <w:r w:rsidRPr="00AA5065">
        <w:rPr>
          <w:rFonts w:eastAsia="Calibri" w:hint="cs"/>
          <w:rtl/>
        </w:rPr>
        <w:t xml:space="preserve">כל הגורמים הרלוונטיים, ובכללם </w:t>
      </w:r>
      <w:r w:rsidRPr="00AA5065">
        <w:rPr>
          <w:rFonts w:eastAsia="Calibri"/>
          <w:rtl/>
        </w:rPr>
        <w:t>המשרד להג</w:t>
      </w:r>
      <w:r w:rsidRPr="00AA5065">
        <w:rPr>
          <w:rFonts w:eastAsia="Calibri" w:hint="cs"/>
          <w:rtl/>
        </w:rPr>
        <w:t>"ס</w:t>
      </w:r>
      <w:r w:rsidRPr="00AA5065">
        <w:rPr>
          <w:rFonts w:eastAsia="Calibri"/>
          <w:rtl/>
        </w:rPr>
        <w:t>, המשטרה ומ</w:t>
      </w:r>
      <w:r w:rsidRPr="00AA5065">
        <w:rPr>
          <w:rFonts w:eastAsia="Calibri" w:hint="cs"/>
          <w:rtl/>
        </w:rPr>
        <w:t>י</w:t>
      </w:r>
      <w:r w:rsidRPr="00AA5065">
        <w:rPr>
          <w:rFonts w:eastAsia="Calibri"/>
          <w:rtl/>
        </w:rPr>
        <w:t>נהל הדלק</w:t>
      </w:r>
      <w:r w:rsidRPr="00AA5065">
        <w:rPr>
          <w:rFonts w:eastAsia="Calibri" w:hint="cs"/>
          <w:rtl/>
        </w:rPr>
        <w:t>,</w:t>
      </w:r>
      <w:r w:rsidRPr="00AA5065">
        <w:rPr>
          <w:rFonts w:eastAsia="Calibri"/>
          <w:rtl/>
        </w:rPr>
        <w:t xml:space="preserve"> לשתף פעולה עם רשות המ</w:t>
      </w:r>
      <w:r w:rsidRPr="00AA5065">
        <w:rPr>
          <w:rFonts w:eastAsia="Calibri" w:hint="cs"/>
          <w:rtl/>
        </w:rPr>
        <w:t>י</w:t>
      </w:r>
      <w:r w:rsidRPr="00AA5065">
        <w:rPr>
          <w:rFonts w:eastAsia="Calibri"/>
          <w:rtl/>
        </w:rPr>
        <w:t xml:space="preserve">סים בכל המבצעים </w:t>
      </w:r>
      <w:r w:rsidRPr="00AA5065">
        <w:rPr>
          <w:rFonts w:eastAsia="Calibri" w:hint="cs"/>
          <w:rtl/>
        </w:rPr>
        <w:t>ש</w:t>
      </w:r>
      <w:r w:rsidRPr="00AA5065">
        <w:rPr>
          <w:rFonts w:eastAsia="Calibri"/>
          <w:rtl/>
        </w:rPr>
        <w:t>ה</w:t>
      </w:r>
      <w:r w:rsidRPr="00AA5065">
        <w:rPr>
          <w:rFonts w:eastAsia="Calibri" w:hint="cs"/>
          <w:rtl/>
        </w:rPr>
        <w:t>יא</w:t>
      </w:r>
      <w:r w:rsidRPr="00AA5065">
        <w:rPr>
          <w:rFonts w:eastAsia="Calibri"/>
          <w:rtl/>
        </w:rPr>
        <w:t xml:space="preserve"> עורכ</w:t>
      </w:r>
      <w:r w:rsidRPr="00AA5065">
        <w:rPr>
          <w:rFonts w:eastAsia="Calibri" w:hint="cs"/>
          <w:rtl/>
        </w:rPr>
        <w:t>ת</w:t>
      </w:r>
      <w:r w:rsidRPr="00AA5065">
        <w:rPr>
          <w:rFonts w:eastAsia="Calibri"/>
          <w:rtl/>
        </w:rPr>
        <w:t xml:space="preserve"> </w:t>
      </w:r>
      <w:r w:rsidRPr="00AA5065">
        <w:rPr>
          <w:rFonts w:eastAsia="Calibri" w:hint="cs"/>
          <w:rtl/>
        </w:rPr>
        <w:t>ל</w:t>
      </w:r>
      <w:r w:rsidRPr="00AA5065">
        <w:rPr>
          <w:rFonts w:eastAsia="Calibri"/>
          <w:rtl/>
        </w:rPr>
        <w:t>איתור תחנות דלק פיר</w:t>
      </w:r>
      <w:r w:rsidRPr="00AA5065">
        <w:rPr>
          <w:rFonts w:eastAsia="Calibri" w:hint="cs"/>
          <w:rtl/>
        </w:rPr>
        <w:t>א</w:t>
      </w:r>
      <w:r w:rsidRPr="00AA5065">
        <w:rPr>
          <w:rFonts w:eastAsia="Calibri"/>
          <w:rtl/>
        </w:rPr>
        <w:t>טיות באזור הנגב</w:t>
      </w:r>
      <w:r w:rsidRPr="00AA5065">
        <w:rPr>
          <w:rFonts w:eastAsia="Calibri" w:hint="cs"/>
          <w:rtl/>
        </w:rPr>
        <w:t>.</w:t>
      </w:r>
      <w:r w:rsidRPr="00AA5065">
        <w:rPr>
          <w:rFonts w:eastAsia="Calibri"/>
          <w:rtl/>
        </w:rPr>
        <w:t xml:space="preserve"> </w:t>
      </w:r>
      <w:r w:rsidRPr="00AA5065">
        <w:rPr>
          <w:rFonts w:eastAsia="Calibri" w:hint="cs"/>
          <w:rtl/>
        </w:rPr>
        <w:t xml:space="preserve">עוד הומלץ כי </w:t>
      </w:r>
      <w:r w:rsidRPr="00AA5065">
        <w:rPr>
          <w:rFonts w:eastAsia="Calibri"/>
          <w:rtl/>
        </w:rPr>
        <w:t>רשות המ</w:t>
      </w:r>
      <w:r w:rsidRPr="00AA5065">
        <w:rPr>
          <w:rFonts w:eastAsia="Calibri" w:hint="cs"/>
          <w:rtl/>
        </w:rPr>
        <w:t>י</w:t>
      </w:r>
      <w:r w:rsidRPr="00AA5065">
        <w:rPr>
          <w:rFonts w:eastAsia="Calibri"/>
          <w:rtl/>
        </w:rPr>
        <w:t xml:space="preserve">סים </w:t>
      </w:r>
      <w:r w:rsidRPr="00AA5065">
        <w:rPr>
          <w:rFonts w:eastAsia="Calibri" w:hint="cs"/>
          <w:rtl/>
        </w:rPr>
        <w:t>תפעל</w:t>
      </w:r>
      <w:r w:rsidRPr="00AA5065">
        <w:rPr>
          <w:rFonts w:eastAsia="Calibri"/>
          <w:rtl/>
        </w:rPr>
        <w:t xml:space="preserve"> </w:t>
      </w:r>
      <w:r w:rsidRPr="00AA5065">
        <w:rPr>
          <w:rFonts w:eastAsia="Calibri" w:hint="eastAsia"/>
          <w:rtl/>
        </w:rPr>
        <w:t>לגביית</w:t>
      </w:r>
      <w:r w:rsidRPr="00AA5065">
        <w:rPr>
          <w:rFonts w:eastAsia="Calibri"/>
          <w:rtl/>
        </w:rPr>
        <w:t xml:space="preserve"> המס ואף </w:t>
      </w:r>
      <w:r w:rsidRPr="00AA5065">
        <w:rPr>
          <w:rFonts w:eastAsia="Calibri" w:hint="cs"/>
          <w:rtl/>
        </w:rPr>
        <w:t>ת</w:t>
      </w:r>
      <w:r w:rsidRPr="00AA5065">
        <w:rPr>
          <w:rFonts w:eastAsia="Calibri"/>
          <w:rtl/>
        </w:rPr>
        <w:t xml:space="preserve">שקול הגשת כתבי אישום בגין עבירות מס אלו. </w:t>
      </w:r>
    </w:p>
    <w:p w:rsidR="00AA5065" w:rsidRPr="00AA5065" w:rsidP="00860D89">
      <w:pPr>
        <w:spacing w:line="269" w:lineRule="auto"/>
        <w:ind w:left="-567"/>
        <w:rPr>
          <w:rFonts w:eastAsia="Calibri"/>
          <w:szCs w:val="20"/>
          <w:rtl/>
        </w:rPr>
      </w:pPr>
    </w:p>
    <w:p w:rsidR="00AA5065" w:rsidRPr="00AA5065" w:rsidP="004E6B4D">
      <w:pPr>
        <w:keepNext/>
        <w:keepLines/>
        <w:spacing w:before="120"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rPr>
          <w:rFonts w:ascii="David" w:eastAsia="Calibri" w:hAnsi="David"/>
          <w:rtl/>
        </w:rPr>
      </w:pPr>
    </w:p>
    <w:p w:rsidR="00AA5065" w:rsidRPr="00AA5065" w:rsidP="00860D89">
      <w:pPr>
        <w:spacing w:line="269" w:lineRule="auto"/>
        <w:rPr>
          <w:rFonts w:eastAsia="Calibri"/>
          <w:rtl/>
        </w:rPr>
      </w:pPr>
      <w:r w:rsidRPr="00AA5065">
        <w:rPr>
          <w:rFonts w:ascii="David" w:eastAsia="Calibri" w:hAnsi="David" w:hint="cs"/>
          <w:rtl/>
        </w:rPr>
        <w:t>במהלך ביקורת המעקב נחשפו נציגי משרד מבקר המדינה לתחנות דלק פיראטיות המצויות בשולי הערים ואף בתוכן וכן לתופעה של קטינים המועסקים</w:t>
      </w:r>
      <w:r>
        <w:rPr>
          <w:rFonts w:ascii="David" w:eastAsia="Calibri" w:hAnsi="David"/>
          <w:vertAlign w:val="superscript"/>
          <w:rtl/>
        </w:rPr>
        <w:footnoteReference w:id="51"/>
      </w:r>
      <w:r w:rsidRPr="00AA5065">
        <w:rPr>
          <w:rFonts w:ascii="David" w:eastAsia="Calibri" w:hAnsi="David" w:hint="cs"/>
          <w:rtl/>
        </w:rPr>
        <w:t xml:space="preserve"> בתחנות דלק אלו, במכוני שטיפת רכבים וכד'. נציגים מתחומי השלטון המקומי, המשטרה והגנת הסביבה מסרו כי מדובר בתופעה נפוצה בקרב האוכלוסייה הבדואית בדרום</w:t>
      </w:r>
      <w:r w:rsidRPr="00AA5065">
        <w:rPr>
          <w:rFonts w:eastAsia="Calibri" w:hint="cs"/>
          <w:rtl/>
        </w:rPr>
        <w:t>. כמו כן, נתונים ומידע שהתקבלו מהמשטרה בדצמבר 2024</w:t>
      </w:r>
      <w:r>
        <w:rPr>
          <w:rFonts w:eastAsia="Calibri"/>
          <w:vertAlign w:val="superscript"/>
          <w:rtl/>
        </w:rPr>
        <w:footnoteReference w:id="52"/>
      </w:r>
      <w:r w:rsidRPr="00AA5065">
        <w:rPr>
          <w:rFonts w:eastAsia="Calibri" w:hint="cs"/>
          <w:vertAlign w:val="superscript"/>
          <w:rtl/>
        </w:rPr>
        <w:t xml:space="preserve"> </w:t>
      </w:r>
      <w:r w:rsidRPr="00AA5065">
        <w:rPr>
          <w:rFonts w:eastAsia="Calibri" w:hint="cs"/>
          <w:rtl/>
        </w:rPr>
        <w:t>על מאפייני הפשיעה הכלכלית בנגב כוללים, בין השאר, מידע על קיומן של תחנות דלק פיראטיות אשר משמשות לממכר סולר שמקורו בהחזרי מס הבלו שניתן בעיקר לחברות ובעלי ציי רכב גדולים שנמכרים בשוק השחור.</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rtl/>
        </w:rPr>
        <w:t>בדיון שהתקיים ביוני 2023 בוועדה לביקורת המדינה בכנסת אמר</w:t>
      </w:r>
      <w:r>
        <w:rPr>
          <w:rFonts w:eastAsia="Calibri"/>
          <w:vertAlign w:val="superscript"/>
          <w:rtl/>
        </w:rPr>
        <w:footnoteReference w:id="53"/>
      </w:r>
      <w:r w:rsidRPr="00AA5065">
        <w:rPr>
          <w:rFonts w:eastAsia="Calibri" w:hint="cs"/>
          <w:rtl/>
        </w:rPr>
        <w:t xml:space="preserve"> נציג המשטרה, בין השאר, כי "...</w:t>
      </w:r>
      <w:r w:rsidRPr="00AA5065">
        <w:rPr>
          <w:rFonts w:eastAsia="Calibri"/>
          <w:rtl/>
        </w:rPr>
        <w:t>אנחנו מרכזים מאמץ גם בנושא של תחנות דלק. אני יכול להגיד שתפסנו לא מעט מכלים, עשרות מכלי דלק, תחנות דלק, משאבות, שאבנו מעל 31,000 ליטר של דלק, תפסנו קרוב ל-500 בלוני גז בסיוע של מנהל הדלק והגז, שזה פיראטי, מבחינה בטיחותית מסוכן. נעשית הרבה מאוד פעילות. היינו שמחים לו הייתה לנו, מבחינת התקציבים, גם יכולת מענה משלים לדבר הזה. כי היום, בסוף, במסגרת מבצע "מסלול בטוח", נאלצנו לבקש עזרה איפה לאכסן את המכלים האלה. אין לנו תקציבים מסומנים לדבר הזה, וקיבלנו מענה, ואני מקווה שלפחות ככה זה יימשך</w:t>
      </w:r>
      <w:r w:rsidRPr="00AA5065">
        <w:rPr>
          <w:rFonts w:eastAsia="Calibri"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rtl/>
        </w:rPr>
        <w:t>ממונה תחום חקירות בין-לאומיות ברשות המיסים מסר לצוות הביקורת ב-10.11.24 כי</w:t>
      </w:r>
      <w:r w:rsidRPr="00AA5065">
        <w:rPr>
          <w:rFonts w:eastAsia="Calibri"/>
          <w:rtl/>
        </w:rPr>
        <w:t xml:space="preserve"> </w:t>
      </w:r>
      <w:r w:rsidRPr="00AA5065">
        <w:rPr>
          <w:rFonts w:eastAsia="Calibri" w:hint="cs"/>
          <w:rtl/>
        </w:rPr>
        <w:t>"</w:t>
      </w:r>
      <w:r w:rsidRPr="00AA5065">
        <w:rPr>
          <w:rFonts w:eastAsia="Calibri"/>
          <w:rtl/>
        </w:rPr>
        <w:t>אין לי נתונים לפיהם אוכל לספק אומדן אובדן מס בגין העלמות מס בתחנות דלק פירטיות</w:t>
      </w:r>
      <w:r w:rsidRPr="00AA5065">
        <w:rPr>
          <w:rFonts w:eastAsia="Calibri" w:hint="cs"/>
          <w:rtl/>
        </w:rPr>
        <w:t>.</w:t>
      </w:r>
      <w:r w:rsidRPr="00AA5065">
        <w:rPr>
          <w:rFonts w:eastAsia="Calibri"/>
          <w:rtl/>
        </w:rPr>
        <w:t xml:space="preserve"> אוכל רק לומר כי בין 1/2020 עד 8/2024 נפתחו 90 תיקים בה</w:t>
      </w:r>
      <w:r w:rsidRPr="00AA5065">
        <w:rPr>
          <w:rFonts w:eastAsia="Calibri" w:hint="cs"/>
          <w:rtl/>
        </w:rPr>
        <w:t>ם</w:t>
      </w:r>
      <w:r w:rsidRPr="00AA5065">
        <w:rPr>
          <w:rFonts w:eastAsia="Calibri"/>
          <w:rtl/>
        </w:rPr>
        <w:t xml:space="preserve"> המס שנגרע הוא מס בלו</w:t>
      </w:r>
      <w:r>
        <w:rPr>
          <w:rFonts w:eastAsia="Calibri"/>
          <w:vertAlign w:val="superscript"/>
          <w:rtl/>
        </w:rPr>
        <w:footnoteReference w:id="54"/>
      </w:r>
      <w:r w:rsidRPr="00AA5065">
        <w:rPr>
          <w:rFonts w:eastAsia="Calibri"/>
          <w:rtl/>
        </w:rPr>
        <w:t xml:space="preserve"> (מס המוטל על מכירת דלקים)</w:t>
      </w:r>
      <w:r w:rsidRPr="00AA5065">
        <w:rPr>
          <w:rFonts w:eastAsia="Calibri" w:hint="cs"/>
          <w:rtl/>
        </w:rPr>
        <w:t>.</w:t>
      </w:r>
      <w:r w:rsidRPr="00AA5065">
        <w:rPr>
          <w:rFonts w:eastAsia="Calibri"/>
          <w:rtl/>
        </w:rPr>
        <w:t xml:space="preserve"> סכום המס בתיקים אלה היה 24,988,750 </w:t>
      </w:r>
      <w:r w:rsidRPr="00AA5065">
        <w:rPr>
          <w:rFonts w:eastAsia="Calibri" w:hint="cs"/>
          <w:rtl/>
        </w:rPr>
        <w:t xml:space="preserve">ש"ח". עוד הוא מסר ב-18.11.24 לצוות הביקורת כי לגבי 90 תיקי החקירה שנפתחו בגין מס הבלו לא ניתן לקבל </w:t>
      </w:r>
      <w:r w:rsidRPr="00AA5065">
        <w:rPr>
          <w:rFonts w:eastAsia="Calibri"/>
          <w:rtl/>
        </w:rPr>
        <w:t>נתונים לפי שם הי</w:t>
      </w:r>
      <w:r w:rsidRPr="00AA5065">
        <w:rPr>
          <w:rFonts w:eastAsia="Calibri" w:hint="cs"/>
          <w:rtl/>
        </w:rPr>
        <w:t>י</w:t>
      </w:r>
      <w:r w:rsidRPr="00AA5065">
        <w:rPr>
          <w:rFonts w:eastAsia="Calibri"/>
          <w:rtl/>
        </w:rPr>
        <w:t>שוב של העסק או העוסק אלא רק לפי תחנת המע"</w:t>
      </w:r>
      <w:r w:rsidRPr="00AA5065">
        <w:rPr>
          <w:rFonts w:eastAsia="Calibri" w:hint="cs"/>
          <w:rtl/>
        </w:rPr>
        <w:t>ם</w:t>
      </w:r>
      <w:r w:rsidRPr="00AA5065">
        <w:rPr>
          <w:rFonts w:eastAsia="Calibri"/>
          <w:rtl/>
        </w:rPr>
        <w:t xml:space="preserve"> </w:t>
      </w:r>
      <w:r w:rsidRPr="00AA5065">
        <w:rPr>
          <w:rFonts w:eastAsia="Calibri" w:hint="cs"/>
          <w:rtl/>
        </w:rPr>
        <w:t>ש</w:t>
      </w:r>
      <w:r w:rsidRPr="00AA5065">
        <w:rPr>
          <w:rFonts w:eastAsia="Calibri"/>
          <w:rtl/>
        </w:rPr>
        <w:t>אליה הוא שייך</w:t>
      </w:r>
      <w:r w:rsidRPr="00AA5065">
        <w:rPr>
          <w:rFonts w:eastAsia="Calibri"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יצוין כי בדצמבר 2024 התקבלו מפקיד השומה בבאר שבע 11 דוחות פעילות שהתבצעו בתחנות דלק פיראטיות בשנים 2022 עד 2024. בתיקים אלו נעשו פעולות שונות</w:t>
      </w:r>
      <w:r w:rsidRPr="00AA5065">
        <w:rPr>
          <w:rFonts w:eastAsia="Calibri"/>
          <w:rtl/>
        </w:rPr>
        <w:t xml:space="preserve"> </w:t>
      </w:r>
      <w:r w:rsidRPr="00AA5065">
        <w:rPr>
          <w:rFonts w:eastAsia="Calibri" w:hint="cs"/>
          <w:rtl/>
        </w:rPr>
        <w:t xml:space="preserve">ובהן </w:t>
      </w:r>
      <w:r w:rsidRPr="00AA5065">
        <w:rPr>
          <w:rFonts w:eastAsia="Calibri"/>
          <w:rtl/>
        </w:rPr>
        <w:t>דרישה להגשת דוחות והצהרות הון</w:t>
      </w:r>
      <w:r w:rsidRPr="00AA5065">
        <w:rPr>
          <w:rFonts w:eastAsia="Calibri" w:hint="cs"/>
          <w:rtl/>
        </w:rPr>
        <w:t>,</w:t>
      </w:r>
      <w:r w:rsidRPr="00AA5065">
        <w:rPr>
          <w:rFonts w:eastAsia="Calibri"/>
          <w:rtl/>
        </w:rPr>
        <w:t xml:space="preserve"> הטלת קנסות מ</w:t>
      </w:r>
      <w:r w:rsidRPr="00AA5065">
        <w:rPr>
          <w:rFonts w:eastAsia="Calibri" w:hint="cs"/>
          <w:rtl/>
        </w:rPr>
        <w:t>י</w:t>
      </w:r>
      <w:r w:rsidRPr="00AA5065">
        <w:rPr>
          <w:rFonts w:eastAsia="Calibri"/>
          <w:rtl/>
        </w:rPr>
        <w:t xml:space="preserve">נהליים ועיצומי חוק המזומן. </w:t>
      </w:r>
      <w:r w:rsidRPr="00AA5065">
        <w:rPr>
          <w:rFonts w:eastAsia="Calibri" w:hint="cs"/>
          <w:rtl/>
        </w:rPr>
        <w:t>מפקיד השומה נמסר כי ב</w:t>
      </w:r>
      <w:r w:rsidRPr="00AA5065">
        <w:rPr>
          <w:rFonts w:eastAsia="Calibri"/>
          <w:rtl/>
        </w:rPr>
        <w:t xml:space="preserve">מקום </w:t>
      </w:r>
      <w:r w:rsidRPr="00AA5065">
        <w:rPr>
          <w:rFonts w:eastAsia="Calibri" w:hint="cs"/>
          <w:rtl/>
        </w:rPr>
        <w:t>ש</w:t>
      </w:r>
      <w:r w:rsidRPr="00AA5065">
        <w:rPr>
          <w:rFonts w:eastAsia="Calibri"/>
          <w:rtl/>
        </w:rPr>
        <w:t>בו עולה צורך בטיפול שומתי</w:t>
      </w:r>
      <w:r w:rsidRPr="00AA5065">
        <w:rPr>
          <w:rFonts w:eastAsia="Calibri" w:hint="cs"/>
          <w:rtl/>
        </w:rPr>
        <w:t>,</w:t>
      </w:r>
      <w:r w:rsidRPr="00AA5065">
        <w:rPr>
          <w:rFonts w:eastAsia="Calibri"/>
          <w:rtl/>
        </w:rPr>
        <w:t xml:space="preserve"> התיקים יטופלו במישור זה בשים לב למכלול השיקולים </w:t>
      </w:r>
      <w:r w:rsidRPr="00AA5065">
        <w:rPr>
          <w:rFonts w:eastAsia="Calibri" w:hint="cs"/>
          <w:rtl/>
        </w:rPr>
        <w:t xml:space="preserve">המובאים בחשבון </w:t>
      </w:r>
      <w:r w:rsidRPr="00AA5065">
        <w:rPr>
          <w:rFonts w:eastAsia="Calibri"/>
          <w:rtl/>
        </w:rPr>
        <w:t>בבחירת התיקים לת</w:t>
      </w:r>
      <w:r w:rsidRPr="00AA5065">
        <w:rPr>
          <w:rFonts w:eastAsia="Calibri" w:hint="cs"/>
          <w:rtl/>
        </w:rPr>
        <w:t>ו</w:t>
      </w:r>
      <w:r w:rsidRPr="00AA5065">
        <w:rPr>
          <w:rFonts w:eastAsia="Calibri"/>
          <w:rtl/>
        </w:rPr>
        <w:t xml:space="preserve">כנית העבודה המשרדית.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נציגת מרחב דרום של המשרד להג"ס מסרה לנציגי משרד מבקר המדינה, בהקשר זה, כי לרוב הם אינם מבצעים פעולות פיקוח על תחנות דלק פיראטיות, וכי הטיפול בסוגיה זו נעשה במסגרת שולחן עגול בשיתוף פרקליטות המחוז, וזאת רק במקרים שבהם מתקבלות בגינן תלונות או כאשר הן מהוות מפגע סביבתי. כפועל יוצא מכך מבוצעות רק פעולות פיקוח מועטות במהלך השנה, ולמשרד אין מידע מהימן לגבי היקף התופעה.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יצוין כי כבר בשנת 2020 בדוח</w:t>
      </w:r>
      <w:r>
        <w:rPr>
          <w:rFonts w:eastAsia="Calibri"/>
          <w:vertAlign w:val="superscript"/>
          <w:rtl/>
        </w:rPr>
        <w:footnoteReference w:id="55"/>
      </w:r>
      <w:r w:rsidRPr="00AA5065">
        <w:rPr>
          <w:rFonts w:eastAsia="Calibri" w:hint="cs"/>
          <w:rtl/>
        </w:rPr>
        <w:t xml:space="preserve"> מבקר המדינה בנושא זה נכתב כי "לא מתבצע מהלך יזום, סדור ועיתי להובלת המאבק נגד תחנות התדלוק הפירטיות, ובסוגיה מטפלים כמה גופי פיקוח ואכיפה (משרד האנרגיה והתשתיות, המשרד להג"ס, משרד הכלכלה, המשרד לביטחון הפנים, משרד הפנים, משטרת ישראל, רשות מקרקעי ישראל, הרשויות המקומיות והוועדות לתכנון ולבנייה) בתיאום חלקי, כך שכיום אין מיפוי עדכני לתופעה".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bookmarkStart w:id="46" w:name="_Hlk204851266"/>
      <w:r w:rsidRPr="00AA5065">
        <w:rPr>
          <w:rFonts w:eastAsia="Calibri" w:hint="cs"/>
          <w:b/>
          <w:bCs/>
          <w:rtl/>
        </w:rPr>
        <w:t xml:space="preserve">בביקורת הקודמת עלה כי </w:t>
      </w:r>
      <w:r w:rsidRPr="00AA5065">
        <w:rPr>
          <w:rFonts w:eastAsia="Calibri"/>
          <w:b/>
          <w:bCs/>
          <w:rtl/>
        </w:rPr>
        <w:t xml:space="preserve">אין </w:t>
      </w:r>
      <w:r w:rsidRPr="00AA5065">
        <w:rPr>
          <w:rFonts w:eastAsia="Calibri" w:hint="cs"/>
          <w:b/>
          <w:bCs/>
          <w:rtl/>
        </w:rPr>
        <w:t xml:space="preserve">בידי רשות המיסים </w:t>
      </w:r>
      <w:r w:rsidRPr="00AA5065">
        <w:rPr>
          <w:rFonts w:eastAsia="Calibri"/>
          <w:b/>
          <w:bCs/>
          <w:rtl/>
        </w:rPr>
        <w:t>הערכה לאובדן מ</w:t>
      </w:r>
      <w:r w:rsidRPr="00AA5065">
        <w:rPr>
          <w:rFonts w:eastAsia="Calibri" w:hint="cs"/>
          <w:b/>
          <w:bCs/>
          <w:rtl/>
        </w:rPr>
        <w:t>י</w:t>
      </w:r>
      <w:r w:rsidRPr="00AA5065">
        <w:rPr>
          <w:rFonts w:eastAsia="Calibri"/>
          <w:b/>
          <w:bCs/>
          <w:rtl/>
        </w:rPr>
        <w:t xml:space="preserve">סים </w:t>
      </w:r>
      <w:r w:rsidRPr="00AA5065">
        <w:rPr>
          <w:rFonts w:eastAsia="Calibri" w:hint="cs"/>
          <w:b/>
          <w:bCs/>
          <w:rtl/>
        </w:rPr>
        <w:t>הנובע</w:t>
      </w:r>
      <w:r w:rsidRPr="00AA5065">
        <w:rPr>
          <w:rFonts w:eastAsia="Calibri"/>
          <w:b/>
          <w:bCs/>
          <w:rtl/>
        </w:rPr>
        <w:t xml:space="preserve"> </w:t>
      </w:r>
      <w:r w:rsidRPr="00AA5065">
        <w:rPr>
          <w:rFonts w:eastAsia="Calibri" w:hint="cs"/>
          <w:b/>
          <w:bCs/>
          <w:rtl/>
        </w:rPr>
        <w:t>העלמות מס ב</w:t>
      </w:r>
      <w:r w:rsidRPr="00AA5065">
        <w:rPr>
          <w:rFonts w:eastAsia="Calibri"/>
          <w:b/>
          <w:bCs/>
          <w:rtl/>
        </w:rPr>
        <w:t>תחנות דלק</w:t>
      </w:r>
      <w:r w:rsidRPr="00AA5065">
        <w:rPr>
          <w:rFonts w:eastAsia="Calibri" w:hint="cs"/>
          <w:b/>
          <w:bCs/>
          <w:rtl/>
        </w:rPr>
        <w:t xml:space="preserve"> פיראטיות,</w:t>
      </w:r>
      <w:r w:rsidRPr="00AA5065">
        <w:rPr>
          <w:rFonts w:eastAsia="Calibri"/>
          <w:b/>
          <w:bCs/>
          <w:rtl/>
        </w:rPr>
        <w:t xml:space="preserve"> </w:t>
      </w:r>
      <w:r w:rsidRPr="00AA5065">
        <w:rPr>
          <w:rFonts w:eastAsia="Calibri" w:hint="cs"/>
          <w:b/>
          <w:bCs/>
          <w:rtl/>
        </w:rPr>
        <w:t xml:space="preserve">והיא אינה מבצעת פעולות נגד תחנות דלק פיראטיות. בביקורת המעקב נמצא כי הליקוי תוקן במידה מועטה; עדיין אין בידי רשות המיסים אומדן בדבר </w:t>
      </w:r>
      <w:r w:rsidRPr="00AA5065">
        <w:rPr>
          <w:rFonts w:eastAsia="Calibri"/>
          <w:b/>
          <w:bCs/>
          <w:rtl/>
        </w:rPr>
        <w:t>אובדן מ</w:t>
      </w:r>
      <w:r w:rsidRPr="00AA5065">
        <w:rPr>
          <w:rFonts w:eastAsia="Calibri" w:hint="cs"/>
          <w:b/>
          <w:bCs/>
          <w:rtl/>
        </w:rPr>
        <w:t>י</w:t>
      </w:r>
      <w:r w:rsidRPr="00AA5065">
        <w:rPr>
          <w:rFonts w:eastAsia="Calibri"/>
          <w:b/>
          <w:bCs/>
          <w:rtl/>
        </w:rPr>
        <w:t xml:space="preserve">סים </w:t>
      </w:r>
      <w:r w:rsidRPr="00AA5065">
        <w:rPr>
          <w:rFonts w:eastAsia="Calibri" w:hint="cs"/>
          <w:b/>
          <w:bCs/>
          <w:rtl/>
        </w:rPr>
        <w:t>הנובע</w:t>
      </w:r>
      <w:r w:rsidRPr="00AA5065">
        <w:rPr>
          <w:rFonts w:eastAsia="Calibri"/>
          <w:b/>
          <w:bCs/>
          <w:rtl/>
        </w:rPr>
        <w:t xml:space="preserve"> </w:t>
      </w:r>
      <w:r w:rsidRPr="00AA5065">
        <w:rPr>
          <w:rFonts w:eastAsia="Calibri" w:hint="cs"/>
          <w:b/>
          <w:bCs/>
          <w:rtl/>
        </w:rPr>
        <w:t>העלמות מס ב</w:t>
      </w:r>
      <w:r w:rsidRPr="00AA5065">
        <w:rPr>
          <w:rFonts w:eastAsia="Calibri"/>
          <w:b/>
          <w:bCs/>
          <w:rtl/>
        </w:rPr>
        <w:t>תחנות דלק</w:t>
      </w:r>
      <w:r w:rsidRPr="00AA5065">
        <w:rPr>
          <w:rFonts w:eastAsia="Calibri" w:hint="cs"/>
          <w:b/>
          <w:bCs/>
          <w:rtl/>
        </w:rPr>
        <w:t xml:space="preserve"> פיראטיות,</w:t>
      </w:r>
      <w:r w:rsidRPr="00AA5065">
        <w:rPr>
          <w:rFonts w:eastAsia="Calibri"/>
          <w:b/>
          <w:bCs/>
          <w:rtl/>
        </w:rPr>
        <w:t xml:space="preserve"> </w:t>
      </w:r>
      <w:r w:rsidRPr="00AA5065">
        <w:rPr>
          <w:rFonts w:eastAsia="Calibri" w:hint="cs"/>
          <w:b/>
          <w:bCs/>
          <w:rtl/>
        </w:rPr>
        <w:t xml:space="preserve">אך בשנים 2022 עד 2024 גברה פעילות רשות המיסים בתחום זה. </w:t>
      </w:r>
      <w:r w:rsidRPr="00AA5065">
        <w:rPr>
          <w:rFonts w:eastAsia="Calibri"/>
          <w:b/>
          <w:bCs/>
          <w:rtl/>
        </w:rPr>
        <w:t xml:space="preserve">בין </w:t>
      </w:r>
      <w:r w:rsidRPr="00AA5065">
        <w:rPr>
          <w:rFonts w:eastAsia="Calibri" w:hint="cs"/>
          <w:b/>
          <w:bCs/>
          <w:rtl/>
        </w:rPr>
        <w:t xml:space="preserve">ינואר 2020 לאוגוסט 2024 </w:t>
      </w:r>
      <w:r w:rsidRPr="00AA5065">
        <w:rPr>
          <w:rFonts w:eastAsia="Calibri"/>
          <w:b/>
          <w:bCs/>
          <w:rtl/>
        </w:rPr>
        <w:t xml:space="preserve">נפתחו 90 תיקים </w:t>
      </w:r>
      <w:r w:rsidRPr="00AA5065">
        <w:rPr>
          <w:rFonts w:eastAsia="Calibri" w:hint="cs"/>
          <w:b/>
          <w:bCs/>
          <w:rtl/>
        </w:rPr>
        <w:t>ש</w:t>
      </w:r>
      <w:r w:rsidRPr="00AA5065">
        <w:rPr>
          <w:rFonts w:eastAsia="Calibri"/>
          <w:b/>
          <w:bCs/>
          <w:rtl/>
        </w:rPr>
        <w:t xml:space="preserve">בהם המס שנגרע הוא </w:t>
      </w:r>
      <w:bookmarkStart w:id="47" w:name="_Hlk204859035"/>
      <w:r w:rsidRPr="00AA5065">
        <w:rPr>
          <w:rFonts w:eastAsia="Calibri"/>
          <w:b/>
          <w:bCs/>
          <w:rtl/>
        </w:rPr>
        <w:t>מס בלו</w:t>
      </w:r>
      <w:r w:rsidRPr="00AA5065">
        <w:rPr>
          <w:rFonts w:eastAsia="Calibri" w:hint="cs"/>
          <w:b/>
          <w:bCs/>
          <w:rtl/>
        </w:rPr>
        <w:t>,</w:t>
      </w:r>
      <w:r w:rsidRPr="00AA5065">
        <w:rPr>
          <w:rFonts w:eastAsia="Calibri"/>
          <w:b/>
          <w:bCs/>
          <w:rtl/>
        </w:rPr>
        <w:t xml:space="preserve"> </w:t>
      </w:r>
      <w:bookmarkEnd w:id="47"/>
      <w:r w:rsidRPr="00AA5065">
        <w:rPr>
          <w:rFonts w:eastAsia="Calibri" w:hint="cs"/>
          <w:b/>
          <w:bCs/>
          <w:rtl/>
        </w:rPr>
        <w:t>ו</w:t>
      </w:r>
      <w:r w:rsidRPr="00AA5065">
        <w:rPr>
          <w:rFonts w:eastAsia="Calibri"/>
          <w:b/>
          <w:bCs/>
          <w:rtl/>
        </w:rPr>
        <w:t xml:space="preserve">סכום המס בתיקים אלה היה 24,988,750 </w:t>
      </w:r>
      <w:r w:rsidRPr="00AA5065">
        <w:rPr>
          <w:rFonts w:eastAsia="Calibri" w:hint="cs"/>
          <w:b/>
          <w:bCs/>
          <w:rtl/>
        </w:rPr>
        <w:t xml:space="preserve">ש"ח. </w:t>
      </w:r>
      <w:r w:rsidRPr="00AA5065">
        <w:rPr>
          <w:rFonts w:eastAsia="Calibri" w:hint="eastAsia"/>
          <w:b/>
          <w:bCs/>
          <w:rtl/>
        </w:rPr>
        <w:t>עוד</w:t>
      </w:r>
      <w:r w:rsidRPr="00AA5065">
        <w:rPr>
          <w:rFonts w:eastAsia="Calibri"/>
          <w:b/>
          <w:bCs/>
          <w:rtl/>
        </w:rPr>
        <w:t xml:space="preserve"> </w:t>
      </w:r>
      <w:r w:rsidRPr="00AA5065">
        <w:rPr>
          <w:rFonts w:eastAsia="Calibri" w:hint="eastAsia"/>
          <w:b/>
          <w:bCs/>
          <w:rtl/>
        </w:rPr>
        <w:t>נמצא</w:t>
      </w:r>
      <w:r w:rsidRPr="00AA5065">
        <w:rPr>
          <w:rFonts w:eastAsia="Calibri"/>
          <w:b/>
          <w:bCs/>
          <w:rtl/>
        </w:rPr>
        <w:t xml:space="preserve"> </w:t>
      </w:r>
      <w:r w:rsidRPr="00AA5065">
        <w:rPr>
          <w:rFonts w:eastAsia="Calibri" w:hint="eastAsia"/>
          <w:b/>
          <w:bCs/>
          <w:rtl/>
        </w:rPr>
        <w:t>כי</w:t>
      </w:r>
      <w:r w:rsidRPr="00AA5065">
        <w:rPr>
          <w:rFonts w:eastAsia="Calibri" w:hint="cs"/>
          <w:b/>
          <w:bCs/>
          <w:rtl/>
        </w:rPr>
        <w:t xml:space="preserve"> שיתוף פעולה והתיאום בין כלל גופי הפיקוח והאכיפה שבתחום זה הוא חלקי.</w:t>
      </w:r>
    </w:p>
    <w:bookmarkEnd w:id="46"/>
    <w:p w:rsidR="00AA5065" w:rsidRPr="00AA5065" w:rsidP="00860D89">
      <w:pPr>
        <w:spacing w:line="269" w:lineRule="auto"/>
        <w:ind w:left="-567"/>
        <w:rPr>
          <w:rFonts w:eastAsia="Calibri"/>
          <w:szCs w:val="20"/>
          <w:rtl/>
          <w:lang w:eastAsia="he-IL"/>
        </w:rPr>
      </w:pPr>
    </w:p>
    <w:p w:rsidR="00AA5065" w:rsidRPr="00AA5065" w:rsidP="004E6B4D">
      <w:pPr>
        <w:spacing w:before="120" w:line="269" w:lineRule="auto"/>
        <w:jc w:val="center"/>
        <w:rPr>
          <w:rFonts w:eastAsia="Calibri"/>
          <w:b/>
          <w:bCs/>
          <w:rtl/>
          <w:lang w:eastAsia="he-IL"/>
        </w:rPr>
      </w:pPr>
      <w:r w:rsidRPr="00AA5065">
        <w:rPr>
          <w:rFonts w:eastAsia="Calibri" w:hint="cs"/>
          <w:b/>
          <w:bCs/>
          <w:rtl/>
          <w:lang w:eastAsia="he-IL"/>
        </w:rPr>
        <w:t>מידת תיקון הליקוי</w:t>
      </w:r>
    </w:p>
    <w:p w:rsidR="00AA5065" w:rsidRPr="00AA5065" w:rsidP="00860D89">
      <w:pPr>
        <w:spacing w:line="269" w:lineRule="auto"/>
        <w:jc w:val="center"/>
        <w:rPr>
          <w:rFonts w:eastAsia="Calibri"/>
          <w:rtl/>
        </w:rPr>
      </w:pPr>
      <w:r w:rsidRPr="00AA5065">
        <w:rPr>
          <w:rFonts w:eastAsia="Calibri"/>
          <w:noProof/>
        </w:rPr>
        <w:drawing>
          <wp:inline distT="0" distB="0" distL="0" distR="0">
            <wp:extent cx="3426460" cy="932815"/>
            <wp:effectExtent l="0" t="0" r="2540" b="635"/>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6460" cy="932815"/>
                    </a:xfrm>
                    <a:prstGeom prst="rect">
                      <a:avLst/>
                    </a:prstGeom>
                    <a:noFill/>
                  </pic:spPr>
                </pic:pic>
              </a:graphicData>
            </a:graphic>
          </wp:inline>
        </w:drawing>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רשות המיסים מסרה בתשובתה כי "...</w:t>
      </w:r>
      <w:r w:rsidRPr="00AA5065">
        <w:rPr>
          <w:rFonts w:eastAsia="Calibri"/>
          <w:rtl/>
        </w:rPr>
        <w:t>נושא מסי הדלק הוא נושא שמטופל ברמה הארצית ולא רק באזור הנגב. מנהל רשות המסים הקים</w:t>
      </w:r>
      <w:r w:rsidRPr="00AA5065">
        <w:rPr>
          <w:rFonts w:eastAsia="Calibri" w:hint="cs"/>
          <w:rtl/>
        </w:rPr>
        <w:t xml:space="preserve"> </w:t>
      </w:r>
      <w:r w:rsidRPr="00AA5065">
        <w:rPr>
          <w:rFonts w:eastAsia="Calibri"/>
          <w:rtl/>
        </w:rPr>
        <w:t>ועדה</w:t>
      </w:r>
      <w:r w:rsidRPr="00AA5065">
        <w:rPr>
          <w:rFonts w:eastAsia="Calibri" w:hint="cs"/>
          <w:rtl/>
        </w:rPr>
        <w:t xml:space="preserve"> פנימית של רשות המיסים</w:t>
      </w:r>
      <w:r w:rsidRPr="00AA5065">
        <w:rPr>
          <w:rFonts w:eastAsia="Calibri"/>
          <w:rtl/>
        </w:rPr>
        <w:t xml:space="preserve"> בנושא הלוחמה בהון השחור בענף הדלקים. הוועדה ברשות המשנה למנהל הרשות, הספיקה לבצע</w:t>
      </w:r>
      <w:r w:rsidRPr="00AA5065">
        <w:rPr>
          <w:rFonts w:eastAsia="Calibri" w:hint="cs"/>
          <w:rtl/>
        </w:rPr>
        <w:t xml:space="preserve"> </w:t>
      </w:r>
      <w:r w:rsidRPr="00AA5065">
        <w:rPr>
          <w:rFonts w:eastAsia="Calibri"/>
          <w:rtl/>
        </w:rPr>
        <w:t>פגישה אחת ולאור מלחמת 12 הימים נעצרה לאור הפעילות המרובה בקרן הפיצויים. בימים אלו תתקבל</w:t>
      </w:r>
      <w:r w:rsidRPr="00AA5065">
        <w:rPr>
          <w:rFonts w:eastAsia="Calibri" w:hint="cs"/>
          <w:rtl/>
        </w:rPr>
        <w:t xml:space="preserve"> </w:t>
      </w:r>
      <w:r w:rsidRPr="00AA5065">
        <w:rPr>
          <w:rFonts w:eastAsia="Calibri"/>
          <w:rtl/>
        </w:rPr>
        <w:t>החלטה על ידי מנהל הרשות בדבר הגורם שיעמוד בראש הוועדה</w:t>
      </w:r>
      <w:r w:rsidRPr="00AA5065">
        <w:rPr>
          <w:rFonts w:eastAsia="Calibri" w:hint="cs"/>
          <w:rtl/>
        </w:rPr>
        <w:t>"</w:t>
      </w:r>
      <w:r w:rsidRPr="00AA5065">
        <w:rPr>
          <w:rFonts w:eastAsia="Calibri"/>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המשרד להג"ס מסר בתשובתו מיום 25.9.25 (להלן - תשובת המשרד להג"ס) כי "</w:t>
      </w:r>
      <w:r w:rsidRPr="00AA5065">
        <w:rPr>
          <w:rFonts w:eastAsia="Calibri"/>
          <w:rtl/>
        </w:rPr>
        <w:t xml:space="preserve">מהילת דלק או יצור דלק באופן פיראטי הינה תופעה ארצית </w:t>
      </w:r>
      <w:r w:rsidRPr="00AA5065">
        <w:rPr>
          <w:rFonts w:eastAsia="Calibri" w:hint="cs"/>
          <w:rtl/>
        </w:rPr>
        <w:t>ו</w:t>
      </w:r>
      <w:r w:rsidRPr="00AA5065">
        <w:rPr>
          <w:rFonts w:eastAsia="Calibri"/>
          <w:rtl/>
        </w:rPr>
        <w:t>אינה י</w:t>
      </w:r>
      <w:r w:rsidRPr="00AA5065">
        <w:rPr>
          <w:rFonts w:eastAsia="Calibri" w:hint="cs"/>
          <w:rtl/>
        </w:rPr>
        <w:t>י</w:t>
      </w:r>
      <w:r w:rsidRPr="00AA5065">
        <w:rPr>
          <w:rFonts w:eastAsia="Calibri"/>
          <w:rtl/>
        </w:rPr>
        <w:t>חודית למגזר הבדואי בדרום הארץ</w:t>
      </w:r>
      <w:r w:rsidRPr="00AA5065">
        <w:rPr>
          <w:rFonts w:eastAsia="Calibri" w:hint="cs"/>
          <w:rtl/>
        </w:rPr>
        <w:t xml:space="preserve"> ומטופלת בהתאם"</w:t>
      </w:r>
      <w:r w:rsidRPr="00AA5065">
        <w:rPr>
          <w:rFonts w:eastAsia="Calibri"/>
          <w:rtl/>
        </w:rPr>
        <w:t xml:space="preserve">. </w:t>
      </w:r>
      <w:r w:rsidRPr="00AA5065">
        <w:rPr>
          <w:rFonts w:eastAsia="Calibri" w:hint="cs"/>
          <w:rtl/>
        </w:rPr>
        <w:t xml:space="preserve">עוד נמסר כי בין היתר, </w:t>
      </w:r>
      <w:r w:rsidRPr="00AA5065">
        <w:rPr>
          <w:rFonts w:eastAsia="Calibri"/>
          <w:rtl/>
        </w:rPr>
        <w:t>מבוצעים התהליכים ה</w:t>
      </w:r>
      <w:r w:rsidRPr="00AA5065">
        <w:rPr>
          <w:rFonts w:eastAsia="Calibri" w:hint="cs"/>
          <w:rtl/>
        </w:rPr>
        <w:t>אלה</w:t>
      </w:r>
      <w:r w:rsidRPr="00AA5065">
        <w:rPr>
          <w:rFonts w:eastAsia="Calibri"/>
          <w:rtl/>
        </w:rPr>
        <w:t>:</w:t>
      </w:r>
      <w:r w:rsidRPr="00AA5065">
        <w:rPr>
          <w:rFonts w:eastAsia="Calibri" w:hint="cs"/>
          <w:rtl/>
        </w:rPr>
        <w:t xml:space="preserve"> </w:t>
      </w:r>
      <w:r w:rsidRPr="00AA5065">
        <w:rPr>
          <w:rFonts w:eastAsia="Calibri"/>
          <w:rtl/>
        </w:rPr>
        <w:t xml:space="preserve">גיבוש תמונת מצב מודיעינית </w:t>
      </w:r>
      <w:r w:rsidRPr="00AA5065">
        <w:rPr>
          <w:rFonts w:eastAsia="Calibri" w:hint="cs"/>
          <w:rtl/>
        </w:rPr>
        <w:t>על</w:t>
      </w:r>
      <w:r w:rsidRPr="00AA5065">
        <w:rPr>
          <w:rFonts w:eastAsia="Calibri"/>
          <w:rtl/>
        </w:rPr>
        <w:t xml:space="preserve"> עסקים פיראטיים העוסקים בכך ומאחסנים חומ</w:t>
      </w:r>
      <w:r w:rsidRPr="00AA5065">
        <w:rPr>
          <w:rFonts w:eastAsia="Calibri" w:hint="cs"/>
          <w:rtl/>
        </w:rPr>
        <w:t>"</w:t>
      </w:r>
      <w:r w:rsidRPr="00AA5065">
        <w:rPr>
          <w:rFonts w:eastAsia="Calibri"/>
          <w:rtl/>
        </w:rPr>
        <w:t xml:space="preserve">ס בניגוד לחוק </w:t>
      </w:r>
      <w:r w:rsidRPr="00AA5065">
        <w:rPr>
          <w:rFonts w:eastAsia="Calibri" w:hint="cs"/>
          <w:rtl/>
        </w:rPr>
        <w:t xml:space="preserve">וכן </w:t>
      </w:r>
      <w:r w:rsidRPr="00AA5065">
        <w:rPr>
          <w:rFonts w:eastAsia="Calibri"/>
          <w:rtl/>
        </w:rPr>
        <w:t>הוצאה לפועל של אכיפה מוכוונת מודיעין</w:t>
      </w:r>
      <w:r w:rsidRPr="00AA5065">
        <w:rPr>
          <w:rFonts w:eastAsia="Calibri" w:hint="cs"/>
          <w:rtl/>
        </w:rPr>
        <w:t xml:space="preserve">. כמו כן נמסר כי </w:t>
      </w:r>
      <w:r w:rsidRPr="00AA5065">
        <w:rPr>
          <w:rFonts w:eastAsia="Calibri"/>
          <w:rtl/>
        </w:rPr>
        <w:t>השותפה הטבעית להליכי האיסוף המודיעיני ובהמשך להליכי האכיפה הי</w:t>
      </w:r>
      <w:r w:rsidRPr="00AA5065">
        <w:rPr>
          <w:rFonts w:eastAsia="Calibri" w:hint="cs"/>
          <w:rtl/>
        </w:rPr>
        <w:t>א</w:t>
      </w:r>
      <w:r w:rsidRPr="00AA5065">
        <w:rPr>
          <w:rFonts w:eastAsia="Calibri"/>
          <w:rtl/>
        </w:rPr>
        <w:t xml:space="preserve"> יחידת הבלו ברשות המיסים</w:t>
      </w:r>
      <w:r w:rsidRPr="00AA5065">
        <w:rPr>
          <w:rFonts w:eastAsia="Calibri" w:hint="cs"/>
          <w:rtl/>
        </w:rPr>
        <w:t xml:space="preserve"> אך</w:t>
      </w:r>
      <w:r w:rsidRPr="00AA5065">
        <w:rPr>
          <w:rFonts w:eastAsia="Calibri"/>
          <w:rtl/>
        </w:rPr>
        <w:t xml:space="preserve"> מגבלות חוקיות אינן מאפשרות לרשות לחלוק מידע ללא הקמת צ</w:t>
      </w:r>
      <w:r w:rsidRPr="00AA5065">
        <w:rPr>
          <w:rFonts w:eastAsia="Calibri" w:hint="cs"/>
          <w:rtl/>
        </w:rPr>
        <w:t>וות חקירה מיוחד</w:t>
      </w:r>
      <w:r w:rsidRPr="00AA5065">
        <w:rPr>
          <w:rFonts w:eastAsia="Calibri"/>
          <w:rtl/>
        </w:rPr>
        <w:t xml:space="preserve"> ועיגון משפטי. ניתן להניח ששותפות מלאה, לאחר הסרת החסמים המובנים, הייתה משפרת את האכיפה המשולבת.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משטרת ישראל מסרה בתשובתה כי </w:t>
      </w:r>
      <w:r w:rsidRPr="00AA5065">
        <w:rPr>
          <w:rFonts w:eastAsia="Calibri"/>
          <w:rtl/>
        </w:rPr>
        <w:t xml:space="preserve">שוטרי המדור </w:t>
      </w:r>
      <w:r w:rsidRPr="00AA5065">
        <w:rPr>
          <w:rFonts w:eastAsia="Calibri" w:hint="cs"/>
          <w:rtl/>
        </w:rPr>
        <w:t>להגנת הסביבה</w:t>
      </w:r>
      <w:r w:rsidRPr="00AA5065">
        <w:rPr>
          <w:rFonts w:eastAsia="Calibri"/>
          <w:rtl/>
        </w:rPr>
        <w:t xml:space="preserve"> פועלים בצמוד למפקחי משרד האנרגיה</w:t>
      </w:r>
      <w:r w:rsidRPr="00AA5065">
        <w:rPr>
          <w:rFonts w:eastAsia="Calibri" w:hint="cs"/>
          <w:rtl/>
        </w:rPr>
        <w:t xml:space="preserve"> והתשתיות</w:t>
      </w:r>
      <w:r w:rsidRPr="00AA5065">
        <w:rPr>
          <w:rFonts w:eastAsia="Calibri"/>
          <w:rtl/>
        </w:rPr>
        <w:t xml:space="preserve"> ובהתאם לתוכנית העבודה שלהם. </w:t>
      </w:r>
    </w:p>
    <w:p w:rsidR="00AA5065" w:rsidRPr="00AA5065" w:rsidP="00860D89">
      <w:pPr>
        <w:spacing w:line="269" w:lineRule="auto"/>
        <w:ind w:left="-567"/>
        <w:rPr>
          <w:rFonts w:eastAsia="Calibri"/>
          <w:szCs w:val="20"/>
          <w:rtl/>
        </w:rPr>
      </w:pPr>
    </w:p>
    <w:p w:rsidR="00AA5065" w:rsidP="00860D89">
      <w:pPr>
        <w:spacing w:line="269" w:lineRule="auto"/>
        <w:rPr>
          <w:rFonts w:eastAsia="Calibri"/>
          <w:rtl/>
        </w:rPr>
      </w:pPr>
      <w:r w:rsidRPr="00AA5065">
        <w:rPr>
          <w:rFonts w:eastAsia="Calibri" w:hint="cs"/>
          <w:b/>
          <w:bCs/>
          <w:rtl/>
        </w:rPr>
        <w:t xml:space="preserve">מומלץ כי רשות המיסים בשיתוף </w:t>
      </w:r>
      <w:r w:rsidRPr="00AA5065">
        <w:rPr>
          <w:rFonts w:eastAsia="Calibri"/>
          <w:b/>
          <w:bCs/>
          <w:rtl/>
        </w:rPr>
        <w:t>המשרד להג</w:t>
      </w:r>
      <w:r w:rsidRPr="00AA5065">
        <w:rPr>
          <w:rFonts w:eastAsia="Calibri" w:hint="cs"/>
          <w:b/>
          <w:bCs/>
          <w:rtl/>
        </w:rPr>
        <w:t>"ס</w:t>
      </w:r>
      <w:r w:rsidRPr="00AA5065">
        <w:rPr>
          <w:rFonts w:eastAsia="Calibri"/>
          <w:b/>
          <w:bCs/>
          <w:rtl/>
        </w:rPr>
        <w:t xml:space="preserve">, המשטרה </w:t>
      </w:r>
      <w:r w:rsidRPr="00AA5065">
        <w:rPr>
          <w:rFonts w:eastAsia="Calibri" w:hint="cs"/>
          <w:b/>
          <w:bCs/>
          <w:rtl/>
        </w:rPr>
        <w:t>ומשרד האנרגיה והתשתיות,</w:t>
      </w:r>
      <w:r w:rsidRPr="00AA5065">
        <w:rPr>
          <w:rFonts w:eastAsia="Calibri"/>
          <w:b/>
          <w:bCs/>
          <w:rtl/>
        </w:rPr>
        <w:t xml:space="preserve"> </w:t>
      </w:r>
      <w:r w:rsidRPr="00AA5065">
        <w:rPr>
          <w:rFonts w:eastAsia="Calibri" w:hint="cs"/>
          <w:b/>
          <w:bCs/>
          <w:rtl/>
        </w:rPr>
        <w:t xml:space="preserve">יגבירו את האכיפה והפיקוח בתחום תחנות הדלק הפיראטיות בנגב ויפעלו למיפוי עדכני של התופעה. הדבר יגביר את ההרתעה בתחום פעילות זה ועשוי להגביר גם את </w:t>
      </w:r>
      <w:r w:rsidRPr="00AA5065">
        <w:rPr>
          <w:rFonts w:eastAsia="Calibri" w:hint="eastAsia"/>
          <w:b/>
          <w:bCs/>
          <w:rtl/>
        </w:rPr>
        <w:t>גביית</w:t>
      </w:r>
      <w:r w:rsidRPr="00AA5065">
        <w:rPr>
          <w:rFonts w:eastAsia="Calibri"/>
          <w:b/>
          <w:bCs/>
          <w:rtl/>
        </w:rPr>
        <w:t xml:space="preserve"> המס </w:t>
      </w:r>
      <w:r w:rsidRPr="00AA5065">
        <w:rPr>
          <w:rFonts w:eastAsia="Calibri" w:hint="cs"/>
          <w:b/>
          <w:bCs/>
          <w:rtl/>
        </w:rPr>
        <w:t>הנדרשת,</w:t>
      </w:r>
      <w:r w:rsidRPr="00AA5065">
        <w:rPr>
          <w:rFonts w:eastAsia="Calibri"/>
          <w:b/>
          <w:bCs/>
          <w:rtl/>
        </w:rPr>
        <w:t xml:space="preserve"> </w:t>
      </w:r>
      <w:r w:rsidRPr="00AA5065">
        <w:rPr>
          <w:rFonts w:eastAsia="Calibri" w:hint="cs"/>
          <w:b/>
          <w:bCs/>
          <w:rtl/>
        </w:rPr>
        <w:t xml:space="preserve">זאת נוכח התמשכות התופעה גם במהלך ביקורת המעקב, ונוכח ההשלכות השליליות הנובעות ממנה בתחומים רבים, ובהם התחום האקולוגי, העסקת קטינים ואובדן הכנסות ממיסים. </w:t>
      </w:r>
    </w:p>
    <w:p w:rsidR="004E6B4D" w:rsidRPr="00AA5065" w:rsidP="00860D89">
      <w:pPr>
        <w:spacing w:line="269" w:lineRule="auto"/>
        <w:rPr>
          <w:rFonts w:eastAsia="Calibri"/>
          <w:rtl/>
        </w:rPr>
      </w:pPr>
    </w:p>
    <w:p w:rsidR="00AA5065" w:rsidRPr="00AA5065" w:rsidP="004E6B4D">
      <w:pPr>
        <w:keepNext/>
        <w:keepLines/>
        <w:spacing w:before="120" w:line="269" w:lineRule="auto"/>
        <w:outlineLvl w:val="2"/>
        <w:rPr>
          <w:rFonts w:eastAsia="Times New Roman"/>
          <w:bCs/>
          <w:szCs w:val="28"/>
          <w:u w:val="single"/>
          <w:rtl/>
        </w:rPr>
      </w:pPr>
      <w:bookmarkStart w:id="48" w:name="_Hlk204855048"/>
      <w:r w:rsidRPr="00AA5065">
        <w:rPr>
          <w:rFonts w:eastAsia="Times New Roman" w:hint="cs"/>
          <w:bCs/>
          <w:szCs w:val="28"/>
          <w:u w:val="single"/>
          <w:rtl/>
        </w:rPr>
        <w:t>פגיעה באיכות הסביבה ובבריאות התושבים</w:t>
      </w:r>
      <w:bookmarkEnd w:id="48"/>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המשרד להג</w:t>
      </w:r>
      <w:r w:rsidRPr="00AA5065">
        <w:rPr>
          <w:rFonts w:eastAsia="Calibri" w:hint="cs"/>
          <w:rtl/>
        </w:rPr>
        <w:t>"ס</w:t>
      </w:r>
      <w:r w:rsidRPr="00AA5065">
        <w:rPr>
          <w:rFonts w:eastAsia="Calibri"/>
          <w:rtl/>
        </w:rPr>
        <w:t xml:space="preserve"> </w:t>
      </w:r>
      <w:r w:rsidRPr="00AA5065">
        <w:rPr>
          <w:rFonts w:eastAsia="Calibri" w:hint="cs"/>
          <w:rtl/>
        </w:rPr>
        <w:t>אחראי על</w:t>
      </w:r>
      <w:r w:rsidRPr="00AA5065">
        <w:rPr>
          <w:rFonts w:eastAsia="Calibri"/>
          <w:rtl/>
        </w:rPr>
        <w:t xml:space="preserve"> שמירה על הסביבה ועל בריאות הציבור באמצעות קידום חוקים, תקנות ותקנים ופיקוח על יישומם ואכיפתם. המשרד פועל גם מתוקף אמנות בין</w:t>
      </w:r>
      <w:r w:rsidRPr="00AA5065">
        <w:rPr>
          <w:rFonts w:eastAsia="Calibri" w:hint="cs"/>
          <w:rtl/>
        </w:rPr>
        <w:t>-</w:t>
      </w:r>
      <w:r w:rsidRPr="00AA5065">
        <w:rPr>
          <w:rFonts w:eastAsia="Calibri"/>
          <w:rtl/>
        </w:rPr>
        <w:t>לאומיות מחייבות. תחומי האחריות של המשרד</w:t>
      </w:r>
      <w:r w:rsidRPr="00AA5065">
        <w:rPr>
          <w:rFonts w:eastAsia="Calibri" w:hint="cs"/>
          <w:rtl/>
        </w:rPr>
        <w:t xml:space="preserve"> הם בין היתר</w:t>
      </w:r>
      <w:r w:rsidRPr="00AA5065">
        <w:rPr>
          <w:rFonts w:eastAsia="Calibri"/>
          <w:rtl/>
        </w:rPr>
        <w:t xml:space="preserve"> טיפול באיכות האוויר, ניהול הפסולת, פיקוח על חומרים מסוכנים </w:t>
      </w:r>
      <w:r w:rsidRPr="00AA5065">
        <w:rPr>
          <w:rFonts w:eastAsia="Calibri" w:hint="cs"/>
          <w:rtl/>
        </w:rPr>
        <w:t>ו</w:t>
      </w:r>
      <w:r w:rsidRPr="00AA5065">
        <w:rPr>
          <w:rFonts w:eastAsia="Calibri"/>
          <w:rtl/>
        </w:rPr>
        <w:t>הגנת משאבי הטבע והסביבה הימית.</w:t>
      </w:r>
    </w:p>
    <w:p w:rsidR="00AA5065" w:rsidRPr="00AA5065" w:rsidP="00860D89">
      <w:pPr>
        <w:spacing w:line="269" w:lineRule="auto"/>
        <w:rPr>
          <w:rFonts w:eastAsia="Calibri"/>
          <w:rtl/>
        </w:rPr>
      </w:pPr>
    </w:p>
    <w:p w:rsidR="00AA5065" w:rsidRPr="00AA5065" w:rsidP="004E6B4D">
      <w:pPr>
        <w:keepNext/>
        <w:keepLines/>
        <w:spacing w:before="120" w:line="269" w:lineRule="auto"/>
        <w:outlineLvl w:val="3"/>
        <w:rPr>
          <w:rFonts w:eastAsia="Times New Roman"/>
          <w:bCs/>
          <w:szCs w:val="26"/>
          <w:rtl/>
        </w:rPr>
      </w:pPr>
      <w:bookmarkStart w:id="49" w:name="_Toc9869663"/>
      <w:bookmarkStart w:id="50" w:name="_Toc31186234"/>
      <w:bookmarkStart w:id="51" w:name="_Toc40713049"/>
      <w:r w:rsidRPr="00AA5065">
        <w:rPr>
          <w:rFonts w:eastAsia="Times New Roman" w:hint="cs"/>
          <w:bCs/>
          <w:szCs w:val="26"/>
          <w:rtl/>
        </w:rPr>
        <w:t>השלכת פסולת ושריפתה</w:t>
      </w:r>
      <w:bookmarkEnd w:id="49"/>
      <w:bookmarkEnd w:id="50"/>
      <w:bookmarkEnd w:id="51"/>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בסעיף 2 לחוק שמירת הניקיון, התשמ"ד-1984, נקבע כי "לא ישליך אדם פסולת, פסולת בנין או גרוטאות רכב ברשות הרבים... ולא ילכלך את רשות הרבים". בסעיף 7(א) לחוק נכתב כי "רשות מקומית תקבע, בכפוף לכל דין, אתרים לסילוק או לריכוז וטיפול בפסולת בנין, גזם, צמיגים או גרוטאות רכב, בין בתחומה ובין מחוצה לו בתאום עם הרשות המקומית הנוגעת בדבר". בסעיף 7(ד) נכתב כי "לא יפנה אדם פסולת מאחד הסוגים המפורטים בסעיף קטן (א) אלא לאתר שנקבע לכך, למפעל טיפול באשפה, למפעל מחזור או למשרפה, או בהתאם להוראות שנקבעו בחוק עזר של הרשות המקומית הנוגעת בדבר". בסעיף 16(א) לחוק נכתב כי השר לאיכות הסביבה הוא הממונה על ביצוע חוק זה. ביולי 2018 פורסם תיקון לחוק זה, האוסר על הבערת פסולת בשטחים פתוחים וקובע כי העושה כך צפוי לקבל קנס של עד 226,000 ש</w:t>
      </w:r>
      <w:r w:rsidRPr="00AA5065">
        <w:rPr>
          <w:rFonts w:eastAsia="Calibri"/>
          <w:rtl/>
        </w:rPr>
        <w:t>"</w:t>
      </w:r>
      <w:r w:rsidRPr="00AA5065">
        <w:rPr>
          <w:rFonts w:eastAsia="Calibri" w:hint="cs"/>
          <w:rtl/>
        </w:rPr>
        <w:t>ח או עונש מאסר של שנה וכפל הקנס האמור אם העבירה נעברה על ידי תאגיד</w:t>
      </w:r>
      <w:r>
        <w:rPr>
          <w:rFonts w:eastAsia="Calibri"/>
          <w:vertAlign w:val="superscript"/>
          <w:rtl/>
        </w:rPr>
        <w:footnoteReference w:id="56"/>
      </w:r>
      <w:r w:rsidRPr="00AA5065">
        <w:rPr>
          <w:rFonts w:eastAsia="Calibri" w:hint="cs"/>
          <w:rtl/>
        </w:rPr>
        <w:t>.</w:t>
      </w:r>
      <w:r w:rsidRPr="00AA5065">
        <w:rPr>
          <w:rFonts w:eastAsia="Calibri"/>
          <w:rtl/>
        </w:rPr>
        <w:t xml:space="preserve"> </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בביקורת הקודמת עלה כי </w:t>
      </w:r>
      <w:r w:rsidRPr="00AA5065">
        <w:rPr>
          <w:rFonts w:eastAsia="Calibri"/>
          <w:rtl/>
        </w:rPr>
        <w:t>בי</w:t>
      </w:r>
      <w:r w:rsidRPr="00AA5065">
        <w:rPr>
          <w:rFonts w:eastAsia="Calibri" w:hint="cs"/>
          <w:rtl/>
        </w:rPr>
        <w:t>י</w:t>
      </w:r>
      <w:r w:rsidRPr="00AA5065">
        <w:rPr>
          <w:rFonts w:eastAsia="Calibri"/>
          <w:rtl/>
        </w:rPr>
        <w:t xml:space="preserve">שובים הארעיים וביישובי הקבע שבהם מתגוררת האוכלוסייה הבדואית </w:t>
      </w:r>
      <w:r w:rsidRPr="00AA5065">
        <w:rPr>
          <w:rFonts w:eastAsia="Calibri" w:hint="cs"/>
          <w:rtl/>
        </w:rPr>
        <w:t>מושלכת</w:t>
      </w:r>
      <w:r w:rsidRPr="00AA5065">
        <w:rPr>
          <w:rFonts w:eastAsia="Calibri"/>
          <w:rtl/>
        </w:rPr>
        <w:t xml:space="preserve"> פסולת ב</w:t>
      </w:r>
      <w:r w:rsidRPr="00AA5065">
        <w:rPr>
          <w:rFonts w:eastAsia="Calibri" w:hint="cs"/>
          <w:rtl/>
        </w:rPr>
        <w:t>שטחים ציבוריים,</w:t>
      </w:r>
      <w:r w:rsidRPr="00AA5065">
        <w:rPr>
          <w:rFonts w:eastAsia="Calibri"/>
          <w:rtl/>
        </w:rPr>
        <w:t xml:space="preserve"> בניגוד לחוק שמירת הניקיון, ומתבצעות שריפות בלתי מוסדרות של פסולת</w:t>
      </w:r>
      <w:r w:rsidRPr="00AA5065">
        <w:rPr>
          <w:rFonts w:eastAsia="Calibri" w:hint="cs"/>
          <w:rtl/>
        </w:rPr>
        <w:t>.</w:t>
      </w:r>
      <w:r w:rsidRPr="00AA5065">
        <w:rPr>
          <w:rFonts w:eastAsia="Calibri"/>
          <w:rtl/>
        </w:rPr>
        <w:t xml:space="preserve"> </w:t>
      </w:r>
      <w:r w:rsidRPr="00AA5065">
        <w:rPr>
          <w:rFonts w:eastAsia="Calibri" w:hint="cs"/>
          <w:rtl/>
        </w:rPr>
        <w:t xml:space="preserve">שריפות אלה </w:t>
      </w:r>
      <w:r w:rsidRPr="00AA5065">
        <w:rPr>
          <w:rFonts w:eastAsia="Calibri"/>
          <w:rtl/>
        </w:rPr>
        <w:t xml:space="preserve">גורמות לזיהום אוויר ניכר </w:t>
      </w:r>
      <w:r w:rsidRPr="00AA5065">
        <w:rPr>
          <w:rFonts w:eastAsia="Calibri" w:hint="cs"/>
          <w:rtl/>
        </w:rPr>
        <w:t>ש</w:t>
      </w:r>
      <w:r w:rsidRPr="00AA5065">
        <w:rPr>
          <w:rFonts w:eastAsia="Calibri"/>
          <w:rtl/>
        </w:rPr>
        <w:t>התושבים נחשפים אליו.</w:t>
      </w:r>
      <w:r w:rsidRPr="00AA5065">
        <w:rPr>
          <w:rFonts w:eastAsia="Calibri" w:hint="cs"/>
          <w:rtl/>
        </w:rPr>
        <w:t xml:space="preserve"> עוד עלה בביקורת הקודמת כי </w:t>
      </w:r>
      <w:r w:rsidRPr="00AA5065">
        <w:rPr>
          <w:rFonts w:eastAsia="Calibri" w:hint="eastAsia"/>
          <w:rtl/>
        </w:rPr>
        <w:t>הרשויות</w:t>
      </w:r>
      <w:r w:rsidRPr="00AA5065">
        <w:rPr>
          <w:rFonts w:eastAsia="Calibri"/>
          <w:rtl/>
        </w:rPr>
        <w:t xml:space="preserve"> </w:t>
      </w:r>
      <w:r w:rsidRPr="00AA5065">
        <w:rPr>
          <w:rFonts w:eastAsia="Calibri" w:hint="eastAsia"/>
          <w:rtl/>
        </w:rPr>
        <w:t>המקומיות</w:t>
      </w:r>
      <w:r w:rsidRPr="00AA5065">
        <w:rPr>
          <w:rFonts w:eastAsia="Calibri"/>
          <w:rtl/>
        </w:rPr>
        <w:t xml:space="preserve"> </w:t>
      </w:r>
      <w:r w:rsidRPr="00AA5065">
        <w:rPr>
          <w:rFonts w:eastAsia="Calibri" w:hint="eastAsia"/>
          <w:rtl/>
        </w:rPr>
        <w:t>ביישובים</w:t>
      </w:r>
      <w:r w:rsidRPr="00AA5065">
        <w:rPr>
          <w:rFonts w:eastAsia="Calibri"/>
          <w:rtl/>
        </w:rPr>
        <w:t xml:space="preserve"> </w:t>
      </w:r>
      <w:r w:rsidRPr="00AA5065">
        <w:rPr>
          <w:rFonts w:eastAsia="Calibri" w:hint="eastAsia"/>
          <w:rtl/>
        </w:rPr>
        <w:t>הארעיים</w:t>
      </w:r>
      <w:r w:rsidRPr="00AA5065">
        <w:rPr>
          <w:rFonts w:eastAsia="Calibri"/>
          <w:rtl/>
        </w:rPr>
        <w:t xml:space="preserve"> </w:t>
      </w:r>
      <w:r w:rsidRPr="00AA5065">
        <w:rPr>
          <w:rFonts w:eastAsia="Calibri" w:hint="eastAsia"/>
          <w:rtl/>
        </w:rPr>
        <w:t>שבהם</w:t>
      </w:r>
      <w:r w:rsidRPr="00AA5065">
        <w:rPr>
          <w:rFonts w:eastAsia="Calibri"/>
          <w:rtl/>
        </w:rPr>
        <w:t xml:space="preserve"> </w:t>
      </w:r>
      <w:r w:rsidRPr="00AA5065">
        <w:rPr>
          <w:rFonts w:eastAsia="Calibri" w:hint="eastAsia"/>
          <w:rtl/>
        </w:rPr>
        <w:t>מתגוררת</w:t>
      </w:r>
      <w:r w:rsidRPr="00AA5065">
        <w:rPr>
          <w:rFonts w:eastAsia="Calibri"/>
          <w:rtl/>
        </w:rPr>
        <w:t xml:space="preserve"> </w:t>
      </w:r>
      <w:r w:rsidRPr="00AA5065">
        <w:rPr>
          <w:rFonts w:eastAsia="Calibri" w:hint="eastAsia"/>
          <w:rtl/>
        </w:rPr>
        <w:t>האוכלוסייה</w:t>
      </w:r>
      <w:r w:rsidRPr="00AA5065">
        <w:rPr>
          <w:rFonts w:eastAsia="Calibri"/>
          <w:rtl/>
        </w:rPr>
        <w:t xml:space="preserve"> </w:t>
      </w:r>
      <w:r w:rsidRPr="00AA5065">
        <w:rPr>
          <w:rFonts w:eastAsia="Calibri" w:hint="eastAsia"/>
          <w:rtl/>
        </w:rPr>
        <w:t>הבדואית</w:t>
      </w:r>
      <w:r w:rsidRPr="00AA5065">
        <w:rPr>
          <w:rFonts w:eastAsia="Calibri"/>
          <w:rtl/>
        </w:rPr>
        <w:t xml:space="preserve"> </w:t>
      </w:r>
      <w:r w:rsidRPr="00AA5065">
        <w:rPr>
          <w:rFonts w:eastAsia="Calibri" w:hint="eastAsia"/>
          <w:rtl/>
        </w:rPr>
        <w:t>אינ</w:t>
      </w:r>
      <w:r w:rsidRPr="00AA5065">
        <w:rPr>
          <w:rFonts w:eastAsia="Calibri" w:hint="cs"/>
          <w:rtl/>
        </w:rPr>
        <w:t>ן</w:t>
      </w:r>
      <w:r w:rsidRPr="00AA5065">
        <w:rPr>
          <w:rFonts w:eastAsia="Calibri"/>
          <w:rtl/>
        </w:rPr>
        <w:t xml:space="preserve"> </w:t>
      </w:r>
      <w:r w:rsidRPr="00AA5065">
        <w:rPr>
          <w:rFonts w:eastAsia="Calibri" w:hint="cs"/>
          <w:rtl/>
        </w:rPr>
        <w:t xml:space="preserve">אוספות את הפסולת ואינן מטפלות בה </w:t>
      </w:r>
      <w:r w:rsidRPr="00AA5065">
        <w:rPr>
          <w:rFonts w:eastAsia="Calibri" w:hint="eastAsia"/>
          <w:rtl/>
        </w:rPr>
        <w:t>כראוי</w:t>
      </w:r>
      <w:r w:rsidRPr="00AA5065">
        <w:rPr>
          <w:rFonts w:eastAsia="Calibri"/>
          <w:rtl/>
        </w:rPr>
        <w:t>. גם ב</w:t>
      </w:r>
      <w:r w:rsidRPr="00AA5065">
        <w:rPr>
          <w:rFonts w:eastAsia="Calibri" w:hint="eastAsia"/>
          <w:rtl/>
        </w:rPr>
        <w:t>יישובי</w:t>
      </w:r>
      <w:r w:rsidRPr="00AA5065">
        <w:rPr>
          <w:rFonts w:eastAsia="Calibri"/>
          <w:rtl/>
        </w:rPr>
        <w:t xml:space="preserve"> הקבע המצב איננו משביע רצון</w:t>
      </w:r>
      <w:r w:rsidRPr="00AA5065">
        <w:rPr>
          <w:rFonts w:eastAsia="Calibri" w:hint="cs"/>
          <w:rtl/>
        </w:rPr>
        <w:t xml:space="preserve"> הן בשל היעדר אתרי מיחזור פסולת והן בשל התדירות הנמוכה של איסוף הפסולת והאיכות הירודה של הטיפול בה</w:t>
      </w:r>
      <w:r w:rsidRPr="00AA5065">
        <w:rPr>
          <w:rFonts w:eastAsia="Calibri"/>
          <w:rtl/>
        </w:rPr>
        <w:t>.</w:t>
      </w:r>
      <w:r w:rsidRPr="00AA5065">
        <w:rPr>
          <w:rFonts w:eastAsia="Calibri" w:hint="cs"/>
          <w:rtl/>
        </w:rPr>
        <w:t xml:space="preserve"> </w:t>
      </w:r>
      <w:r w:rsidRPr="00AA5065">
        <w:rPr>
          <w:rFonts w:eastAsia="Calibri" w:hint="eastAsia"/>
          <w:rtl/>
        </w:rPr>
        <w:t>עוד</w:t>
      </w:r>
      <w:r w:rsidRPr="00AA5065">
        <w:rPr>
          <w:rFonts w:eastAsia="Calibri"/>
          <w:rtl/>
        </w:rPr>
        <w:t xml:space="preserve"> </w:t>
      </w:r>
      <w:r w:rsidRPr="00AA5065">
        <w:rPr>
          <w:rFonts w:eastAsia="Calibri" w:hint="eastAsia"/>
          <w:rtl/>
        </w:rPr>
        <w:t>עלה</w:t>
      </w:r>
      <w:r w:rsidRPr="00AA5065">
        <w:rPr>
          <w:rFonts w:eastAsia="Calibri"/>
          <w:rtl/>
        </w:rPr>
        <w:t xml:space="preserve"> </w:t>
      </w:r>
      <w:r w:rsidRPr="00AA5065">
        <w:rPr>
          <w:rFonts w:eastAsia="Calibri" w:hint="eastAsia"/>
          <w:rtl/>
        </w:rPr>
        <w:t>ב</w:t>
      </w:r>
      <w:r w:rsidRPr="00AA5065">
        <w:rPr>
          <w:rFonts w:eastAsia="Calibri" w:hint="cs"/>
          <w:rtl/>
        </w:rPr>
        <w:t>ביקורת הקודמת</w:t>
      </w:r>
      <w:r w:rsidRPr="00AA5065">
        <w:rPr>
          <w:rFonts w:eastAsia="Calibri"/>
          <w:rtl/>
        </w:rPr>
        <w:t xml:space="preserve"> </w:t>
      </w:r>
      <w:r w:rsidRPr="00AA5065">
        <w:rPr>
          <w:rFonts w:eastAsia="Calibri" w:hint="eastAsia"/>
          <w:rtl/>
        </w:rPr>
        <w:t>כי</w:t>
      </w:r>
      <w:r w:rsidRPr="00AA5065">
        <w:rPr>
          <w:rFonts w:eastAsia="Calibri"/>
          <w:rtl/>
        </w:rPr>
        <w:t xml:space="preserve"> </w:t>
      </w:r>
      <w:r w:rsidRPr="00AA5065">
        <w:rPr>
          <w:rFonts w:eastAsia="Calibri" w:hint="eastAsia"/>
          <w:rtl/>
        </w:rPr>
        <w:t>המשרד</w:t>
      </w:r>
      <w:r w:rsidRPr="00AA5065">
        <w:rPr>
          <w:rFonts w:eastAsia="Calibri"/>
          <w:rtl/>
        </w:rPr>
        <w:t xml:space="preserve"> </w:t>
      </w:r>
      <w:r w:rsidRPr="00AA5065">
        <w:rPr>
          <w:rFonts w:eastAsia="Calibri" w:hint="eastAsia"/>
          <w:rtl/>
        </w:rPr>
        <w:t>להג</w:t>
      </w:r>
      <w:r w:rsidRPr="00AA5065">
        <w:rPr>
          <w:rFonts w:eastAsia="Calibri" w:hint="cs"/>
          <w:rtl/>
        </w:rPr>
        <w:t>"ס</w:t>
      </w:r>
      <w:r w:rsidRPr="00AA5065">
        <w:rPr>
          <w:rFonts w:eastAsia="Calibri"/>
          <w:rtl/>
        </w:rPr>
        <w:t xml:space="preserve"> </w:t>
      </w:r>
      <w:r w:rsidRPr="00AA5065">
        <w:rPr>
          <w:rFonts w:eastAsia="Calibri" w:hint="eastAsia"/>
          <w:rtl/>
        </w:rPr>
        <w:t>אינו</w:t>
      </w:r>
      <w:r w:rsidRPr="00AA5065">
        <w:rPr>
          <w:rFonts w:eastAsia="Calibri"/>
          <w:rtl/>
        </w:rPr>
        <w:t xml:space="preserve"> </w:t>
      </w:r>
      <w:r w:rsidRPr="00AA5065">
        <w:rPr>
          <w:rFonts w:eastAsia="Calibri" w:hint="eastAsia"/>
          <w:rtl/>
        </w:rPr>
        <w:t>מצליח</w:t>
      </w:r>
      <w:r w:rsidRPr="00AA5065">
        <w:rPr>
          <w:rFonts w:eastAsia="Calibri"/>
          <w:rtl/>
        </w:rPr>
        <w:t xml:space="preserve"> </w:t>
      </w:r>
      <w:r w:rsidRPr="00AA5065">
        <w:rPr>
          <w:rFonts w:eastAsia="Calibri" w:hint="eastAsia"/>
          <w:rtl/>
        </w:rPr>
        <w:t>למנוע</w:t>
      </w:r>
      <w:r w:rsidRPr="00AA5065">
        <w:rPr>
          <w:rFonts w:eastAsia="Calibri"/>
          <w:rtl/>
        </w:rPr>
        <w:t xml:space="preserve"> </w:t>
      </w:r>
      <w:r w:rsidRPr="00AA5065">
        <w:rPr>
          <w:rFonts w:eastAsia="Calibri" w:hint="eastAsia"/>
          <w:rtl/>
        </w:rPr>
        <w:t>את</w:t>
      </w:r>
      <w:r w:rsidRPr="00AA5065">
        <w:rPr>
          <w:rFonts w:eastAsia="Calibri"/>
          <w:rtl/>
        </w:rPr>
        <w:t xml:space="preserve"> </w:t>
      </w:r>
      <w:r w:rsidRPr="00AA5065">
        <w:rPr>
          <w:rFonts w:eastAsia="Calibri" w:hint="eastAsia"/>
          <w:rtl/>
        </w:rPr>
        <w:t>התופעה</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השלכת</w:t>
      </w:r>
      <w:r w:rsidRPr="00AA5065">
        <w:rPr>
          <w:rFonts w:eastAsia="Calibri"/>
          <w:rtl/>
        </w:rPr>
        <w:t xml:space="preserve"> </w:t>
      </w:r>
      <w:r w:rsidRPr="00AA5065">
        <w:rPr>
          <w:rFonts w:eastAsia="Calibri" w:hint="eastAsia"/>
          <w:rtl/>
        </w:rPr>
        <w:t>פסולת</w:t>
      </w:r>
      <w:r w:rsidRPr="00AA5065">
        <w:rPr>
          <w:rFonts w:eastAsia="Calibri"/>
          <w:rtl/>
        </w:rPr>
        <w:t xml:space="preserve"> </w:t>
      </w:r>
      <w:r w:rsidRPr="00AA5065">
        <w:rPr>
          <w:rFonts w:eastAsia="Calibri" w:hint="eastAsia"/>
          <w:rtl/>
        </w:rPr>
        <w:t>בשטחים</w:t>
      </w:r>
      <w:r w:rsidRPr="00AA5065">
        <w:rPr>
          <w:rFonts w:eastAsia="Calibri"/>
          <w:rtl/>
        </w:rPr>
        <w:t xml:space="preserve"> </w:t>
      </w:r>
      <w:r w:rsidRPr="00AA5065">
        <w:rPr>
          <w:rFonts w:eastAsia="Calibri" w:hint="eastAsia"/>
          <w:rtl/>
        </w:rPr>
        <w:t>הגליליים</w:t>
      </w:r>
      <w:r>
        <w:rPr>
          <w:rFonts w:eastAsia="Calibri"/>
          <w:vertAlign w:val="superscript"/>
          <w:rtl/>
        </w:rPr>
        <w:footnoteReference w:id="57"/>
      </w:r>
      <w:r w:rsidRPr="00AA5065">
        <w:rPr>
          <w:rFonts w:eastAsia="Calibri"/>
          <w:rtl/>
        </w:rPr>
        <w:t xml:space="preserve"> </w:t>
      </w:r>
      <w:r w:rsidRPr="00AA5065">
        <w:rPr>
          <w:rFonts w:eastAsia="Calibri" w:hint="eastAsia"/>
          <w:rtl/>
        </w:rPr>
        <w:t>ש</w:t>
      </w:r>
      <w:r w:rsidRPr="00AA5065">
        <w:rPr>
          <w:rFonts w:eastAsia="Calibri"/>
          <w:rtl/>
        </w:rPr>
        <w:t>ברחבי הנגב.</w:t>
      </w:r>
      <w:r w:rsidRPr="00AA5065">
        <w:rPr>
          <w:rFonts w:eastAsia="Calibri" w:hint="cs"/>
          <w:rtl/>
        </w:rPr>
        <w:t xml:space="preserve"> תופעה זו מצויה בהיקף נרחב בשטחים הללו, והיא הובאה לידיעת המשרד להג"ס.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בדוח הקודם צוין כי דר</w:t>
      </w:r>
      <w:r w:rsidRPr="00AA5065">
        <w:rPr>
          <w:rFonts w:eastAsia="Calibri" w:hint="eastAsia"/>
          <w:rtl/>
        </w:rPr>
        <w:t>ך</w:t>
      </w:r>
      <w:r w:rsidRPr="00AA5065">
        <w:rPr>
          <w:rFonts w:eastAsia="Calibri"/>
          <w:rtl/>
        </w:rPr>
        <w:t xml:space="preserve"> ההתגוננות </w:t>
      </w:r>
      <w:r w:rsidRPr="00AA5065">
        <w:rPr>
          <w:rFonts w:eastAsia="Calibri" w:hint="eastAsia"/>
          <w:rtl/>
        </w:rPr>
        <w:t>העיקרית</w:t>
      </w:r>
      <w:r w:rsidRPr="00AA5065">
        <w:rPr>
          <w:rFonts w:eastAsia="Calibri"/>
          <w:rtl/>
        </w:rPr>
        <w:t xml:space="preserve"> </w:t>
      </w:r>
      <w:r w:rsidRPr="00AA5065">
        <w:rPr>
          <w:rFonts w:eastAsia="Calibri" w:hint="eastAsia"/>
          <w:rtl/>
        </w:rPr>
        <w:t>ש</w:t>
      </w:r>
      <w:r w:rsidRPr="00AA5065">
        <w:rPr>
          <w:rFonts w:eastAsia="Calibri"/>
          <w:rtl/>
        </w:rPr>
        <w:t>עומד</w:t>
      </w:r>
      <w:r w:rsidRPr="00AA5065">
        <w:rPr>
          <w:rFonts w:eastAsia="Calibri" w:hint="eastAsia"/>
          <w:rtl/>
        </w:rPr>
        <w:t>ת</w:t>
      </w:r>
      <w:r w:rsidRPr="00AA5065">
        <w:rPr>
          <w:rFonts w:eastAsia="Calibri"/>
          <w:rtl/>
        </w:rPr>
        <w:t xml:space="preserve"> לרשות תושבים שנחשפים לעשן שריפות ה</w:t>
      </w:r>
      <w:r w:rsidRPr="00AA5065">
        <w:rPr>
          <w:rFonts w:eastAsia="Calibri" w:hint="eastAsia"/>
          <w:rtl/>
        </w:rPr>
        <w:t>יא</w:t>
      </w:r>
      <w:r w:rsidRPr="00AA5065">
        <w:rPr>
          <w:rFonts w:eastAsia="Calibri"/>
          <w:rtl/>
        </w:rPr>
        <w:t xml:space="preserve"> הסתגרות בתוך הבתים והגפת החלונות והפתחים למניעת חדירת העשן. אולם לתושבי הפזורה הבדואית אין אפשרות מעשית ויעילה להתגונן בדר</w:t>
      </w:r>
      <w:r w:rsidRPr="00AA5065">
        <w:rPr>
          <w:rFonts w:eastAsia="Calibri" w:hint="eastAsia"/>
          <w:rtl/>
        </w:rPr>
        <w:t>ך</w:t>
      </w:r>
      <w:r w:rsidRPr="00AA5065">
        <w:rPr>
          <w:rFonts w:eastAsia="Calibri"/>
          <w:rtl/>
        </w:rPr>
        <w:t xml:space="preserve"> </w:t>
      </w:r>
      <w:r w:rsidRPr="00AA5065">
        <w:rPr>
          <w:rFonts w:eastAsia="Calibri" w:hint="eastAsia"/>
          <w:rtl/>
        </w:rPr>
        <w:t>זו</w:t>
      </w:r>
      <w:r w:rsidRPr="00AA5065">
        <w:rPr>
          <w:rFonts w:eastAsia="Calibri"/>
          <w:rtl/>
        </w:rPr>
        <w:t>, שכן הם מתגוררים במבנים ארעיים, שאינם מאפשרים זאת [מספקים הגנה מפני חדירת עשן].</w:t>
      </w:r>
    </w:p>
    <w:p w:rsidR="00AA5065" w:rsidRPr="00AA5065" w:rsidP="00860D89">
      <w:pPr>
        <w:spacing w:line="269" w:lineRule="auto"/>
        <w:ind w:left="-567"/>
        <w:rPr>
          <w:rFonts w:eastAsia="Calibri"/>
          <w:szCs w:val="20"/>
          <w:rtl/>
        </w:rPr>
      </w:pPr>
    </w:p>
    <w:p w:rsidR="00AA5065" w:rsidP="00860D89">
      <w:pPr>
        <w:spacing w:line="269" w:lineRule="auto"/>
        <w:rPr>
          <w:rFonts w:ascii="Calibri" w:eastAsia="Calibri" w:hAnsi="Calibri"/>
          <w:sz w:val="24"/>
          <w:rtl/>
        </w:rPr>
      </w:pPr>
      <w:r w:rsidRPr="00AA5065">
        <w:rPr>
          <w:rFonts w:ascii="Calibri" w:eastAsia="Calibri" w:hAnsi="Calibri" w:hint="eastAsia"/>
          <w:sz w:val="24"/>
          <w:rtl/>
        </w:rPr>
        <w:t>המשרד</w:t>
      </w:r>
      <w:r w:rsidRPr="00AA5065">
        <w:rPr>
          <w:rFonts w:ascii="Calibri" w:eastAsia="Calibri" w:hAnsi="Calibri"/>
          <w:sz w:val="24"/>
          <w:rtl/>
        </w:rPr>
        <w:t xml:space="preserve"> </w:t>
      </w:r>
      <w:r w:rsidRPr="00AA5065">
        <w:rPr>
          <w:rFonts w:ascii="Calibri" w:eastAsia="Calibri" w:hAnsi="Calibri" w:hint="eastAsia"/>
          <w:sz w:val="24"/>
          <w:rtl/>
        </w:rPr>
        <w:t>להג</w:t>
      </w:r>
      <w:r w:rsidRPr="00AA5065">
        <w:rPr>
          <w:rFonts w:ascii="Calibri" w:eastAsia="Calibri" w:hAnsi="Calibri" w:hint="cs"/>
          <w:sz w:val="24"/>
          <w:rtl/>
        </w:rPr>
        <w:t>"ס</w:t>
      </w:r>
      <w:r w:rsidRPr="00AA5065">
        <w:rPr>
          <w:rFonts w:ascii="Calibri" w:eastAsia="Calibri" w:hAnsi="Calibri"/>
          <w:sz w:val="24"/>
          <w:rtl/>
        </w:rPr>
        <w:t xml:space="preserve"> מסר בתשובתו</w:t>
      </w:r>
      <w:r w:rsidRPr="00AA5065">
        <w:rPr>
          <w:rFonts w:ascii="Calibri" w:eastAsia="Calibri" w:hAnsi="Calibri" w:hint="cs"/>
          <w:sz w:val="24"/>
          <w:rtl/>
        </w:rPr>
        <w:t xml:space="preserve"> לדוח הקודם</w:t>
      </w:r>
      <w:r w:rsidRPr="00AA5065">
        <w:rPr>
          <w:rFonts w:ascii="Calibri" w:eastAsia="Calibri" w:hAnsi="Calibri"/>
          <w:sz w:val="24"/>
          <w:rtl/>
        </w:rPr>
        <w:t xml:space="preserve"> מיום 13.1.21 כי "</w:t>
      </w:r>
      <w:r w:rsidRPr="00AA5065">
        <w:rPr>
          <w:rFonts w:ascii="Calibri" w:eastAsia="Calibri" w:hAnsi="Calibri" w:hint="eastAsia"/>
          <w:sz w:val="24"/>
          <w:rtl/>
        </w:rPr>
        <w:t>רוב</w:t>
      </w:r>
      <w:r w:rsidRPr="00AA5065">
        <w:rPr>
          <w:rFonts w:ascii="Calibri" w:eastAsia="Calibri" w:hAnsi="Calibri"/>
          <w:sz w:val="24"/>
          <w:rtl/>
        </w:rPr>
        <w:t xml:space="preserve"> </w:t>
      </w:r>
      <w:r w:rsidRPr="00AA5065">
        <w:rPr>
          <w:rFonts w:ascii="Calibri" w:eastAsia="Calibri" w:hAnsi="Calibri" w:hint="eastAsia"/>
          <w:sz w:val="24"/>
          <w:rtl/>
        </w:rPr>
        <w:t>ההתיישבות</w:t>
      </w:r>
      <w:r w:rsidRPr="00AA5065">
        <w:rPr>
          <w:rFonts w:ascii="Calibri" w:eastAsia="Calibri" w:hAnsi="Calibri"/>
          <w:sz w:val="24"/>
          <w:rtl/>
        </w:rPr>
        <w:t xml:space="preserve"> </w:t>
      </w:r>
      <w:r w:rsidRPr="00AA5065">
        <w:rPr>
          <w:rFonts w:ascii="Calibri" w:eastAsia="Calibri" w:hAnsi="Calibri" w:hint="eastAsia"/>
          <w:sz w:val="24"/>
          <w:rtl/>
        </w:rPr>
        <w:t>הבדואית</w:t>
      </w:r>
      <w:r w:rsidRPr="00AA5065">
        <w:rPr>
          <w:rFonts w:ascii="Calibri" w:eastAsia="Calibri" w:hAnsi="Calibri"/>
          <w:sz w:val="24"/>
          <w:rtl/>
        </w:rPr>
        <w:t xml:space="preserve"> </w:t>
      </w:r>
      <w:r w:rsidRPr="00AA5065">
        <w:rPr>
          <w:rFonts w:ascii="Calibri" w:eastAsia="Calibri" w:hAnsi="Calibri" w:hint="eastAsia"/>
          <w:sz w:val="24"/>
          <w:rtl/>
        </w:rPr>
        <w:t>בפזורה</w:t>
      </w:r>
      <w:r w:rsidRPr="00AA5065">
        <w:rPr>
          <w:rFonts w:ascii="Calibri" w:eastAsia="Calibri" w:hAnsi="Calibri"/>
          <w:sz w:val="24"/>
          <w:rtl/>
        </w:rPr>
        <w:t xml:space="preserve"> </w:t>
      </w:r>
      <w:r w:rsidRPr="00AA5065">
        <w:rPr>
          <w:rFonts w:ascii="Calibri" w:eastAsia="Calibri" w:hAnsi="Calibri" w:hint="eastAsia"/>
          <w:sz w:val="24"/>
          <w:rtl/>
        </w:rPr>
        <w:t>לא</w:t>
      </w:r>
      <w:r w:rsidRPr="00AA5065">
        <w:rPr>
          <w:rFonts w:ascii="Calibri" w:eastAsia="Calibri" w:hAnsi="Calibri"/>
          <w:sz w:val="24"/>
          <w:rtl/>
        </w:rPr>
        <w:t xml:space="preserve"> </w:t>
      </w:r>
      <w:r w:rsidRPr="00AA5065">
        <w:rPr>
          <w:rFonts w:ascii="Calibri" w:eastAsia="Calibri" w:hAnsi="Calibri" w:hint="eastAsia"/>
          <w:sz w:val="24"/>
          <w:rtl/>
        </w:rPr>
        <w:t>הוכרה</w:t>
      </w:r>
      <w:r w:rsidRPr="00AA5065">
        <w:rPr>
          <w:rFonts w:ascii="Calibri" w:eastAsia="Calibri" w:hAnsi="Calibri"/>
          <w:sz w:val="24"/>
          <w:rtl/>
        </w:rPr>
        <w:t xml:space="preserve"> </w:t>
      </w:r>
      <w:r w:rsidRPr="00AA5065">
        <w:rPr>
          <w:rFonts w:ascii="Calibri" w:eastAsia="Calibri" w:hAnsi="Calibri" w:hint="eastAsia"/>
          <w:sz w:val="24"/>
          <w:rtl/>
        </w:rPr>
        <w:t>ע</w:t>
      </w:r>
      <w:r w:rsidRPr="00AA5065">
        <w:rPr>
          <w:rFonts w:ascii="Calibri" w:eastAsia="Calibri" w:hAnsi="Calibri" w:hint="cs"/>
          <w:sz w:val="24"/>
          <w:rtl/>
        </w:rPr>
        <w:t>ל ידי</w:t>
      </w:r>
      <w:r w:rsidRPr="00AA5065">
        <w:rPr>
          <w:rFonts w:ascii="Calibri" w:eastAsia="Calibri" w:hAnsi="Calibri"/>
          <w:sz w:val="24"/>
          <w:rtl/>
        </w:rPr>
        <w:t xml:space="preserve"> </w:t>
      </w:r>
      <w:r w:rsidRPr="00AA5065">
        <w:rPr>
          <w:rFonts w:ascii="Calibri" w:eastAsia="Calibri" w:hAnsi="Calibri" w:hint="eastAsia"/>
          <w:sz w:val="24"/>
          <w:rtl/>
        </w:rPr>
        <w:t>מדינת</w:t>
      </w:r>
      <w:r w:rsidRPr="00AA5065">
        <w:rPr>
          <w:rFonts w:ascii="Calibri" w:eastAsia="Calibri" w:hAnsi="Calibri"/>
          <w:sz w:val="24"/>
          <w:rtl/>
        </w:rPr>
        <w:t xml:space="preserve"> </w:t>
      </w:r>
      <w:r w:rsidRPr="00AA5065">
        <w:rPr>
          <w:rFonts w:ascii="Calibri" w:eastAsia="Calibri" w:hAnsi="Calibri" w:hint="eastAsia"/>
          <w:sz w:val="24"/>
          <w:rtl/>
        </w:rPr>
        <w:t>ישראל</w:t>
      </w:r>
      <w:r w:rsidRPr="00AA5065">
        <w:rPr>
          <w:rFonts w:ascii="Calibri" w:eastAsia="Calibri" w:hAnsi="Calibri"/>
          <w:sz w:val="24"/>
          <w:rtl/>
        </w:rPr>
        <w:t xml:space="preserve"> </w:t>
      </w:r>
      <w:r w:rsidRPr="00AA5065">
        <w:rPr>
          <w:rFonts w:ascii="Calibri" w:eastAsia="Calibri" w:hAnsi="Calibri" w:hint="eastAsia"/>
          <w:sz w:val="24"/>
          <w:rtl/>
        </w:rPr>
        <w:t>בשום</w:t>
      </w:r>
      <w:r w:rsidRPr="00AA5065">
        <w:rPr>
          <w:rFonts w:ascii="Calibri" w:eastAsia="Calibri" w:hAnsi="Calibri"/>
          <w:sz w:val="24"/>
          <w:rtl/>
        </w:rPr>
        <w:t xml:space="preserve"> </w:t>
      </w:r>
      <w:r w:rsidRPr="00AA5065">
        <w:rPr>
          <w:rFonts w:ascii="Calibri" w:eastAsia="Calibri" w:hAnsi="Calibri" w:hint="eastAsia"/>
          <w:sz w:val="24"/>
          <w:rtl/>
        </w:rPr>
        <w:t>צורה</w:t>
      </w:r>
      <w:r w:rsidRPr="00AA5065">
        <w:rPr>
          <w:rFonts w:ascii="Calibri" w:eastAsia="Calibri" w:hAnsi="Calibri"/>
          <w:sz w:val="24"/>
          <w:rtl/>
        </w:rPr>
        <w:t xml:space="preserve"> </w:t>
      </w:r>
      <w:r w:rsidRPr="00AA5065">
        <w:rPr>
          <w:rFonts w:ascii="Calibri" w:eastAsia="Calibri" w:hAnsi="Calibri" w:hint="eastAsia"/>
          <w:sz w:val="24"/>
          <w:rtl/>
        </w:rPr>
        <w:t>שהיא</w:t>
      </w:r>
      <w:r w:rsidRPr="00AA5065">
        <w:rPr>
          <w:rFonts w:ascii="Calibri" w:eastAsia="Calibri" w:hAnsi="Calibri"/>
          <w:sz w:val="24"/>
          <w:rtl/>
        </w:rPr>
        <w:t xml:space="preserve"> </w:t>
      </w:r>
      <w:r w:rsidRPr="00AA5065">
        <w:rPr>
          <w:rFonts w:ascii="Calibri" w:eastAsia="Calibri" w:hAnsi="Calibri" w:hint="eastAsia"/>
          <w:sz w:val="24"/>
          <w:rtl/>
        </w:rPr>
        <w:t>עד</w:t>
      </w:r>
      <w:r w:rsidRPr="00AA5065">
        <w:rPr>
          <w:rFonts w:ascii="Calibri" w:eastAsia="Calibri" w:hAnsi="Calibri"/>
          <w:sz w:val="24"/>
          <w:rtl/>
        </w:rPr>
        <w:t xml:space="preserve"> </w:t>
      </w:r>
      <w:r w:rsidRPr="00AA5065">
        <w:rPr>
          <w:rFonts w:ascii="Calibri" w:eastAsia="Calibri" w:hAnsi="Calibri" w:hint="eastAsia"/>
          <w:sz w:val="24"/>
          <w:rtl/>
        </w:rPr>
        <w:t>היום</w:t>
      </w:r>
      <w:r w:rsidRPr="00AA5065">
        <w:rPr>
          <w:rFonts w:ascii="Calibri" w:eastAsia="Calibri" w:hAnsi="Calibri"/>
          <w:sz w:val="24"/>
          <w:rtl/>
        </w:rPr>
        <w:t xml:space="preserve">, </w:t>
      </w:r>
      <w:r w:rsidRPr="00AA5065">
        <w:rPr>
          <w:rFonts w:ascii="Calibri" w:eastAsia="Calibri" w:hAnsi="Calibri" w:hint="eastAsia"/>
          <w:sz w:val="24"/>
          <w:rtl/>
        </w:rPr>
        <w:t>כך</w:t>
      </w:r>
      <w:r w:rsidRPr="00AA5065">
        <w:rPr>
          <w:rFonts w:ascii="Calibri" w:eastAsia="Calibri" w:hAnsi="Calibri"/>
          <w:sz w:val="24"/>
          <w:rtl/>
        </w:rPr>
        <w:t xml:space="preserve"> </w:t>
      </w:r>
      <w:r w:rsidRPr="00AA5065">
        <w:rPr>
          <w:rFonts w:ascii="Calibri" w:eastAsia="Calibri" w:hAnsi="Calibri" w:hint="eastAsia"/>
          <w:sz w:val="24"/>
          <w:rtl/>
        </w:rPr>
        <w:t>שכל</w:t>
      </w:r>
      <w:r w:rsidRPr="00AA5065">
        <w:rPr>
          <w:rFonts w:ascii="Calibri" w:eastAsia="Calibri" w:hAnsi="Calibri"/>
          <w:sz w:val="24"/>
          <w:rtl/>
        </w:rPr>
        <w:t xml:space="preserve"> </w:t>
      </w:r>
      <w:r w:rsidRPr="00AA5065">
        <w:rPr>
          <w:rFonts w:ascii="Calibri" w:eastAsia="Calibri" w:hAnsi="Calibri" w:hint="eastAsia"/>
          <w:sz w:val="24"/>
          <w:rtl/>
        </w:rPr>
        <w:t>ההשקעות</w:t>
      </w:r>
      <w:r w:rsidRPr="00AA5065">
        <w:rPr>
          <w:rFonts w:ascii="Calibri" w:eastAsia="Calibri" w:hAnsi="Calibri"/>
          <w:sz w:val="24"/>
          <w:rtl/>
        </w:rPr>
        <w:t xml:space="preserve"> </w:t>
      </w:r>
      <w:r w:rsidRPr="00AA5065">
        <w:rPr>
          <w:rFonts w:ascii="Calibri" w:eastAsia="Calibri" w:hAnsi="Calibri" w:hint="eastAsia"/>
          <w:sz w:val="24"/>
          <w:rtl/>
        </w:rPr>
        <w:t>והמאמצים</w:t>
      </w:r>
      <w:r w:rsidRPr="00AA5065">
        <w:rPr>
          <w:rFonts w:ascii="Calibri" w:eastAsia="Calibri" w:hAnsi="Calibri"/>
          <w:sz w:val="24"/>
          <w:rtl/>
        </w:rPr>
        <w:t xml:space="preserve"> </w:t>
      </w:r>
      <w:r w:rsidRPr="00AA5065">
        <w:rPr>
          <w:rFonts w:ascii="Calibri" w:eastAsia="Calibri" w:hAnsi="Calibri" w:hint="eastAsia"/>
          <w:sz w:val="24"/>
          <w:rtl/>
        </w:rPr>
        <w:t>הנ</w:t>
      </w:r>
      <w:r w:rsidRPr="00AA5065">
        <w:rPr>
          <w:rFonts w:ascii="Calibri" w:eastAsia="Calibri" w:hAnsi="Calibri"/>
          <w:sz w:val="24"/>
          <w:rtl/>
        </w:rPr>
        <w:t xml:space="preserve">"ל </w:t>
      </w:r>
      <w:r w:rsidRPr="00AA5065">
        <w:rPr>
          <w:rFonts w:ascii="Calibri" w:eastAsia="Calibri" w:hAnsi="Calibri" w:hint="eastAsia"/>
          <w:sz w:val="24"/>
          <w:rtl/>
        </w:rPr>
        <w:t>נעשים</w:t>
      </w:r>
      <w:r w:rsidRPr="00AA5065">
        <w:rPr>
          <w:rFonts w:ascii="Calibri" w:eastAsia="Calibri" w:hAnsi="Calibri"/>
          <w:sz w:val="24"/>
          <w:rtl/>
        </w:rPr>
        <w:t xml:space="preserve"> </w:t>
      </w:r>
      <w:r w:rsidRPr="00AA5065">
        <w:rPr>
          <w:rFonts w:ascii="Calibri" w:eastAsia="Calibri" w:hAnsi="Calibri" w:hint="eastAsia"/>
          <w:sz w:val="24"/>
          <w:rtl/>
        </w:rPr>
        <w:t>רק</w:t>
      </w:r>
      <w:r w:rsidRPr="00AA5065">
        <w:rPr>
          <w:rFonts w:ascii="Calibri" w:eastAsia="Calibri" w:hAnsi="Calibri"/>
          <w:sz w:val="24"/>
          <w:rtl/>
        </w:rPr>
        <w:t xml:space="preserve"> </w:t>
      </w:r>
      <w:r w:rsidRPr="00AA5065">
        <w:rPr>
          <w:rFonts w:ascii="Calibri" w:eastAsia="Calibri" w:hAnsi="Calibri" w:hint="eastAsia"/>
          <w:sz w:val="24"/>
          <w:rtl/>
        </w:rPr>
        <w:t>בשטח</w:t>
      </w:r>
      <w:r w:rsidRPr="00AA5065">
        <w:rPr>
          <w:rFonts w:ascii="Calibri" w:eastAsia="Calibri" w:hAnsi="Calibri"/>
          <w:sz w:val="24"/>
          <w:rtl/>
        </w:rPr>
        <w:t xml:space="preserve"> </w:t>
      </w:r>
      <w:r w:rsidRPr="00AA5065">
        <w:rPr>
          <w:rFonts w:ascii="Calibri" w:eastAsia="Calibri" w:hAnsi="Calibri" w:hint="eastAsia"/>
          <w:sz w:val="24"/>
          <w:rtl/>
        </w:rPr>
        <w:t>הישובים</w:t>
      </w:r>
      <w:r w:rsidRPr="00AA5065">
        <w:rPr>
          <w:rFonts w:ascii="Calibri" w:eastAsia="Calibri" w:hAnsi="Calibri"/>
          <w:sz w:val="24"/>
          <w:rtl/>
        </w:rPr>
        <w:t xml:space="preserve"> </w:t>
      </w:r>
      <w:r w:rsidRPr="00AA5065">
        <w:rPr>
          <w:rFonts w:ascii="Calibri" w:eastAsia="Calibri" w:hAnsi="Calibri" w:hint="eastAsia"/>
          <w:sz w:val="24"/>
          <w:rtl/>
        </w:rPr>
        <w:t>המוכרים</w:t>
      </w:r>
      <w:r w:rsidRPr="00AA5065">
        <w:rPr>
          <w:rFonts w:ascii="Calibri" w:eastAsia="Calibri" w:hAnsi="Calibri"/>
          <w:sz w:val="24"/>
          <w:rtl/>
        </w:rPr>
        <w:t xml:space="preserve">...". </w:t>
      </w:r>
      <w:r w:rsidRPr="00AA5065">
        <w:rPr>
          <w:rFonts w:ascii="Calibri" w:eastAsia="Calibri" w:hAnsi="Calibri" w:hint="eastAsia"/>
          <w:sz w:val="24"/>
          <w:rtl/>
        </w:rPr>
        <w:t>עוד</w:t>
      </w:r>
      <w:r w:rsidRPr="00AA5065">
        <w:rPr>
          <w:rFonts w:ascii="Calibri" w:eastAsia="Calibri" w:hAnsi="Calibri"/>
          <w:sz w:val="24"/>
          <w:rtl/>
        </w:rPr>
        <w:t xml:space="preserve"> </w:t>
      </w:r>
      <w:r w:rsidRPr="00AA5065">
        <w:rPr>
          <w:rFonts w:ascii="Calibri" w:eastAsia="Calibri" w:hAnsi="Calibri" w:hint="eastAsia"/>
          <w:sz w:val="24"/>
          <w:rtl/>
        </w:rPr>
        <w:t>ציין</w:t>
      </w:r>
      <w:r w:rsidRPr="00AA5065">
        <w:rPr>
          <w:rFonts w:ascii="Calibri" w:eastAsia="Calibri" w:hAnsi="Calibri"/>
          <w:sz w:val="24"/>
          <w:rtl/>
        </w:rPr>
        <w:t xml:space="preserve"> </w:t>
      </w:r>
      <w:r w:rsidRPr="00AA5065">
        <w:rPr>
          <w:rFonts w:ascii="Calibri" w:eastAsia="Calibri" w:hAnsi="Calibri" w:hint="eastAsia"/>
          <w:sz w:val="24"/>
          <w:rtl/>
        </w:rPr>
        <w:t>המשרד</w:t>
      </w:r>
      <w:r w:rsidRPr="00AA5065">
        <w:rPr>
          <w:rFonts w:ascii="Calibri" w:eastAsia="Calibri" w:hAnsi="Calibri"/>
          <w:sz w:val="24"/>
          <w:rtl/>
        </w:rPr>
        <w:t xml:space="preserve"> </w:t>
      </w:r>
      <w:r w:rsidRPr="00AA5065">
        <w:rPr>
          <w:rFonts w:ascii="Calibri" w:eastAsia="Calibri" w:hAnsi="Calibri" w:hint="eastAsia"/>
          <w:sz w:val="24"/>
          <w:rtl/>
        </w:rPr>
        <w:t>בתשובתו</w:t>
      </w:r>
      <w:r w:rsidRPr="00AA5065">
        <w:rPr>
          <w:rFonts w:ascii="Calibri" w:eastAsia="Calibri" w:hAnsi="Calibri"/>
          <w:sz w:val="24"/>
          <w:rtl/>
        </w:rPr>
        <w:t xml:space="preserve"> </w:t>
      </w:r>
      <w:r w:rsidRPr="00AA5065">
        <w:rPr>
          <w:rFonts w:ascii="Calibri" w:eastAsia="Calibri" w:hAnsi="Calibri" w:hint="cs"/>
          <w:sz w:val="24"/>
          <w:rtl/>
        </w:rPr>
        <w:t>שורה</w:t>
      </w:r>
      <w:r w:rsidRPr="00AA5065">
        <w:rPr>
          <w:rFonts w:ascii="Calibri" w:eastAsia="Calibri" w:hAnsi="Calibri"/>
          <w:sz w:val="24"/>
          <w:rtl/>
        </w:rPr>
        <w:t xml:space="preserve"> </w:t>
      </w:r>
      <w:r w:rsidRPr="00AA5065">
        <w:rPr>
          <w:rFonts w:ascii="Calibri" w:eastAsia="Calibri" w:hAnsi="Calibri" w:hint="cs"/>
          <w:sz w:val="24"/>
          <w:rtl/>
        </w:rPr>
        <w:t xml:space="preserve">של </w:t>
      </w:r>
      <w:r w:rsidRPr="00AA5065">
        <w:rPr>
          <w:rFonts w:ascii="Calibri" w:eastAsia="Calibri" w:hAnsi="Calibri" w:hint="eastAsia"/>
          <w:sz w:val="24"/>
          <w:rtl/>
        </w:rPr>
        <w:t>פעולות</w:t>
      </w:r>
      <w:r w:rsidRPr="00AA5065">
        <w:rPr>
          <w:rFonts w:ascii="Calibri" w:eastAsia="Calibri" w:hAnsi="Calibri"/>
          <w:sz w:val="24"/>
          <w:rtl/>
        </w:rPr>
        <w:t xml:space="preserve"> </w:t>
      </w:r>
      <w:r w:rsidRPr="00AA5065">
        <w:rPr>
          <w:rFonts w:ascii="Calibri" w:eastAsia="Calibri" w:hAnsi="Calibri" w:hint="eastAsia"/>
          <w:sz w:val="24"/>
          <w:rtl/>
        </w:rPr>
        <w:t>שונות</w:t>
      </w:r>
      <w:r w:rsidRPr="00AA5065">
        <w:rPr>
          <w:rFonts w:ascii="Calibri" w:eastAsia="Calibri" w:hAnsi="Calibri"/>
          <w:sz w:val="24"/>
          <w:rtl/>
        </w:rPr>
        <w:t xml:space="preserve"> </w:t>
      </w:r>
      <w:r w:rsidRPr="00AA5065">
        <w:rPr>
          <w:rFonts w:ascii="Calibri" w:eastAsia="Calibri" w:hAnsi="Calibri" w:hint="cs"/>
          <w:sz w:val="24"/>
          <w:rtl/>
        </w:rPr>
        <w:t>ש</w:t>
      </w:r>
      <w:r w:rsidRPr="00AA5065">
        <w:rPr>
          <w:rFonts w:ascii="Calibri" w:eastAsia="Calibri" w:hAnsi="Calibri" w:hint="eastAsia"/>
          <w:sz w:val="24"/>
          <w:rtl/>
        </w:rPr>
        <w:t>הוא</w:t>
      </w:r>
      <w:r w:rsidRPr="00AA5065">
        <w:rPr>
          <w:rFonts w:ascii="Calibri" w:eastAsia="Calibri" w:hAnsi="Calibri"/>
          <w:sz w:val="24"/>
          <w:rtl/>
        </w:rPr>
        <w:t xml:space="preserve"> </w:t>
      </w:r>
      <w:r w:rsidRPr="00AA5065">
        <w:rPr>
          <w:rFonts w:ascii="Calibri" w:eastAsia="Calibri" w:hAnsi="Calibri" w:hint="eastAsia"/>
          <w:sz w:val="24"/>
          <w:rtl/>
        </w:rPr>
        <w:t>נקט</w:t>
      </w:r>
      <w:r w:rsidRPr="00AA5065">
        <w:rPr>
          <w:rFonts w:ascii="Calibri" w:eastAsia="Calibri" w:hAnsi="Calibri"/>
          <w:sz w:val="24"/>
          <w:rtl/>
        </w:rPr>
        <w:t xml:space="preserve"> </w:t>
      </w:r>
      <w:r w:rsidRPr="00AA5065">
        <w:rPr>
          <w:rFonts w:ascii="Calibri" w:eastAsia="Calibri" w:hAnsi="Calibri" w:hint="cs"/>
          <w:sz w:val="24"/>
          <w:rtl/>
        </w:rPr>
        <w:t>לאחרונה במסגרת מאמצי</w:t>
      </w:r>
      <w:r w:rsidRPr="00AA5065">
        <w:rPr>
          <w:rFonts w:ascii="Calibri" w:eastAsia="Calibri" w:hAnsi="Calibri"/>
          <w:sz w:val="24"/>
          <w:rtl/>
        </w:rPr>
        <w:t xml:space="preserve"> </w:t>
      </w:r>
      <w:r w:rsidRPr="00AA5065">
        <w:rPr>
          <w:rFonts w:ascii="Calibri" w:eastAsia="Calibri" w:hAnsi="Calibri" w:hint="eastAsia"/>
          <w:sz w:val="24"/>
          <w:rtl/>
        </w:rPr>
        <w:t>האכיפה</w:t>
      </w:r>
      <w:r w:rsidRPr="00AA5065">
        <w:rPr>
          <w:rFonts w:ascii="Calibri" w:eastAsia="Calibri" w:hAnsi="Calibri"/>
          <w:sz w:val="24"/>
          <w:rtl/>
        </w:rPr>
        <w:t>, ובהן פעולות אכיפה משמעותיות של המשטרה הירוקה בתחום השלכת פסולת ב</w:t>
      </w:r>
      <w:r w:rsidRPr="00AA5065">
        <w:rPr>
          <w:rFonts w:ascii="Calibri" w:eastAsia="Calibri" w:hAnsi="Calibri" w:hint="cs"/>
          <w:sz w:val="24"/>
          <w:rtl/>
        </w:rPr>
        <w:t>שטחים ציבוריים</w:t>
      </w:r>
      <w:r w:rsidRPr="00AA5065">
        <w:rPr>
          <w:rFonts w:ascii="Calibri" w:eastAsia="Calibri" w:hAnsi="Calibri"/>
          <w:sz w:val="24"/>
          <w:rtl/>
        </w:rPr>
        <w:t xml:space="preserve"> ו</w:t>
      </w:r>
      <w:r w:rsidRPr="00AA5065">
        <w:rPr>
          <w:rFonts w:ascii="Calibri" w:eastAsia="Calibri" w:hAnsi="Calibri" w:hint="cs"/>
          <w:sz w:val="24"/>
          <w:rtl/>
        </w:rPr>
        <w:t>ב</w:t>
      </w:r>
      <w:r w:rsidRPr="00AA5065">
        <w:rPr>
          <w:rFonts w:ascii="Calibri" w:eastAsia="Calibri" w:hAnsi="Calibri"/>
          <w:sz w:val="24"/>
          <w:rtl/>
        </w:rPr>
        <w:t>אתרים פיר</w:t>
      </w:r>
      <w:r w:rsidRPr="00AA5065">
        <w:rPr>
          <w:rFonts w:ascii="Calibri" w:eastAsia="Calibri" w:hAnsi="Calibri" w:hint="cs"/>
          <w:sz w:val="24"/>
          <w:rtl/>
        </w:rPr>
        <w:t>א</w:t>
      </w:r>
      <w:r w:rsidRPr="00AA5065">
        <w:rPr>
          <w:rFonts w:ascii="Calibri" w:eastAsia="Calibri" w:hAnsi="Calibri"/>
          <w:sz w:val="24"/>
          <w:rtl/>
        </w:rPr>
        <w:t>טיים, הליכי אכיפה נגד הרשות המקומית כסיפה, הוצאת צו ניקוי למועצה המקומית לק</w:t>
      </w:r>
      <w:r w:rsidRPr="00AA5065">
        <w:rPr>
          <w:rFonts w:ascii="Calibri" w:eastAsia="Calibri" w:hAnsi="Calibri" w:hint="cs"/>
          <w:sz w:val="24"/>
          <w:rtl/>
        </w:rPr>
        <w:t>י</w:t>
      </w:r>
      <w:r w:rsidRPr="00AA5065">
        <w:rPr>
          <w:rFonts w:ascii="Calibri" w:eastAsia="Calibri" w:hAnsi="Calibri"/>
          <w:sz w:val="24"/>
          <w:rtl/>
        </w:rPr>
        <w:t xml:space="preserve">יה, סגירת אתר הפסולת היבשה בתל שבע ושיפור </w:t>
      </w:r>
      <w:r w:rsidRPr="00AA5065">
        <w:rPr>
          <w:rFonts w:ascii="Calibri" w:eastAsia="Calibri" w:hAnsi="Calibri" w:hint="cs"/>
          <w:sz w:val="24"/>
          <w:rtl/>
        </w:rPr>
        <w:t xml:space="preserve">ניכר </w:t>
      </w:r>
      <w:r w:rsidRPr="00AA5065">
        <w:rPr>
          <w:rFonts w:ascii="Calibri" w:eastAsia="Calibri" w:hAnsi="Calibri"/>
          <w:sz w:val="24"/>
          <w:rtl/>
        </w:rPr>
        <w:t xml:space="preserve">בתחום </w:t>
      </w:r>
      <w:r w:rsidRPr="00AA5065">
        <w:rPr>
          <w:rFonts w:ascii="Calibri" w:eastAsia="Calibri" w:hAnsi="Calibri" w:hint="cs"/>
          <w:sz w:val="24"/>
          <w:rtl/>
        </w:rPr>
        <w:t>האכיפה</w:t>
      </w:r>
      <w:r w:rsidRPr="00AA5065">
        <w:rPr>
          <w:rFonts w:ascii="Calibri" w:eastAsia="Calibri" w:hAnsi="Calibri"/>
          <w:sz w:val="24"/>
          <w:rtl/>
        </w:rPr>
        <w:t xml:space="preserve"> ב</w:t>
      </w:r>
      <w:r w:rsidRPr="00AA5065">
        <w:rPr>
          <w:rFonts w:ascii="Calibri" w:eastAsia="Calibri" w:hAnsi="Calibri" w:hint="cs"/>
          <w:sz w:val="24"/>
          <w:rtl/>
        </w:rPr>
        <w:t xml:space="preserve">יישוב </w:t>
      </w:r>
      <w:r w:rsidRPr="00AA5065">
        <w:rPr>
          <w:rFonts w:ascii="Calibri" w:eastAsia="Calibri" w:hAnsi="Calibri"/>
          <w:sz w:val="24"/>
          <w:rtl/>
        </w:rPr>
        <w:t>שגב שלום ובעיר רהט.</w:t>
      </w:r>
      <w:r w:rsidRPr="00AA5065">
        <w:rPr>
          <w:rFonts w:ascii="Calibri" w:eastAsia="Calibri" w:hAnsi="Calibri" w:hint="cs"/>
          <w:sz w:val="24"/>
          <w:rtl/>
        </w:rPr>
        <w:t xml:space="preserve"> </w:t>
      </w:r>
      <w:r w:rsidRPr="00AA5065">
        <w:rPr>
          <w:rFonts w:ascii="Calibri" w:eastAsia="Calibri" w:hAnsi="Calibri"/>
          <w:sz w:val="24"/>
          <w:rtl/>
        </w:rPr>
        <w:t xml:space="preserve">המשרד </w:t>
      </w:r>
      <w:r w:rsidRPr="00AA5065">
        <w:rPr>
          <w:rFonts w:ascii="Calibri" w:eastAsia="Calibri" w:hAnsi="Calibri" w:hint="eastAsia"/>
          <w:sz w:val="24"/>
          <w:rtl/>
        </w:rPr>
        <w:t>הדגיש</w:t>
      </w:r>
      <w:r w:rsidRPr="00AA5065">
        <w:rPr>
          <w:rFonts w:ascii="Calibri" w:eastAsia="Calibri" w:hAnsi="Calibri"/>
          <w:sz w:val="24"/>
          <w:rtl/>
        </w:rPr>
        <w:t xml:space="preserve"> </w:t>
      </w:r>
      <w:r w:rsidRPr="00AA5065">
        <w:rPr>
          <w:rFonts w:ascii="Calibri" w:eastAsia="Calibri" w:hAnsi="Calibri" w:hint="eastAsia"/>
          <w:sz w:val="24"/>
          <w:rtl/>
        </w:rPr>
        <w:t>את</w:t>
      </w:r>
      <w:r w:rsidRPr="00AA5065">
        <w:rPr>
          <w:rFonts w:ascii="Calibri" w:eastAsia="Calibri" w:hAnsi="Calibri"/>
          <w:sz w:val="24"/>
          <w:rtl/>
        </w:rPr>
        <w:t xml:space="preserve"> חשיבות פעילותה של היחידה למניעת שריפות פסולת שברט"ג, </w:t>
      </w:r>
      <w:r w:rsidRPr="00AA5065">
        <w:rPr>
          <w:rFonts w:ascii="Calibri" w:eastAsia="Calibri" w:hAnsi="Calibri" w:hint="eastAsia"/>
          <w:sz w:val="24"/>
          <w:rtl/>
        </w:rPr>
        <w:t>הפועלת</w:t>
      </w:r>
      <w:r w:rsidRPr="00AA5065">
        <w:rPr>
          <w:rFonts w:ascii="Calibri" w:eastAsia="Calibri" w:hAnsi="Calibri"/>
          <w:sz w:val="24"/>
          <w:rtl/>
        </w:rPr>
        <w:t xml:space="preserve"> במימון </w:t>
      </w:r>
      <w:r w:rsidRPr="00AA5065">
        <w:rPr>
          <w:rFonts w:ascii="Calibri" w:eastAsia="Calibri" w:hAnsi="Calibri" w:hint="eastAsia"/>
          <w:sz w:val="24"/>
          <w:rtl/>
        </w:rPr>
        <w:t>המשרד</w:t>
      </w:r>
      <w:r w:rsidRPr="00AA5065">
        <w:rPr>
          <w:rFonts w:ascii="Calibri" w:eastAsia="Calibri" w:hAnsi="Calibri"/>
          <w:sz w:val="24"/>
          <w:rtl/>
        </w:rPr>
        <w:t xml:space="preserve"> </w:t>
      </w:r>
      <w:r w:rsidRPr="00AA5065">
        <w:rPr>
          <w:rFonts w:ascii="Calibri" w:eastAsia="Calibri" w:hAnsi="Calibri" w:hint="eastAsia"/>
          <w:sz w:val="24"/>
          <w:rtl/>
        </w:rPr>
        <w:t>להג</w:t>
      </w:r>
      <w:r w:rsidRPr="00AA5065">
        <w:rPr>
          <w:rFonts w:ascii="Calibri" w:eastAsia="Calibri" w:hAnsi="Calibri" w:hint="cs"/>
          <w:sz w:val="24"/>
          <w:rtl/>
        </w:rPr>
        <w:t>"ס</w:t>
      </w:r>
      <w:r w:rsidRPr="00AA5065">
        <w:rPr>
          <w:rFonts w:ascii="Calibri" w:eastAsia="Calibri" w:hAnsi="Calibri"/>
          <w:sz w:val="24"/>
          <w:rtl/>
        </w:rPr>
        <w:t xml:space="preserve"> </w:t>
      </w:r>
      <w:r w:rsidRPr="00AA5065">
        <w:rPr>
          <w:rFonts w:ascii="Calibri" w:eastAsia="Calibri" w:hAnsi="Calibri" w:hint="eastAsia"/>
          <w:sz w:val="24"/>
          <w:rtl/>
        </w:rPr>
        <w:t>מסוף</w:t>
      </w:r>
      <w:r w:rsidRPr="00AA5065">
        <w:rPr>
          <w:rFonts w:ascii="Calibri" w:eastAsia="Calibri" w:hAnsi="Calibri"/>
          <w:sz w:val="24"/>
          <w:rtl/>
        </w:rPr>
        <w:t xml:space="preserve"> </w:t>
      </w:r>
      <w:r w:rsidRPr="00AA5065">
        <w:rPr>
          <w:rFonts w:ascii="Calibri" w:eastAsia="Calibri" w:hAnsi="Calibri" w:hint="eastAsia"/>
          <w:sz w:val="24"/>
          <w:rtl/>
        </w:rPr>
        <w:t>שנת</w:t>
      </w:r>
      <w:r w:rsidRPr="00AA5065">
        <w:rPr>
          <w:rFonts w:ascii="Calibri" w:eastAsia="Calibri" w:hAnsi="Calibri"/>
          <w:sz w:val="24"/>
          <w:rtl/>
        </w:rPr>
        <w:t xml:space="preserve"> 2019 </w:t>
      </w:r>
      <w:r w:rsidRPr="00AA5065">
        <w:rPr>
          <w:rFonts w:ascii="Calibri" w:eastAsia="Calibri" w:hAnsi="Calibri" w:hint="eastAsia"/>
          <w:sz w:val="24"/>
          <w:rtl/>
        </w:rPr>
        <w:t>לצורך</w:t>
      </w:r>
      <w:r w:rsidRPr="00AA5065">
        <w:rPr>
          <w:rFonts w:ascii="Calibri" w:eastAsia="Calibri" w:hAnsi="Calibri"/>
          <w:sz w:val="24"/>
          <w:rtl/>
        </w:rPr>
        <w:t xml:space="preserve"> </w:t>
      </w:r>
      <w:r w:rsidRPr="00AA5065">
        <w:rPr>
          <w:rFonts w:ascii="Calibri" w:eastAsia="Calibri" w:hAnsi="Calibri" w:hint="eastAsia"/>
          <w:sz w:val="24"/>
          <w:rtl/>
        </w:rPr>
        <w:t>מתן</w:t>
      </w:r>
      <w:r w:rsidRPr="00AA5065">
        <w:rPr>
          <w:rFonts w:ascii="Calibri" w:eastAsia="Calibri" w:hAnsi="Calibri"/>
          <w:sz w:val="24"/>
          <w:rtl/>
        </w:rPr>
        <w:t xml:space="preserve"> </w:t>
      </w:r>
      <w:r w:rsidRPr="00AA5065">
        <w:rPr>
          <w:rFonts w:ascii="Calibri" w:eastAsia="Calibri" w:hAnsi="Calibri" w:hint="eastAsia"/>
          <w:sz w:val="24"/>
          <w:rtl/>
        </w:rPr>
        <w:t>מענה</w:t>
      </w:r>
      <w:r w:rsidRPr="00AA5065">
        <w:rPr>
          <w:rFonts w:ascii="Calibri" w:eastAsia="Calibri" w:hAnsi="Calibri"/>
          <w:sz w:val="24"/>
          <w:rtl/>
        </w:rPr>
        <w:t xml:space="preserve"> </w:t>
      </w:r>
      <w:r w:rsidRPr="00AA5065">
        <w:rPr>
          <w:rFonts w:ascii="Calibri" w:eastAsia="Calibri" w:hAnsi="Calibri" w:hint="eastAsia"/>
          <w:sz w:val="24"/>
          <w:rtl/>
        </w:rPr>
        <w:t>משלים</w:t>
      </w:r>
      <w:r w:rsidRPr="00AA5065">
        <w:rPr>
          <w:rFonts w:ascii="Calibri" w:eastAsia="Calibri" w:hAnsi="Calibri"/>
          <w:sz w:val="24"/>
          <w:rtl/>
        </w:rPr>
        <w:t xml:space="preserve"> </w:t>
      </w:r>
      <w:r w:rsidRPr="00AA5065">
        <w:rPr>
          <w:rFonts w:ascii="Calibri" w:eastAsia="Calibri" w:hAnsi="Calibri" w:hint="eastAsia"/>
          <w:sz w:val="24"/>
          <w:rtl/>
        </w:rPr>
        <w:t>וסיוע</w:t>
      </w:r>
      <w:r w:rsidRPr="00AA5065">
        <w:rPr>
          <w:rFonts w:ascii="Calibri" w:eastAsia="Calibri" w:hAnsi="Calibri"/>
          <w:sz w:val="24"/>
          <w:rtl/>
        </w:rPr>
        <w:t xml:space="preserve"> </w:t>
      </w:r>
      <w:r w:rsidRPr="00AA5065">
        <w:rPr>
          <w:rFonts w:ascii="Calibri" w:eastAsia="Calibri" w:hAnsi="Calibri" w:hint="cs"/>
          <w:sz w:val="24"/>
          <w:rtl/>
        </w:rPr>
        <w:t>ב</w:t>
      </w:r>
      <w:r w:rsidRPr="00AA5065">
        <w:rPr>
          <w:rFonts w:ascii="Calibri" w:eastAsia="Calibri" w:hAnsi="Calibri" w:hint="eastAsia"/>
          <w:sz w:val="24"/>
          <w:rtl/>
        </w:rPr>
        <w:t>אכיפ</w:t>
      </w:r>
      <w:r w:rsidRPr="00AA5065">
        <w:rPr>
          <w:rFonts w:ascii="Calibri" w:eastAsia="Calibri" w:hAnsi="Calibri" w:hint="cs"/>
          <w:sz w:val="24"/>
          <w:rtl/>
        </w:rPr>
        <w:t>ה</w:t>
      </w:r>
      <w:r w:rsidRPr="00AA5065">
        <w:rPr>
          <w:rFonts w:ascii="Calibri" w:eastAsia="Calibri" w:hAnsi="Calibri"/>
          <w:sz w:val="24"/>
          <w:rtl/>
        </w:rPr>
        <w:t xml:space="preserve">, </w:t>
      </w:r>
      <w:r w:rsidRPr="00AA5065">
        <w:rPr>
          <w:rFonts w:ascii="Calibri" w:eastAsia="Calibri" w:hAnsi="Calibri" w:hint="eastAsia"/>
          <w:sz w:val="24"/>
          <w:rtl/>
        </w:rPr>
        <w:t>וציין</w:t>
      </w:r>
      <w:r w:rsidRPr="00AA5065">
        <w:rPr>
          <w:rFonts w:ascii="Calibri" w:eastAsia="Calibri" w:hAnsi="Calibri"/>
          <w:sz w:val="24"/>
          <w:rtl/>
        </w:rPr>
        <w:t xml:space="preserve"> כי בשנת 2020 חלה ירידה של 30% ביחס לשנת 2019 בהיקף אירועי שריפות הפסולת בשטחים הפתוחים.</w:t>
      </w:r>
    </w:p>
    <w:p w:rsidR="000723B7" w:rsidRPr="00AA5065" w:rsidP="00860D89">
      <w:pPr>
        <w:spacing w:line="269" w:lineRule="auto"/>
        <w:rPr>
          <w:rFonts w:ascii="Calibri" w:eastAsia="Calibri" w:hAnsi="Calibri"/>
          <w:sz w:val="24"/>
          <w:rtl/>
        </w:rPr>
      </w:pPr>
    </w:p>
    <w:p w:rsidR="00AA5065" w:rsidRPr="00AA5065" w:rsidP="00860D89">
      <w:pPr>
        <w:spacing w:line="269" w:lineRule="auto"/>
        <w:rPr>
          <w:rFonts w:ascii="Calibri" w:eastAsia="Calibri" w:hAnsi="Calibri"/>
          <w:sz w:val="24"/>
          <w:rtl/>
        </w:rPr>
      </w:pPr>
      <w:r w:rsidRPr="00AA5065">
        <w:rPr>
          <w:rFonts w:ascii="Calibri" w:eastAsia="Calibri" w:hAnsi="Calibri" w:hint="eastAsia"/>
          <w:sz w:val="24"/>
          <w:rtl/>
        </w:rPr>
        <w:t>המשרד</w:t>
      </w:r>
      <w:r w:rsidRPr="00AA5065">
        <w:rPr>
          <w:rFonts w:ascii="Calibri" w:eastAsia="Calibri" w:hAnsi="Calibri"/>
          <w:sz w:val="24"/>
          <w:rtl/>
        </w:rPr>
        <w:t xml:space="preserve"> לביטחון הפנים</w:t>
      </w:r>
      <w:r>
        <w:rPr>
          <w:rFonts w:ascii="Calibri" w:eastAsia="Calibri" w:hAnsi="Calibri"/>
          <w:sz w:val="24"/>
          <w:vertAlign w:val="superscript"/>
          <w:rtl/>
        </w:rPr>
        <w:footnoteReference w:id="58"/>
      </w:r>
      <w:r w:rsidRPr="00AA5065">
        <w:rPr>
          <w:rFonts w:ascii="Calibri" w:eastAsia="Calibri" w:hAnsi="Calibri"/>
          <w:sz w:val="24"/>
          <w:rtl/>
        </w:rPr>
        <w:t xml:space="preserve"> </w:t>
      </w:r>
      <w:r w:rsidRPr="00AA5065">
        <w:rPr>
          <w:rFonts w:ascii="Calibri" w:eastAsia="Calibri" w:hAnsi="Calibri" w:hint="eastAsia"/>
          <w:sz w:val="24"/>
          <w:rtl/>
        </w:rPr>
        <w:t>מסר</w:t>
      </w:r>
      <w:r w:rsidRPr="00AA5065">
        <w:rPr>
          <w:rFonts w:ascii="Calibri" w:eastAsia="Calibri" w:hAnsi="Calibri"/>
          <w:sz w:val="24"/>
          <w:rtl/>
        </w:rPr>
        <w:t xml:space="preserve"> </w:t>
      </w:r>
      <w:r w:rsidRPr="00AA5065">
        <w:rPr>
          <w:rFonts w:ascii="Calibri" w:eastAsia="Calibri" w:hAnsi="Calibri" w:hint="eastAsia"/>
          <w:sz w:val="24"/>
          <w:rtl/>
        </w:rPr>
        <w:t>בתשובתו</w:t>
      </w:r>
      <w:r w:rsidRPr="00AA5065">
        <w:rPr>
          <w:rFonts w:ascii="Calibri" w:eastAsia="Calibri" w:hAnsi="Calibri" w:hint="cs"/>
          <w:sz w:val="24"/>
          <w:rtl/>
        </w:rPr>
        <w:t xml:space="preserve"> לדוח הקודם</w:t>
      </w:r>
      <w:r w:rsidRPr="00AA5065">
        <w:rPr>
          <w:rFonts w:ascii="Calibri" w:eastAsia="Calibri" w:hAnsi="Calibri"/>
          <w:sz w:val="24"/>
          <w:rtl/>
        </w:rPr>
        <w:t xml:space="preserve"> כי "החל מחודש אוקטובר 2020 החלה היחידה למניעת שריפות ברט"ג לקבל סיוע מיחידת '</w:t>
      </w:r>
      <w:r w:rsidRPr="00AA5065">
        <w:rPr>
          <w:rFonts w:ascii="Calibri" w:eastAsia="Calibri" w:hAnsi="Calibri" w:hint="eastAsia"/>
          <w:sz w:val="24"/>
          <w:rtl/>
        </w:rPr>
        <w:t>יואב</w:t>
      </w:r>
      <w:r w:rsidRPr="00AA5065">
        <w:rPr>
          <w:rFonts w:ascii="Calibri" w:eastAsia="Calibri" w:hAnsi="Calibri"/>
          <w:sz w:val="24"/>
          <w:rtl/>
        </w:rPr>
        <w:t>' בפעילותה נגד אחת המטמנות הגדולות והפעילות במרחב במטרה לסכל את הפעילות הנעשית במקום. נוכח חשיבות הטיפול בהי</w:t>
      </w:r>
      <w:r w:rsidRPr="00AA5065">
        <w:rPr>
          <w:rFonts w:ascii="Calibri" w:eastAsia="Calibri" w:hAnsi="Calibri" w:hint="eastAsia"/>
          <w:sz w:val="24"/>
          <w:rtl/>
        </w:rPr>
        <w:t>בטי</w:t>
      </w:r>
      <w:r w:rsidRPr="00AA5065">
        <w:rPr>
          <w:rFonts w:ascii="Calibri" w:eastAsia="Calibri" w:hAnsi="Calibri"/>
          <w:sz w:val="24"/>
          <w:rtl/>
        </w:rPr>
        <w:t xml:space="preserve"> </w:t>
      </w:r>
      <w:r w:rsidRPr="00AA5065">
        <w:rPr>
          <w:rFonts w:ascii="Calibri" w:eastAsia="Calibri" w:hAnsi="Calibri" w:hint="eastAsia"/>
          <w:sz w:val="24"/>
          <w:rtl/>
        </w:rPr>
        <w:t>התיאום</w:t>
      </w:r>
      <w:r w:rsidRPr="00AA5065">
        <w:rPr>
          <w:rFonts w:ascii="Calibri" w:eastAsia="Calibri" w:hAnsi="Calibri"/>
          <w:sz w:val="24"/>
          <w:rtl/>
        </w:rPr>
        <w:t xml:space="preserve"> </w:t>
      </w:r>
      <w:r w:rsidRPr="00AA5065">
        <w:rPr>
          <w:rFonts w:ascii="Calibri" w:eastAsia="Calibri" w:hAnsi="Calibri" w:hint="eastAsia"/>
          <w:sz w:val="24"/>
          <w:rtl/>
        </w:rPr>
        <w:t>בנושא</w:t>
      </w:r>
      <w:r w:rsidRPr="00AA5065">
        <w:rPr>
          <w:rFonts w:ascii="Calibri" w:eastAsia="Calibri" w:hAnsi="Calibri"/>
          <w:sz w:val="24"/>
          <w:rtl/>
        </w:rPr>
        <w:t xml:space="preserve"> </w:t>
      </w:r>
      <w:r w:rsidRPr="00AA5065">
        <w:rPr>
          <w:rFonts w:ascii="Calibri" w:eastAsia="Calibri" w:hAnsi="Calibri" w:hint="eastAsia"/>
          <w:sz w:val="24"/>
          <w:rtl/>
        </w:rPr>
        <w:t>הוסיפה</w:t>
      </w:r>
      <w:r w:rsidRPr="00AA5065">
        <w:rPr>
          <w:rFonts w:ascii="Calibri" w:eastAsia="Calibri" w:hAnsi="Calibri"/>
          <w:sz w:val="24"/>
          <w:rtl/>
        </w:rPr>
        <w:t xml:space="preserve"> </w:t>
      </w:r>
      <w:r w:rsidRPr="00AA5065">
        <w:rPr>
          <w:rFonts w:ascii="Calibri" w:eastAsia="Calibri" w:hAnsi="Calibri" w:hint="eastAsia"/>
          <w:sz w:val="24"/>
          <w:rtl/>
        </w:rPr>
        <w:t>המנהלת</w:t>
      </w:r>
      <w:r w:rsidRPr="00AA5065">
        <w:rPr>
          <w:rFonts w:ascii="Calibri" w:eastAsia="Calibri" w:hAnsi="Calibri"/>
          <w:sz w:val="24"/>
          <w:rtl/>
        </w:rPr>
        <w:t xml:space="preserve"> </w:t>
      </w:r>
      <w:r w:rsidRPr="00AA5065">
        <w:rPr>
          <w:rFonts w:ascii="Calibri" w:eastAsia="Calibri" w:hAnsi="Calibri" w:hint="eastAsia"/>
          <w:sz w:val="24"/>
          <w:rtl/>
        </w:rPr>
        <w:t>משימה</w:t>
      </w:r>
      <w:r w:rsidRPr="00AA5065">
        <w:rPr>
          <w:rFonts w:ascii="Calibri" w:eastAsia="Calibri" w:hAnsi="Calibri"/>
          <w:sz w:val="24"/>
          <w:rtl/>
        </w:rPr>
        <w:t xml:space="preserve"> </w:t>
      </w:r>
      <w:r w:rsidRPr="00AA5065">
        <w:rPr>
          <w:rFonts w:ascii="Calibri" w:eastAsia="Calibri" w:hAnsi="Calibri" w:hint="eastAsia"/>
          <w:sz w:val="24"/>
          <w:rtl/>
        </w:rPr>
        <w:t>חדשה</w:t>
      </w:r>
      <w:r w:rsidRPr="00AA5065">
        <w:rPr>
          <w:rFonts w:ascii="Calibri" w:eastAsia="Calibri" w:hAnsi="Calibri"/>
          <w:sz w:val="24"/>
          <w:rtl/>
        </w:rPr>
        <w:t xml:space="preserve"> </w:t>
      </w:r>
      <w:r w:rsidRPr="00AA5065">
        <w:rPr>
          <w:rFonts w:ascii="Calibri" w:eastAsia="Calibri" w:hAnsi="Calibri" w:hint="eastAsia"/>
          <w:sz w:val="24"/>
          <w:rtl/>
        </w:rPr>
        <w:t>לשנת</w:t>
      </w:r>
      <w:r w:rsidRPr="00AA5065">
        <w:rPr>
          <w:rFonts w:ascii="Calibri" w:eastAsia="Calibri" w:hAnsi="Calibri"/>
          <w:sz w:val="24"/>
          <w:rtl/>
        </w:rPr>
        <w:t xml:space="preserve"> </w:t>
      </w:r>
      <w:r w:rsidRPr="00AA5065">
        <w:rPr>
          <w:rFonts w:ascii="Calibri" w:eastAsia="Calibri" w:hAnsi="Calibri" w:hint="eastAsia"/>
          <w:sz w:val="24"/>
          <w:rtl/>
        </w:rPr>
        <w:t>העבודה</w:t>
      </w:r>
      <w:r w:rsidRPr="00AA5065">
        <w:rPr>
          <w:rFonts w:ascii="Calibri" w:eastAsia="Calibri" w:hAnsi="Calibri"/>
          <w:sz w:val="24"/>
          <w:rtl/>
        </w:rPr>
        <w:t xml:space="preserve"> 2021 </w:t>
      </w:r>
      <w:r w:rsidRPr="00AA5065">
        <w:rPr>
          <w:rFonts w:ascii="Calibri" w:eastAsia="Calibri" w:hAnsi="Calibri" w:hint="eastAsia"/>
          <w:sz w:val="24"/>
          <w:rtl/>
        </w:rPr>
        <w:t>של</w:t>
      </w:r>
      <w:r w:rsidRPr="00AA5065">
        <w:rPr>
          <w:rFonts w:ascii="Calibri" w:eastAsia="Calibri" w:hAnsi="Calibri"/>
          <w:sz w:val="24"/>
          <w:rtl/>
        </w:rPr>
        <w:t xml:space="preserve"> </w:t>
      </w:r>
      <w:r w:rsidRPr="00AA5065">
        <w:rPr>
          <w:rFonts w:ascii="Calibri" w:eastAsia="Calibri" w:hAnsi="Calibri" w:hint="eastAsia"/>
          <w:sz w:val="24"/>
          <w:rtl/>
        </w:rPr>
        <w:t>טיפול</w:t>
      </w:r>
      <w:r w:rsidRPr="00AA5065">
        <w:rPr>
          <w:rFonts w:ascii="Calibri" w:eastAsia="Calibri" w:hAnsi="Calibri"/>
          <w:sz w:val="24"/>
          <w:rtl/>
        </w:rPr>
        <w:t xml:space="preserve"> </w:t>
      </w:r>
      <w:r w:rsidRPr="00AA5065">
        <w:rPr>
          <w:rFonts w:ascii="Calibri" w:eastAsia="Calibri" w:hAnsi="Calibri" w:hint="eastAsia"/>
          <w:sz w:val="24"/>
          <w:rtl/>
        </w:rPr>
        <w:t>בשני</w:t>
      </w:r>
      <w:r w:rsidRPr="00AA5065">
        <w:rPr>
          <w:rFonts w:ascii="Calibri" w:eastAsia="Calibri" w:hAnsi="Calibri"/>
          <w:sz w:val="24"/>
          <w:rtl/>
        </w:rPr>
        <w:t xml:space="preserve"> </w:t>
      </w:r>
      <w:r w:rsidRPr="00AA5065">
        <w:rPr>
          <w:rFonts w:ascii="Calibri" w:eastAsia="Calibri" w:hAnsi="Calibri" w:hint="eastAsia"/>
          <w:sz w:val="24"/>
          <w:rtl/>
        </w:rPr>
        <w:t>אתרי</w:t>
      </w:r>
      <w:r w:rsidRPr="00AA5065">
        <w:rPr>
          <w:rFonts w:ascii="Calibri" w:eastAsia="Calibri" w:hAnsi="Calibri"/>
          <w:sz w:val="24"/>
          <w:rtl/>
        </w:rPr>
        <w:t xml:space="preserve"> </w:t>
      </w:r>
      <w:r w:rsidRPr="00AA5065">
        <w:rPr>
          <w:rFonts w:ascii="Calibri" w:eastAsia="Calibri" w:hAnsi="Calibri" w:hint="eastAsia"/>
          <w:sz w:val="24"/>
          <w:rtl/>
        </w:rPr>
        <w:t>מטמנות</w:t>
      </w:r>
      <w:r w:rsidRPr="00AA5065">
        <w:rPr>
          <w:rFonts w:ascii="Calibri" w:eastAsia="Calibri" w:hAnsi="Calibri"/>
          <w:sz w:val="24"/>
          <w:rtl/>
        </w:rPr>
        <w:t xml:space="preserve"> </w:t>
      </w:r>
      <w:r w:rsidRPr="00AA5065">
        <w:rPr>
          <w:rFonts w:ascii="Calibri" w:eastAsia="Calibri" w:hAnsi="Calibri" w:hint="eastAsia"/>
          <w:sz w:val="24"/>
          <w:rtl/>
        </w:rPr>
        <w:t>פירטיים</w:t>
      </w:r>
      <w:r w:rsidRPr="00AA5065">
        <w:rPr>
          <w:rFonts w:ascii="Calibri" w:eastAsia="Calibri" w:hAnsi="Calibri"/>
          <w:sz w:val="24"/>
          <w:rtl/>
        </w:rPr>
        <w:t xml:space="preserve"> </w:t>
      </w:r>
      <w:r w:rsidRPr="00AA5065">
        <w:rPr>
          <w:rFonts w:ascii="Calibri" w:eastAsia="Calibri" w:hAnsi="Calibri" w:hint="eastAsia"/>
          <w:sz w:val="24"/>
          <w:rtl/>
        </w:rPr>
        <w:t>משמעותיים</w:t>
      </w:r>
      <w:r w:rsidRPr="00AA5065">
        <w:rPr>
          <w:rFonts w:ascii="Calibri" w:eastAsia="Calibri" w:hAnsi="Calibri"/>
          <w:sz w:val="24"/>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eastAsia"/>
          <w:rtl/>
        </w:rPr>
        <w:t>המשטרה</w:t>
      </w:r>
      <w:r w:rsidRPr="00AA5065">
        <w:rPr>
          <w:rFonts w:ascii="David" w:eastAsia="Calibri" w:hAnsi="David"/>
          <w:rtl/>
        </w:rPr>
        <w:t xml:space="preserve"> </w:t>
      </w:r>
      <w:r w:rsidRPr="00AA5065">
        <w:rPr>
          <w:rFonts w:ascii="David" w:eastAsia="Calibri" w:hAnsi="David" w:hint="eastAsia"/>
          <w:rtl/>
        </w:rPr>
        <w:t>מסרה</w:t>
      </w:r>
      <w:r w:rsidRPr="00AA5065">
        <w:rPr>
          <w:rFonts w:ascii="David" w:eastAsia="Calibri" w:hAnsi="David"/>
          <w:rtl/>
        </w:rPr>
        <w:t xml:space="preserve"> </w:t>
      </w:r>
      <w:r w:rsidRPr="00AA5065">
        <w:rPr>
          <w:rFonts w:ascii="David" w:eastAsia="Calibri" w:hAnsi="David" w:hint="eastAsia"/>
          <w:rtl/>
        </w:rPr>
        <w:t>בתשובתה</w:t>
      </w:r>
      <w:r w:rsidRPr="00AA5065">
        <w:rPr>
          <w:rFonts w:ascii="David" w:eastAsia="Calibri" w:hAnsi="David"/>
          <w:rtl/>
        </w:rPr>
        <w:t xml:space="preserve"> </w:t>
      </w:r>
      <w:r w:rsidRPr="00AA5065">
        <w:rPr>
          <w:rFonts w:ascii="David" w:eastAsia="Calibri" w:hAnsi="David" w:hint="cs"/>
          <w:rtl/>
        </w:rPr>
        <w:t>לדוח הקודם</w:t>
      </w:r>
      <w:r w:rsidRPr="00AA5065">
        <w:rPr>
          <w:rFonts w:ascii="David" w:eastAsia="Calibri" w:hAnsi="David"/>
          <w:rtl/>
        </w:rPr>
        <w:t xml:space="preserve"> </w:t>
      </w:r>
      <w:r w:rsidRPr="00AA5065">
        <w:rPr>
          <w:rFonts w:ascii="David" w:eastAsia="Calibri" w:hAnsi="David" w:hint="eastAsia"/>
          <w:rtl/>
        </w:rPr>
        <w:t>כי</w:t>
      </w:r>
      <w:r w:rsidRPr="00AA5065">
        <w:rPr>
          <w:rFonts w:ascii="David" w:eastAsia="Calibri" w:hAnsi="David"/>
          <w:rtl/>
        </w:rPr>
        <w:t xml:space="preserve"> "</w:t>
      </w:r>
      <w:r w:rsidRPr="00AA5065">
        <w:rPr>
          <w:rFonts w:ascii="David" w:eastAsia="Calibri" w:hAnsi="David" w:hint="eastAsia"/>
          <w:rtl/>
        </w:rPr>
        <w:t>משטרת</w:t>
      </w:r>
      <w:r w:rsidRPr="00AA5065">
        <w:rPr>
          <w:rFonts w:ascii="David" w:eastAsia="Calibri" w:hAnsi="David"/>
          <w:rtl/>
        </w:rPr>
        <w:t xml:space="preserve"> </w:t>
      </w:r>
      <w:r w:rsidRPr="00AA5065">
        <w:rPr>
          <w:rFonts w:ascii="David" w:eastAsia="Calibri" w:hAnsi="David" w:hint="eastAsia"/>
          <w:rtl/>
        </w:rPr>
        <w:t>ישראל</w:t>
      </w:r>
      <w:r w:rsidRPr="00AA5065">
        <w:rPr>
          <w:rFonts w:ascii="David" w:eastAsia="Calibri" w:hAnsi="David"/>
          <w:rtl/>
        </w:rPr>
        <w:t xml:space="preserve"> </w:t>
      </w:r>
      <w:r w:rsidRPr="00AA5065">
        <w:rPr>
          <w:rFonts w:ascii="David" w:eastAsia="Calibri" w:hAnsi="David" w:hint="eastAsia"/>
          <w:rtl/>
        </w:rPr>
        <w:t>בשיתוף</w:t>
      </w:r>
      <w:r w:rsidRPr="00AA5065">
        <w:rPr>
          <w:rFonts w:ascii="David" w:eastAsia="Calibri" w:hAnsi="David"/>
          <w:rtl/>
        </w:rPr>
        <w:t xml:space="preserve"> </w:t>
      </w:r>
      <w:r w:rsidRPr="00AA5065">
        <w:rPr>
          <w:rFonts w:ascii="David" w:eastAsia="Calibri" w:hAnsi="David" w:hint="eastAsia"/>
          <w:rtl/>
        </w:rPr>
        <w:t>המשטרה</w:t>
      </w:r>
      <w:r w:rsidRPr="00AA5065">
        <w:rPr>
          <w:rFonts w:ascii="David" w:eastAsia="Calibri" w:hAnsi="David"/>
          <w:rtl/>
        </w:rPr>
        <w:t xml:space="preserve"> </w:t>
      </w:r>
      <w:r w:rsidRPr="00AA5065">
        <w:rPr>
          <w:rFonts w:ascii="David" w:eastAsia="Calibri" w:hAnsi="David" w:hint="eastAsia"/>
          <w:rtl/>
        </w:rPr>
        <w:t>הירוקה</w:t>
      </w:r>
      <w:r w:rsidRPr="00AA5065">
        <w:rPr>
          <w:rFonts w:ascii="David" w:eastAsia="Calibri" w:hAnsi="David"/>
          <w:rtl/>
        </w:rPr>
        <w:t xml:space="preserve"> </w:t>
      </w:r>
      <w:r w:rsidRPr="00AA5065">
        <w:rPr>
          <w:rFonts w:ascii="David" w:eastAsia="Calibri" w:hAnsi="David" w:hint="eastAsia"/>
          <w:rtl/>
        </w:rPr>
        <w:t>מבצעת</w:t>
      </w:r>
      <w:r w:rsidRPr="00AA5065">
        <w:rPr>
          <w:rFonts w:ascii="David" w:eastAsia="Calibri" w:hAnsi="David"/>
          <w:rtl/>
        </w:rPr>
        <w:t xml:space="preserve"> </w:t>
      </w:r>
      <w:r w:rsidRPr="00AA5065">
        <w:rPr>
          <w:rFonts w:ascii="David" w:eastAsia="Calibri" w:hAnsi="David" w:hint="eastAsia"/>
          <w:rtl/>
        </w:rPr>
        <w:t>אכיפה</w:t>
      </w:r>
      <w:r w:rsidRPr="00AA5065">
        <w:rPr>
          <w:rFonts w:ascii="David" w:eastAsia="Calibri" w:hAnsi="David"/>
          <w:rtl/>
        </w:rPr>
        <w:t xml:space="preserve"> </w:t>
      </w:r>
      <w:r w:rsidRPr="00AA5065">
        <w:rPr>
          <w:rFonts w:ascii="David" w:eastAsia="Calibri" w:hAnsi="David" w:hint="eastAsia"/>
          <w:rtl/>
        </w:rPr>
        <w:t>כנגד</w:t>
      </w:r>
      <w:r w:rsidRPr="00AA5065">
        <w:rPr>
          <w:rFonts w:ascii="David" w:eastAsia="Calibri" w:hAnsi="David"/>
          <w:rtl/>
        </w:rPr>
        <w:t xml:space="preserve"> </w:t>
      </w:r>
      <w:r w:rsidRPr="00AA5065">
        <w:rPr>
          <w:rFonts w:ascii="David" w:eastAsia="Calibri" w:hAnsi="David" w:hint="eastAsia"/>
          <w:rtl/>
        </w:rPr>
        <w:t>אתרי</w:t>
      </w:r>
      <w:r w:rsidRPr="00AA5065">
        <w:rPr>
          <w:rFonts w:ascii="David" w:eastAsia="Calibri" w:hAnsi="David"/>
          <w:rtl/>
        </w:rPr>
        <w:t xml:space="preserve"> </w:t>
      </w:r>
      <w:r w:rsidRPr="00AA5065">
        <w:rPr>
          <w:rFonts w:ascii="David" w:eastAsia="Calibri" w:hAnsi="David" w:hint="eastAsia"/>
          <w:rtl/>
        </w:rPr>
        <w:t>פסולת</w:t>
      </w:r>
      <w:r w:rsidRPr="00AA5065">
        <w:rPr>
          <w:rFonts w:ascii="David" w:eastAsia="Calibri" w:hAnsi="David"/>
          <w:rtl/>
        </w:rPr>
        <w:t xml:space="preserve"> </w:t>
      </w:r>
      <w:r w:rsidRPr="00AA5065">
        <w:rPr>
          <w:rFonts w:ascii="David" w:eastAsia="Calibri" w:hAnsi="David" w:hint="eastAsia"/>
          <w:rtl/>
        </w:rPr>
        <w:t>פיראטיים</w:t>
      </w:r>
      <w:r w:rsidRPr="00AA5065">
        <w:rPr>
          <w:rFonts w:ascii="David" w:eastAsia="Calibri" w:hAnsi="David"/>
          <w:rtl/>
        </w:rPr>
        <w:t xml:space="preserve"> </w:t>
      </w:r>
      <w:r w:rsidRPr="00AA5065">
        <w:rPr>
          <w:rFonts w:ascii="David" w:eastAsia="Calibri" w:hAnsi="David" w:hint="eastAsia"/>
          <w:rtl/>
        </w:rPr>
        <w:t>בכל</w:t>
      </w:r>
      <w:r w:rsidRPr="00AA5065">
        <w:rPr>
          <w:rFonts w:ascii="David" w:eastAsia="Calibri" w:hAnsi="David"/>
          <w:rtl/>
        </w:rPr>
        <w:t xml:space="preserve"> </w:t>
      </w:r>
      <w:r w:rsidRPr="00AA5065">
        <w:rPr>
          <w:rFonts w:ascii="David" w:eastAsia="Calibri" w:hAnsi="David" w:hint="eastAsia"/>
          <w:rtl/>
        </w:rPr>
        <w:t>רחבי</w:t>
      </w:r>
      <w:r w:rsidRPr="00AA5065">
        <w:rPr>
          <w:rFonts w:ascii="David" w:eastAsia="Calibri" w:hAnsi="David"/>
          <w:rtl/>
        </w:rPr>
        <w:t xml:space="preserve"> </w:t>
      </w:r>
      <w:r w:rsidRPr="00AA5065">
        <w:rPr>
          <w:rFonts w:ascii="David" w:eastAsia="Calibri" w:hAnsi="David" w:hint="eastAsia"/>
          <w:rtl/>
        </w:rPr>
        <w:t>הארץ</w:t>
      </w:r>
      <w:r w:rsidRPr="00AA5065">
        <w:rPr>
          <w:rFonts w:ascii="David" w:eastAsia="Calibri" w:hAnsi="David"/>
          <w:rtl/>
        </w:rPr>
        <w:t xml:space="preserve">. </w:t>
      </w:r>
      <w:r w:rsidRPr="00AA5065">
        <w:rPr>
          <w:rFonts w:ascii="David" w:eastAsia="Calibri" w:hAnsi="David" w:hint="eastAsia"/>
          <w:rtl/>
        </w:rPr>
        <w:t>למחוז</w:t>
      </w:r>
      <w:r w:rsidRPr="00AA5065">
        <w:rPr>
          <w:rFonts w:ascii="David" w:eastAsia="Calibri" w:hAnsi="David"/>
          <w:rtl/>
        </w:rPr>
        <w:t xml:space="preserve"> </w:t>
      </w:r>
      <w:r w:rsidRPr="00AA5065">
        <w:rPr>
          <w:rFonts w:ascii="David" w:eastAsia="Calibri" w:hAnsi="David" w:hint="eastAsia"/>
          <w:rtl/>
        </w:rPr>
        <w:t>דרום</w:t>
      </w:r>
      <w:r w:rsidRPr="00AA5065">
        <w:rPr>
          <w:rFonts w:ascii="David" w:eastAsia="Calibri" w:hAnsi="David"/>
          <w:rtl/>
        </w:rPr>
        <w:t xml:space="preserve"> </w:t>
      </w:r>
      <w:r w:rsidRPr="00AA5065">
        <w:rPr>
          <w:rFonts w:ascii="David" w:eastAsia="Calibri" w:hAnsi="David" w:hint="eastAsia"/>
          <w:rtl/>
        </w:rPr>
        <w:t>מוקצה</w:t>
      </w:r>
      <w:r w:rsidRPr="00AA5065">
        <w:rPr>
          <w:rFonts w:ascii="David" w:eastAsia="Calibri" w:hAnsi="David"/>
          <w:rtl/>
        </w:rPr>
        <w:t xml:space="preserve"> </w:t>
      </w:r>
      <w:r w:rsidRPr="00AA5065">
        <w:rPr>
          <w:rFonts w:ascii="David" w:eastAsia="Calibri" w:hAnsi="David" w:hint="eastAsia"/>
          <w:rtl/>
        </w:rPr>
        <w:t>צוות</w:t>
      </w:r>
      <w:r w:rsidRPr="00AA5065">
        <w:rPr>
          <w:rFonts w:ascii="David" w:eastAsia="Calibri" w:hAnsi="David"/>
          <w:rtl/>
        </w:rPr>
        <w:t xml:space="preserve"> </w:t>
      </w:r>
      <w:r w:rsidRPr="00AA5065">
        <w:rPr>
          <w:rFonts w:ascii="David" w:eastAsia="Calibri" w:hAnsi="David" w:hint="eastAsia"/>
          <w:rtl/>
        </w:rPr>
        <w:t>של</w:t>
      </w:r>
      <w:r w:rsidRPr="00AA5065">
        <w:rPr>
          <w:rFonts w:ascii="David" w:eastAsia="Calibri" w:hAnsi="David"/>
          <w:rtl/>
        </w:rPr>
        <w:t xml:space="preserve"> </w:t>
      </w:r>
      <w:r w:rsidRPr="00AA5065">
        <w:rPr>
          <w:rFonts w:ascii="David" w:eastAsia="Calibri" w:hAnsi="David" w:hint="eastAsia"/>
          <w:rtl/>
        </w:rPr>
        <w:t>שני</w:t>
      </w:r>
      <w:r w:rsidRPr="00AA5065">
        <w:rPr>
          <w:rFonts w:ascii="David" w:eastAsia="Calibri" w:hAnsi="David"/>
          <w:rtl/>
        </w:rPr>
        <w:t xml:space="preserve"> </w:t>
      </w:r>
      <w:r w:rsidRPr="00AA5065">
        <w:rPr>
          <w:rFonts w:ascii="David" w:eastAsia="Calibri" w:hAnsi="David" w:hint="eastAsia"/>
          <w:rtl/>
        </w:rPr>
        <w:t>שוטרים</w:t>
      </w:r>
      <w:r w:rsidRPr="00AA5065">
        <w:rPr>
          <w:rFonts w:ascii="David" w:eastAsia="Calibri" w:hAnsi="David"/>
          <w:rtl/>
        </w:rPr>
        <w:t xml:space="preserve"> </w:t>
      </w:r>
      <w:r w:rsidRPr="00AA5065">
        <w:rPr>
          <w:rFonts w:ascii="David" w:eastAsia="Calibri" w:hAnsi="David" w:hint="eastAsia"/>
          <w:rtl/>
        </w:rPr>
        <w:t>הפועלים</w:t>
      </w:r>
      <w:r w:rsidRPr="00AA5065">
        <w:rPr>
          <w:rFonts w:ascii="David" w:eastAsia="Calibri" w:hAnsi="David"/>
          <w:rtl/>
        </w:rPr>
        <w:t xml:space="preserve"> </w:t>
      </w:r>
      <w:r w:rsidRPr="00AA5065">
        <w:rPr>
          <w:rFonts w:ascii="David" w:eastAsia="Calibri" w:hAnsi="David" w:hint="eastAsia"/>
          <w:rtl/>
        </w:rPr>
        <w:t>יחד</w:t>
      </w:r>
      <w:r w:rsidRPr="00AA5065">
        <w:rPr>
          <w:rFonts w:ascii="David" w:eastAsia="Calibri" w:hAnsi="David"/>
          <w:rtl/>
        </w:rPr>
        <w:t xml:space="preserve"> </w:t>
      </w:r>
      <w:r w:rsidRPr="00AA5065">
        <w:rPr>
          <w:rFonts w:ascii="David" w:eastAsia="Calibri" w:hAnsi="David" w:hint="eastAsia"/>
          <w:rtl/>
        </w:rPr>
        <w:t>עם</w:t>
      </w:r>
      <w:r w:rsidRPr="00AA5065">
        <w:rPr>
          <w:rFonts w:ascii="David" w:eastAsia="Calibri" w:hAnsi="David"/>
          <w:rtl/>
        </w:rPr>
        <w:t xml:space="preserve"> </w:t>
      </w:r>
      <w:r w:rsidRPr="00AA5065">
        <w:rPr>
          <w:rFonts w:ascii="David" w:eastAsia="Calibri" w:hAnsi="David" w:hint="eastAsia"/>
          <w:rtl/>
        </w:rPr>
        <w:t>צוות</w:t>
      </w:r>
      <w:r w:rsidRPr="00AA5065">
        <w:rPr>
          <w:rFonts w:ascii="David" w:eastAsia="Calibri" w:hAnsi="David"/>
          <w:rtl/>
        </w:rPr>
        <w:t xml:space="preserve"> </w:t>
      </w:r>
      <w:r w:rsidRPr="00AA5065">
        <w:rPr>
          <w:rFonts w:ascii="David" w:eastAsia="Calibri" w:hAnsi="David" w:hint="eastAsia"/>
          <w:rtl/>
        </w:rPr>
        <w:t>דרום</w:t>
      </w:r>
      <w:r w:rsidRPr="00AA5065">
        <w:rPr>
          <w:rFonts w:ascii="David" w:eastAsia="Calibri" w:hAnsi="David"/>
          <w:rtl/>
        </w:rPr>
        <w:t xml:space="preserve"> </w:t>
      </w:r>
      <w:r w:rsidRPr="00AA5065">
        <w:rPr>
          <w:rFonts w:ascii="David" w:eastAsia="Calibri" w:hAnsi="David" w:hint="eastAsia"/>
          <w:rtl/>
        </w:rPr>
        <w:t>של</w:t>
      </w:r>
      <w:r w:rsidRPr="00AA5065">
        <w:rPr>
          <w:rFonts w:ascii="David" w:eastAsia="Calibri" w:hAnsi="David"/>
          <w:rtl/>
        </w:rPr>
        <w:t xml:space="preserve"> </w:t>
      </w:r>
      <w:r w:rsidRPr="00AA5065">
        <w:rPr>
          <w:rFonts w:ascii="David" w:eastAsia="Calibri" w:hAnsi="David" w:hint="eastAsia"/>
          <w:rtl/>
        </w:rPr>
        <w:t>המשטרה</w:t>
      </w:r>
      <w:r w:rsidRPr="00AA5065">
        <w:rPr>
          <w:rFonts w:ascii="David" w:eastAsia="Calibri" w:hAnsi="David"/>
          <w:rtl/>
        </w:rPr>
        <w:t xml:space="preserve"> </w:t>
      </w:r>
      <w:r w:rsidRPr="00AA5065">
        <w:rPr>
          <w:rFonts w:ascii="David" w:eastAsia="Calibri" w:hAnsi="David" w:hint="eastAsia"/>
          <w:rtl/>
        </w:rPr>
        <w:t>הירוקה</w:t>
      </w:r>
      <w:r w:rsidRPr="00AA5065">
        <w:rPr>
          <w:rFonts w:ascii="David" w:eastAsia="Calibri" w:hAnsi="David"/>
          <w:rtl/>
        </w:rPr>
        <w:t xml:space="preserve"> </w:t>
      </w:r>
      <w:r w:rsidRPr="00AA5065">
        <w:rPr>
          <w:rFonts w:ascii="David" w:eastAsia="Calibri" w:hAnsi="David" w:hint="eastAsia"/>
          <w:rtl/>
        </w:rPr>
        <w:t>בשת</w:t>
      </w:r>
      <w:r w:rsidRPr="00AA5065">
        <w:rPr>
          <w:rFonts w:ascii="David" w:eastAsia="Calibri" w:hAnsi="David"/>
          <w:rtl/>
        </w:rPr>
        <w:t>"</w:t>
      </w:r>
      <w:r w:rsidRPr="00AA5065">
        <w:rPr>
          <w:rFonts w:ascii="David" w:eastAsia="Calibri" w:hAnsi="David" w:hint="eastAsia"/>
          <w:rtl/>
        </w:rPr>
        <w:t>פ</w:t>
      </w:r>
      <w:r w:rsidRPr="00AA5065">
        <w:rPr>
          <w:rFonts w:ascii="David" w:eastAsia="Calibri" w:hAnsi="David"/>
          <w:rtl/>
        </w:rPr>
        <w:t xml:space="preserve"> </w:t>
      </w:r>
      <w:r w:rsidRPr="00AA5065">
        <w:rPr>
          <w:rFonts w:ascii="David" w:eastAsia="Calibri" w:hAnsi="David" w:hint="eastAsia"/>
          <w:rtl/>
        </w:rPr>
        <w:t>היחידות</w:t>
      </w:r>
      <w:r w:rsidRPr="00AA5065">
        <w:rPr>
          <w:rFonts w:ascii="David" w:eastAsia="Calibri" w:hAnsi="David"/>
          <w:rtl/>
        </w:rPr>
        <w:t xml:space="preserve"> </w:t>
      </w:r>
      <w:r w:rsidRPr="00AA5065">
        <w:rPr>
          <w:rFonts w:ascii="David" w:eastAsia="Calibri" w:hAnsi="David" w:hint="eastAsia"/>
          <w:rtl/>
        </w:rPr>
        <w:t>המקומיות</w:t>
      </w:r>
      <w:r w:rsidRPr="00AA5065">
        <w:rPr>
          <w:rFonts w:ascii="David" w:eastAsia="Calibri" w:hAnsi="David" w:hint="cs"/>
          <w:rtl/>
        </w:rPr>
        <w:t>"</w:t>
      </w:r>
      <w:r w:rsidRPr="00AA5065">
        <w:rPr>
          <w:rFonts w:ascii="David" w:eastAsia="Calibri" w:hAnsi="David"/>
          <w:rtl/>
        </w:rPr>
        <w:t>.</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szCs w:val="2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נציגי משרד מבקר המדינה ערכו באוגוסט 2024 סיור באזור תל שבע. בתמונה 2 שלהלן מוצגת פסולת מעורבת שהושלכה בצורה בלתי מוסדרת.</w:t>
      </w:r>
    </w:p>
    <w:p w:rsidR="00AA5065" w:rsidRPr="00AA5065" w:rsidP="00860D89">
      <w:pPr>
        <w:spacing w:line="269" w:lineRule="auto"/>
        <w:ind w:left="-567"/>
        <w:rPr>
          <w:rFonts w:eastAsia="Calibri"/>
          <w:szCs w:val="20"/>
          <w:rtl/>
        </w:rPr>
      </w:pPr>
    </w:p>
    <w:p w:rsidR="00AA5065" w:rsidRPr="00AA5065" w:rsidP="004E6B4D">
      <w:pPr>
        <w:spacing w:after="120" w:line="269" w:lineRule="auto"/>
        <w:ind w:left="-1"/>
        <w:jc w:val="center"/>
        <w:rPr>
          <w:rFonts w:eastAsia="Calibri"/>
          <w:b/>
          <w:bCs/>
          <w:sz w:val="24"/>
          <w:rtl/>
        </w:rPr>
      </w:pPr>
      <w:bookmarkStart w:id="52" w:name="_Hlk175061955"/>
      <w:r w:rsidRPr="00AA5065">
        <w:rPr>
          <w:rFonts w:eastAsia="Calibri" w:hint="cs"/>
          <w:sz w:val="24"/>
          <w:rtl/>
        </w:rPr>
        <w:t>תמונה 2:</w:t>
      </w:r>
      <w:r w:rsidRPr="00AA5065">
        <w:rPr>
          <w:rFonts w:eastAsia="Calibri" w:hint="cs"/>
          <w:b/>
          <w:bCs/>
          <w:sz w:val="24"/>
          <w:rtl/>
        </w:rPr>
        <w:t xml:space="preserve"> פסולת מעורבת </w:t>
      </w:r>
      <w:r w:rsidRPr="00AA5065">
        <w:rPr>
          <w:rFonts w:eastAsia="Calibri"/>
          <w:b/>
          <w:bCs/>
          <w:sz w:val="24"/>
          <w:rtl/>
        </w:rPr>
        <w:t>שהושלכה בצורה בלתי מוסדרת</w:t>
      </w:r>
      <w:r w:rsidRPr="00AA5065">
        <w:rPr>
          <w:rFonts w:eastAsia="Calibri" w:hint="cs"/>
          <w:b/>
          <w:bCs/>
          <w:sz w:val="24"/>
          <w:rtl/>
        </w:rPr>
        <w:t xml:space="preserve"> באזור תל שבע, אוגוסט 2024</w:t>
      </w:r>
    </w:p>
    <w:bookmarkEnd w:id="52"/>
    <w:p w:rsidR="00AA5065" w:rsidRPr="00AA5065" w:rsidP="00860D89">
      <w:pPr>
        <w:spacing w:line="269" w:lineRule="auto"/>
        <w:jc w:val="center"/>
        <w:rPr>
          <w:rFonts w:eastAsia="Calibri"/>
          <w:rtl/>
        </w:rPr>
      </w:pPr>
      <w:r w:rsidRPr="00AA5065">
        <w:rPr>
          <w:rFonts w:eastAsia="Calibri"/>
          <w:noProof/>
        </w:rPr>
        <w:drawing>
          <wp:inline distT="0" distB="0" distL="0" distR="0">
            <wp:extent cx="5219700" cy="3916733"/>
            <wp:effectExtent l="0" t="0" r="0" b="7620"/>
            <wp:docPr id="26" name="תמונה 26"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4"/>
                    <pic:cNvPicPr>
                      <a:picLocks noChangeAspect="1" noChangeArrowheads="1"/>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219700" cy="3916733"/>
                    </a:xfrm>
                    <a:prstGeom prst="rect">
                      <a:avLst/>
                    </a:prstGeom>
                    <a:noFill/>
                    <a:ln>
                      <a:noFill/>
                    </a:ln>
                  </pic:spPr>
                </pic:pic>
              </a:graphicData>
            </a:graphic>
          </wp:inline>
        </w:drawing>
      </w:r>
    </w:p>
    <w:p w:rsidR="00AA5065" w:rsidRPr="00AA5065" w:rsidP="004E6B4D">
      <w:pPr>
        <w:spacing w:before="120" w:line="269" w:lineRule="auto"/>
        <w:rPr>
          <w:rFonts w:eastAsia="Calibri"/>
          <w:sz w:val="16"/>
          <w:szCs w:val="20"/>
          <w:rtl/>
        </w:rPr>
      </w:pPr>
      <w:bookmarkStart w:id="53" w:name="_Hlk189484539"/>
      <w:r w:rsidRPr="00AA5065">
        <w:rPr>
          <w:rFonts w:eastAsia="Calibri" w:hint="eastAsia"/>
          <w:sz w:val="16"/>
          <w:szCs w:val="20"/>
          <w:rtl/>
        </w:rPr>
        <w:t>צולם</w:t>
      </w:r>
      <w:r w:rsidRPr="00AA5065">
        <w:rPr>
          <w:rFonts w:eastAsia="Calibri"/>
          <w:sz w:val="16"/>
          <w:szCs w:val="20"/>
          <w:rtl/>
        </w:rPr>
        <w:t xml:space="preserve"> </w:t>
      </w:r>
      <w:r w:rsidRPr="00AA5065">
        <w:rPr>
          <w:rFonts w:eastAsia="Calibri" w:hint="eastAsia"/>
          <w:sz w:val="16"/>
          <w:szCs w:val="20"/>
          <w:rtl/>
        </w:rPr>
        <w:t>על</w:t>
      </w:r>
      <w:r w:rsidRPr="00AA5065">
        <w:rPr>
          <w:rFonts w:eastAsia="Calibri"/>
          <w:sz w:val="16"/>
          <w:szCs w:val="20"/>
          <w:rtl/>
        </w:rPr>
        <w:t xml:space="preserve"> </w:t>
      </w:r>
      <w:r w:rsidRPr="00AA5065">
        <w:rPr>
          <w:rFonts w:eastAsia="Calibri" w:hint="eastAsia"/>
          <w:sz w:val="16"/>
          <w:szCs w:val="20"/>
          <w:rtl/>
        </w:rPr>
        <w:t>ידי</w:t>
      </w:r>
      <w:r w:rsidRPr="00AA5065">
        <w:rPr>
          <w:rFonts w:eastAsia="Calibri"/>
          <w:sz w:val="16"/>
          <w:szCs w:val="20"/>
          <w:rtl/>
        </w:rPr>
        <w:t xml:space="preserve"> </w:t>
      </w:r>
      <w:r w:rsidRPr="00AA5065">
        <w:rPr>
          <w:rFonts w:eastAsia="Calibri" w:hint="cs"/>
          <w:sz w:val="16"/>
          <w:szCs w:val="20"/>
          <w:rtl/>
        </w:rPr>
        <w:t>צוות הביקורת</w:t>
      </w:r>
      <w:r w:rsidRPr="00AA5065">
        <w:rPr>
          <w:rFonts w:eastAsia="Calibri"/>
          <w:sz w:val="16"/>
          <w:szCs w:val="20"/>
          <w:rtl/>
        </w:rPr>
        <w:t xml:space="preserve"> </w:t>
      </w:r>
      <w:r w:rsidRPr="00AA5065">
        <w:rPr>
          <w:rFonts w:eastAsia="Calibri" w:hint="eastAsia"/>
          <w:sz w:val="16"/>
          <w:szCs w:val="20"/>
          <w:rtl/>
        </w:rPr>
        <w:t>ב</w:t>
      </w:r>
      <w:r w:rsidRPr="00AA5065">
        <w:rPr>
          <w:rFonts w:eastAsia="Calibri" w:hint="cs"/>
          <w:sz w:val="16"/>
          <w:szCs w:val="20"/>
          <w:rtl/>
        </w:rPr>
        <w:t>אוגוסט</w:t>
      </w:r>
      <w:r w:rsidRPr="00AA5065">
        <w:rPr>
          <w:rFonts w:eastAsia="Calibri"/>
          <w:sz w:val="16"/>
          <w:szCs w:val="20"/>
          <w:rtl/>
        </w:rPr>
        <w:t xml:space="preserve"> 202</w:t>
      </w:r>
      <w:r w:rsidRPr="00AA5065">
        <w:rPr>
          <w:rFonts w:eastAsia="Calibri" w:hint="cs"/>
          <w:sz w:val="16"/>
          <w:szCs w:val="20"/>
          <w:rtl/>
        </w:rPr>
        <w:t>4</w:t>
      </w:r>
      <w:r w:rsidRPr="00AA5065">
        <w:rPr>
          <w:rFonts w:eastAsia="Calibri"/>
          <w:sz w:val="16"/>
          <w:szCs w:val="20"/>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מלבד</w:t>
      </w:r>
      <w:r w:rsidRPr="00AA5065">
        <w:rPr>
          <w:rFonts w:eastAsia="Calibri"/>
          <w:rtl/>
        </w:rPr>
        <w:t xml:space="preserve"> </w:t>
      </w:r>
      <w:r w:rsidRPr="00AA5065">
        <w:rPr>
          <w:rFonts w:eastAsia="Calibri" w:hint="eastAsia"/>
          <w:rtl/>
        </w:rPr>
        <w:t>הה</w:t>
      </w:r>
      <w:r w:rsidRPr="00AA5065">
        <w:rPr>
          <w:rFonts w:eastAsia="Calibri" w:hint="cs"/>
          <w:rtl/>
        </w:rPr>
        <w:t>שפעות</w:t>
      </w:r>
      <w:r w:rsidRPr="00AA5065">
        <w:rPr>
          <w:rFonts w:eastAsia="Calibri"/>
          <w:rtl/>
        </w:rPr>
        <w:t xml:space="preserve"> </w:t>
      </w:r>
      <w:r w:rsidRPr="00AA5065">
        <w:rPr>
          <w:rFonts w:eastAsia="Calibri" w:hint="eastAsia"/>
          <w:rtl/>
        </w:rPr>
        <w:t>התברואתיות</w:t>
      </w:r>
      <w:r w:rsidRPr="00AA5065">
        <w:rPr>
          <w:rFonts w:eastAsia="Calibri"/>
          <w:rtl/>
        </w:rPr>
        <w:t xml:space="preserve"> </w:t>
      </w:r>
      <w:r w:rsidRPr="00AA5065">
        <w:rPr>
          <w:rFonts w:eastAsia="Calibri" w:hint="eastAsia"/>
          <w:rtl/>
        </w:rPr>
        <w:t>והסביבתיות</w:t>
      </w:r>
      <w:r w:rsidRPr="00AA5065">
        <w:rPr>
          <w:rFonts w:eastAsia="Calibri"/>
          <w:rtl/>
        </w:rPr>
        <w:t xml:space="preserve"> </w:t>
      </w:r>
      <w:r w:rsidRPr="00AA5065">
        <w:rPr>
          <w:rFonts w:eastAsia="Calibri" w:hint="eastAsia"/>
          <w:rtl/>
        </w:rPr>
        <w:t>הקשות</w:t>
      </w:r>
      <w:r w:rsidRPr="00AA5065">
        <w:rPr>
          <w:rFonts w:eastAsia="Calibri"/>
          <w:rtl/>
        </w:rPr>
        <w:t xml:space="preserve"> </w:t>
      </w:r>
      <w:r w:rsidRPr="00AA5065">
        <w:rPr>
          <w:rFonts w:eastAsia="Calibri" w:hint="eastAsia"/>
          <w:rtl/>
        </w:rPr>
        <w:t>הנובעות</w:t>
      </w:r>
      <w:r w:rsidRPr="00AA5065">
        <w:rPr>
          <w:rFonts w:eastAsia="Calibri"/>
          <w:rtl/>
        </w:rPr>
        <w:t xml:space="preserve"> </w:t>
      </w:r>
      <w:r w:rsidRPr="00AA5065">
        <w:rPr>
          <w:rFonts w:eastAsia="Calibri" w:hint="eastAsia"/>
          <w:rtl/>
        </w:rPr>
        <w:t>מתופעת</w:t>
      </w:r>
      <w:r w:rsidRPr="00AA5065">
        <w:rPr>
          <w:rFonts w:eastAsia="Calibri"/>
          <w:rtl/>
        </w:rPr>
        <w:t xml:space="preserve"> </w:t>
      </w:r>
      <w:r w:rsidRPr="00AA5065">
        <w:rPr>
          <w:rFonts w:eastAsia="Calibri" w:hint="eastAsia"/>
          <w:rtl/>
        </w:rPr>
        <w:t>השלכ</w:t>
      </w:r>
      <w:r w:rsidRPr="00AA5065">
        <w:rPr>
          <w:rFonts w:eastAsia="Calibri" w:hint="cs"/>
          <w:rtl/>
        </w:rPr>
        <w:t>ה</w:t>
      </w:r>
      <w:r w:rsidRPr="00AA5065">
        <w:rPr>
          <w:rFonts w:eastAsia="Calibri"/>
          <w:rtl/>
        </w:rPr>
        <w:t xml:space="preserve"> </w:t>
      </w:r>
      <w:r w:rsidRPr="00AA5065">
        <w:rPr>
          <w:rFonts w:eastAsia="Calibri" w:hint="cs"/>
          <w:rtl/>
        </w:rPr>
        <w:t>בלתי מוסדרת של</w:t>
      </w:r>
      <w:r w:rsidRPr="00AA5065">
        <w:rPr>
          <w:rFonts w:eastAsia="Calibri" w:hint="eastAsia"/>
          <w:rtl/>
        </w:rPr>
        <w:t>פסולת</w:t>
      </w:r>
      <w:r w:rsidRPr="00AA5065">
        <w:rPr>
          <w:rFonts w:eastAsia="Calibri" w:hint="cs"/>
          <w:rtl/>
        </w:rPr>
        <w:t>,</w:t>
      </w:r>
      <w:r w:rsidRPr="00AA5065">
        <w:rPr>
          <w:rFonts w:eastAsia="Calibri"/>
          <w:rtl/>
        </w:rPr>
        <w:t xml:space="preserve"> </w:t>
      </w:r>
      <w:r w:rsidRPr="00AA5065">
        <w:rPr>
          <w:rFonts w:eastAsia="Calibri" w:hint="cs"/>
          <w:rtl/>
        </w:rPr>
        <w:t xml:space="preserve">היא עלולה לגרום </w:t>
      </w:r>
      <w:r w:rsidRPr="00AA5065">
        <w:rPr>
          <w:rFonts w:eastAsia="Calibri" w:hint="eastAsia"/>
          <w:rtl/>
        </w:rPr>
        <w:t>גם</w:t>
      </w:r>
      <w:r w:rsidRPr="00AA5065">
        <w:rPr>
          <w:rFonts w:eastAsia="Calibri"/>
          <w:rtl/>
        </w:rPr>
        <w:t xml:space="preserve"> </w:t>
      </w:r>
      <w:r w:rsidRPr="00AA5065">
        <w:rPr>
          <w:rFonts w:eastAsia="Calibri" w:hint="eastAsia"/>
          <w:rtl/>
        </w:rPr>
        <w:t>סכנות</w:t>
      </w:r>
      <w:r w:rsidRPr="00AA5065">
        <w:rPr>
          <w:rFonts w:eastAsia="Calibri"/>
          <w:rtl/>
        </w:rPr>
        <w:t xml:space="preserve"> </w:t>
      </w:r>
      <w:r w:rsidRPr="00AA5065">
        <w:rPr>
          <w:rFonts w:eastAsia="Calibri" w:hint="eastAsia"/>
          <w:rtl/>
        </w:rPr>
        <w:t>משמעותיות</w:t>
      </w:r>
      <w:r w:rsidRPr="00AA5065">
        <w:rPr>
          <w:rFonts w:eastAsia="Calibri"/>
          <w:rtl/>
        </w:rPr>
        <w:t xml:space="preserve"> </w:t>
      </w:r>
      <w:r w:rsidRPr="00AA5065">
        <w:rPr>
          <w:rFonts w:eastAsia="Calibri" w:hint="eastAsia"/>
          <w:rtl/>
        </w:rPr>
        <w:t>לחיי</w:t>
      </w:r>
      <w:r w:rsidRPr="00AA5065">
        <w:rPr>
          <w:rFonts w:eastAsia="Calibri"/>
          <w:rtl/>
        </w:rPr>
        <w:t xml:space="preserve"> </w:t>
      </w:r>
      <w:r w:rsidRPr="00AA5065">
        <w:rPr>
          <w:rFonts w:eastAsia="Calibri" w:hint="eastAsia"/>
          <w:rtl/>
        </w:rPr>
        <w:t>אדם</w:t>
      </w:r>
      <w:r>
        <w:rPr>
          <w:rFonts w:eastAsia="Calibri"/>
          <w:vertAlign w:val="superscript"/>
          <w:rtl/>
        </w:rPr>
        <w:footnoteReference w:id="59"/>
      </w:r>
      <w:r w:rsidRPr="00AA5065">
        <w:rPr>
          <w:rFonts w:eastAsia="Calibri" w:hint="cs"/>
          <w:rtl/>
        </w:rPr>
        <w:t>.</w:t>
      </w:r>
    </w:p>
    <w:bookmarkEnd w:id="53"/>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גם </w:t>
      </w:r>
      <w:r w:rsidRPr="00AA5065">
        <w:rPr>
          <w:rFonts w:eastAsia="Calibri" w:hint="eastAsia"/>
          <w:rtl/>
        </w:rPr>
        <w:t>המשרד</w:t>
      </w:r>
      <w:r w:rsidRPr="00AA5065">
        <w:rPr>
          <w:rFonts w:eastAsia="Calibri"/>
          <w:rtl/>
        </w:rPr>
        <w:t xml:space="preserve"> </w:t>
      </w:r>
      <w:r w:rsidRPr="00AA5065">
        <w:rPr>
          <w:rFonts w:eastAsia="Calibri" w:hint="eastAsia"/>
          <w:rtl/>
        </w:rPr>
        <w:t>להג</w:t>
      </w:r>
      <w:r w:rsidRPr="00AA5065">
        <w:rPr>
          <w:rFonts w:eastAsia="Calibri" w:hint="cs"/>
          <w:rtl/>
        </w:rPr>
        <w:t>"ס</w:t>
      </w:r>
      <w:r w:rsidRPr="00AA5065">
        <w:rPr>
          <w:rFonts w:eastAsia="Calibri"/>
          <w:rtl/>
        </w:rPr>
        <w:t xml:space="preserve"> </w:t>
      </w:r>
      <w:r w:rsidRPr="00AA5065">
        <w:rPr>
          <w:rFonts w:eastAsia="Calibri" w:hint="eastAsia"/>
          <w:rtl/>
        </w:rPr>
        <w:t>נתקל</w:t>
      </w:r>
      <w:r w:rsidRPr="00AA5065">
        <w:rPr>
          <w:rFonts w:eastAsia="Calibri"/>
          <w:rtl/>
        </w:rPr>
        <w:t xml:space="preserve"> </w:t>
      </w:r>
      <w:r w:rsidRPr="00AA5065">
        <w:rPr>
          <w:rFonts w:eastAsia="Calibri" w:hint="eastAsia"/>
          <w:rtl/>
        </w:rPr>
        <w:t>בתופעה</w:t>
      </w:r>
      <w:r w:rsidRPr="00AA5065">
        <w:rPr>
          <w:rFonts w:eastAsia="Calibri"/>
          <w:rtl/>
        </w:rPr>
        <w:t xml:space="preserve"> </w:t>
      </w:r>
      <w:r w:rsidRPr="00AA5065">
        <w:rPr>
          <w:rFonts w:eastAsia="Calibri" w:hint="cs"/>
          <w:rtl/>
        </w:rPr>
        <w:t>של השלכה בלתי מוסדרת של פסולת</w:t>
      </w:r>
      <w:r w:rsidRPr="00AA5065">
        <w:rPr>
          <w:rFonts w:eastAsia="Calibri"/>
          <w:rtl/>
        </w:rPr>
        <w:t xml:space="preserve"> </w:t>
      </w:r>
      <w:r w:rsidRPr="00AA5065">
        <w:rPr>
          <w:rFonts w:eastAsia="Calibri" w:hint="eastAsia"/>
          <w:rtl/>
        </w:rPr>
        <w:t>במסגרת</w:t>
      </w:r>
      <w:r w:rsidRPr="00AA5065">
        <w:rPr>
          <w:rFonts w:eastAsia="Calibri"/>
          <w:rtl/>
        </w:rPr>
        <w:t xml:space="preserve"> </w:t>
      </w:r>
      <w:r w:rsidRPr="00AA5065">
        <w:rPr>
          <w:rFonts w:eastAsia="Calibri" w:hint="eastAsia"/>
          <w:rtl/>
        </w:rPr>
        <w:t>סיורי</w:t>
      </w:r>
      <w:r w:rsidRPr="00AA5065">
        <w:rPr>
          <w:rFonts w:eastAsia="Calibri"/>
          <w:rtl/>
        </w:rPr>
        <w:t xml:space="preserve"> </w:t>
      </w:r>
      <w:r w:rsidRPr="00AA5065">
        <w:rPr>
          <w:rFonts w:eastAsia="Calibri" w:hint="eastAsia"/>
          <w:rtl/>
        </w:rPr>
        <w:t>הפיקוח</w:t>
      </w:r>
      <w:r w:rsidRPr="00AA5065">
        <w:rPr>
          <w:rFonts w:eastAsia="Calibri"/>
          <w:rtl/>
        </w:rPr>
        <w:t xml:space="preserve"> </w:t>
      </w:r>
      <w:r w:rsidRPr="00AA5065">
        <w:rPr>
          <w:rFonts w:eastAsia="Calibri" w:hint="cs"/>
          <w:rtl/>
        </w:rPr>
        <w:t>שערך</w:t>
      </w:r>
      <w:r w:rsidRPr="00AA5065">
        <w:rPr>
          <w:rFonts w:eastAsia="Calibri"/>
          <w:rtl/>
        </w:rPr>
        <w:t xml:space="preserve">. </w:t>
      </w:r>
      <w:r w:rsidRPr="00AA5065">
        <w:rPr>
          <w:rFonts w:eastAsia="Calibri" w:hint="eastAsia"/>
          <w:rtl/>
        </w:rPr>
        <w:t>לדוגמה</w:t>
      </w:r>
      <w:r w:rsidRPr="00AA5065">
        <w:rPr>
          <w:rFonts w:eastAsia="Calibri" w:hint="cs"/>
          <w:rtl/>
        </w:rPr>
        <w:t>,</w:t>
      </w:r>
      <w:r w:rsidRPr="00AA5065">
        <w:rPr>
          <w:rFonts w:eastAsia="Calibri"/>
          <w:rtl/>
        </w:rPr>
        <w:t xml:space="preserve"> </w:t>
      </w:r>
      <w:r w:rsidRPr="00AA5065">
        <w:rPr>
          <w:rFonts w:eastAsia="Calibri" w:hint="eastAsia"/>
          <w:rtl/>
        </w:rPr>
        <w:t>בדוח</w:t>
      </w:r>
      <w:r w:rsidRPr="00AA5065">
        <w:rPr>
          <w:rFonts w:eastAsia="Calibri"/>
          <w:rtl/>
        </w:rPr>
        <w:t xml:space="preserve"> </w:t>
      </w:r>
      <w:r w:rsidRPr="00AA5065">
        <w:rPr>
          <w:rFonts w:eastAsia="Calibri" w:hint="eastAsia"/>
          <w:rtl/>
        </w:rPr>
        <w:t>סיור</w:t>
      </w:r>
      <w:r w:rsidRPr="00AA5065">
        <w:rPr>
          <w:rFonts w:eastAsia="Calibri"/>
          <w:rtl/>
        </w:rPr>
        <w:t xml:space="preserve"> מיום </w:t>
      </w:r>
      <w:r w:rsidRPr="00AA5065">
        <w:rPr>
          <w:rFonts w:eastAsia="Calibri" w:hint="cs"/>
          <w:rtl/>
        </w:rPr>
        <w:t>1</w:t>
      </w:r>
      <w:r w:rsidRPr="00AA5065">
        <w:rPr>
          <w:rFonts w:eastAsia="Calibri"/>
          <w:rtl/>
        </w:rPr>
        <w:t>.</w:t>
      </w:r>
      <w:r w:rsidRPr="00AA5065">
        <w:rPr>
          <w:rFonts w:eastAsia="Calibri" w:hint="cs"/>
          <w:rtl/>
        </w:rPr>
        <w:t>3</w:t>
      </w:r>
      <w:r w:rsidRPr="00AA5065">
        <w:rPr>
          <w:rFonts w:eastAsia="Calibri"/>
          <w:rtl/>
        </w:rPr>
        <w:t>.</w:t>
      </w:r>
      <w:r w:rsidRPr="00AA5065">
        <w:rPr>
          <w:rFonts w:eastAsia="Calibri" w:hint="cs"/>
          <w:rtl/>
        </w:rPr>
        <w:t>23</w:t>
      </w:r>
      <w:r w:rsidRPr="00AA5065">
        <w:rPr>
          <w:rFonts w:eastAsia="Calibri"/>
          <w:rtl/>
        </w:rPr>
        <w:t xml:space="preserve"> ששלח </w:t>
      </w:r>
      <w:r w:rsidRPr="00AA5065">
        <w:rPr>
          <w:rFonts w:eastAsia="Calibri" w:hint="eastAsia"/>
          <w:rtl/>
        </w:rPr>
        <w:t>מחוז</w:t>
      </w:r>
      <w:r w:rsidRPr="00AA5065">
        <w:rPr>
          <w:rFonts w:eastAsia="Calibri"/>
          <w:rtl/>
        </w:rPr>
        <w:t xml:space="preserve"> </w:t>
      </w:r>
      <w:r w:rsidRPr="00AA5065">
        <w:rPr>
          <w:rFonts w:eastAsia="Calibri" w:hint="eastAsia"/>
          <w:rtl/>
        </w:rPr>
        <w:t>דרום</w:t>
      </w:r>
      <w:r w:rsidRPr="00AA5065">
        <w:rPr>
          <w:rFonts w:eastAsia="Calibri"/>
          <w:rtl/>
        </w:rPr>
        <w:t xml:space="preserve"> </w:t>
      </w:r>
      <w:r w:rsidRPr="00AA5065">
        <w:rPr>
          <w:rFonts w:eastAsia="Calibri" w:hint="cs"/>
          <w:rtl/>
        </w:rPr>
        <w:t xml:space="preserve">למנהלת מחלקת התברואה של המועצה המקומית כסיפה </w:t>
      </w:r>
      <w:r w:rsidRPr="00AA5065">
        <w:rPr>
          <w:rFonts w:eastAsia="Calibri" w:hint="eastAsia"/>
          <w:rtl/>
        </w:rPr>
        <w:t>נכתב</w:t>
      </w:r>
      <w:r w:rsidRPr="00AA5065">
        <w:rPr>
          <w:rFonts w:eastAsia="Calibri"/>
          <w:rtl/>
        </w:rPr>
        <w:t xml:space="preserve">, </w:t>
      </w:r>
      <w:r w:rsidRPr="00AA5065">
        <w:rPr>
          <w:rFonts w:eastAsia="Calibri" w:hint="eastAsia"/>
          <w:rtl/>
        </w:rPr>
        <w:t>בין</w:t>
      </w:r>
      <w:r w:rsidRPr="00AA5065">
        <w:rPr>
          <w:rFonts w:eastAsia="Calibri"/>
          <w:rtl/>
        </w:rPr>
        <w:t xml:space="preserve"> </w:t>
      </w:r>
      <w:r w:rsidRPr="00AA5065">
        <w:rPr>
          <w:rFonts w:eastAsia="Calibri" w:hint="eastAsia"/>
          <w:rtl/>
        </w:rPr>
        <w:t>השאר</w:t>
      </w:r>
      <w:r w:rsidRPr="00AA5065">
        <w:rPr>
          <w:rFonts w:eastAsia="Calibri"/>
          <w:rtl/>
        </w:rPr>
        <w:t xml:space="preserve">, </w:t>
      </w:r>
      <w:r w:rsidRPr="00AA5065">
        <w:rPr>
          <w:rFonts w:eastAsia="Calibri" w:hint="eastAsia"/>
          <w:rtl/>
        </w:rPr>
        <w:t>כי</w:t>
      </w:r>
      <w:r w:rsidRPr="00AA5065">
        <w:rPr>
          <w:rFonts w:eastAsia="Calibri"/>
          <w:rtl/>
        </w:rPr>
        <w:t xml:space="preserve"> "</w:t>
      </w:r>
      <w:r w:rsidRPr="00AA5065">
        <w:rPr>
          <w:rFonts w:eastAsia="Calibri" w:hint="cs"/>
          <w:rtl/>
        </w:rPr>
        <w:t>ממצאי הסיור מצביעים על כך שבאתר מושלכת פסולת יבשה לרבות פסולת בניין, פלסטיק, ברזל, גזם יבש ועוד. שני המפגעים בשכונה 30 ושכונה 31 הינם אתרים המשמשים לסילוק פסולת, אתרים בלתי חוקיים לסילוק פסולת כהגדרתם בתקנות מניעת מפגעים...</w:t>
      </w:r>
      <w:r w:rsidRPr="00AA5065">
        <w:rPr>
          <w:rFonts w:eastAsia="Calibri"/>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בתמונה 3 שלהלן מוצג מפגע הפסולת בשכונה 31 בכסיפה.</w:t>
      </w:r>
    </w:p>
    <w:p w:rsidR="00AA5065" w:rsidRPr="00AA5065" w:rsidP="00860D89">
      <w:pPr>
        <w:spacing w:line="269" w:lineRule="auto"/>
        <w:ind w:left="-567"/>
        <w:rPr>
          <w:rFonts w:eastAsia="Calibri"/>
          <w:szCs w:val="20"/>
          <w:rtl/>
        </w:rPr>
      </w:pPr>
    </w:p>
    <w:p w:rsidR="00AA5065" w:rsidRPr="00AA5065" w:rsidP="004E6B4D">
      <w:pPr>
        <w:spacing w:after="120" w:line="269" w:lineRule="auto"/>
        <w:ind w:left="454"/>
        <w:jc w:val="center"/>
        <w:rPr>
          <w:rFonts w:eastAsia="Calibri"/>
          <w:b/>
          <w:bCs/>
          <w:sz w:val="24"/>
          <w:rtl/>
        </w:rPr>
      </w:pPr>
      <w:bookmarkStart w:id="54" w:name="_Hlk205373247"/>
      <w:r w:rsidRPr="00AA5065">
        <w:rPr>
          <w:rFonts w:eastAsia="Calibri" w:hint="cs"/>
          <w:sz w:val="24"/>
          <w:rtl/>
        </w:rPr>
        <w:t>תמונה 3:</w:t>
      </w:r>
      <w:r w:rsidRPr="00AA5065">
        <w:rPr>
          <w:rFonts w:eastAsia="Calibri" w:hint="cs"/>
          <w:b/>
          <w:bCs/>
          <w:sz w:val="24"/>
          <w:rtl/>
        </w:rPr>
        <w:t xml:space="preserve"> מפגע הפסולת בשכונה 31 בכסיפה, 1.3.23</w:t>
      </w:r>
    </w:p>
    <w:bookmarkEnd w:id="54"/>
    <w:p w:rsidR="00AA5065" w:rsidRPr="00AA5065" w:rsidP="00860D89">
      <w:pPr>
        <w:spacing w:line="269" w:lineRule="auto"/>
        <w:jc w:val="center"/>
        <w:rPr>
          <w:rFonts w:eastAsia="Calibri"/>
          <w:b/>
          <w:bCs/>
          <w:rtl/>
        </w:rPr>
      </w:pPr>
      <w:r w:rsidRPr="00AA5065">
        <w:rPr>
          <w:rFonts w:eastAsia="Calibri"/>
          <w:b/>
          <w:bCs/>
          <w:noProof/>
          <w:rtl/>
        </w:rPr>
        <w:drawing>
          <wp:inline distT="0" distB="0" distL="0" distR="0">
            <wp:extent cx="5219700" cy="2353173"/>
            <wp:effectExtent l="0" t="0" r="0" b="9525"/>
            <wp:docPr id="20" name="תמונה 20" descr="אשפה מושלכת בצידי הדרך בכסיפ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4"/>
                    <pic:cNvPicPr>
                      <a:picLocks noChangeAspect="1" noChangeArrowheads="1"/>
                    </pic:cNvPicPr>
                  </pic:nvPicPr>
                  <pic:blipFill>
                    <a:blip xmlns:r="http://schemas.openxmlformats.org/officeDocument/2006/relationships" r:embed="rId19">
                      <a:extLst>
                        <a:ext xmlns:a="http://schemas.openxmlformats.org/drawingml/2006/main" uri="{28A0092B-C50C-407E-A947-70E740481C1C}">
                          <a14:useLocalDpi xmlns:a14="http://schemas.microsoft.com/office/drawing/2010/main" val="0"/>
                        </a:ext>
                      </a:extLst>
                    </a:blip>
                    <a:stretch>
                      <a:fillRect/>
                    </a:stretch>
                  </pic:blipFill>
                  <pic:spPr bwMode="auto">
                    <a:xfrm>
                      <a:off x="0" y="0"/>
                      <a:ext cx="5219700" cy="2353173"/>
                    </a:xfrm>
                    <a:prstGeom prst="rect">
                      <a:avLst/>
                    </a:prstGeom>
                    <a:noFill/>
                    <a:ln>
                      <a:noFill/>
                    </a:ln>
                  </pic:spPr>
                </pic:pic>
              </a:graphicData>
            </a:graphic>
          </wp:inline>
        </w:drawing>
      </w:r>
    </w:p>
    <w:p w:rsidR="00AA5065" w:rsidRPr="00AA5065" w:rsidP="004E6B4D">
      <w:pPr>
        <w:spacing w:before="120" w:line="269" w:lineRule="auto"/>
        <w:rPr>
          <w:rFonts w:eastAsia="Calibri"/>
          <w:b/>
          <w:bCs/>
          <w:rtl/>
        </w:rPr>
      </w:pPr>
      <w:r w:rsidRPr="00AA5065">
        <w:rPr>
          <w:rFonts w:eastAsia="Calibri" w:hint="cs"/>
          <w:sz w:val="16"/>
          <w:szCs w:val="20"/>
          <w:rtl/>
        </w:rPr>
        <w:t>המקור: המשרד להג"ס.</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ה</w:t>
      </w:r>
      <w:r w:rsidRPr="00AA5065">
        <w:rPr>
          <w:rFonts w:eastAsia="Calibri" w:hint="eastAsia"/>
          <w:rtl/>
        </w:rPr>
        <w:t>מועצה</w:t>
      </w:r>
      <w:r w:rsidRPr="00AA5065">
        <w:rPr>
          <w:rFonts w:eastAsia="Calibri"/>
          <w:rtl/>
        </w:rPr>
        <w:t xml:space="preserve"> </w:t>
      </w:r>
      <w:r w:rsidRPr="00AA5065">
        <w:rPr>
          <w:rFonts w:eastAsia="Calibri" w:hint="cs"/>
          <w:rtl/>
        </w:rPr>
        <w:t>ה</w:t>
      </w:r>
      <w:r w:rsidRPr="00AA5065">
        <w:rPr>
          <w:rFonts w:eastAsia="Calibri"/>
          <w:rtl/>
        </w:rPr>
        <w:t xml:space="preserve">מקומית כסיפה מסרה בתשובתה מיום 30.10.25 </w:t>
      </w:r>
      <w:r w:rsidRPr="00AA5065">
        <w:rPr>
          <w:rFonts w:eastAsia="Calibri" w:hint="cs"/>
          <w:rtl/>
        </w:rPr>
        <w:t xml:space="preserve">(להלן - תשובת המועצה המקומית כסיפה) </w:t>
      </w:r>
      <w:r w:rsidRPr="00AA5065">
        <w:rPr>
          <w:rFonts w:eastAsia="Calibri" w:hint="eastAsia"/>
          <w:rtl/>
        </w:rPr>
        <w:t>כי</w:t>
      </w:r>
      <w:r w:rsidRPr="00AA5065">
        <w:rPr>
          <w:rFonts w:eastAsia="Calibri"/>
          <w:rtl/>
        </w:rPr>
        <w:t xml:space="preserve"> </w:t>
      </w:r>
      <w:r w:rsidRPr="00AA5065">
        <w:rPr>
          <w:rFonts w:eastAsia="Calibri" w:hint="cs"/>
          <w:rtl/>
        </w:rPr>
        <w:t xml:space="preserve">מפגע הפסולת שהוצג בדוח פונה.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מדוחות </w:t>
      </w:r>
      <w:r w:rsidRPr="00AA5065">
        <w:rPr>
          <w:rFonts w:eastAsia="Calibri" w:hint="eastAsia"/>
          <w:rtl/>
        </w:rPr>
        <w:t>סיורי</w:t>
      </w:r>
      <w:r w:rsidRPr="00AA5065">
        <w:rPr>
          <w:rFonts w:eastAsia="Calibri"/>
          <w:rtl/>
        </w:rPr>
        <w:t xml:space="preserve"> </w:t>
      </w:r>
      <w:r w:rsidRPr="00AA5065">
        <w:rPr>
          <w:rFonts w:eastAsia="Calibri" w:hint="eastAsia"/>
          <w:rtl/>
        </w:rPr>
        <w:t>הפיקוח</w:t>
      </w:r>
      <w:r w:rsidRPr="00AA5065">
        <w:rPr>
          <w:rFonts w:eastAsia="Calibri"/>
          <w:rtl/>
        </w:rPr>
        <w:t xml:space="preserve"> </w:t>
      </w:r>
      <w:r w:rsidRPr="00AA5065">
        <w:rPr>
          <w:rFonts w:eastAsia="Calibri" w:hint="cs"/>
          <w:rtl/>
        </w:rPr>
        <w:t>שערך המשרד להג"ס ניתן ללמוד גם על ההתמודדות שלו עם התופעה החמורה של שריפת פסולת</w:t>
      </w:r>
      <w:r w:rsidRPr="00AA5065">
        <w:rPr>
          <w:rFonts w:eastAsia="Calibri"/>
          <w:rtl/>
        </w:rPr>
        <w:t xml:space="preserve">. </w:t>
      </w:r>
      <w:r w:rsidRPr="00AA5065">
        <w:rPr>
          <w:rFonts w:eastAsia="Calibri" w:hint="eastAsia"/>
          <w:rtl/>
        </w:rPr>
        <w:t>לדוגמה</w:t>
      </w:r>
      <w:r w:rsidRPr="00AA5065">
        <w:rPr>
          <w:rFonts w:eastAsia="Calibri" w:hint="cs"/>
          <w:rtl/>
        </w:rPr>
        <w:t>,</w:t>
      </w:r>
      <w:r w:rsidRPr="00AA5065">
        <w:rPr>
          <w:rFonts w:eastAsia="Calibri"/>
          <w:rtl/>
        </w:rPr>
        <w:t xml:space="preserve"> </w:t>
      </w:r>
      <w:r w:rsidRPr="00AA5065">
        <w:rPr>
          <w:rFonts w:eastAsia="Calibri" w:hint="eastAsia"/>
          <w:rtl/>
        </w:rPr>
        <w:t>בדוח</w:t>
      </w:r>
      <w:r w:rsidRPr="00AA5065">
        <w:rPr>
          <w:rFonts w:eastAsia="Calibri"/>
          <w:rtl/>
        </w:rPr>
        <w:t xml:space="preserve"> </w:t>
      </w:r>
      <w:r w:rsidRPr="00AA5065">
        <w:rPr>
          <w:rFonts w:eastAsia="Calibri" w:hint="eastAsia"/>
          <w:rtl/>
        </w:rPr>
        <w:t>סיור</w:t>
      </w:r>
      <w:r w:rsidRPr="00AA5065">
        <w:rPr>
          <w:rFonts w:eastAsia="Calibri"/>
          <w:rtl/>
        </w:rPr>
        <w:t xml:space="preserve"> מיום </w:t>
      </w:r>
      <w:r w:rsidRPr="00AA5065">
        <w:rPr>
          <w:rFonts w:eastAsia="Calibri" w:hint="cs"/>
          <w:rtl/>
        </w:rPr>
        <w:t>20</w:t>
      </w:r>
      <w:r w:rsidRPr="00AA5065">
        <w:rPr>
          <w:rFonts w:eastAsia="Calibri"/>
          <w:rtl/>
        </w:rPr>
        <w:t>.</w:t>
      </w:r>
      <w:r w:rsidRPr="00AA5065">
        <w:rPr>
          <w:rFonts w:eastAsia="Calibri" w:hint="cs"/>
          <w:rtl/>
        </w:rPr>
        <w:t>3</w:t>
      </w:r>
      <w:r w:rsidRPr="00AA5065">
        <w:rPr>
          <w:rFonts w:eastAsia="Calibri"/>
          <w:rtl/>
        </w:rPr>
        <w:t>.</w:t>
      </w:r>
      <w:r w:rsidRPr="00AA5065">
        <w:rPr>
          <w:rFonts w:eastAsia="Calibri" w:hint="cs"/>
          <w:rtl/>
        </w:rPr>
        <w:t>24</w:t>
      </w:r>
      <w:r w:rsidRPr="00AA5065">
        <w:rPr>
          <w:rFonts w:eastAsia="Calibri"/>
          <w:rtl/>
        </w:rPr>
        <w:t xml:space="preserve"> ששלח </w:t>
      </w:r>
      <w:r w:rsidRPr="00AA5065">
        <w:rPr>
          <w:rFonts w:eastAsia="Calibri" w:hint="eastAsia"/>
          <w:rtl/>
        </w:rPr>
        <w:t>מחוז</w:t>
      </w:r>
      <w:r w:rsidRPr="00AA5065">
        <w:rPr>
          <w:rFonts w:eastAsia="Calibri"/>
          <w:rtl/>
        </w:rPr>
        <w:t xml:space="preserve"> </w:t>
      </w:r>
      <w:r w:rsidRPr="00AA5065">
        <w:rPr>
          <w:rFonts w:eastAsia="Calibri" w:hint="eastAsia"/>
          <w:rtl/>
        </w:rPr>
        <w:t>דרום</w:t>
      </w:r>
      <w:r w:rsidRPr="00AA5065">
        <w:rPr>
          <w:rFonts w:eastAsia="Calibri"/>
          <w:rtl/>
        </w:rPr>
        <w:t xml:space="preserve"> </w:t>
      </w:r>
      <w:r w:rsidRPr="00AA5065">
        <w:rPr>
          <w:rFonts w:eastAsia="Calibri" w:hint="eastAsia"/>
          <w:rtl/>
        </w:rPr>
        <w:t>ל</w:t>
      </w:r>
      <w:r w:rsidRPr="00AA5065">
        <w:rPr>
          <w:rFonts w:eastAsia="Calibri" w:hint="cs"/>
          <w:rtl/>
        </w:rPr>
        <w:t xml:space="preserve">נציגי המשטרה הירוקה </w:t>
      </w:r>
      <w:r w:rsidRPr="00AA5065">
        <w:rPr>
          <w:rFonts w:eastAsia="Calibri" w:hint="eastAsia"/>
          <w:rtl/>
        </w:rPr>
        <w:t>נכתב</w:t>
      </w:r>
      <w:r w:rsidRPr="00AA5065">
        <w:rPr>
          <w:rFonts w:eastAsia="Calibri"/>
          <w:rtl/>
        </w:rPr>
        <w:t xml:space="preserve">, </w:t>
      </w:r>
      <w:r w:rsidRPr="00AA5065">
        <w:rPr>
          <w:rFonts w:eastAsia="Calibri" w:hint="eastAsia"/>
          <w:rtl/>
        </w:rPr>
        <w:t>בין</w:t>
      </w:r>
      <w:r w:rsidRPr="00AA5065">
        <w:rPr>
          <w:rFonts w:eastAsia="Calibri"/>
          <w:rtl/>
        </w:rPr>
        <w:t xml:space="preserve"> </w:t>
      </w:r>
      <w:r w:rsidRPr="00AA5065">
        <w:rPr>
          <w:rFonts w:eastAsia="Calibri" w:hint="eastAsia"/>
          <w:rtl/>
        </w:rPr>
        <w:t>השאר</w:t>
      </w:r>
      <w:r w:rsidRPr="00AA5065">
        <w:rPr>
          <w:rFonts w:eastAsia="Calibri"/>
          <w:rtl/>
        </w:rPr>
        <w:t xml:space="preserve">, </w:t>
      </w:r>
      <w:r w:rsidRPr="00AA5065">
        <w:rPr>
          <w:rFonts w:eastAsia="Calibri" w:hint="eastAsia"/>
          <w:rtl/>
        </w:rPr>
        <w:t>כי</w:t>
      </w:r>
      <w:r w:rsidRPr="00AA5065">
        <w:rPr>
          <w:rFonts w:eastAsia="Calibri"/>
          <w:rtl/>
        </w:rPr>
        <w:t xml:space="preserve"> "</w:t>
      </w:r>
      <w:r w:rsidRPr="00AA5065">
        <w:rPr>
          <w:rFonts w:eastAsia="Calibri" w:hint="cs"/>
          <w:rtl/>
        </w:rPr>
        <w:t>בעקבות המידע שהתקבל במשרד, ערכתי סיור פיקוח ביום 20.3.24 לשטח המפגע, השטח נמצא בין שכונה 5 לנחל חברון... בתחום המועצה המקומית תל שבע... במהלך הסיור נצפו מוקדים רבים של סימני שריפת פסולת ושריפת צמיגים, דבר המצביע על שריפות פסולת לעיתים קרובות באתר</w:t>
      </w:r>
      <w:r w:rsidRPr="00AA5065">
        <w:rPr>
          <w:rFonts w:eastAsia="Calibri"/>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בתמונה 4 שלהלן מוצגים סימני שריפת פסולת באתר שבתחום המועצה המקומית תל שבע.</w:t>
      </w:r>
    </w:p>
    <w:p w:rsidR="00AA5065" w:rsidRPr="00AA5065" w:rsidP="00860D89">
      <w:pPr>
        <w:spacing w:line="269" w:lineRule="auto"/>
        <w:ind w:left="-567"/>
        <w:rPr>
          <w:rFonts w:eastAsia="Calibri"/>
          <w:szCs w:val="20"/>
          <w:rtl/>
        </w:rPr>
      </w:pPr>
    </w:p>
    <w:p w:rsidR="00AA5065" w:rsidRPr="00AA5065" w:rsidP="00F945E7">
      <w:pPr>
        <w:keepNext/>
        <w:keepLines/>
        <w:spacing w:after="120" w:line="269" w:lineRule="auto"/>
        <w:jc w:val="center"/>
        <w:rPr>
          <w:rFonts w:eastAsia="Calibri"/>
          <w:b/>
          <w:bCs/>
          <w:sz w:val="24"/>
          <w:rtl/>
        </w:rPr>
      </w:pPr>
      <w:bookmarkStart w:id="55" w:name="_Hlk205373310"/>
      <w:r w:rsidRPr="00AA5065">
        <w:rPr>
          <w:rFonts w:eastAsia="Calibri" w:hint="cs"/>
          <w:sz w:val="24"/>
          <w:rtl/>
        </w:rPr>
        <w:t>תמונה 4:</w:t>
      </w:r>
      <w:r w:rsidRPr="00AA5065">
        <w:rPr>
          <w:rFonts w:eastAsia="Calibri" w:hint="cs"/>
          <w:b/>
          <w:bCs/>
          <w:sz w:val="24"/>
          <w:rtl/>
        </w:rPr>
        <w:t xml:space="preserve"> סימני שריפת פסולת בין שכונה 5 לנחל חברון, 20.3.24</w:t>
      </w:r>
    </w:p>
    <w:bookmarkEnd w:id="55"/>
    <w:p w:rsidR="00AA5065" w:rsidRPr="00AA5065" w:rsidP="00860D89">
      <w:pPr>
        <w:spacing w:line="269" w:lineRule="auto"/>
        <w:ind w:left="-567"/>
        <w:jc w:val="center"/>
        <w:rPr>
          <w:rFonts w:eastAsia="Calibri"/>
          <w:szCs w:val="20"/>
          <w:rtl/>
        </w:rPr>
      </w:pPr>
      <w:r w:rsidRPr="00AA5065">
        <w:rPr>
          <w:rFonts w:eastAsia="Calibri"/>
          <w:noProof/>
          <w:szCs w:val="20"/>
        </w:rPr>
        <w:drawing>
          <wp:inline distT="0" distB="0" distL="0" distR="0">
            <wp:extent cx="5218430" cy="3401695"/>
            <wp:effectExtent l="0" t="0" r="1270" b="8255"/>
            <wp:docPr id="1" name="תמונה 1"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xmlns:r="http://schemas.openxmlformats.org/officeDocument/2006/relationships" r:embed="rId20">
                      <a:extLst>
                        <a:ext xmlns:a="http://schemas.openxmlformats.org/drawingml/2006/main" uri="{28A0092B-C50C-407E-A947-70E740481C1C}">
                          <a14:useLocalDpi xmlns:a14="http://schemas.microsoft.com/office/drawing/2010/main" val="0"/>
                        </a:ext>
                      </a:extLst>
                    </a:blip>
                    <a:stretch>
                      <a:fillRect/>
                    </a:stretch>
                  </pic:blipFill>
                  <pic:spPr bwMode="auto">
                    <a:xfrm>
                      <a:off x="0" y="0"/>
                      <a:ext cx="5218430" cy="3401695"/>
                    </a:xfrm>
                    <a:prstGeom prst="rect">
                      <a:avLst/>
                    </a:prstGeom>
                    <a:noFill/>
                  </pic:spPr>
                </pic:pic>
              </a:graphicData>
            </a:graphic>
          </wp:inline>
        </w:drawing>
      </w:r>
    </w:p>
    <w:p w:rsidR="00AA5065" w:rsidRPr="00AA5065" w:rsidP="00F945E7">
      <w:pPr>
        <w:spacing w:before="120" w:line="269" w:lineRule="auto"/>
        <w:rPr>
          <w:rFonts w:eastAsia="Calibri"/>
          <w:rtl/>
        </w:rPr>
      </w:pPr>
      <w:r w:rsidRPr="00AA5065">
        <w:rPr>
          <w:rFonts w:eastAsia="Calibri" w:hint="cs"/>
          <w:sz w:val="16"/>
          <w:szCs w:val="20"/>
          <w:rtl/>
        </w:rPr>
        <w:t>המקור: המשרד להג"ס.</w:t>
      </w:r>
    </w:p>
    <w:p w:rsidR="00AA5065" w:rsidRPr="00AA5065" w:rsidP="00860D89">
      <w:pPr>
        <w:spacing w:line="269" w:lineRule="auto"/>
        <w:rPr>
          <w:rFonts w:eastAsia="Calibri"/>
          <w:rtl/>
        </w:rPr>
      </w:pPr>
    </w:p>
    <w:p w:rsidR="00AA5065" w:rsidRPr="00AA5065" w:rsidP="00860D89">
      <w:pPr>
        <w:spacing w:line="269" w:lineRule="auto"/>
        <w:rPr>
          <w:rFonts w:eastAsia="Calibri"/>
          <w:rtl/>
        </w:rPr>
      </w:pPr>
      <w:r w:rsidRPr="00AA5065">
        <w:rPr>
          <w:rFonts w:eastAsia="Calibri" w:hint="cs"/>
          <w:rtl/>
        </w:rPr>
        <w:t>נציגי המשרד להג"ס מסרו לצוות הביקורת ב-14.7.24 כי תופעת השלכת הפסולת הביתית (אשר היצרנים שלה הם בעצם הרשויות המקומיות) פחתה ביישובים המוכרים אולם לא בפזורה. זאת, לטענתם, לאחר מבצעים רבים ושונים של המשטרה הירוקה (מעקב ובדיקת משאיות, חילוט, הגשת כתבי אישום וכד'). עם זאת הם מסרו כי תופעת השלכת פסולת בניין עדיין קיימת בהיקפים נרחבים (בדגש על הפזורה), והיא מושלכת באזור הנגב גם על ידי משאיות שמגיעות מצפון הארץ ובעיקר על ידי קבלני בנייה מקומיים. לטענת נציגי המשרד להג"ס, בתקופת הממשלה ה-36, במסגרת תוכנית "מסלול בטוח", המשרד להג"ס יזם פעילות שהייתה אמורה להסדיר בצורה מובנית את כל תחום הטמנת הפסולת באזור הנגב, אולם הפעילות נגנזה עם חילופי הממשלות.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בהקשר זה יצוין כי גם בדוח מבקר המדינה</w:t>
      </w:r>
      <w:r>
        <w:rPr>
          <w:rFonts w:eastAsia="Calibri"/>
          <w:vertAlign w:val="superscript"/>
          <w:rtl/>
        </w:rPr>
        <w:footnoteReference w:id="60"/>
      </w:r>
      <w:r w:rsidRPr="00AA5065">
        <w:rPr>
          <w:rFonts w:eastAsia="Calibri" w:hint="cs"/>
          <w:rtl/>
        </w:rPr>
        <w:t xml:space="preserve"> משנת 2011 נכתב כי "על פי אומדני המשרד להג"ס, כשליש מפסולת הבניין אינה מטופלת על פי דין ומושלכת בשטחים פתוחים".</w:t>
      </w:r>
    </w:p>
    <w:p w:rsidR="00AA5065" w:rsidRPr="00AA5065" w:rsidP="00860D89">
      <w:pPr>
        <w:spacing w:line="269" w:lineRule="auto"/>
        <w:ind w:left="-567"/>
        <w:rPr>
          <w:rFonts w:eastAsia="Calibri"/>
          <w:szCs w:val="20"/>
          <w:rtl/>
        </w:rPr>
      </w:pPr>
    </w:p>
    <w:p w:rsidR="00AA5065" w:rsidRPr="00AA5065" w:rsidP="00AC28D6">
      <w:pPr>
        <w:spacing w:after="120" w:line="269" w:lineRule="auto"/>
        <w:rPr>
          <w:rFonts w:eastAsia="Calibri"/>
          <w:rtl/>
        </w:rPr>
      </w:pPr>
      <w:r w:rsidRPr="00AA5065">
        <w:rPr>
          <w:rFonts w:eastAsia="Calibri" w:hint="cs"/>
          <w:rtl/>
        </w:rPr>
        <w:t xml:space="preserve">נוכח חומרת המצב בשטח הוכן בשנת 2022 במחוז דרום של המשרד להג"ס </w:t>
      </w:r>
      <w:bookmarkStart w:id="56" w:name="_Hlk193793278"/>
      <w:r w:rsidRPr="00AA5065">
        <w:rPr>
          <w:rFonts w:eastAsia="Calibri" w:hint="cs"/>
          <w:rtl/>
        </w:rPr>
        <w:t xml:space="preserve">נייר עמדה שכותרתו "תפקיד המדינה במניעת השלכת פסולת בלתי חוקית בנגב - תפקידים, סמכויות ו'סל כלים'". </w:t>
      </w:r>
      <w:bookmarkEnd w:id="56"/>
      <w:r w:rsidRPr="00AA5065">
        <w:rPr>
          <w:rFonts w:eastAsia="Calibri" w:hint="cs"/>
          <w:rtl/>
        </w:rPr>
        <w:t>בנייר העמדה נכתב, בין השאר, כי כדי לשפר את המצב קיים צורך בשינוי ובעדכון של חקיקה כדלקמן:</w:t>
      </w:r>
    </w:p>
    <w:p w:rsidR="00AA5065" w:rsidRPr="00AA5065" w:rsidP="00AC28D6">
      <w:pPr>
        <w:numPr>
          <w:ilvl w:val="0"/>
          <w:numId w:val="23"/>
        </w:numPr>
        <w:spacing w:after="120" w:line="269" w:lineRule="auto"/>
        <w:ind w:left="367"/>
        <w:rPr>
          <w:rFonts w:eastAsia="Calibri"/>
          <w:rtl/>
        </w:rPr>
      </w:pPr>
      <w:r w:rsidRPr="00AA5065">
        <w:rPr>
          <w:rFonts w:eastAsia="Calibri" w:hint="cs"/>
          <w:rtl/>
        </w:rPr>
        <w:t>"</w:t>
      </w:r>
      <w:r w:rsidRPr="00AA5065">
        <w:rPr>
          <w:rFonts w:eastAsia="Calibri"/>
          <w:rtl/>
        </w:rPr>
        <w:t>הגדלת הקנסות הניתנים על הובלה, השלכה ושריפת פסולת בלתי חוקית בחוק שמירת הניקיון. כיום הקנס המירבי על השלכה עומד על 8,000 שח בלבד. הענקת סמכויות חקירה והחרמת כלים מלאה לפקחים ייעודיים, הסמכת פקחי האשכולות והרשויות המקומיות למסירת צו איסור שימוש.</w:t>
      </w:r>
    </w:p>
    <w:p w:rsidR="00AA5065" w:rsidRPr="00AA5065" w:rsidP="00AC28D6">
      <w:pPr>
        <w:numPr>
          <w:ilvl w:val="0"/>
          <w:numId w:val="23"/>
        </w:numPr>
        <w:spacing w:after="120" w:line="269" w:lineRule="auto"/>
        <w:ind w:left="367"/>
        <w:rPr>
          <w:rFonts w:eastAsia="Calibri"/>
          <w:rtl/>
        </w:rPr>
      </w:pPr>
      <w:r w:rsidRPr="00AA5065">
        <w:rPr>
          <w:rFonts w:eastAsia="Calibri"/>
          <w:rtl/>
        </w:rPr>
        <w:t>החמרת הדרישות לקבלת רישיון עסק למובילי פסולת לרבות חיוב התקנת אמצעי בקרה ומעקב אלקטרוניים שיספקו מידע לגבי איכון, מיקום ופריקת פסולת.</w:t>
      </w:r>
    </w:p>
    <w:p w:rsidR="00AA5065" w:rsidRPr="00AA5065" w:rsidP="00AC28D6">
      <w:pPr>
        <w:numPr>
          <w:ilvl w:val="0"/>
          <w:numId w:val="23"/>
        </w:numPr>
        <w:spacing w:line="269" w:lineRule="auto"/>
        <w:ind w:left="367"/>
        <w:rPr>
          <w:rFonts w:eastAsia="Calibri"/>
        </w:rPr>
      </w:pPr>
      <w:r w:rsidRPr="00AA5065">
        <w:rPr>
          <w:rFonts w:eastAsia="Calibri"/>
          <w:rtl/>
        </w:rPr>
        <w:t>הענקת סמכויות לגורמי פיקוח ואכיפה אזוריים כנגד השלכות פסולת בשטחים גליליים לרבות בניית מנגנון ניקוי וסילוק המפגעים מהשטח</w:t>
      </w:r>
      <w:r w:rsidRPr="00AA5065">
        <w:rPr>
          <w:rFonts w:eastAsia="Calibri" w:hint="cs"/>
          <w:rtl/>
        </w:rPr>
        <w:t>"</w:t>
      </w:r>
      <w:r w:rsidRPr="00AA5065">
        <w:rPr>
          <w:rFonts w:eastAsia="Calibri"/>
          <w:rtl/>
        </w:rPr>
        <w:t>.</w:t>
      </w:r>
    </w:p>
    <w:p w:rsidR="00AA5065" w:rsidRPr="00AA5065" w:rsidP="00860D89">
      <w:pPr>
        <w:spacing w:line="269" w:lineRule="auto"/>
        <w:ind w:left="-567"/>
        <w:rPr>
          <w:rFonts w:eastAsia="Calibri"/>
          <w:szCs w:val="20"/>
        </w:rPr>
      </w:pPr>
    </w:p>
    <w:p w:rsidR="00AA5065" w:rsidRPr="00AA5065" w:rsidP="00860D89">
      <w:pPr>
        <w:spacing w:line="269" w:lineRule="auto"/>
        <w:rPr>
          <w:rFonts w:eastAsia="Calibri"/>
          <w:rtl/>
        </w:rPr>
      </w:pPr>
      <w:r w:rsidRPr="00AA5065">
        <w:rPr>
          <w:rFonts w:eastAsia="Calibri" w:hint="cs"/>
          <w:rtl/>
        </w:rPr>
        <w:t xml:space="preserve">בביקורת המעקב נמצא כי נייר העמדה </w:t>
      </w:r>
      <w:r w:rsidRPr="00AA5065">
        <w:rPr>
          <w:rFonts w:eastAsia="Calibri"/>
          <w:rtl/>
        </w:rPr>
        <w:t>עבר לכל בעלי התפקידים הרלוונטיים במ</w:t>
      </w:r>
      <w:r w:rsidRPr="00AA5065">
        <w:rPr>
          <w:rFonts w:eastAsia="Calibri" w:hint="cs"/>
          <w:rtl/>
        </w:rPr>
        <w:t>שרד</w:t>
      </w:r>
      <w:r w:rsidRPr="00AA5065">
        <w:rPr>
          <w:rFonts w:eastAsia="Calibri"/>
          <w:rtl/>
        </w:rPr>
        <w:t xml:space="preserve"> להג</w:t>
      </w:r>
      <w:r w:rsidRPr="00AA5065">
        <w:rPr>
          <w:rFonts w:eastAsia="Calibri" w:hint="cs"/>
          <w:rtl/>
        </w:rPr>
        <w:t>"ס</w:t>
      </w:r>
      <w:r w:rsidRPr="00AA5065">
        <w:rPr>
          <w:rFonts w:eastAsia="Calibri"/>
          <w:rtl/>
        </w:rPr>
        <w:t xml:space="preserve"> ולפרקליטות האזרחית ו</w:t>
      </w:r>
      <w:r w:rsidRPr="00AA5065">
        <w:rPr>
          <w:rFonts w:eastAsia="Calibri" w:hint="cs"/>
          <w:rtl/>
        </w:rPr>
        <w:t xml:space="preserve">כן </w:t>
      </w:r>
      <w:r w:rsidRPr="00AA5065">
        <w:rPr>
          <w:rFonts w:eastAsia="Calibri"/>
          <w:rtl/>
        </w:rPr>
        <w:t>הוצג ל</w:t>
      </w:r>
      <w:r w:rsidRPr="00AA5065">
        <w:rPr>
          <w:rFonts w:eastAsia="Calibri" w:hint="cs"/>
          <w:rtl/>
        </w:rPr>
        <w:t>ג</w:t>
      </w:r>
      <w:r w:rsidRPr="00AA5065">
        <w:rPr>
          <w:rFonts w:eastAsia="Calibri"/>
          <w:rtl/>
        </w:rPr>
        <w:t>ורמי פיקוח ואכיפה במ</w:t>
      </w:r>
      <w:r w:rsidRPr="00AA5065">
        <w:rPr>
          <w:rFonts w:eastAsia="Calibri" w:hint="cs"/>
          <w:rtl/>
        </w:rPr>
        <w:t>חוז. ועם זאת, ההמלצות המופיעות בו טרם יושמו.</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לגבי תופעת שריפת הפסולת מסרו נציגי המשרד להג"ס ב-14.7.24 כי קיימת</w:t>
      </w:r>
      <w:r w:rsidRPr="00AA5065">
        <w:rPr>
          <w:rFonts w:eastAsia="Calibri" w:hint="cs"/>
        </w:rPr>
        <w:t xml:space="preserve"> </w:t>
      </w:r>
      <w:r w:rsidRPr="00AA5065">
        <w:rPr>
          <w:rFonts w:eastAsia="Calibri" w:hint="cs"/>
          <w:rtl/>
        </w:rPr>
        <w:t>כיום אפשרות להטיל קנסות על שורפי פסולת מכוח תיקון לצו סדר הדין הפלילי מיולי 2022, וכי נרשמה ירידה בהיקף התופעה (הן במספר השריפות, הן במשך הזמן שלהן והן בנכונות של הרשויות המקומיות לפעול לצמצומה).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בהקשר זה יצוין כי בפגישה שהתקיימה בינואר 2025 עם ראש אגף בכיר לפיתוח כלכלי-חברתי בחברה הבדואית בנגב שבמשרד התפוצות, מסר הלה לנציגי משרד מבקר המדינה כי השלכת הפסולת בשטחים גליליים מקבלת מענה חלקי בלבד באמצעות יחידת "ינשוף"</w:t>
      </w:r>
      <w:r>
        <w:rPr>
          <w:rFonts w:eastAsia="Calibri"/>
          <w:vertAlign w:val="superscript"/>
          <w:rtl/>
        </w:rPr>
        <w:footnoteReference w:id="61"/>
      </w:r>
      <w:r w:rsidRPr="00AA5065">
        <w:rPr>
          <w:rFonts w:eastAsia="Calibri" w:hint="cs"/>
          <w:rtl/>
        </w:rPr>
        <w:t>, וכי בעוד כחודשיים יוחל בבדיקת היתכנות (פיילוט) של איסוף פסולת בפזורה הבדואית אשר יתוקצב במסגרת תוכנית החומש ויבוצע על ידי אשכולות הנגב.</w:t>
      </w:r>
    </w:p>
    <w:p w:rsidR="00AA5065" w:rsidRPr="00AA5065" w:rsidP="00860D89">
      <w:pPr>
        <w:spacing w:line="269" w:lineRule="auto"/>
        <w:ind w:left="-567"/>
        <w:rPr>
          <w:rFonts w:eastAsia="Calibri"/>
          <w:szCs w:val="20"/>
          <w:rtl/>
        </w:rPr>
      </w:pPr>
    </w:p>
    <w:p w:rsidR="00AA5065" w:rsidRPr="00AA5065" w:rsidP="006649F9">
      <w:pPr>
        <w:spacing w:after="120" w:line="269" w:lineRule="auto"/>
        <w:rPr>
          <w:rFonts w:eastAsia="Calibri"/>
          <w:b/>
          <w:bCs/>
          <w:rtl/>
        </w:rPr>
      </w:pPr>
      <w:r w:rsidRPr="00AA5065">
        <w:rPr>
          <w:rFonts w:eastAsia="Calibri" w:hint="cs"/>
          <w:b/>
          <w:bCs/>
          <w:rtl/>
        </w:rPr>
        <w:t>בביקורת הקודמת עלה</w:t>
      </w:r>
      <w:r w:rsidRPr="00AA5065">
        <w:rPr>
          <w:rFonts w:eastAsia="Calibri"/>
          <w:b/>
          <w:bCs/>
          <w:rtl/>
        </w:rPr>
        <w:t xml:space="preserve"> כי ביישובים הארעיים וביישובי הקבע שבהם מתגוררת האוכלוסייה הבדואית מושלכת פסולת ב</w:t>
      </w:r>
      <w:r w:rsidRPr="00AA5065">
        <w:rPr>
          <w:rFonts w:eastAsia="Calibri" w:hint="cs"/>
          <w:b/>
          <w:bCs/>
          <w:rtl/>
        </w:rPr>
        <w:t>שטחים ציבוריים</w:t>
      </w:r>
      <w:r w:rsidRPr="00AA5065">
        <w:rPr>
          <w:rFonts w:eastAsia="Calibri"/>
          <w:b/>
          <w:bCs/>
          <w:rtl/>
        </w:rPr>
        <w:t xml:space="preserve">, ומתבצעות שריפות בלתי מוסדרות של פסולת הגורמות לזיהום אוויר ניכר שהתושבים נחשפים אליו. עוד עלה כי הרשויות המקומיות ביישובים הארעיים שבהם מתגוררת האוכלוסייה הבדואית אינן אוספות </w:t>
      </w:r>
      <w:r w:rsidRPr="00AA5065">
        <w:rPr>
          <w:rFonts w:eastAsia="Calibri" w:hint="cs"/>
          <w:b/>
          <w:bCs/>
          <w:rtl/>
        </w:rPr>
        <w:t xml:space="preserve">את הפסולת </w:t>
      </w:r>
      <w:r w:rsidRPr="00AA5065">
        <w:rPr>
          <w:rFonts w:eastAsia="Calibri"/>
          <w:b/>
          <w:bCs/>
          <w:rtl/>
        </w:rPr>
        <w:t>ומטפלות ב</w:t>
      </w:r>
      <w:r w:rsidRPr="00AA5065">
        <w:rPr>
          <w:rFonts w:eastAsia="Calibri" w:hint="cs"/>
          <w:b/>
          <w:bCs/>
          <w:rtl/>
        </w:rPr>
        <w:t>ה</w:t>
      </w:r>
      <w:r w:rsidRPr="00AA5065">
        <w:rPr>
          <w:rFonts w:eastAsia="Calibri"/>
          <w:b/>
          <w:bCs/>
          <w:rtl/>
        </w:rPr>
        <w:t xml:space="preserve"> כראוי</w:t>
      </w:r>
      <w:r w:rsidRPr="00AA5065">
        <w:rPr>
          <w:rFonts w:eastAsia="Calibri" w:hint="cs"/>
          <w:b/>
          <w:bCs/>
          <w:rtl/>
        </w:rPr>
        <w:t>, ו</w:t>
      </w:r>
      <w:r w:rsidRPr="00AA5065">
        <w:rPr>
          <w:rFonts w:eastAsia="Calibri"/>
          <w:b/>
          <w:bCs/>
          <w:rtl/>
        </w:rPr>
        <w:t xml:space="preserve">גם ביישובי הקבע המצב איננו משביע רצון הן בשל היעדר אתרי מיחזור פסולת והן </w:t>
      </w:r>
      <w:r w:rsidRPr="00AA5065">
        <w:rPr>
          <w:rFonts w:eastAsia="Calibri" w:hint="cs"/>
          <w:b/>
          <w:bCs/>
          <w:rtl/>
        </w:rPr>
        <w:t>בשל</w:t>
      </w:r>
      <w:r w:rsidRPr="00AA5065">
        <w:rPr>
          <w:rFonts w:eastAsia="Calibri"/>
          <w:b/>
          <w:bCs/>
          <w:rtl/>
        </w:rPr>
        <w:t xml:space="preserve"> </w:t>
      </w:r>
      <w:r w:rsidRPr="00AA5065">
        <w:rPr>
          <w:rFonts w:eastAsia="Calibri" w:hint="cs"/>
          <w:b/>
          <w:bCs/>
          <w:rtl/>
        </w:rPr>
        <w:t>ה</w:t>
      </w:r>
      <w:r w:rsidRPr="00AA5065">
        <w:rPr>
          <w:rFonts w:eastAsia="Calibri"/>
          <w:b/>
          <w:bCs/>
          <w:rtl/>
        </w:rPr>
        <w:t xml:space="preserve">תדירות </w:t>
      </w:r>
      <w:r w:rsidRPr="00AA5065">
        <w:rPr>
          <w:rFonts w:eastAsia="Calibri" w:hint="cs"/>
          <w:b/>
          <w:bCs/>
          <w:rtl/>
        </w:rPr>
        <w:t xml:space="preserve">הנמוכה של </w:t>
      </w:r>
      <w:r w:rsidRPr="00AA5065">
        <w:rPr>
          <w:rFonts w:eastAsia="Calibri"/>
          <w:b/>
          <w:bCs/>
          <w:rtl/>
        </w:rPr>
        <w:t>איסוף הפסולת ו</w:t>
      </w:r>
      <w:r w:rsidRPr="00AA5065">
        <w:rPr>
          <w:rFonts w:eastAsia="Calibri" w:hint="cs"/>
          <w:b/>
          <w:bCs/>
          <w:rtl/>
        </w:rPr>
        <w:t xml:space="preserve">האיכות הירודה של </w:t>
      </w:r>
      <w:r w:rsidRPr="00AA5065">
        <w:rPr>
          <w:rFonts w:eastAsia="Calibri"/>
          <w:b/>
          <w:bCs/>
          <w:rtl/>
        </w:rPr>
        <w:t xml:space="preserve">הטיפול בה. </w:t>
      </w:r>
      <w:r w:rsidRPr="00AA5065">
        <w:rPr>
          <w:rFonts w:eastAsia="Calibri" w:hint="cs"/>
          <w:b/>
          <w:bCs/>
          <w:rtl/>
        </w:rPr>
        <w:t>בביקורת המעקב נמצא כי הליקויים שהתגלו בתחום השלכת פסולת הבניין לא תוקנו, ואילו בתחום השלכת הפסולת הביתית ושריפת הפסולת חל שיפור. עם זאת, תופעת השלכת הפסולת בשטחים ציבוריים ושריפתה בניגוד להוראות חוק שמירת הניקיון מוסיפה להתקיים ברחבי הנגב ולא נאכפת כנדרש על ידי המשרד להג"ס והרשויות המקומיות.</w:t>
      </w:r>
    </w:p>
    <w:p w:rsidR="00AA5065" w:rsidRPr="00AA5065" w:rsidP="00860D89">
      <w:pPr>
        <w:spacing w:line="269" w:lineRule="auto"/>
        <w:rPr>
          <w:rFonts w:eastAsia="Calibri"/>
          <w:b/>
          <w:bCs/>
          <w:rtl/>
        </w:rPr>
      </w:pPr>
    </w:p>
    <w:p w:rsidR="00AA5065" w:rsidRPr="00AA5065" w:rsidP="00860D89">
      <w:pPr>
        <w:spacing w:line="269" w:lineRule="auto"/>
        <w:jc w:val="center"/>
        <w:rPr>
          <w:rFonts w:eastAsia="Calibri"/>
          <w:b/>
          <w:bCs/>
          <w:rtl/>
        </w:rPr>
      </w:pPr>
      <w:r w:rsidRPr="00AA5065">
        <w:rPr>
          <w:rFonts w:eastAsia="Calibri" w:hint="cs"/>
          <w:b/>
          <w:bCs/>
          <w:rtl/>
          <w:lang w:eastAsia="he-IL"/>
        </w:rPr>
        <w:t>מידת תיקון הליקוי</w:t>
      </w:r>
    </w:p>
    <w:p w:rsidR="00AA5065" w:rsidRPr="00AA5065" w:rsidP="000723B7">
      <w:pPr>
        <w:spacing w:after="120" w:line="269" w:lineRule="auto"/>
        <w:jc w:val="center"/>
        <w:rPr>
          <w:rFonts w:eastAsia="Calibri"/>
          <w:b/>
          <w:bCs/>
          <w:rtl/>
          <w:lang w:eastAsia="he-IL"/>
        </w:rPr>
      </w:pPr>
      <w:r w:rsidRPr="00AA5065">
        <w:rPr>
          <w:rFonts w:eastAsia="Calibri"/>
          <w:noProof/>
        </w:rPr>
        <w:drawing>
          <wp:inline distT="0" distB="0" distL="0" distR="0">
            <wp:extent cx="3422650" cy="933450"/>
            <wp:effectExtent l="0" t="0" r="6350" b="0"/>
            <wp:docPr id="32" name="תמונה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pic:cNvPicPr>
                      <a:picLocks noChangeAspect="1" noChangeArrowheads="1"/>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2650" cy="933450"/>
                    </a:xfrm>
                    <a:prstGeom prst="rect">
                      <a:avLst/>
                    </a:prstGeom>
                    <a:noFill/>
                    <a:ln>
                      <a:noFill/>
                    </a:ln>
                  </pic:spPr>
                </pic:pic>
              </a:graphicData>
            </a:graphic>
          </wp:inline>
        </w:drawing>
      </w:r>
    </w:p>
    <w:p w:rsidR="00AA5065" w:rsidRPr="00AA5065" w:rsidP="006649F9">
      <w:pPr>
        <w:spacing w:after="120" w:line="269" w:lineRule="auto"/>
        <w:rPr>
          <w:rFonts w:eastAsia="Calibri"/>
          <w:rtl/>
        </w:rPr>
      </w:pPr>
      <w:r w:rsidRPr="00AA5065">
        <w:rPr>
          <w:rFonts w:ascii="Calibri" w:eastAsia="Calibri" w:hAnsi="Calibri" w:hint="eastAsia"/>
          <w:b/>
          <w:bCs/>
          <w:sz w:val="24"/>
          <w:rtl/>
        </w:rPr>
        <w:t>על</w:t>
      </w:r>
      <w:r w:rsidRPr="00AA5065">
        <w:rPr>
          <w:rFonts w:ascii="Calibri" w:eastAsia="Calibri" w:hAnsi="Calibri" w:hint="cs"/>
          <w:b/>
          <w:bCs/>
          <w:sz w:val="24"/>
          <w:rtl/>
        </w:rPr>
        <w:t xml:space="preserve"> המשרד להג"ס, בשיתוף הרשויות הרלוונטיות המקומיות בנגב</w:t>
      </w:r>
      <w:r w:rsidRPr="00AA5065">
        <w:rPr>
          <w:rFonts w:ascii="Calibri" w:eastAsia="Calibri" w:hAnsi="Calibri"/>
          <w:b/>
          <w:bCs/>
          <w:sz w:val="24"/>
          <w:rtl/>
        </w:rPr>
        <w:t xml:space="preserve">, </w:t>
      </w:r>
      <w:r w:rsidRPr="00AA5065">
        <w:rPr>
          <w:rFonts w:ascii="Calibri" w:eastAsia="Calibri" w:hAnsi="Calibri" w:hint="eastAsia"/>
          <w:b/>
          <w:bCs/>
          <w:sz w:val="24"/>
          <w:rtl/>
        </w:rPr>
        <w:t>להגביר</w:t>
      </w:r>
      <w:r w:rsidRPr="00AA5065">
        <w:rPr>
          <w:rFonts w:ascii="Calibri" w:eastAsia="Calibri" w:hAnsi="Calibri" w:hint="cs"/>
          <w:b/>
          <w:bCs/>
          <w:sz w:val="24"/>
          <w:rtl/>
        </w:rPr>
        <w:t xml:space="preserve"> את הטיפול ואת האכיפה הנדרשת בתחום השלכת הפסולת ברחבי הנגב.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המשרד להג"ס מסר בתשובתו כי "</w:t>
      </w:r>
      <w:r w:rsidRPr="00AA5065">
        <w:rPr>
          <w:rFonts w:eastAsia="Calibri"/>
          <w:rtl/>
        </w:rPr>
        <w:t>המשרד פועל להגברת הפיקוח והאכיפה כנגד השלכת פסולת במספר דרכים. המשרד תקצב הקמת יחידות פיקוח בשתי אשכולות הנגב כך שהמשרד מממן פקח אחד לכל רשות (למעט רהט שהיא עיר גדולה ולכן שני פקחים</w:t>
      </w:r>
      <w:r w:rsidRPr="00AA5065">
        <w:rPr>
          <w:rFonts w:eastAsia="Calibri" w:hint="cs"/>
          <w:rtl/>
        </w:rPr>
        <w:t>)...</w:t>
      </w:r>
      <w:r w:rsidRPr="00AA5065">
        <w:rPr>
          <w:rFonts w:eastAsia="Calibri"/>
          <w:rtl/>
        </w:rPr>
        <w:t xml:space="preserve"> המשרד מפעיל את פקחי יחידת ינשו"ף (יחידה נגד השלכות ושריפות פסולת) ברט"ג אשר מתמקדת בשטחים הפתוחים ואף מסייעת באכיפה בתוך הרשויות. בין היתר בתכנית החומש אושר תקציב לגיוס פקח נוסף לרט"ג ליחידת ינשו"ף אשר יהיה ייעודי בשטחים הגליליים שמחוץ לקו הכחול של הרשויות המקומיות. בנוסף, קיים עובד משרד שמרכז את הפיקוח והסיוע במגזר הבדואי. בנוסף, המשטרה הירוקה מבצעת גם היא אכיפה פלילית כנגד עבירות סביבה חמורות. בנוסף לאמור לעיל המשרד יוזם ושותף למבצעי אכיפה ביישובי הבדואים במסגרת </w:t>
      </w:r>
      <w:r w:rsidRPr="00AA5065">
        <w:rPr>
          <w:rFonts w:eastAsia="Calibri" w:hint="cs"/>
          <w:rtl/>
        </w:rPr>
        <w:t>'</w:t>
      </w:r>
      <w:r w:rsidRPr="00AA5065">
        <w:rPr>
          <w:rFonts w:eastAsia="Calibri"/>
          <w:rtl/>
        </w:rPr>
        <w:t>שולחן עגול</w:t>
      </w:r>
      <w:r w:rsidRPr="00AA5065">
        <w:rPr>
          <w:rFonts w:eastAsia="Calibri" w:hint="cs"/>
          <w:rtl/>
        </w:rPr>
        <w:t>'</w:t>
      </w:r>
      <w:r w:rsidRPr="00AA5065">
        <w:rPr>
          <w:rFonts w:eastAsia="Calibri"/>
          <w:rtl/>
        </w:rPr>
        <w:t xml:space="preserve"> בפרקליטות יחד עם רשויות האכיפה המדינתיות הנוספות.</w:t>
      </w:r>
      <w:r w:rsidRPr="00AA5065">
        <w:rPr>
          <w:rFonts w:eastAsia="Calibri" w:hint="cs"/>
          <w:rtl/>
        </w:rPr>
        <w:t>..". עוד מסר המשרד</w:t>
      </w:r>
      <w:r w:rsidRPr="00AA5065">
        <w:rPr>
          <w:rFonts w:eastAsia="Calibri"/>
          <w:rtl/>
        </w:rPr>
        <w:t xml:space="preserve"> כי </w:t>
      </w:r>
      <w:r w:rsidRPr="00AA5065">
        <w:rPr>
          <w:rFonts w:eastAsia="Calibri" w:hint="cs"/>
          <w:rtl/>
        </w:rPr>
        <w:t>"</w:t>
      </w:r>
      <w:r w:rsidRPr="00AA5065">
        <w:rPr>
          <w:rFonts w:eastAsia="Calibri"/>
          <w:rtl/>
        </w:rPr>
        <w:t>במסגרת החלטת ממשלה 2941 והחלטת ועדת הקרן לשמירת הניקיון בימים אלו המשרד מקדם התחייבויות על סך 3 מלש"ח לאשכולות נגב מזרחי ומערבי לטובת פיילוט פינוי פסולת בפזורות הבדואיות בהן אין שירותי פינוי פסולת אך התושבים מעוניינים בקבלת שירותי הפינוי ומוכנים לשאת בעלויות ההטמנה. מימוש הפיילוט ייעשה באמצעות האשכולות אשר יתפעלו את מערך פינוי הפסולת הביתית.</w:t>
      </w:r>
      <w:r w:rsidRPr="00AA5065">
        <w:rPr>
          <w:rFonts w:eastAsia="Calibri" w:hint="cs"/>
          <w:rtl/>
        </w:rPr>
        <w:t>..</w:t>
      </w:r>
      <w:r w:rsidRPr="00AA5065">
        <w:rPr>
          <w:rFonts w:eastAsia="Calibri"/>
          <w:rtl/>
        </w:rPr>
        <w:t>יצוין כי במהלך 2025 החל המשרד בשיתוף הרשויות המקומיות תל</w:t>
      </w:r>
      <w:r w:rsidRPr="00AA5065">
        <w:rPr>
          <w:rFonts w:eastAsia="Calibri" w:hint="cs"/>
          <w:rtl/>
        </w:rPr>
        <w:t>-</w:t>
      </w:r>
      <w:r w:rsidRPr="00AA5065">
        <w:rPr>
          <w:rFonts w:eastAsia="Calibri"/>
          <w:rtl/>
        </w:rPr>
        <w:t>שבע, רהט במבצעי ניקיון ייעודיים לפינוי פסולת גושית ופסולת בניין</w:t>
      </w:r>
      <w:r w:rsidRPr="00AA5065">
        <w:rPr>
          <w:rFonts w:eastAsia="Calibri" w:hint="cs"/>
          <w:rtl/>
        </w:rPr>
        <w:t>"</w:t>
      </w:r>
      <w:r w:rsidRPr="00AA5065">
        <w:rPr>
          <w:rFonts w:eastAsia="Calibri"/>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המועצה המקומית כסיפה מסרה בתשובתה כי "</w:t>
      </w:r>
      <w:r w:rsidRPr="00AA5065">
        <w:rPr>
          <w:rFonts w:eastAsia="Calibri"/>
          <w:rtl/>
        </w:rPr>
        <w:t>החל מאמצע אוקטובר המועצה מפעילה משאיות לצורך פינוי כלל הפסולת הגושית ביישוב ומתכננת לסלק את כלל מפגעי הפסולת עד לסוף שנה זו, צוות התברואה תוגבר, וכי הוחלפו פחי אשפה ביתיים, ותוגבר כח הפיקוח כך שיפעל במשך שבוע מלא בבוקר צהרים ובערב, ואף חולקו קנסות לחלק מבעלי העסקים ביישוב. בנוסף המועצה פועלת להעלאת המודעות לסביבה בשיתוף מוסדות החינוך ביישוב</w:t>
      </w:r>
      <w:r w:rsidRPr="00AA5065">
        <w:rPr>
          <w:rFonts w:eastAsia="Calibri" w:hint="cs"/>
          <w:rtl/>
        </w:rPr>
        <w:t>"</w:t>
      </w:r>
      <w:r w:rsidRPr="00AA5065">
        <w:rPr>
          <w:rFonts w:eastAsia="Calibri"/>
          <w:rtl/>
        </w:rPr>
        <w:t>.</w:t>
      </w:r>
    </w:p>
    <w:p w:rsidR="00AA5065" w:rsidRPr="00AA5065" w:rsidP="00860D89">
      <w:pPr>
        <w:spacing w:line="269" w:lineRule="auto"/>
        <w:rPr>
          <w:rFonts w:eastAsia="Calibri"/>
          <w:rtl/>
        </w:rPr>
      </w:pPr>
    </w:p>
    <w:p w:rsidR="00AA5065" w:rsidRPr="00AA5065" w:rsidP="006649F9">
      <w:pPr>
        <w:keepNext/>
        <w:keepLines/>
        <w:spacing w:before="120" w:line="269" w:lineRule="auto"/>
        <w:outlineLvl w:val="3"/>
        <w:rPr>
          <w:rFonts w:eastAsia="Times New Roman"/>
          <w:bCs/>
          <w:szCs w:val="26"/>
          <w:rtl/>
        </w:rPr>
      </w:pPr>
      <w:bookmarkStart w:id="57" w:name="_Toc31186235"/>
      <w:bookmarkStart w:id="58" w:name="_Toc40713050"/>
      <w:r w:rsidRPr="00AA5065">
        <w:rPr>
          <w:rFonts w:eastAsia="Times New Roman" w:hint="cs"/>
          <w:bCs/>
          <w:szCs w:val="26"/>
          <w:rtl/>
        </w:rPr>
        <w:t>השלכת פגרים וקבורתם</w:t>
      </w:r>
      <w:bookmarkEnd w:id="57"/>
      <w:bookmarkEnd w:id="58"/>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השלכה בלתי מוסדרת של פגרי בעלי חיים היא מפגע תברואתי קשה. פגרים אלו הם המקור העיקרי לבעיות תברואה ואף להרעלה, והם מביאים להתפרצות מחלות שונות ובכללן כלבת, לזיהום של קרקע ומי תהום, להפצת ריחות רעים וכן לריבוי של זבובים ומכרסמים מזיקים.</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תקנות מחלות בעלי חיים (פסדים</w:t>
      </w:r>
      <w:r>
        <w:rPr>
          <w:rFonts w:eastAsia="Calibri"/>
          <w:vertAlign w:val="superscript"/>
          <w:rtl/>
        </w:rPr>
        <w:footnoteReference w:id="62"/>
      </w:r>
      <w:r w:rsidRPr="00AA5065">
        <w:rPr>
          <w:rFonts w:eastAsia="Calibri" w:hint="cs"/>
          <w:rtl/>
        </w:rPr>
        <w:t>), התשמ"א-1981, קובעות כי המחזיק בבעל חיים שמת חייב לקבור או לשרוף את נבלתו במקום שקבעה הרשות המקומית או להביאה לתחנת איסוף או למפעל פסדים</w:t>
      </w:r>
      <w:r>
        <w:rPr>
          <w:rFonts w:eastAsia="Calibri"/>
          <w:vertAlign w:val="superscript"/>
          <w:rtl/>
        </w:rPr>
        <w:footnoteReference w:id="63"/>
      </w:r>
      <w:r w:rsidRPr="00AA5065">
        <w:rPr>
          <w:rFonts w:eastAsia="Calibri" w:hint="cs"/>
          <w:rtl/>
        </w:rPr>
        <w:t>. כמו כן, הרשות המקומית תקצה באישור מנהל השירותים הווטרינריים אתר לקבורת בעלי חיים או למשרפה או למפעל פסדים וכן תקבע תחנות לאיסוף פסדים.</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ממצגת בנושא סניטציה שהכינה רט</w:t>
      </w:r>
      <w:r w:rsidRPr="00AA5065">
        <w:rPr>
          <w:rFonts w:eastAsia="Calibri"/>
          <w:rtl/>
        </w:rPr>
        <w:t>"</w:t>
      </w:r>
      <w:r w:rsidRPr="00AA5065">
        <w:rPr>
          <w:rFonts w:eastAsia="Calibri" w:hint="cs"/>
          <w:rtl/>
        </w:rPr>
        <w:t xml:space="preserve">ג בשנת 2017 עולה כי בקרב האוכלוסייה הבדואית בנגב מוחזקים כ-200,000 ראשי צאן, וכי שיעור תמותה ממוצע של 10% בשנה מביא לכ-20,000 פגרים בשנה (כ-50 כבשים ביום) ולהצטברות של בשר פגרים במשקל כולל של 850,000 ק"ג בשנה. עוד עלה כי </w:t>
      </w:r>
      <w:r w:rsidRPr="00AA5065">
        <w:rPr>
          <w:rFonts w:eastAsia="Calibri"/>
          <w:rtl/>
        </w:rPr>
        <w:t xml:space="preserve">הרשויות המקומיות </w:t>
      </w:r>
      <w:r w:rsidRPr="00AA5065">
        <w:rPr>
          <w:rFonts w:eastAsia="Calibri" w:hint="cs"/>
          <w:rtl/>
        </w:rPr>
        <w:t>ביישובי הבדואים אינן</w:t>
      </w:r>
      <w:r w:rsidRPr="00AA5065">
        <w:rPr>
          <w:rFonts w:eastAsia="Calibri"/>
          <w:rtl/>
        </w:rPr>
        <w:t xml:space="preserve"> מטפלות בפסולת </w:t>
      </w:r>
      <w:r w:rsidRPr="00AA5065">
        <w:rPr>
          <w:rFonts w:eastAsia="Calibri" w:hint="cs"/>
          <w:rtl/>
        </w:rPr>
        <w:t>הנובעת מ</w:t>
      </w:r>
      <w:r w:rsidRPr="00AA5065">
        <w:rPr>
          <w:rFonts w:eastAsia="Calibri"/>
          <w:rtl/>
        </w:rPr>
        <w:t>שחיטת בעלי חיים לצרכים פרטיים</w:t>
      </w:r>
      <w:r w:rsidRPr="00AA5065">
        <w:rPr>
          <w:rFonts w:eastAsia="Calibri" w:hint="cs"/>
          <w:rtl/>
        </w:rPr>
        <w:t>.</w:t>
      </w:r>
      <w:r w:rsidRPr="00AA5065">
        <w:rPr>
          <w:rFonts w:eastAsia="Calibri"/>
          <w:rtl/>
        </w:rPr>
        <w:t xml:space="preserve"> השאריות נזרקות ב</w:t>
      </w:r>
      <w:r w:rsidRPr="00AA5065">
        <w:rPr>
          <w:rFonts w:eastAsia="Calibri" w:hint="cs"/>
          <w:rtl/>
        </w:rPr>
        <w:t>שטחים</w:t>
      </w:r>
      <w:r w:rsidRPr="00AA5065">
        <w:rPr>
          <w:rFonts w:eastAsia="Calibri"/>
          <w:rtl/>
        </w:rPr>
        <w:t xml:space="preserve"> ציבוריים</w:t>
      </w:r>
      <w:r w:rsidRPr="00AA5065">
        <w:rPr>
          <w:rFonts w:eastAsia="Calibri" w:hint="cs"/>
          <w:rtl/>
        </w:rPr>
        <w:t xml:space="preserve">, </w:t>
      </w:r>
      <w:r w:rsidRPr="00AA5065">
        <w:rPr>
          <w:rFonts w:eastAsia="Calibri"/>
          <w:rtl/>
        </w:rPr>
        <w:t>ועל כן הערימות מצטברות.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rtl/>
        </w:rPr>
        <w:t xml:space="preserve">כמו כן עלה כי התופעה נפוצה גם במקומות נוספים בדרום, כגון בחלקו הצפוני של בסיס חיל האוויר שבנבטים. באזור נחל מלחתה ובערוצי נחלים נוספים נמצאה פסולת רבה ופגרים של גמלים ובעלי חיים אחרים. בעונת החורף, כאשר הנחל מוצף, </w:t>
      </w:r>
      <w:r w:rsidRPr="00AA5065">
        <w:rPr>
          <w:rFonts w:eastAsia="Calibri" w:hint="cs"/>
          <w:sz w:val="24"/>
          <w:rtl/>
        </w:rPr>
        <w:t>פגרים גדולים ופסולת ביולוגית מגיעים בזרימה חזקה ומצחינה לתוך הבסיס וגורמים לפגיעה בתשתיות הגדר החכמה ולטכנולוגיות הקשורות אליה בשווי של עשרות אלפי ש"ח ואף פוגעים במעבירי המים הסמוכים לבסיס.</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בדוח הקודם ה</w:t>
      </w:r>
      <w:r w:rsidRPr="00AA5065">
        <w:rPr>
          <w:rFonts w:eastAsia="Calibri"/>
          <w:rtl/>
        </w:rPr>
        <w:t>ומלץ כי לנוכח הישנותם של מקרים אלה והסכנה הסניטרית והבריאותית שבגינם, על המשרד להג</w:t>
      </w:r>
      <w:r w:rsidRPr="00AA5065">
        <w:rPr>
          <w:rFonts w:eastAsia="Calibri" w:hint="cs"/>
          <w:rtl/>
        </w:rPr>
        <w:t>"ס</w:t>
      </w:r>
      <w:r w:rsidRPr="00AA5065">
        <w:rPr>
          <w:rFonts w:eastAsia="Calibri"/>
          <w:rtl/>
        </w:rPr>
        <w:t xml:space="preserve"> והרשויות המקומיות הנוגעות בדבר לוודא שהוראות החוק בעניין זה ייאכפו בקפדנות.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bookmarkStart w:id="59" w:name="_Hlk193793793"/>
      <w:r w:rsidRPr="00AA5065">
        <w:rPr>
          <w:rFonts w:eastAsia="Calibri" w:hint="eastAsia"/>
          <w:rtl/>
        </w:rPr>
        <w:t>המשרד</w:t>
      </w:r>
      <w:r w:rsidRPr="00AA5065">
        <w:rPr>
          <w:rFonts w:eastAsia="Calibri"/>
          <w:rtl/>
        </w:rPr>
        <w:t xml:space="preserve"> להג</w:t>
      </w:r>
      <w:r w:rsidRPr="00AA5065">
        <w:rPr>
          <w:rFonts w:eastAsia="Calibri" w:hint="cs"/>
          <w:rtl/>
        </w:rPr>
        <w:t>"ס</w:t>
      </w:r>
      <w:r w:rsidRPr="00AA5065">
        <w:rPr>
          <w:rFonts w:eastAsia="Calibri"/>
          <w:rtl/>
        </w:rPr>
        <w:t xml:space="preserve"> מסר בתשובתו </w:t>
      </w:r>
      <w:r w:rsidRPr="00AA5065">
        <w:rPr>
          <w:rFonts w:eastAsia="Calibri" w:hint="cs"/>
          <w:rtl/>
        </w:rPr>
        <w:t xml:space="preserve">לדוח הקודם </w:t>
      </w:r>
      <w:r w:rsidRPr="00AA5065">
        <w:rPr>
          <w:rFonts w:eastAsia="Calibri"/>
          <w:rtl/>
        </w:rPr>
        <w:t>כי "מלבד תפיסות מקומיות של משליכי פסדים ופגרים - המשרד, בכוחות הקיימים בידו, אינו יכול להגיע אל כל המשליכים, שהם תושבי הרשויות המקומיות הבדוויות. אנו מצפים למעורבות רבה יותר של הרשויות המקומיות, בתגבור יחידות האכיפה המקודמות על ידי האשכולות, וכן הכנסת גורמים נוספים '</w:t>
      </w:r>
      <w:r w:rsidRPr="00AA5065">
        <w:rPr>
          <w:rFonts w:eastAsia="Calibri" w:hint="eastAsia"/>
          <w:rtl/>
        </w:rPr>
        <w:t>תחת</w:t>
      </w:r>
      <w:r w:rsidRPr="00AA5065">
        <w:rPr>
          <w:rFonts w:eastAsia="Calibri"/>
          <w:rtl/>
        </w:rPr>
        <w:t xml:space="preserve"> </w:t>
      </w:r>
      <w:r w:rsidRPr="00AA5065">
        <w:rPr>
          <w:rFonts w:eastAsia="Calibri" w:hint="eastAsia"/>
          <w:rtl/>
        </w:rPr>
        <w:t>האלונקה</w:t>
      </w:r>
      <w:r w:rsidRPr="00AA5065">
        <w:rPr>
          <w:rFonts w:eastAsia="Calibri"/>
          <w:rtl/>
        </w:rPr>
        <w:t>'.</w:t>
      </w:r>
      <w:r w:rsidRPr="00AA5065">
        <w:rPr>
          <w:rFonts w:eastAsia="Calibri" w:hint="cs"/>
          <w:rtl/>
        </w:rPr>
        <w:t>..</w:t>
      </w:r>
      <w:r w:rsidRPr="00AA5065">
        <w:rPr>
          <w:rFonts w:eastAsia="Calibri"/>
          <w:rtl/>
        </w:rPr>
        <w:t xml:space="preserve">". </w:t>
      </w:r>
      <w:bookmarkEnd w:id="59"/>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רט</w:t>
      </w:r>
      <w:r w:rsidRPr="00AA5065">
        <w:rPr>
          <w:rFonts w:eastAsia="Calibri"/>
          <w:rtl/>
        </w:rPr>
        <w:t>"</w:t>
      </w:r>
      <w:r w:rsidRPr="00AA5065">
        <w:rPr>
          <w:rFonts w:eastAsia="Calibri" w:hint="eastAsia"/>
          <w:rtl/>
        </w:rPr>
        <w:t>ג</w:t>
      </w:r>
      <w:r w:rsidRPr="00AA5065">
        <w:rPr>
          <w:rFonts w:eastAsia="Calibri"/>
          <w:rtl/>
        </w:rPr>
        <w:t xml:space="preserve"> </w:t>
      </w:r>
      <w:r w:rsidRPr="00AA5065">
        <w:rPr>
          <w:rFonts w:eastAsia="Calibri" w:hint="eastAsia"/>
          <w:rtl/>
        </w:rPr>
        <w:t>מסרה</w:t>
      </w:r>
      <w:r w:rsidRPr="00AA5065">
        <w:rPr>
          <w:rFonts w:eastAsia="Calibri"/>
          <w:rtl/>
        </w:rPr>
        <w:t xml:space="preserve"> </w:t>
      </w:r>
      <w:r w:rsidRPr="00AA5065">
        <w:rPr>
          <w:rFonts w:eastAsia="Calibri" w:hint="eastAsia"/>
          <w:rtl/>
        </w:rPr>
        <w:t>בתשובתה</w:t>
      </w:r>
      <w:r w:rsidRPr="00AA5065">
        <w:rPr>
          <w:rFonts w:eastAsia="Calibri"/>
          <w:rtl/>
        </w:rPr>
        <w:t xml:space="preserve"> </w:t>
      </w:r>
      <w:r w:rsidRPr="00AA5065">
        <w:rPr>
          <w:rFonts w:eastAsia="Calibri" w:hint="cs"/>
          <w:rtl/>
        </w:rPr>
        <w:t xml:space="preserve">לדוח הקודם </w:t>
      </w:r>
      <w:r w:rsidRPr="00AA5065">
        <w:rPr>
          <w:rFonts w:eastAsia="Calibri" w:hint="eastAsia"/>
          <w:rtl/>
        </w:rPr>
        <w:t>מיום</w:t>
      </w:r>
      <w:r w:rsidRPr="00AA5065">
        <w:rPr>
          <w:rFonts w:eastAsia="Calibri"/>
          <w:rtl/>
        </w:rPr>
        <w:t xml:space="preserve"> 12.1.21 </w:t>
      </w:r>
      <w:r w:rsidRPr="00AA5065">
        <w:rPr>
          <w:rFonts w:eastAsia="Calibri" w:hint="eastAsia"/>
          <w:rtl/>
        </w:rPr>
        <w:t>כי</w:t>
      </w:r>
      <w:r w:rsidRPr="00AA5065">
        <w:rPr>
          <w:rFonts w:eastAsia="Calibri"/>
          <w:rtl/>
        </w:rPr>
        <w:t xml:space="preserve"> </w:t>
      </w:r>
      <w:r w:rsidRPr="00AA5065">
        <w:rPr>
          <w:rFonts w:eastAsia="Calibri" w:hint="eastAsia"/>
          <w:rtl/>
        </w:rPr>
        <w:t>בוצע</w:t>
      </w:r>
      <w:r w:rsidRPr="00AA5065">
        <w:rPr>
          <w:rFonts w:eastAsia="Calibri"/>
          <w:rtl/>
        </w:rPr>
        <w:t xml:space="preserve"> </w:t>
      </w:r>
      <w:r w:rsidRPr="00AA5065">
        <w:rPr>
          <w:rFonts w:eastAsia="Calibri" w:hint="eastAsia"/>
          <w:rtl/>
        </w:rPr>
        <w:t>פרויקט</w:t>
      </w:r>
      <w:r w:rsidRPr="00AA5065">
        <w:rPr>
          <w:rFonts w:eastAsia="Calibri"/>
          <w:rtl/>
        </w:rPr>
        <w:t xml:space="preserve"> </w:t>
      </w:r>
      <w:r w:rsidRPr="00AA5065">
        <w:rPr>
          <w:rFonts w:eastAsia="Calibri" w:hint="eastAsia"/>
          <w:rtl/>
        </w:rPr>
        <w:t>סניטציה</w:t>
      </w:r>
      <w:r w:rsidRPr="00AA5065">
        <w:rPr>
          <w:rFonts w:eastAsia="Calibri"/>
          <w:rtl/>
        </w:rPr>
        <w:t xml:space="preserve"> </w:t>
      </w:r>
      <w:r w:rsidRPr="00AA5065">
        <w:rPr>
          <w:rFonts w:eastAsia="Calibri" w:hint="eastAsia"/>
          <w:rtl/>
        </w:rPr>
        <w:t>לטיפול</w:t>
      </w:r>
      <w:r w:rsidRPr="00AA5065">
        <w:rPr>
          <w:rFonts w:eastAsia="Calibri"/>
          <w:rtl/>
        </w:rPr>
        <w:t xml:space="preserve"> </w:t>
      </w:r>
      <w:r w:rsidRPr="00AA5065">
        <w:rPr>
          <w:rFonts w:eastAsia="Calibri" w:hint="eastAsia"/>
          <w:rtl/>
        </w:rPr>
        <w:t>בפגרי</w:t>
      </w:r>
      <w:r w:rsidRPr="00AA5065">
        <w:rPr>
          <w:rFonts w:eastAsia="Calibri"/>
          <w:rtl/>
        </w:rPr>
        <w:t xml:space="preserve"> </w:t>
      </w:r>
      <w:r w:rsidRPr="00AA5065">
        <w:rPr>
          <w:rFonts w:eastAsia="Calibri" w:hint="eastAsia"/>
          <w:rtl/>
        </w:rPr>
        <w:t>בעלי</w:t>
      </w:r>
      <w:r w:rsidRPr="00AA5065">
        <w:rPr>
          <w:rFonts w:eastAsia="Calibri"/>
          <w:rtl/>
        </w:rPr>
        <w:t xml:space="preserve"> </w:t>
      </w:r>
      <w:r w:rsidRPr="00AA5065">
        <w:rPr>
          <w:rFonts w:eastAsia="Calibri" w:hint="eastAsia"/>
          <w:rtl/>
        </w:rPr>
        <w:t>חיים</w:t>
      </w:r>
      <w:r w:rsidRPr="00AA5065">
        <w:rPr>
          <w:rFonts w:eastAsia="Calibri"/>
          <w:rtl/>
        </w:rPr>
        <w:t xml:space="preserve">. </w:t>
      </w:r>
      <w:r w:rsidRPr="00AA5065">
        <w:rPr>
          <w:rFonts w:eastAsia="Calibri" w:hint="eastAsia"/>
          <w:rtl/>
        </w:rPr>
        <w:t>הפרויקט</w:t>
      </w:r>
      <w:r w:rsidRPr="00AA5065">
        <w:rPr>
          <w:rFonts w:eastAsia="Calibri"/>
          <w:rtl/>
        </w:rPr>
        <w:t xml:space="preserve"> </w:t>
      </w:r>
      <w:r w:rsidRPr="00AA5065">
        <w:rPr>
          <w:rFonts w:eastAsia="Calibri" w:hint="eastAsia"/>
          <w:rtl/>
        </w:rPr>
        <w:t>הביא</w:t>
      </w:r>
      <w:r w:rsidRPr="00AA5065">
        <w:rPr>
          <w:rFonts w:eastAsia="Calibri"/>
          <w:rtl/>
        </w:rPr>
        <w:t xml:space="preserve"> </w:t>
      </w:r>
      <w:r w:rsidRPr="00AA5065">
        <w:rPr>
          <w:rFonts w:eastAsia="Calibri" w:hint="eastAsia"/>
          <w:rtl/>
        </w:rPr>
        <w:t>לשינוי</w:t>
      </w:r>
      <w:r w:rsidRPr="00AA5065">
        <w:rPr>
          <w:rFonts w:eastAsia="Calibri"/>
          <w:rtl/>
        </w:rPr>
        <w:t xml:space="preserve"> </w:t>
      </w:r>
      <w:r w:rsidRPr="00AA5065">
        <w:rPr>
          <w:rFonts w:eastAsia="Calibri" w:hint="eastAsia"/>
          <w:rtl/>
        </w:rPr>
        <w:t>בשטח</w:t>
      </w:r>
      <w:r w:rsidRPr="00AA5065">
        <w:rPr>
          <w:rFonts w:eastAsia="Calibri" w:hint="cs"/>
          <w:rtl/>
        </w:rPr>
        <w:t>,</w:t>
      </w:r>
      <w:r w:rsidRPr="00AA5065">
        <w:rPr>
          <w:rFonts w:eastAsia="Calibri"/>
          <w:rtl/>
        </w:rPr>
        <w:t xml:space="preserve"> </w:t>
      </w:r>
      <w:r w:rsidRPr="00AA5065">
        <w:rPr>
          <w:rFonts w:eastAsia="Calibri" w:hint="eastAsia"/>
          <w:rtl/>
        </w:rPr>
        <w:t>וראוי</w:t>
      </w:r>
      <w:r w:rsidRPr="00AA5065">
        <w:rPr>
          <w:rFonts w:eastAsia="Calibri"/>
          <w:rtl/>
        </w:rPr>
        <w:t xml:space="preserve"> </w:t>
      </w:r>
      <w:r w:rsidRPr="00AA5065">
        <w:rPr>
          <w:rFonts w:eastAsia="Calibri" w:hint="eastAsia"/>
          <w:rtl/>
        </w:rPr>
        <w:t>למסד</w:t>
      </w:r>
      <w:r w:rsidRPr="00AA5065">
        <w:rPr>
          <w:rFonts w:eastAsia="Calibri"/>
          <w:rtl/>
        </w:rPr>
        <w:t xml:space="preserve"> </w:t>
      </w:r>
      <w:r w:rsidRPr="00AA5065">
        <w:rPr>
          <w:rFonts w:eastAsia="Calibri" w:hint="eastAsia"/>
          <w:rtl/>
        </w:rPr>
        <w:t>אותו</w:t>
      </w:r>
      <w:r w:rsidRPr="00AA5065">
        <w:rPr>
          <w:rFonts w:eastAsia="Calibri"/>
          <w:rtl/>
        </w:rPr>
        <w:t xml:space="preserve"> </w:t>
      </w:r>
      <w:r w:rsidRPr="00AA5065">
        <w:rPr>
          <w:rFonts w:eastAsia="Calibri" w:hint="eastAsia"/>
          <w:rtl/>
        </w:rPr>
        <w:t>ולקבע</w:t>
      </w:r>
      <w:r w:rsidRPr="00AA5065">
        <w:rPr>
          <w:rFonts w:eastAsia="Calibri"/>
          <w:rtl/>
        </w:rPr>
        <w:t xml:space="preserve"> </w:t>
      </w:r>
      <w:r w:rsidRPr="00AA5065">
        <w:rPr>
          <w:rFonts w:eastAsia="Calibri" w:hint="eastAsia"/>
          <w:rtl/>
        </w:rPr>
        <w:t>את</w:t>
      </w:r>
      <w:r w:rsidRPr="00AA5065">
        <w:rPr>
          <w:rFonts w:eastAsia="Calibri"/>
          <w:rtl/>
        </w:rPr>
        <w:t xml:space="preserve"> </w:t>
      </w:r>
      <w:r w:rsidRPr="00AA5065">
        <w:rPr>
          <w:rFonts w:eastAsia="Calibri" w:hint="eastAsia"/>
          <w:rtl/>
        </w:rPr>
        <w:t>תקציבו</w:t>
      </w:r>
      <w:r w:rsidRPr="00AA5065">
        <w:rPr>
          <w:rFonts w:eastAsia="Calibri"/>
          <w:rtl/>
        </w:rPr>
        <w:t xml:space="preserve">. </w:t>
      </w:r>
      <w:r w:rsidRPr="00AA5065">
        <w:rPr>
          <w:rFonts w:eastAsia="Calibri" w:hint="eastAsia"/>
          <w:rtl/>
        </w:rPr>
        <w:t>נוסף</w:t>
      </w:r>
      <w:r w:rsidRPr="00AA5065">
        <w:rPr>
          <w:rFonts w:eastAsia="Calibri"/>
          <w:rtl/>
        </w:rPr>
        <w:t xml:space="preserve"> </w:t>
      </w:r>
      <w:r w:rsidRPr="00AA5065">
        <w:rPr>
          <w:rFonts w:eastAsia="Calibri" w:hint="cs"/>
          <w:rtl/>
        </w:rPr>
        <w:t xml:space="preserve">על כך </w:t>
      </w:r>
      <w:r w:rsidRPr="00AA5065">
        <w:rPr>
          <w:rFonts w:eastAsia="Calibri" w:hint="eastAsia"/>
          <w:rtl/>
        </w:rPr>
        <w:t>ציינה</w:t>
      </w:r>
      <w:r w:rsidRPr="00AA5065">
        <w:rPr>
          <w:rFonts w:eastAsia="Calibri"/>
          <w:rtl/>
        </w:rPr>
        <w:t xml:space="preserve"> </w:t>
      </w:r>
      <w:r w:rsidRPr="00AA5065">
        <w:rPr>
          <w:rFonts w:eastAsia="Calibri" w:hint="eastAsia"/>
          <w:rtl/>
        </w:rPr>
        <w:t>רט</w:t>
      </w:r>
      <w:r w:rsidRPr="00AA5065">
        <w:rPr>
          <w:rFonts w:eastAsia="Calibri"/>
          <w:rtl/>
        </w:rPr>
        <w:t xml:space="preserve">"ג </w:t>
      </w:r>
      <w:r w:rsidRPr="00AA5065">
        <w:rPr>
          <w:rFonts w:eastAsia="Calibri" w:hint="eastAsia"/>
          <w:rtl/>
        </w:rPr>
        <w:t>כי</w:t>
      </w:r>
      <w:r w:rsidRPr="00AA5065">
        <w:rPr>
          <w:rFonts w:eastAsia="Calibri"/>
          <w:rtl/>
        </w:rPr>
        <w:t xml:space="preserve"> </w:t>
      </w:r>
      <w:r w:rsidRPr="00AA5065">
        <w:rPr>
          <w:rFonts w:eastAsia="Calibri" w:hint="eastAsia"/>
          <w:rtl/>
        </w:rPr>
        <w:t>בשטחים</w:t>
      </w:r>
      <w:r w:rsidRPr="00AA5065">
        <w:rPr>
          <w:rFonts w:eastAsia="Calibri"/>
          <w:rtl/>
        </w:rPr>
        <w:t xml:space="preserve"> </w:t>
      </w:r>
      <w:r w:rsidRPr="00AA5065">
        <w:rPr>
          <w:rFonts w:eastAsia="Calibri" w:hint="eastAsia"/>
          <w:rtl/>
        </w:rPr>
        <w:t>הגליליים</w:t>
      </w:r>
      <w:r w:rsidRPr="00AA5065">
        <w:rPr>
          <w:rFonts w:eastAsia="Calibri"/>
          <w:rtl/>
        </w:rPr>
        <w:t xml:space="preserve">, </w:t>
      </w:r>
      <w:r w:rsidRPr="00AA5065">
        <w:rPr>
          <w:rFonts w:eastAsia="Calibri" w:hint="eastAsia"/>
          <w:rtl/>
        </w:rPr>
        <w:t>שבהם</w:t>
      </w:r>
      <w:r w:rsidRPr="00AA5065">
        <w:rPr>
          <w:rFonts w:eastAsia="Calibri"/>
          <w:rtl/>
        </w:rPr>
        <w:t xml:space="preserve"> </w:t>
      </w:r>
      <w:r w:rsidRPr="00AA5065">
        <w:rPr>
          <w:rFonts w:eastAsia="Calibri" w:hint="eastAsia"/>
          <w:rtl/>
        </w:rPr>
        <w:t>נמצאים</w:t>
      </w:r>
      <w:r w:rsidRPr="00AA5065">
        <w:rPr>
          <w:rFonts w:eastAsia="Calibri"/>
          <w:rtl/>
        </w:rPr>
        <w:t xml:space="preserve"> </w:t>
      </w:r>
      <w:r w:rsidRPr="00AA5065">
        <w:rPr>
          <w:rFonts w:eastAsia="Calibri" w:hint="eastAsia"/>
          <w:rtl/>
        </w:rPr>
        <w:t>היישובים</w:t>
      </w:r>
      <w:r w:rsidRPr="00AA5065">
        <w:rPr>
          <w:rFonts w:eastAsia="Calibri"/>
          <w:rtl/>
        </w:rPr>
        <w:t xml:space="preserve"> </w:t>
      </w:r>
      <w:r w:rsidRPr="00AA5065">
        <w:rPr>
          <w:rFonts w:eastAsia="Calibri" w:hint="eastAsia"/>
          <w:rtl/>
        </w:rPr>
        <w:t>הלא</w:t>
      </w:r>
      <w:r w:rsidRPr="00AA5065">
        <w:rPr>
          <w:rFonts w:eastAsia="Calibri"/>
          <w:rtl/>
        </w:rPr>
        <w:t>-</w:t>
      </w:r>
      <w:r w:rsidRPr="00AA5065">
        <w:rPr>
          <w:rFonts w:eastAsia="Calibri" w:hint="eastAsia"/>
          <w:rtl/>
        </w:rPr>
        <w:t>מוסדרים</w:t>
      </w:r>
      <w:r w:rsidRPr="00AA5065">
        <w:rPr>
          <w:rFonts w:eastAsia="Calibri"/>
          <w:rtl/>
        </w:rPr>
        <w:t xml:space="preserve">, אין יחידת פיקוח ברמה </w:t>
      </w:r>
      <w:r w:rsidRPr="00AA5065">
        <w:rPr>
          <w:rFonts w:eastAsia="Calibri" w:hint="eastAsia"/>
          <w:rtl/>
        </w:rPr>
        <w:t>המקומית</w:t>
      </w:r>
      <w:r w:rsidRPr="00AA5065">
        <w:rPr>
          <w:rFonts w:eastAsia="Calibri"/>
          <w:rtl/>
        </w:rPr>
        <w:t xml:space="preserve"> או </w:t>
      </w:r>
      <w:r w:rsidRPr="00AA5065">
        <w:rPr>
          <w:rFonts w:eastAsia="Calibri" w:hint="eastAsia"/>
          <w:rtl/>
        </w:rPr>
        <w:t>המחוזית</w:t>
      </w:r>
      <w:r w:rsidRPr="00AA5065">
        <w:rPr>
          <w:rFonts w:eastAsia="Calibri"/>
          <w:rtl/>
        </w:rPr>
        <w:t xml:space="preserve"> </w:t>
      </w:r>
      <w:r w:rsidRPr="00AA5065">
        <w:rPr>
          <w:rFonts w:eastAsia="Calibri" w:hint="eastAsia"/>
          <w:rtl/>
        </w:rPr>
        <w:t>שמבצעת</w:t>
      </w:r>
      <w:r w:rsidRPr="00AA5065">
        <w:rPr>
          <w:rFonts w:eastAsia="Calibri"/>
          <w:rtl/>
        </w:rPr>
        <w:t xml:space="preserve"> </w:t>
      </w:r>
      <w:r w:rsidRPr="00AA5065">
        <w:rPr>
          <w:rFonts w:eastAsia="Calibri" w:hint="eastAsia"/>
          <w:rtl/>
        </w:rPr>
        <w:t>אכיפה</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חוקי</w:t>
      </w:r>
      <w:r w:rsidRPr="00AA5065">
        <w:rPr>
          <w:rFonts w:eastAsia="Calibri"/>
          <w:rtl/>
        </w:rPr>
        <w:t xml:space="preserve"> </w:t>
      </w:r>
      <w:r w:rsidRPr="00AA5065">
        <w:rPr>
          <w:rFonts w:eastAsia="Calibri" w:hint="eastAsia"/>
          <w:rtl/>
        </w:rPr>
        <w:t>הסביבה</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ascii="David" w:eastAsia="Times New Roman" w:hAnsi="David" w:hint="cs"/>
          <w:sz w:val="24"/>
          <w:rtl/>
          <w:lang w:eastAsia="he-IL"/>
        </w:rPr>
        <w:t>בדיווח המשרד להג"ס במסגרת הערות ראש הממשלה מאוגוסט 2021 לדוח מבקר המדינה נכתב כי</w:t>
      </w:r>
      <w:r w:rsidRPr="00AA5065">
        <w:rPr>
          <w:rFonts w:eastAsia="Calibri"/>
          <w:rtl/>
        </w:rPr>
        <w:t xml:space="preserve"> פינוי פגרי צאן ובקר תוקצב במסגרת החלטות הממשלה האחרונות ע</w:t>
      </w:r>
      <w:r w:rsidRPr="00AA5065">
        <w:rPr>
          <w:rFonts w:eastAsia="Calibri" w:hint="cs"/>
          <w:rtl/>
        </w:rPr>
        <w:t>ל יד</w:t>
      </w:r>
      <w:r w:rsidRPr="00AA5065">
        <w:rPr>
          <w:rFonts w:eastAsia="Calibri"/>
          <w:rtl/>
        </w:rPr>
        <w:t>י המשרד להג</w:t>
      </w:r>
      <w:r w:rsidRPr="00AA5065">
        <w:rPr>
          <w:rFonts w:eastAsia="Calibri" w:hint="cs"/>
          <w:rtl/>
        </w:rPr>
        <w:t>"ס</w:t>
      </w:r>
      <w:r w:rsidRPr="00AA5065">
        <w:rPr>
          <w:rFonts w:eastAsia="Calibri"/>
          <w:rtl/>
        </w:rPr>
        <w:t xml:space="preserve"> וזכה לתקצוב משלים מרט"ג וממשרד החקלאות. עם זאת, המערך הנוכחי אינו</w:t>
      </w:r>
      <w:r w:rsidRPr="00AA5065">
        <w:rPr>
          <w:rFonts w:eastAsia="Calibri" w:hint="cs"/>
          <w:rtl/>
        </w:rPr>
        <w:t xml:space="preserve"> </w:t>
      </w:r>
      <w:r w:rsidRPr="00AA5065">
        <w:rPr>
          <w:rFonts w:eastAsia="Calibri"/>
          <w:rtl/>
        </w:rPr>
        <w:t xml:space="preserve">נותן פתרון לסוגיית הפסדים. הפתרון לסוגיות אלו צריך </w:t>
      </w:r>
      <w:r w:rsidRPr="00AA5065">
        <w:rPr>
          <w:rFonts w:eastAsia="Calibri" w:hint="cs"/>
          <w:rtl/>
        </w:rPr>
        <w:t>להיות חלק מפעילותן של</w:t>
      </w:r>
      <w:r w:rsidRPr="00AA5065">
        <w:rPr>
          <w:rFonts w:eastAsia="Calibri"/>
          <w:rtl/>
        </w:rPr>
        <w:t xml:space="preserve"> יחידות האכיפה של</w:t>
      </w:r>
      <w:r w:rsidRPr="00AA5065">
        <w:rPr>
          <w:rFonts w:eastAsia="Calibri" w:hint="cs"/>
          <w:rtl/>
        </w:rPr>
        <w:t xml:space="preserve"> </w:t>
      </w:r>
      <w:r w:rsidRPr="00AA5065">
        <w:rPr>
          <w:rFonts w:eastAsia="Calibri"/>
          <w:rtl/>
        </w:rPr>
        <w:t>הרשויות המקומיות.</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ממצגת לסיכום שנת 2024 בנושא סניטציה שהתקבלה מרט"ג עולה כי נאספו כ-355 טונות של פגרים בשנה זו, וכי תופעת השלכת הפגרים באזורי הסייג עדיין קיימת. עוד עלה כי המועצות האזוריות אינן נותנות מענה לאיסוף אשפה, פסדים ופגרים בשטחים הפתוחים והמבונים, וכי אין מענה לשחיטה מסורתית, והפסדים מושלכים בשטחים פתוחים.</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באוגוסט 2024 ערכו נציגי משרד מבקר המדינה סיור באזור תל שבע. בתמונה 5 שלהלן מוצגת השלכת פגרי בעלי חיים בצורה בלתי מוסדרת ומסוכנת.</w:t>
      </w:r>
    </w:p>
    <w:p w:rsidR="00AA5065" w:rsidRPr="00AA5065" w:rsidP="00860D89">
      <w:pPr>
        <w:spacing w:line="269" w:lineRule="auto"/>
        <w:ind w:left="-567"/>
        <w:rPr>
          <w:rFonts w:eastAsia="Calibri"/>
          <w:szCs w:val="20"/>
          <w:rtl/>
        </w:rPr>
      </w:pPr>
    </w:p>
    <w:p w:rsidR="00AA5065" w:rsidRPr="00AA5065" w:rsidP="006649F9">
      <w:pPr>
        <w:spacing w:after="120" w:line="269" w:lineRule="auto"/>
        <w:ind w:left="454"/>
        <w:jc w:val="center"/>
        <w:rPr>
          <w:rFonts w:eastAsia="Calibri"/>
          <w:b/>
          <w:bCs/>
          <w:sz w:val="24"/>
          <w:rtl/>
        </w:rPr>
      </w:pPr>
      <w:bookmarkStart w:id="60" w:name="_Hlk205373330"/>
      <w:r w:rsidRPr="00AA5065">
        <w:rPr>
          <w:rFonts w:eastAsia="Calibri" w:hint="cs"/>
          <w:sz w:val="24"/>
          <w:rtl/>
        </w:rPr>
        <w:t xml:space="preserve">תמונה 5: </w:t>
      </w:r>
      <w:r w:rsidRPr="00AA5065">
        <w:rPr>
          <w:rFonts w:eastAsia="Calibri" w:hint="cs"/>
          <w:b/>
          <w:bCs/>
          <w:sz w:val="24"/>
          <w:rtl/>
        </w:rPr>
        <w:t>פגרי בעלי חיים באזור תל שבע, אוגוסט 2024</w:t>
      </w:r>
    </w:p>
    <w:bookmarkEnd w:id="60"/>
    <w:p w:rsidR="00AA5065" w:rsidRPr="00AA5065" w:rsidP="00860D89">
      <w:pPr>
        <w:spacing w:line="269" w:lineRule="auto"/>
        <w:jc w:val="center"/>
        <w:rPr>
          <w:rFonts w:eastAsia="Calibri"/>
          <w:rtl/>
        </w:rPr>
      </w:pPr>
      <w:r w:rsidRPr="00AA5065">
        <w:rPr>
          <w:rFonts w:eastAsia="Calibri"/>
          <w:noProof/>
        </w:rPr>
        <w:drawing>
          <wp:inline distT="0" distB="0" distL="0" distR="0">
            <wp:extent cx="4787988" cy="3591071"/>
            <wp:effectExtent l="0" t="0" r="0" b="9525"/>
            <wp:docPr id="28" name="תמונה 28" descr="בתמונה פגר של גמ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6"/>
                    <pic:cNvPicPr>
                      <a:picLocks noChangeAspect="1" noChangeArrowheads="1"/>
                    </pic:cNvPicPr>
                  </pic:nvPicPr>
                  <pic:blipFill>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797140" cy="3597935"/>
                    </a:xfrm>
                    <a:prstGeom prst="rect">
                      <a:avLst/>
                    </a:prstGeom>
                    <a:noFill/>
                    <a:ln>
                      <a:noFill/>
                    </a:ln>
                  </pic:spPr>
                </pic:pic>
              </a:graphicData>
            </a:graphic>
          </wp:inline>
        </w:drawing>
      </w:r>
    </w:p>
    <w:p w:rsidR="00AA5065" w:rsidRPr="00AA5065" w:rsidP="006649F9">
      <w:pPr>
        <w:spacing w:before="120" w:line="269" w:lineRule="auto"/>
        <w:rPr>
          <w:rFonts w:eastAsia="Calibri"/>
          <w:sz w:val="16"/>
          <w:szCs w:val="20"/>
          <w:rtl/>
        </w:rPr>
      </w:pPr>
      <w:r w:rsidRPr="00AA5065">
        <w:rPr>
          <w:rFonts w:eastAsia="Calibri" w:hint="eastAsia"/>
          <w:sz w:val="16"/>
          <w:szCs w:val="20"/>
          <w:rtl/>
        </w:rPr>
        <w:t>צולם</w:t>
      </w:r>
      <w:r w:rsidRPr="00AA5065">
        <w:rPr>
          <w:rFonts w:eastAsia="Calibri"/>
          <w:sz w:val="16"/>
          <w:szCs w:val="20"/>
          <w:rtl/>
        </w:rPr>
        <w:t xml:space="preserve"> </w:t>
      </w:r>
      <w:r w:rsidRPr="00AA5065">
        <w:rPr>
          <w:rFonts w:eastAsia="Calibri" w:hint="eastAsia"/>
          <w:sz w:val="16"/>
          <w:szCs w:val="20"/>
          <w:rtl/>
        </w:rPr>
        <w:t>על</w:t>
      </w:r>
      <w:r w:rsidRPr="00AA5065">
        <w:rPr>
          <w:rFonts w:eastAsia="Calibri"/>
          <w:sz w:val="16"/>
          <w:szCs w:val="20"/>
          <w:rtl/>
        </w:rPr>
        <w:t xml:space="preserve"> </w:t>
      </w:r>
      <w:r w:rsidRPr="00AA5065">
        <w:rPr>
          <w:rFonts w:eastAsia="Calibri" w:hint="eastAsia"/>
          <w:sz w:val="16"/>
          <w:szCs w:val="20"/>
          <w:rtl/>
        </w:rPr>
        <w:t>ידי</w:t>
      </w:r>
      <w:r w:rsidRPr="00AA5065">
        <w:rPr>
          <w:rFonts w:eastAsia="Calibri"/>
          <w:sz w:val="16"/>
          <w:szCs w:val="20"/>
          <w:rtl/>
        </w:rPr>
        <w:t xml:space="preserve"> </w:t>
      </w:r>
      <w:r w:rsidRPr="00AA5065">
        <w:rPr>
          <w:rFonts w:eastAsia="Calibri" w:hint="cs"/>
          <w:sz w:val="16"/>
          <w:szCs w:val="20"/>
          <w:rtl/>
        </w:rPr>
        <w:t>צוות הביקורת</w:t>
      </w:r>
      <w:r w:rsidRPr="00AA5065">
        <w:rPr>
          <w:rFonts w:eastAsia="Calibri"/>
          <w:sz w:val="16"/>
          <w:szCs w:val="20"/>
          <w:rtl/>
        </w:rPr>
        <w:t xml:space="preserve"> </w:t>
      </w:r>
      <w:r w:rsidRPr="00AA5065">
        <w:rPr>
          <w:rFonts w:eastAsia="Calibri" w:hint="eastAsia"/>
          <w:sz w:val="16"/>
          <w:szCs w:val="20"/>
          <w:rtl/>
        </w:rPr>
        <w:t>ב</w:t>
      </w:r>
      <w:r w:rsidRPr="00AA5065">
        <w:rPr>
          <w:rFonts w:eastAsia="Calibri" w:hint="cs"/>
          <w:sz w:val="16"/>
          <w:szCs w:val="20"/>
          <w:rtl/>
        </w:rPr>
        <w:t>אוגוסט</w:t>
      </w:r>
      <w:r w:rsidRPr="00AA5065">
        <w:rPr>
          <w:rFonts w:eastAsia="Calibri"/>
          <w:sz w:val="16"/>
          <w:szCs w:val="20"/>
          <w:rtl/>
        </w:rPr>
        <w:t xml:space="preserve"> 202</w:t>
      </w:r>
      <w:r w:rsidRPr="00AA5065">
        <w:rPr>
          <w:rFonts w:eastAsia="Calibri" w:hint="cs"/>
          <w:sz w:val="16"/>
          <w:szCs w:val="20"/>
          <w:rtl/>
        </w:rPr>
        <w:t>4</w:t>
      </w:r>
      <w:r w:rsidRPr="00AA5065">
        <w:rPr>
          <w:rFonts w:eastAsia="Calibri"/>
          <w:sz w:val="16"/>
          <w:szCs w:val="20"/>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גם </w:t>
      </w:r>
      <w:r w:rsidRPr="00AA5065">
        <w:rPr>
          <w:rFonts w:eastAsia="Calibri" w:hint="eastAsia"/>
          <w:rtl/>
        </w:rPr>
        <w:t>המשרד</w:t>
      </w:r>
      <w:r w:rsidRPr="00AA5065">
        <w:rPr>
          <w:rFonts w:eastAsia="Calibri"/>
          <w:rtl/>
        </w:rPr>
        <w:t xml:space="preserve"> </w:t>
      </w:r>
      <w:r w:rsidRPr="00AA5065">
        <w:rPr>
          <w:rFonts w:eastAsia="Calibri" w:hint="eastAsia"/>
          <w:rtl/>
        </w:rPr>
        <w:t>להג</w:t>
      </w:r>
      <w:r w:rsidRPr="00AA5065">
        <w:rPr>
          <w:rFonts w:eastAsia="Calibri" w:hint="cs"/>
          <w:rtl/>
        </w:rPr>
        <w:t>"ס</w:t>
      </w:r>
      <w:r w:rsidRPr="00AA5065">
        <w:rPr>
          <w:rFonts w:eastAsia="Calibri"/>
          <w:rtl/>
        </w:rPr>
        <w:t xml:space="preserve"> </w:t>
      </w:r>
      <w:r w:rsidRPr="00AA5065">
        <w:rPr>
          <w:rFonts w:eastAsia="Calibri" w:hint="eastAsia"/>
          <w:rtl/>
        </w:rPr>
        <w:t>נתקל</w:t>
      </w:r>
      <w:r w:rsidRPr="00AA5065">
        <w:rPr>
          <w:rFonts w:eastAsia="Calibri"/>
          <w:rtl/>
        </w:rPr>
        <w:t xml:space="preserve"> </w:t>
      </w:r>
      <w:r w:rsidRPr="00AA5065">
        <w:rPr>
          <w:rFonts w:eastAsia="Calibri" w:hint="eastAsia"/>
          <w:rtl/>
        </w:rPr>
        <w:t>בתופעה</w:t>
      </w:r>
      <w:r w:rsidRPr="00AA5065">
        <w:rPr>
          <w:rFonts w:eastAsia="Calibri"/>
          <w:rtl/>
        </w:rPr>
        <w:t xml:space="preserve"> </w:t>
      </w:r>
      <w:r w:rsidRPr="00AA5065">
        <w:rPr>
          <w:rFonts w:eastAsia="Calibri" w:hint="cs"/>
          <w:rtl/>
        </w:rPr>
        <w:t>של השלכת פגרי גמלים, פגרי צאן ופגרי עופות בצורה בלתי מרוסנת בשטח,</w:t>
      </w:r>
      <w:r w:rsidRPr="00AA5065">
        <w:rPr>
          <w:rFonts w:eastAsia="Calibri"/>
          <w:rtl/>
        </w:rPr>
        <w:t xml:space="preserve"> </w:t>
      </w:r>
      <w:r w:rsidRPr="00AA5065">
        <w:rPr>
          <w:rFonts w:eastAsia="Calibri" w:hint="eastAsia"/>
          <w:rtl/>
        </w:rPr>
        <w:t>במסגרת</w:t>
      </w:r>
      <w:r w:rsidRPr="00AA5065">
        <w:rPr>
          <w:rFonts w:eastAsia="Calibri"/>
          <w:rtl/>
        </w:rPr>
        <w:t xml:space="preserve"> </w:t>
      </w:r>
      <w:r w:rsidRPr="00AA5065">
        <w:rPr>
          <w:rFonts w:eastAsia="Calibri" w:hint="eastAsia"/>
          <w:rtl/>
        </w:rPr>
        <w:t>סיורי</w:t>
      </w:r>
      <w:r w:rsidRPr="00AA5065">
        <w:rPr>
          <w:rFonts w:eastAsia="Calibri"/>
          <w:rtl/>
        </w:rPr>
        <w:t xml:space="preserve"> </w:t>
      </w:r>
      <w:r w:rsidRPr="00AA5065">
        <w:rPr>
          <w:rFonts w:eastAsia="Calibri" w:hint="eastAsia"/>
          <w:rtl/>
        </w:rPr>
        <w:t>הפיקוח</w:t>
      </w:r>
      <w:r w:rsidRPr="00AA5065">
        <w:rPr>
          <w:rFonts w:eastAsia="Calibri"/>
          <w:rtl/>
        </w:rPr>
        <w:t xml:space="preserve"> </w:t>
      </w:r>
      <w:r w:rsidRPr="00AA5065">
        <w:rPr>
          <w:rFonts w:eastAsia="Calibri" w:hint="cs"/>
          <w:rtl/>
        </w:rPr>
        <w:t>שהוא עורך</w:t>
      </w:r>
      <w:r w:rsidRPr="00AA5065">
        <w:rPr>
          <w:rFonts w:eastAsia="Calibri"/>
          <w:rtl/>
        </w:rPr>
        <w:t xml:space="preserve">. </w:t>
      </w:r>
      <w:r w:rsidRPr="00AA5065">
        <w:rPr>
          <w:rFonts w:eastAsia="Calibri" w:hint="eastAsia"/>
          <w:rtl/>
        </w:rPr>
        <w:t>לדוגמה</w:t>
      </w:r>
      <w:r w:rsidRPr="00AA5065">
        <w:rPr>
          <w:rFonts w:eastAsia="Calibri" w:hint="cs"/>
          <w:rtl/>
        </w:rPr>
        <w:t>,</w:t>
      </w:r>
      <w:r w:rsidRPr="00AA5065">
        <w:rPr>
          <w:rFonts w:eastAsia="Calibri"/>
          <w:rtl/>
        </w:rPr>
        <w:t xml:space="preserve"> </w:t>
      </w:r>
      <w:r w:rsidRPr="00AA5065">
        <w:rPr>
          <w:rFonts w:eastAsia="Calibri" w:hint="eastAsia"/>
          <w:rtl/>
        </w:rPr>
        <w:t>בדוח</w:t>
      </w:r>
      <w:r w:rsidRPr="00AA5065">
        <w:rPr>
          <w:rFonts w:eastAsia="Calibri"/>
          <w:rtl/>
        </w:rPr>
        <w:t xml:space="preserve"> </w:t>
      </w:r>
      <w:r w:rsidRPr="00AA5065">
        <w:rPr>
          <w:rFonts w:eastAsia="Calibri" w:hint="eastAsia"/>
          <w:rtl/>
        </w:rPr>
        <w:t>סיור</w:t>
      </w:r>
      <w:r w:rsidRPr="00AA5065">
        <w:rPr>
          <w:rFonts w:eastAsia="Calibri"/>
          <w:rtl/>
        </w:rPr>
        <w:t xml:space="preserve"> מיום </w:t>
      </w:r>
      <w:r w:rsidRPr="00AA5065">
        <w:rPr>
          <w:rFonts w:eastAsia="Calibri" w:hint="cs"/>
          <w:rtl/>
        </w:rPr>
        <w:t>4</w:t>
      </w:r>
      <w:r w:rsidRPr="00AA5065">
        <w:rPr>
          <w:rFonts w:eastAsia="Calibri"/>
          <w:rtl/>
        </w:rPr>
        <w:t>.</w:t>
      </w:r>
      <w:r w:rsidRPr="00AA5065">
        <w:rPr>
          <w:rFonts w:eastAsia="Calibri" w:hint="cs"/>
          <w:rtl/>
        </w:rPr>
        <w:t>7</w:t>
      </w:r>
      <w:r w:rsidRPr="00AA5065">
        <w:rPr>
          <w:rFonts w:eastAsia="Calibri"/>
          <w:rtl/>
        </w:rPr>
        <w:t>.</w:t>
      </w:r>
      <w:r w:rsidRPr="00AA5065">
        <w:rPr>
          <w:rFonts w:eastAsia="Calibri" w:hint="cs"/>
          <w:rtl/>
        </w:rPr>
        <w:t>24</w:t>
      </w:r>
      <w:r w:rsidRPr="00AA5065">
        <w:rPr>
          <w:rFonts w:eastAsia="Calibri"/>
          <w:rtl/>
        </w:rPr>
        <w:t xml:space="preserve"> ששלח </w:t>
      </w:r>
      <w:r w:rsidRPr="00AA5065">
        <w:rPr>
          <w:rFonts w:eastAsia="Calibri" w:hint="eastAsia"/>
          <w:rtl/>
        </w:rPr>
        <w:t>מחוז</w:t>
      </w:r>
      <w:r w:rsidRPr="00AA5065">
        <w:rPr>
          <w:rFonts w:eastAsia="Calibri"/>
          <w:rtl/>
        </w:rPr>
        <w:t xml:space="preserve"> </w:t>
      </w:r>
      <w:r w:rsidRPr="00AA5065">
        <w:rPr>
          <w:rFonts w:eastAsia="Calibri" w:hint="eastAsia"/>
          <w:rtl/>
        </w:rPr>
        <w:t>דרום</w:t>
      </w:r>
      <w:r w:rsidRPr="00AA5065">
        <w:rPr>
          <w:rFonts w:eastAsia="Calibri"/>
          <w:rtl/>
        </w:rPr>
        <w:t xml:space="preserve"> </w:t>
      </w:r>
      <w:r w:rsidRPr="00AA5065">
        <w:rPr>
          <w:rFonts w:eastAsia="Calibri" w:hint="cs"/>
          <w:rtl/>
        </w:rPr>
        <w:t xml:space="preserve">למנהל אגף שפ"ע של עיריית רהט </w:t>
      </w:r>
      <w:r w:rsidRPr="00AA5065">
        <w:rPr>
          <w:rFonts w:eastAsia="Calibri" w:hint="eastAsia"/>
          <w:rtl/>
        </w:rPr>
        <w:t>נכתב</w:t>
      </w:r>
      <w:r w:rsidRPr="00AA5065">
        <w:rPr>
          <w:rFonts w:eastAsia="Calibri"/>
          <w:rtl/>
        </w:rPr>
        <w:t xml:space="preserve">, </w:t>
      </w:r>
      <w:r w:rsidRPr="00AA5065">
        <w:rPr>
          <w:rFonts w:eastAsia="Calibri" w:hint="eastAsia"/>
          <w:rtl/>
        </w:rPr>
        <w:t>בין</w:t>
      </w:r>
      <w:r w:rsidRPr="00AA5065">
        <w:rPr>
          <w:rFonts w:eastAsia="Calibri"/>
          <w:rtl/>
        </w:rPr>
        <w:t xml:space="preserve"> </w:t>
      </w:r>
      <w:r w:rsidRPr="00AA5065">
        <w:rPr>
          <w:rFonts w:eastAsia="Calibri" w:hint="eastAsia"/>
          <w:rtl/>
        </w:rPr>
        <w:t>השאר</w:t>
      </w:r>
      <w:r w:rsidRPr="00AA5065">
        <w:rPr>
          <w:rFonts w:eastAsia="Calibri"/>
          <w:rtl/>
        </w:rPr>
        <w:t xml:space="preserve">, </w:t>
      </w:r>
      <w:r w:rsidRPr="00AA5065">
        <w:rPr>
          <w:rFonts w:eastAsia="Calibri" w:hint="eastAsia"/>
          <w:rtl/>
        </w:rPr>
        <w:t>כי</w:t>
      </w:r>
      <w:r w:rsidRPr="00AA5065">
        <w:rPr>
          <w:rFonts w:eastAsia="Calibri"/>
          <w:rtl/>
        </w:rPr>
        <w:t xml:space="preserve"> "</w:t>
      </w:r>
      <w:r w:rsidRPr="00AA5065">
        <w:rPr>
          <w:rFonts w:eastAsia="Calibri" w:hint="cs"/>
          <w:rtl/>
        </w:rPr>
        <w:t xml:space="preserve">לאור רצון עירית רהט בפינוי פסדים ופגרים משטח העיריה נערך סיור בתחום העיר ומסביב לעיר רהט... </w:t>
      </w:r>
      <w:r w:rsidRPr="00AA5065">
        <w:rPr>
          <w:rFonts w:eastAsia="Calibri"/>
          <w:rtl/>
        </w:rPr>
        <w:t xml:space="preserve">הסיור נערך בשני מקומות המוכרים </w:t>
      </w:r>
      <w:r w:rsidRPr="00AA5065">
        <w:rPr>
          <w:rFonts w:eastAsia="Calibri" w:hint="cs"/>
          <w:rtl/>
        </w:rPr>
        <w:t>ש</w:t>
      </w:r>
      <w:r w:rsidRPr="00AA5065">
        <w:rPr>
          <w:rFonts w:eastAsia="Calibri"/>
          <w:rtl/>
        </w:rPr>
        <w:t>בהן מושלכת פסולת פסדים ופגרים בצורה לא</w:t>
      </w:r>
      <w:r w:rsidRPr="00AA5065">
        <w:rPr>
          <w:rFonts w:eastAsia="Calibri" w:hint="cs"/>
          <w:rtl/>
        </w:rPr>
        <w:t xml:space="preserve"> </w:t>
      </w:r>
      <w:r w:rsidRPr="00AA5065">
        <w:rPr>
          <w:rFonts w:eastAsia="Calibri"/>
          <w:rtl/>
        </w:rPr>
        <w:t>חוקית:</w:t>
      </w:r>
    </w:p>
    <w:p w:rsidR="00AA5065" w:rsidRPr="00AA5065" w:rsidP="00860D89">
      <w:pPr>
        <w:spacing w:line="269" w:lineRule="auto"/>
        <w:rPr>
          <w:rFonts w:eastAsia="Calibri"/>
          <w:rtl/>
        </w:rPr>
      </w:pPr>
    </w:p>
    <w:p w:rsidR="00AA5065" w:rsidRPr="00AA5065" w:rsidP="00860D89">
      <w:pPr>
        <w:numPr>
          <w:ilvl w:val="0"/>
          <w:numId w:val="13"/>
        </w:numPr>
        <w:spacing w:line="269" w:lineRule="auto"/>
        <w:ind w:left="312"/>
        <w:rPr>
          <w:rFonts w:eastAsia="Calibri"/>
        </w:rPr>
      </w:pPr>
      <w:r w:rsidRPr="00AA5065">
        <w:rPr>
          <w:rFonts w:eastAsia="Calibri"/>
          <w:rtl/>
        </w:rPr>
        <w:t xml:space="preserve">המקום הראשון </w:t>
      </w:r>
      <w:r w:rsidRPr="00AA5065">
        <w:rPr>
          <w:rFonts w:eastAsia="Calibri" w:hint="cs"/>
          <w:rtl/>
        </w:rPr>
        <w:t xml:space="preserve">- </w:t>
      </w:r>
      <w:r w:rsidRPr="00AA5065">
        <w:rPr>
          <w:rFonts w:eastAsia="Calibri"/>
          <w:rtl/>
        </w:rPr>
        <w:t>שביל העפר</w:t>
      </w:r>
      <w:r w:rsidRPr="00AA5065">
        <w:rPr>
          <w:rFonts w:eastAsia="Calibri" w:hint="cs"/>
          <w:rtl/>
        </w:rPr>
        <w:t xml:space="preserve"> </w:t>
      </w:r>
      <w:r w:rsidRPr="00AA5065">
        <w:rPr>
          <w:rFonts w:eastAsia="Calibri"/>
          <w:rtl/>
        </w:rPr>
        <w:t>/ כורכר שמתחיל מתחנת הדלק תפוז: לאורך השביל נצפו</w:t>
      </w:r>
      <w:r w:rsidRPr="00AA5065">
        <w:rPr>
          <w:rFonts w:eastAsia="Calibri" w:hint="cs"/>
          <w:rtl/>
        </w:rPr>
        <w:t xml:space="preserve"> </w:t>
      </w:r>
      <w:r w:rsidRPr="00AA5065">
        <w:rPr>
          <w:rFonts w:eastAsia="Calibri"/>
          <w:rtl/>
        </w:rPr>
        <w:t>פסדים ופגרים בכמות רבה המושלכת בצדדי השביל</w:t>
      </w:r>
      <w:r w:rsidRPr="00AA5065">
        <w:rPr>
          <w:rFonts w:eastAsia="Calibri" w:hint="cs"/>
          <w:rtl/>
        </w:rPr>
        <w:t>.</w:t>
      </w:r>
    </w:p>
    <w:p w:rsidR="00AA5065" w:rsidRPr="00AA5065" w:rsidP="00860D89">
      <w:pPr>
        <w:spacing w:line="269" w:lineRule="auto"/>
        <w:ind w:left="312"/>
        <w:rPr>
          <w:rFonts w:eastAsia="Calibri"/>
          <w:rtl/>
        </w:rPr>
      </w:pPr>
    </w:p>
    <w:p w:rsidR="00AA5065" w:rsidRPr="00AA5065" w:rsidP="00860D89">
      <w:pPr>
        <w:numPr>
          <w:ilvl w:val="0"/>
          <w:numId w:val="13"/>
        </w:numPr>
        <w:spacing w:line="269" w:lineRule="auto"/>
        <w:ind w:left="312"/>
        <w:rPr>
          <w:rFonts w:eastAsia="Calibri"/>
        </w:rPr>
      </w:pPr>
      <w:r w:rsidRPr="00AA5065">
        <w:rPr>
          <w:rFonts w:eastAsia="Calibri"/>
          <w:rtl/>
        </w:rPr>
        <w:t>המקום השני</w:t>
      </w:r>
      <w:r w:rsidRPr="00AA5065">
        <w:rPr>
          <w:rFonts w:eastAsia="Calibri" w:hint="cs"/>
          <w:rtl/>
        </w:rPr>
        <w:t xml:space="preserve"> </w:t>
      </w:r>
      <w:r w:rsidRPr="00AA5065">
        <w:rPr>
          <w:rFonts w:eastAsia="Calibri"/>
          <w:rtl/>
        </w:rPr>
        <w:t>- מאחורי אזור התעשייה של העיר רהט</w:t>
      </w:r>
      <w:r w:rsidRPr="00AA5065">
        <w:rPr>
          <w:rFonts w:eastAsia="Calibri" w:hint="cs"/>
          <w:rtl/>
        </w:rPr>
        <w:t xml:space="preserve">... קיים מפגע קשה של פסולת פסדים סביב רהט המחייב טיפול וגם אכיפה".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בתמונה 6 שלהלן מוצג מפגע הפגרים סביב רהט.</w:t>
      </w:r>
    </w:p>
    <w:p w:rsidR="00AA5065" w:rsidRPr="00AA5065" w:rsidP="00860D89">
      <w:pPr>
        <w:spacing w:line="269" w:lineRule="auto"/>
        <w:ind w:left="-567"/>
        <w:rPr>
          <w:rFonts w:eastAsia="Calibri"/>
          <w:szCs w:val="20"/>
          <w:rtl/>
        </w:rPr>
      </w:pPr>
    </w:p>
    <w:p w:rsidR="00AA5065" w:rsidRPr="00AA5065" w:rsidP="006649F9">
      <w:pPr>
        <w:spacing w:after="120" w:line="269" w:lineRule="auto"/>
        <w:ind w:left="454"/>
        <w:jc w:val="center"/>
        <w:rPr>
          <w:rFonts w:eastAsia="Calibri"/>
          <w:b/>
          <w:bCs/>
          <w:sz w:val="24"/>
          <w:rtl/>
        </w:rPr>
      </w:pPr>
      <w:bookmarkStart w:id="61" w:name="_Hlk205373343"/>
      <w:r w:rsidRPr="00AA5065">
        <w:rPr>
          <w:rFonts w:eastAsia="Calibri" w:hint="cs"/>
          <w:sz w:val="24"/>
          <w:rtl/>
        </w:rPr>
        <w:t>תמונה 6:</w:t>
      </w:r>
      <w:r w:rsidRPr="00AA5065">
        <w:rPr>
          <w:rFonts w:eastAsia="Calibri" w:hint="cs"/>
          <w:b/>
          <w:bCs/>
          <w:sz w:val="24"/>
          <w:rtl/>
        </w:rPr>
        <w:t xml:space="preserve"> מפגע הפגרים סביב רהט, 4.7.24</w:t>
      </w:r>
    </w:p>
    <w:bookmarkEnd w:id="61"/>
    <w:p w:rsidR="00AA5065" w:rsidRPr="00AA5065" w:rsidP="00860D89">
      <w:pPr>
        <w:spacing w:line="269" w:lineRule="auto"/>
        <w:jc w:val="center"/>
        <w:rPr>
          <w:rFonts w:eastAsia="Calibri"/>
          <w:rtl/>
        </w:rPr>
      </w:pPr>
      <w:r w:rsidRPr="00AA5065">
        <w:rPr>
          <w:rFonts w:eastAsia="Calibri"/>
          <w:noProof/>
          <w:rtl/>
        </w:rPr>
        <w:drawing>
          <wp:inline distT="0" distB="0" distL="0" distR="0">
            <wp:extent cx="4640919" cy="3335588"/>
            <wp:effectExtent l="0" t="0" r="7620" b="0"/>
            <wp:docPr id="22" name="תמונה 22" descr="פגר בעל חיים בש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5"/>
                    <pic:cNvPicPr>
                      <a:picLocks noChangeAspect="1" noChangeArrowheads="1"/>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645905" cy="3339172"/>
                    </a:xfrm>
                    <a:prstGeom prst="rect">
                      <a:avLst/>
                    </a:prstGeom>
                    <a:noFill/>
                    <a:ln>
                      <a:noFill/>
                    </a:ln>
                  </pic:spPr>
                </pic:pic>
              </a:graphicData>
            </a:graphic>
          </wp:inline>
        </w:drawing>
      </w:r>
    </w:p>
    <w:p w:rsidR="00AA5065" w:rsidRPr="00AA5065" w:rsidP="006649F9">
      <w:pPr>
        <w:spacing w:before="100" w:beforeAutospacing="1" w:line="269" w:lineRule="auto"/>
        <w:rPr>
          <w:rFonts w:eastAsia="Calibri"/>
          <w:rtl/>
        </w:rPr>
      </w:pPr>
      <w:r w:rsidRPr="00AA5065">
        <w:rPr>
          <w:rFonts w:eastAsia="Calibri" w:hint="cs"/>
          <w:sz w:val="16"/>
          <w:szCs w:val="20"/>
          <w:rtl/>
        </w:rPr>
        <w:t>המקור: המשרד להג"ס.</w:t>
      </w:r>
    </w:p>
    <w:p w:rsidR="00AA5065" w:rsidRPr="00AA5065" w:rsidP="00860D89">
      <w:pPr>
        <w:spacing w:line="269" w:lineRule="auto"/>
        <w:ind w:left="-567"/>
        <w:rPr>
          <w:rFonts w:eastAsia="Calibri"/>
          <w:szCs w:val="20"/>
          <w:rtl/>
        </w:rPr>
      </w:pPr>
    </w:p>
    <w:p w:rsidR="00AA5065" w:rsidRPr="00AA5065" w:rsidP="00860D89">
      <w:pPr>
        <w:spacing w:line="269" w:lineRule="auto"/>
        <w:contextualSpacing/>
        <w:rPr>
          <w:rFonts w:eastAsia="Calibri"/>
          <w:rtl/>
        </w:rPr>
      </w:pPr>
      <w:r w:rsidRPr="00AA5065">
        <w:rPr>
          <w:rFonts w:eastAsia="Calibri" w:hint="cs"/>
          <w:rtl/>
        </w:rPr>
        <w:t>נציגי המשרד להג"ס מסרו לצוות הביקורת ב-14.7.24 כי תופעת השלכת הפסדים עדיין מתקיימת בשטחים הפתוחים וכן בתעלות הביוב. לטענתם, מדובר בעיקר על אטליזים "שחורים" שפועלים ללא רישיון עסק ולפיכך גם ללא כל פיקוח, ועל כן יכולתו של המשרד לפקח ולתת מענה במקרים שכאלו מצומצמת ביותר. לגבי סוגיית השלכת הפגרים, מתקיים פרויקט סניטציה בשיתוף רט"ג אשר במסגרתו התושב הבדואי יכול להתקשר ולבקש שמשאית תבוא לפנות עבורו בחינם את הכבש או הגמל</w:t>
      </w:r>
      <w:r>
        <w:rPr>
          <w:rFonts w:eastAsia="Calibri"/>
          <w:vertAlign w:val="superscript"/>
          <w:rtl/>
        </w:rPr>
        <w:footnoteReference w:id="64"/>
      </w:r>
      <w:r w:rsidRPr="00AA5065">
        <w:rPr>
          <w:rFonts w:eastAsia="Calibri" w:hint="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גם במסמך שכותרתו "תוכנית סניטציה לצורך הצלת הנשרים בישראל" שהכינה רט"ג נכתב, בין השאר, כי "</w:t>
      </w:r>
      <w:r w:rsidRPr="00AA5065">
        <w:rPr>
          <w:rFonts w:eastAsia="Calibri"/>
          <w:rtl/>
        </w:rPr>
        <w:t>כיום מבצעת רט"ג איסוף של פגרים בנגב באמצעות 4 משאיות, במסגרת פרויקט משותף עם המשרד</w:t>
      </w:r>
      <w:r w:rsidRPr="00AA5065">
        <w:rPr>
          <w:rFonts w:eastAsia="Calibri" w:hint="cs"/>
          <w:rtl/>
        </w:rPr>
        <w:t xml:space="preserve"> </w:t>
      </w:r>
      <w:r w:rsidRPr="00AA5065">
        <w:rPr>
          <w:rFonts w:eastAsia="Calibri"/>
          <w:rtl/>
        </w:rPr>
        <w:t>ל</w:t>
      </w:r>
      <w:r w:rsidRPr="00AA5065">
        <w:rPr>
          <w:rFonts w:eastAsia="Calibri" w:hint="cs"/>
          <w:rtl/>
        </w:rPr>
        <w:t>הג"ס</w:t>
      </w:r>
      <w:r w:rsidRPr="00AA5065">
        <w:rPr>
          <w:rFonts w:eastAsia="Calibri"/>
          <w:rtl/>
        </w:rPr>
        <w:t xml:space="preserve"> ומשרד החקלאות. באמצעות איסוף זה מסולקים מהשטח כ</w:t>
      </w:r>
      <w:r w:rsidRPr="00AA5065">
        <w:rPr>
          <w:rFonts w:eastAsia="Calibri" w:hint="cs"/>
          <w:rtl/>
        </w:rPr>
        <w:t>-ה -</w:t>
      </w:r>
      <w:r w:rsidRPr="00AA5065">
        <w:rPr>
          <w:rFonts w:eastAsia="Calibri"/>
          <w:rtl/>
        </w:rPr>
        <w:t>20 טון פגרים בחודש.</w:t>
      </w:r>
      <w:r w:rsidRPr="00AA5065">
        <w:rPr>
          <w:rFonts w:eastAsia="Calibri" w:hint="cs"/>
          <w:rtl/>
        </w:rPr>
        <w:t xml:space="preserve">.. </w:t>
      </w:r>
      <w:r w:rsidRPr="00AA5065">
        <w:rPr>
          <w:rFonts w:eastAsia="Calibri"/>
          <w:rtl/>
        </w:rPr>
        <w:t>המשאיות פועלות כרגע בצפון הנגב בלבד, באזור הפזורה הבדואית</w:t>
      </w:r>
      <w:r w:rsidRPr="00AA5065">
        <w:rPr>
          <w:rFonts w:eastAsia="Calibri" w:hint="cs"/>
          <w:rtl/>
        </w:rPr>
        <w:t>...</w:t>
      </w:r>
      <w:r w:rsidRPr="00AA5065">
        <w:rPr>
          <w:rFonts w:eastAsia="Calibri"/>
          <w:rtl/>
        </w:rPr>
        <w:t xml:space="preserve"> עם זאת, הכמות הנאספת אינה מספקת והיא תלויה בתשתית דרכי הגישה אל הפגרים ויכולת ההגעה</w:t>
      </w:r>
      <w:r w:rsidRPr="00AA5065">
        <w:rPr>
          <w:rFonts w:eastAsia="Calibri" w:hint="cs"/>
          <w:rtl/>
        </w:rPr>
        <w:t xml:space="preserve"> </w:t>
      </w:r>
      <w:r w:rsidRPr="00AA5065">
        <w:rPr>
          <w:rFonts w:eastAsia="Calibri"/>
          <w:rtl/>
        </w:rPr>
        <w:t>אליהם. במקרים רבים הגעה אל פגר יחיד לוקחת יום עבודה שלם</w:t>
      </w:r>
      <w:r w:rsidRPr="00AA5065">
        <w:rPr>
          <w:rFonts w:eastAsia="Calibri" w:hint="cs"/>
          <w:rtl/>
        </w:rPr>
        <w:t>"</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בהקשר זה יצוין כי גם על פי המידע שהופיע במצגת שהציגו בינואר 2025 נציגי רשות ההסדרה לנציגי משרד מבקר המדינה, אף שיישובים מסוימים לא הוגדרו יישובים חקלאיים (אינם בקטגוריה של מושבים וקיבוצים) - מתנהלת בהם תופעה של גידול בעלי חיים בקרבת בתי המגורים בלא תשתיות מתאימות, והדבר גורם למפגעי ריח, מפגעי מזיקים, פסולת, שפכים וכד'. כדוגמאות ליישובים כאלו צוינו שכונה 8 באבו קרינאת, שכונת זיאדנה ברהט, שכונה מרכזית באום בטין, שכונה צפונית בקס'ר א-סיר, שכונת אל גורען במכחול ועוד.</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Pr>
      </w:pPr>
      <w:r w:rsidRPr="00AA5065">
        <w:rPr>
          <w:rFonts w:eastAsia="Calibri" w:hint="cs"/>
          <w:rtl/>
        </w:rPr>
        <w:t>עוד יצוין כי לאחר פרסום</w:t>
      </w:r>
      <w:r w:rsidRPr="00AA5065">
        <w:rPr>
          <w:rFonts w:eastAsia="Calibri"/>
          <w:rtl/>
        </w:rPr>
        <w:t xml:space="preserve"> הדוח הקודם </w:t>
      </w:r>
      <w:r w:rsidRPr="00AA5065">
        <w:rPr>
          <w:rFonts w:eastAsia="Calibri" w:hint="cs"/>
          <w:rtl/>
        </w:rPr>
        <w:t xml:space="preserve">(בשנים 2021 - 2024) </w:t>
      </w:r>
      <w:r w:rsidRPr="00AA5065">
        <w:rPr>
          <w:rFonts w:eastAsia="Calibri"/>
          <w:rtl/>
        </w:rPr>
        <w:t>הוקמו</w:t>
      </w:r>
      <w:r w:rsidRPr="00AA5065">
        <w:rPr>
          <w:rFonts w:eastAsia="Calibri" w:hint="cs"/>
          <w:rtl/>
        </w:rPr>
        <w:t>,</w:t>
      </w:r>
      <w:r w:rsidRPr="00AA5065">
        <w:rPr>
          <w:rFonts w:eastAsia="Calibri"/>
          <w:rtl/>
        </w:rPr>
        <w:t xml:space="preserve"> ותוקצבו יחידות אכיפה ומפקחים נוספים במ</w:t>
      </w:r>
      <w:r w:rsidRPr="00AA5065">
        <w:rPr>
          <w:rFonts w:eastAsia="Calibri" w:hint="cs"/>
          <w:rtl/>
        </w:rPr>
        <w:t>חוז</w:t>
      </w:r>
      <w:r w:rsidRPr="00AA5065">
        <w:rPr>
          <w:rFonts w:eastAsia="Calibri"/>
          <w:rtl/>
        </w:rPr>
        <w:t xml:space="preserve"> לדוגמ</w:t>
      </w:r>
      <w:r w:rsidRPr="00AA5065">
        <w:rPr>
          <w:rFonts w:eastAsia="Calibri" w:hint="cs"/>
          <w:rtl/>
        </w:rPr>
        <w:t xml:space="preserve">ה </w:t>
      </w:r>
      <w:r w:rsidRPr="00AA5065">
        <w:rPr>
          <w:rFonts w:eastAsia="Calibri"/>
          <w:rtl/>
        </w:rPr>
        <w:t xml:space="preserve">- יחידת האכיפה הסביבתית בשדרות, </w:t>
      </w:r>
      <w:r w:rsidRPr="00AA5065">
        <w:rPr>
          <w:rFonts w:eastAsia="Calibri" w:hint="cs"/>
          <w:rtl/>
        </w:rPr>
        <w:t>ה</w:t>
      </w:r>
      <w:r w:rsidRPr="00AA5065">
        <w:rPr>
          <w:rFonts w:eastAsia="Calibri"/>
          <w:rtl/>
        </w:rPr>
        <w:t>מ</w:t>
      </w:r>
      <w:r w:rsidRPr="00AA5065">
        <w:rPr>
          <w:rFonts w:eastAsia="Calibri" w:hint="cs"/>
          <w:rtl/>
        </w:rPr>
        <w:t>ועצה ה</w:t>
      </w:r>
      <w:r w:rsidRPr="00AA5065">
        <w:rPr>
          <w:rFonts w:eastAsia="Calibri"/>
          <w:rtl/>
        </w:rPr>
        <w:t>א</w:t>
      </w:r>
      <w:r w:rsidRPr="00AA5065">
        <w:rPr>
          <w:rFonts w:eastAsia="Calibri" w:hint="cs"/>
          <w:rtl/>
        </w:rPr>
        <w:t>זורית</w:t>
      </w:r>
      <w:r w:rsidRPr="00AA5065">
        <w:rPr>
          <w:rFonts w:eastAsia="Calibri"/>
          <w:rtl/>
        </w:rPr>
        <w:t xml:space="preserve"> שדות נגב, יחידת הפיקוח של אשכול נגב מזרחי ועוד. בהגדרות התפקיד של אותן יחידות</w:t>
      </w:r>
      <w:r w:rsidRPr="00AA5065">
        <w:rPr>
          <w:rFonts w:eastAsia="Calibri" w:hint="cs"/>
          <w:rtl/>
        </w:rPr>
        <w:t xml:space="preserve"> נקבע כי עליהן להתמודד גם עם </w:t>
      </w:r>
      <w:r w:rsidRPr="00AA5065">
        <w:rPr>
          <w:rFonts w:eastAsia="Calibri"/>
          <w:rtl/>
        </w:rPr>
        <w:t>השלכות פסולת ושריפות.</w:t>
      </w:r>
    </w:p>
    <w:p w:rsidR="00AA5065" w:rsidRPr="00AA5065" w:rsidP="00860D89">
      <w:pPr>
        <w:spacing w:line="269" w:lineRule="auto"/>
        <w:ind w:left="-567"/>
        <w:rPr>
          <w:rFonts w:eastAsia="Calibri"/>
          <w:szCs w:val="20"/>
          <w:rtl/>
        </w:rPr>
      </w:pPr>
    </w:p>
    <w:p w:rsidR="00AA5065" w:rsidRPr="00AA5065" w:rsidP="006649F9">
      <w:pPr>
        <w:spacing w:before="120" w:after="120" w:line="269" w:lineRule="auto"/>
        <w:rPr>
          <w:rFonts w:eastAsia="Calibri"/>
          <w:b/>
          <w:bCs/>
          <w:rtl/>
        </w:rPr>
      </w:pPr>
      <w:r w:rsidRPr="00AA5065">
        <w:rPr>
          <w:rFonts w:eastAsia="Calibri" w:hint="cs"/>
          <w:b/>
          <w:bCs/>
          <w:rtl/>
        </w:rPr>
        <w:t xml:space="preserve">בביקורת הקודמת עלה כי </w:t>
      </w:r>
      <w:r w:rsidRPr="00AA5065">
        <w:rPr>
          <w:rFonts w:eastAsia="Calibri"/>
          <w:b/>
          <w:bCs/>
          <w:rtl/>
        </w:rPr>
        <w:t>הרשויות המקומיות ביישובי הבדואים אינן מטפלות בפסולת הנובעת משחיטת בעלי חיים לצרכים פרטיים</w:t>
      </w:r>
      <w:r w:rsidRPr="00AA5065">
        <w:rPr>
          <w:rFonts w:eastAsia="Calibri" w:hint="cs"/>
          <w:b/>
          <w:bCs/>
          <w:rtl/>
        </w:rPr>
        <w:t>.</w:t>
      </w:r>
      <w:r w:rsidRPr="00AA5065">
        <w:rPr>
          <w:rFonts w:eastAsia="Calibri"/>
          <w:b/>
          <w:bCs/>
          <w:rtl/>
        </w:rPr>
        <w:t xml:space="preserve"> השאריות נזרקות במקומות ציבוריים, ועל כן הערימות מצטברות.</w:t>
      </w:r>
      <w:r w:rsidRPr="00AA5065">
        <w:rPr>
          <w:rFonts w:eastAsia="Calibri" w:hint="cs"/>
          <w:b/>
          <w:bCs/>
          <w:rtl/>
        </w:rPr>
        <w:t xml:space="preserve"> בביקורת המעקב נמצא כי הליקוי לא תוקן; תופעת השלכת הפגרים במרחב הציבורי במחוז דרום עדיין נמשכת, ולמרות הקמתן ותקצובן של יחידות אכיפה ומפקחים נוספים </w:t>
      </w:r>
      <w:r w:rsidRPr="00AA5065">
        <w:rPr>
          <w:rFonts w:eastAsia="Calibri" w:hint="eastAsia"/>
          <w:b/>
          <w:bCs/>
          <w:rtl/>
        </w:rPr>
        <w:t>במרחב</w:t>
      </w:r>
      <w:r w:rsidRPr="00AA5065">
        <w:rPr>
          <w:rFonts w:eastAsia="Calibri" w:hint="cs"/>
          <w:b/>
          <w:bCs/>
          <w:rtl/>
        </w:rPr>
        <w:t xml:space="preserve">, המצב בשטח לא השתפר ביחס לתקופת הדוח הקודם </w:t>
      </w:r>
      <w:bookmarkStart w:id="62" w:name="_Hlk203390395"/>
      <w:r w:rsidRPr="00AA5065">
        <w:rPr>
          <w:rFonts w:eastAsia="Calibri" w:hint="cs"/>
          <w:b/>
          <w:bCs/>
          <w:rtl/>
        </w:rPr>
        <w:t>ונמשכת אוזלת היד מצדן של הרשויות המקומיות והמשרד להג"ס בטיפול בתופעה המתוארת</w:t>
      </w:r>
      <w:bookmarkEnd w:id="62"/>
      <w:r w:rsidRPr="00AA5065">
        <w:rPr>
          <w:rFonts w:eastAsia="Calibri" w:hint="cs"/>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eastAsia="Calibri"/>
          <w:b/>
          <w:bCs/>
          <w:rtl/>
          <w:lang w:eastAsia="he-IL"/>
        </w:rPr>
      </w:pPr>
      <w:r w:rsidRPr="00AA5065">
        <w:rPr>
          <w:rFonts w:eastAsia="Calibri" w:hint="cs"/>
          <w:b/>
          <w:bCs/>
          <w:rtl/>
          <w:lang w:eastAsia="he-IL"/>
        </w:rPr>
        <w:t>מידת תיקון הליקוי</w:t>
      </w:r>
    </w:p>
    <w:p w:rsidR="00AA5065" w:rsidRPr="00AA5065" w:rsidP="00860D89">
      <w:pPr>
        <w:spacing w:line="269" w:lineRule="auto"/>
        <w:ind w:left="-567"/>
        <w:jc w:val="center"/>
        <w:rPr>
          <w:rFonts w:eastAsia="Calibri"/>
          <w:szCs w:val="20"/>
          <w:rtl/>
        </w:rPr>
      </w:pPr>
      <w:r w:rsidRPr="00AA5065">
        <w:rPr>
          <w:rFonts w:eastAsia="Calibri"/>
          <w:noProof/>
        </w:rPr>
        <w:drawing>
          <wp:inline distT="0" distB="0" distL="0" distR="0">
            <wp:extent cx="3422650" cy="933450"/>
            <wp:effectExtent l="0" t="0" r="6350" b="0"/>
            <wp:docPr id="55" name="תמונה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2650" cy="933450"/>
                    </a:xfrm>
                    <a:prstGeom prst="rect">
                      <a:avLst/>
                    </a:prstGeom>
                    <a:noFill/>
                    <a:ln>
                      <a:noFill/>
                    </a:ln>
                  </pic:spPr>
                </pic:pic>
              </a:graphicData>
            </a:graphic>
          </wp:inline>
        </w:drawing>
      </w:r>
      <w:bookmarkStart w:id="63" w:name="_Toc31186236"/>
      <w:bookmarkStart w:id="64" w:name="_Toc40713051"/>
      <w:bookmarkStart w:id="65" w:name="_Toc9869665"/>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ascii="Calibri" w:eastAsia="Calibri" w:hAnsi="Calibri" w:hint="eastAsia"/>
          <w:b/>
          <w:bCs/>
          <w:sz w:val="24"/>
          <w:rtl/>
        </w:rPr>
        <w:t>על</w:t>
      </w:r>
      <w:r w:rsidRPr="00AA5065">
        <w:rPr>
          <w:rFonts w:ascii="Calibri" w:eastAsia="Calibri" w:hAnsi="Calibri"/>
          <w:b/>
          <w:bCs/>
          <w:sz w:val="24"/>
          <w:rtl/>
        </w:rPr>
        <w:t xml:space="preserve"> המשרד ל</w:t>
      </w:r>
      <w:r w:rsidRPr="00AA5065">
        <w:rPr>
          <w:rFonts w:ascii="Calibri" w:eastAsia="Calibri" w:hAnsi="Calibri" w:hint="cs"/>
          <w:b/>
          <w:bCs/>
          <w:sz w:val="24"/>
          <w:rtl/>
        </w:rPr>
        <w:t>הג"ס</w:t>
      </w:r>
      <w:r w:rsidRPr="00AA5065">
        <w:rPr>
          <w:rFonts w:ascii="Calibri" w:eastAsia="Calibri" w:hAnsi="Calibri"/>
          <w:b/>
          <w:bCs/>
          <w:sz w:val="24"/>
          <w:rtl/>
        </w:rPr>
        <w:t xml:space="preserve">, </w:t>
      </w:r>
      <w:r w:rsidRPr="00AA5065">
        <w:rPr>
          <w:rFonts w:ascii="Calibri" w:eastAsia="Calibri" w:hAnsi="Calibri" w:hint="cs"/>
          <w:b/>
          <w:bCs/>
          <w:sz w:val="24"/>
          <w:rtl/>
        </w:rPr>
        <w:t xml:space="preserve">בשיתוף </w:t>
      </w:r>
      <w:r w:rsidRPr="00AA5065">
        <w:rPr>
          <w:rFonts w:ascii="Calibri" w:eastAsia="Calibri" w:hAnsi="Calibri"/>
          <w:b/>
          <w:bCs/>
          <w:sz w:val="24"/>
          <w:rtl/>
        </w:rPr>
        <w:t>הרשויות המקומיות</w:t>
      </w:r>
      <w:r w:rsidRPr="00AA5065">
        <w:rPr>
          <w:rFonts w:ascii="Calibri" w:eastAsia="Calibri" w:hAnsi="Calibri" w:hint="cs"/>
          <w:b/>
          <w:bCs/>
          <w:sz w:val="24"/>
          <w:rtl/>
        </w:rPr>
        <w:t xml:space="preserve"> הרלוונטיות</w:t>
      </w:r>
      <w:r w:rsidRPr="00AA5065">
        <w:rPr>
          <w:rFonts w:ascii="Calibri" w:eastAsia="Calibri" w:hAnsi="Calibri"/>
          <w:b/>
          <w:bCs/>
          <w:sz w:val="24"/>
          <w:rtl/>
        </w:rPr>
        <w:t xml:space="preserve"> בנגב,</w:t>
      </w:r>
      <w:r w:rsidRPr="00AA5065">
        <w:rPr>
          <w:rFonts w:ascii="Calibri" w:eastAsia="Calibri" w:hAnsi="Calibri" w:hint="cs"/>
          <w:b/>
          <w:bCs/>
          <w:sz w:val="24"/>
          <w:rtl/>
        </w:rPr>
        <w:t xml:space="preserve"> להגביר את הטיפול ואת האכיפה הנדרשת</w:t>
      </w:r>
      <w:r w:rsidRPr="00AA5065">
        <w:rPr>
          <w:rFonts w:eastAsia="Calibri" w:hint="cs"/>
          <w:b/>
          <w:bCs/>
          <w:rtl/>
        </w:rPr>
        <w:t xml:space="preserve"> בנוגע לתופעת השלכת הפגרים במרחב הציבורי </w:t>
      </w:r>
      <w:r w:rsidRPr="00AA5065">
        <w:rPr>
          <w:rFonts w:ascii="Calibri" w:eastAsia="Calibri" w:hAnsi="Calibri" w:hint="cs"/>
          <w:b/>
          <w:bCs/>
          <w:sz w:val="24"/>
          <w:rtl/>
        </w:rPr>
        <w:t>ברחבי הנגב.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רשות הטבע והגנים מסרה בתשובתה מיום 26.8.25 כי "יש לציין כי בשנה</w:t>
      </w:r>
      <w:r w:rsidRPr="00AA5065">
        <w:rPr>
          <w:rFonts w:eastAsia="Calibri"/>
          <w:rtl/>
        </w:rPr>
        <w:t xml:space="preserve"> האחרונה תקצב המשרד ל</w:t>
      </w:r>
      <w:r w:rsidRPr="00AA5065">
        <w:rPr>
          <w:rFonts w:eastAsia="Calibri" w:hint="cs"/>
          <w:rtl/>
        </w:rPr>
        <w:t>הג"ס</w:t>
      </w:r>
      <w:r w:rsidRPr="00AA5065">
        <w:rPr>
          <w:rFonts w:eastAsia="Calibri"/>
          <w:rtl/>
        </w:rPr>
        <w:t xml:space="preserve"> 28 מש"ח מקרן הניקיון לטובת הנושא וזאת במסגרת תכנית להצלת אוכלוסיית הנשרים, התקציב מועבר על פי תוכנית לרשות הטבע והגנים שהחלה לבצע עבודות, ובמקביל אף בוחנים את השפעת העבודה על מצב הסניטציה בשטח</w:t>
      </w:r>
      <w:r w:rsidRPr="00AA5065">
        <w:rPr>
          <w:rFonts w:eastAsia="Calibri" w:hint="cs"/>
          <w:rtl/>
        </w:rPr>
        <w:t>"</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 xml:space="preserve">עיריית רהט מסרה בתשובתה מתאריך 7.9.25 (להלן - תשובת עיריית רהט) ‏כי היא פועלת ‏לתגבור האכיפה בנושא השלכת פסדים, וזאת בשיתוף פעולה עם נציגי </w:t>
      </w:r>
      <w:r w:rsidR="00B8191D">
        <w:rPr>
          <w:rFonts w:eastAsia="Calibri" w:hint="cs"/>
          <w:rtl/>
        </w:rPr>
        <w:t>המשרד ל</w:t>
      </w:r>
      <w:r w:rsidRPr="00AA5065">
        <w:rPr>
          <w:rFonts w:eastAsia="Calibri" w:hint="cs"/>
          <w:rtl/>
        </w:rPr>
        <w:t>הג"ס</w:t>
      </w:r>
      <w:r w:rsidRPr="00AA5065">
        <w:rPr>
          <w:rFonts w:eastAsia="Calibri"/>
          <w:rtl/>
        </w:rPr>
        <w:t>.‏</w:t>
      </w:r>
    </w:p>
    <w:p w:rsidR="00AA5065" w:rsidRPr="00AA5065" w:rsidP="00860D89">
      <w:pPr>
        <w:spacing w:line="269" w:lineRule="auto"/>
        <w:rPr>
          <w:rFonts w:eastAsia="Calibri"/>
          <w:rtl/>
        </w:rPr>
      </w:pPr>
    </w:p>
    <w:p w:rsidR="00AA5065" w:rsidRPr="00AA5065" w:rsidP="006649F9">
      <w:pPr>
        <w:keepNext/>
        <w:keepLines/>
        <w:spacing w:before="120" w:line="269" w:lineRule="auto"/>
        <w:outlineLvl w:val="3"/>
        <w:rPr>
          <w:rFonts w:eastAsia="Times New Roman"/>
          <w:bCs/>
          <w:szCs w:val="26"/>
          <w:rtl/>
        </w:rPr>
      </w:pPr>
      <w:r w:rsidRPr="00AA5065">
        <w:rPr>
          <w:rFonts w:eastAsia="Times New Roman" w:hint="cs"/>
          <w:bCs/>
          <w:szCs w:val="26"/>
          <w:rtl/>
        </w:rPr>
        <w:t>סתימת ערוצי נחל</w:t>
      </w:r>
      <w:bookmarkEnd w:id="63"/>
      <w:bookmarkEnd w:id="64"/>
      <w:r w:rsidRPr="00AA5065">
        <w:rPr>
          <w:rFonts w:eastAsia="Times New Roman" w:hint="cs"/>
          <w:bCs/>
          <w:szCs w:val="26"/>
          <w:rtl/>
        </w:rPr>
        <w:t xml:space="preserve"> </w:t>
      </w:r>
      <w:bookmarkEnd w:id="65"/>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השלכת פסולת בערוצי הנחלים גורמת לסתימתם ומגבירה את הסיכון לעלייה חדה ומסוכנת במפלס המים בעת אירועי גשם עזים בחורף ובכך מחריפה את סכנת השיטפונות. לפיכך תלמידים רבים מהאוכלוסייה הבדואית בנגב, המשתמשים בהסעות כדי להגיע למוסדות החינוך, אינם יכולים להגיע ללימודים בימים של גשמים עזים. בשנים האחרונות חלה התגברות של אירועי גשם עזים ומרוכזים וחזקים בדרום הארץ הגורמים לשיטפונות מסוכנים. שיטפונות אלה הובילו לאירועי היסחפות וטביעה של תושבי הפזורה, לרבות ילדים</w:t>
      </w:r>
      <w:r>
        <w:rPr>
          <w:rFonts w:eastAsia="Calibri"/>
          <w:vertAlign w:val="superscript"/>
          <w:rtl/>
        </w:rPr>
        <w:footnoteReference w:id="65"/>
      </w:r>
      <w:r w:rsidRPr="00AA5065">
        <w:rPr>
          <w:rFonts w:eastAsia="Calibri" w:hint="cs"/>
          <w:rtl/>
        </w:rPr>
        <w:t>.</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בביקורת הקודמת עלה כי הרשויות המקומיות אינן פועלות בנושא, ו</w:t>
      </w:r>
      <w:r w:rsidRPr="00AA5065">
        <w:rPr>
          <w:rFonts w:eastAsia="Calibri" w:hint="eastAsia"/>
          <w:rtl/>
        </w:rPr>
        <w:t>המשרד</w:t>
      </w:r>
      <w:r w:rsidRPr="00AA5065">
        <w:rPr>
          <w:rFonts w:eastAsia="Calibri"/>
          <w:rtl/>
        </w:rPr>
        <w:t xml:space="preserve"> </w:t>
      </w:r>
      <w:r w:rsidRPr="00AA5065">
        <w:rPr>
          <w:rFonts w:eastAsia="Calibri" w:hint="eastAsia"/>
          <w:rtl/>
        </w:rPr>
        <w:t>להג</w:t>
      </w:r>
      <w:r w:rsidRPr="00AA5065">
        <w:rPr>
          <w:rFonts w:eastAsia="Calibri" w:hint="cs"/>
          <w:rtl/>
        </w:rPr>
        <w:t>"ס,</w:t>
      </w:r>
      <w:r w:rsidRPr="00AA5065">
        <w:rPr>
          <w:rFonts w:eastAsia="Calibri"/>
          <w:rtl/>
        </w:rPr>
        <w:t xml:space="preserve"> </w:t>
      </w:r>
      <w:r w:rsidRPr="00AA5065">
        <w:rPr>
          <w:rFonts w:eastAsia="Calibri" w:hint="cs"/>
          <w:rtl/>
        </w:rPr>
        <w:t xml:space="preserve">משרד הפנים והמשטרה אינם מטפלים, כל גוף במסגרת סמכויותיו ובאמצעי האכיפה העומדים לרשותו, </w:t>
      </w:r>
      <w:r w:rsidRPr="00AA5065">
        <w:rPr>
          <w:rFonts w:eastAsia="Calibri" w:hint="eastAsia"/>
          <w:rtl/>
        </w:rPr>
        <w:t>בתופעה</w:t>
      </w:r>
      <w:r w:rsidRPr="00AA5065">
        <w:rPr>
          <w:rFonts w:eastAsia="Calibri"/>
          <w:rtl/>
        </w:rPr>
        <w:t xml:space="preserve"> של סתימת ערוצי נחלים בפסולת בכלל ובפסולת בני</w:t>
      </w:r>
      <w:r w:rsidRPr="00AA5065">
        <w:rPr>
          <w:rFonts w:eastAsia="Calibri" w:hint="cs"/>
          <w:rtl/>
        </w:rPr>
        <w:t>י</w:t>
      </w:r>
      <w:r w:rsidRPr="00AA5065">
        <w:rPr>
          <w:rFonts w:eastAsia="Calibri"/>
          <w:rtl/>
        </w:rPr>
        <w:t>ן בפרט</w:t>
      </w:r>
      <w:r w:rsidRPr="00AA5065">
        <w:rPr>
          <w:rFonts w:eastAsia="Calibri" w:hint="cs"/>
          <w:rtl/>
        </w:rPr>
        <w:t>,</w:t>
      </w:r>
      <w:r w:rsidRPr="00AA5065">
        <w:rPr>
          <w:rFonts w:eastAsia="Calibri"/>
          <w:rtl/>
        </w:rPr>
        <w:t xml:space="preserve"> </w:t>
      </w:r>
      <w:r w:rsidRPr="00AA5065">
        <w:rPr>
          <w:rFonts w:eastAsia="Calibri" w:hint="cs"/>
          <w:rtl/>
        </w:rPr>
        <w:t>ש</w:t>
      </w:r>
      <w:r w:rsidRPr="00AA5065">
        <w:rPr>
          <w:rFonts w:eastAsia="Calibri"/>
          <w:rtl/>
        </w:rPr>
        <w:t>נפוצה ביותר באזורים הסמוכים ליישובי הבדואים בנגב ו</w:t>
      </w:r>
      <w:r w:rsidRPr="00AA5065">
        <w:rPr>
          <w:rFonts w:eastAsia="Calibri" w:hint="cs"/>
          <w:rtl/>
        </w:rPr>
        <w:t>ב</w:t>
      </w:r>
      <w:r w:rsidRPr="00AA5065">
        <w:rPr>
          <w:rFonts w:eastAsia="Calibri"/>
          <w:rtl/>
        </w:rPr>
        <w:t xml:space="preserve">פזורה.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בדוח הקודם</w:t>
      </w:r>
      <w:r w:rsidRPr="00AA5065">
        <w:rPr>
          <w:rFonts w:eastAsia="Calibri"/>
          <w:rtl/>
        </w:rPr>
        <w:t xml:space="preserve"> </w:t>
      </w:r>
      <w:r w:rsidRPr="00AA5065">
        <w:rPr>
          <w:rFonts w:eastAsia="Calibri" w:hint="cs"/>
          <w:rtl/>
        </w:rPr>
        <w:t>ה</w:t>
      </w:r>
      <w:r w:rsidRPr="00AA5065">
        <w:rPr>
          <w:rFonts w:eastAsia="Calibri"/>
          <w:rtl/>
        </w:rPr>
        <w:t>ומלץ כי כלל הרשויות המקומיות הבדואיות בנגב יפעלו למיגור התופעה ויפעלו לפינוי הפסולת מהנחלים ומגדות הנחלים לאתרי פסולת מורשים. על משרד הפנים לוודא כי הרשויות פועלות בנושא זה כנדרש.</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המשרד</w:t>
      </w:r>
      <w:r w:rsidRPr="00AA5065">
        <w:rPr>
          <w:rFonts w:eastAsia="Calibri"/>
          <w:rtl/>
        </w:rPr>
        <w:t xml:space="preserve"> להג"ס מסר בתשובתו </w:t>
      </w:r>
      <w:r w:rsidRPr="00AA5065">
        <w:rPr>
          <w:rFonts w:eastAsia="Calibri" w:hint="eastAsia"/>
          <w:rtl/>
        </w:rPr>
        <w:t>לדוח</w:t>
      </w:r>
      <w:r w:rsidRPr="00AA5065">
        <w:rPr>
          <w:rFonts w:eastAsia="Calibri"/>
          <w:rtl/>
        </w:rPr>
        <w:t xml:space="preserve"> הקודם כי "תופעת השלכת פסולת בניין לנחלים וערוצי ניקוז נעשית במקרים רבים לצורך הרחבת נחלות וחצרות בתים השוכנים על גדות </w:t>
      </w:r>
      <w:r w:rsidRPr="00AA5065">
        <w:rPr>
          <w:rFonts w:eastAsia="Calibri" w:hint="eastAsia"/>
          <w:rtl/>
        </w:rPr>
        <w:t>הנחלים</w:t>
      </w:r>
      <w:r w:rsidRPr="00AA5065">
        <w:rPr>
          <w:rFonts w:eastAsia="Calibri"/>
          <w:rtl/>
        </w:rPr>
        <w:t xml:space="preserve">. הגורם האחראי על אכיפה בנושא זה הוא בראש ובראשונה היחידה </w:t>
      </w:r>
      <w:r w:rsidRPr="00AA5065">
        <w:rPr>
          <w:rFonts w:eastAsia="Calibri" w:hint="eastAsia"/>
          <w:rtl/>
        </w:rPr>
        <w:t>לאכיפת</w:t>
      </w:r>
      <w:r w:rsidRPr="00AA5065">
        <w:rPr>
          <w:rFonts w:eastAsia="Calibri"/>
          <w:rtl/>
        </w:rPr>
        <w:t xml:space="preserve"> דיני מקרקעין של משרד האוצר וכן רשות מקרקעי ישראל".</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נציגי משרד מבקר המדינה ערכו באוגוסט 2024 סיור באזור נחל באר שבע. בתמונה 7 שלהלן מוצגת השלכה לא מוסדרת של פסולת בצורה בשולי הנחל.</w:t>
      </w:r>
    </w:p>
    <w:p w:rsidR="00AA5065" w:rsidRPr="00AA5065" w:rsidP="00860D89">
      <w:pPr>
        <w:spacing w:line="269" w:lineRule="auto"/>
        <w:ind w:left="-567"/>
        <w:rPr>
          <w:rFonts w:eastAsia="Calibri"/>
          <w:szCs w:val="20"/>
          <w:rtl/>
        </w:rPr>
      </w:pPr>
    </w:p>
    <w:p w:rsidR="00AA5065" w:rsidRPr="00AA5065" w:rsidP="006649F9">
      <w:pPr>
        <w:spacing w:after="120" w:line="269" w:lineRule="auto"/>
        <w:ind w:left="-2"/>
        <w:jc w:val="center"/>
        <w:rPr>
          <w:rFonts w:eastAsia="Calibri"/>
          <w:b/>
          <w:bCs/>
          <w:sz w:val="24"/>
          <w:rtl/>
        </w:rPr>
      </w:pPr>
      <w:bookmarkStart w:id="66" w:name="_Hlk205374180"/>
      <w:r w:rsidRPr="00AA5065">
        <w:rPr>
          <w:rFonts w:eastAsia="Calibri" w:hint="cs"/>
          <w:sz w:val="24"/>
          <w:rtl/>
        </w:rPr>
        <w:t>תמונה 7:</w:t>
      </w:r>
      <w:r w:rsidRPr="00AA5065">
        <w:rPr>
          <w:rFonts w:eastAsia="Calibri" w:hint="cs"/>
          <w:b/>
          <w:bCs/>
          <w:sz w:val="24"/>
          <w:rtl/>
        </w:rPr>
        <w:t xml:space="preserve"> פסולת בלתי מוסדרת על גדת נחל באר שבע, </w:t>
      </w:r>
      <w:r w:rsidRPr="00AA5065">
        <w:rPr>
          <w:rFonts w:eastAsia="Calibri"/>
          <w:b/>
          <w:bCs/>
          <w:sz w:val="24"/>
          <w:rtl/>
        </w:rPr>
        <w:t>סמוך לתל שבע</w:t>
      </w:r>
      <w:r w:rsidRPr="00AA5065">
        <w:rPr>
          <w:rFonts w:eastAsia="Calibri" w:hint="cs"/>
          <w:b/>
          <w:bCs/>
          <w:sz w:val="24"/>
          <w:rtl/>
        </w:rPr>
        <w:t xml:space="preserve"> אוגוסט 2024</w:t>
      </w:r>
    </w:p>
    <w:bookmarkEnd w:id="66"/>
    <w:p w:rsidR="00AA5065" w:rsidRPr="00AA5065" w:rsidP="006649F9">
      <w:pPr>
        <w:spacing w:before="120" w:line="269" w:lineRule="auto"/>
        <w:jc w:val="center"/>
        <w:rPr>
          <w:rFonts w:eastAsia="Calibri"/>
          <w:rtl/>
        </w:rPr>
      </w:pPr>
      <w:r w:rsidRPr="00AA5065">
        <w:rPr>
          <w:rFonts w:eastAsia="Calibri"/>
          <w:noProof/>
        </w:rPr>
        <w:drawing>
          <wp:inline distT="0" distB="0" distL="0" distR="0">
            <wp:extent cx="4969933" cy="3729315"/>
            <wp:effectExtent l="0" t="0" r="2540" b="5080"/>
            <wp:docPr id="24" name="תמונה 24"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974479" cy="3732727"/>
                    </a:xfrm>
                    <a:prstGeom prst="rect">
                      <a:avLst/>
                    </a:prstGeom>
                    <a:noFill/>
                    <a:ln>
                      <a:noFill/>
                    </a:ln>
                  </pic:spPr>
                </pic:pic>
              </a:graphicData>
            </a:graphic>
          </wp:inline>
        </w:drawing>
      </w:r>
    </w:p>
    <w:p w:rsidR="00AA5065" w:rsidRPr="00AA5065" w:rsidP="006649F9">
      <w:pPr>
        <w:spacing w:after="60" w:line="269" w:lineRule="auto"/>
        <w:rPr>
          <w:rFonts w:eastAsia="Calibri"/>
          <w:sz w:val="16"/>
          <w:szCs w:val="20"/>
          <w:rtl/>
        </w:rPr>
      </w:pPr>
      <w:r w:rsidRPr="00AA5065">
        <w:rPr>
          <w:rFonts w:eastAsia="Calibri" w:hint="eastAsia"/>
          <w:sz w:val="16"/>
          <w:szCs w:val="20"/>
          <w:rtl/>
        </w:rPr>
        <w:t>צולם</w:t>
      </w:r>
      <w:r w:rsidRPr="00AA5065">
        <w:rPr>
          <w:rFonts w:eastAsia="Calibri"/>
          <w:sz w:val="16"/>
          <w:szCs w:val="20"/>
          <w:rtl/>
        </w:rPr>
        <w:t xml:space="preserve"> </w:t>
      </w:r>
      <w:r w:rsidRPr="00AA5065">
        <w:rPr>
          <w:rFonts w:eastAsia="Calibri" w:hint="eastAsia"/>
          <w:sz w:val="16"/>
          <w:szCs w:val="20"/>
          <w:rtl/>
        </w:rPr>
        <w:t>על</w:t>
      </w:r>
      <w:r w:rsidRPr="00AA5065">
        <w:rPr>
          <w:rFonts w:eastAsia="Calibri"/>
          <w:sz w:val="16"/>
          <w:szCs w:val="20"/>
          <w:rtl/>
        </w:rPr>
        <w:t xml:space="preserve"> </w:t>
      </w:r>
      <w:r w:rsidRPr="00AA5065">
        <w:rPr>
          <w:rFonts w:eastAsia="Calibri" w:hint="eastAsia"/>
          <w:sz w:val="16"/>
          <w:szCs w:val="20"/>
          <w:rtl/>
        </w:rPr>
        <w:t>ידי</w:t>
      </w:r>
      <w:r w:rsidRPr="00AA5065">
        <w:rPr>
          <w:rFonts w:eastAsia="Calibri"/>
          <w:sz w:val="16"/>
          <w:szCs w:val="20"/>
          <w:rtl/>
        </w:rPr>
        <w:t xml:space="preserve"> </w:t>
      </w:r>
      <w:r w:rsidRPr="00AA5065">
        <w:rPr>
          <w:rFonts w:eastAsia="Calibri" w:hint="cs"/>
          <w:sz w:val="16"/>
          <w:szCs w:val="20"/>
          <w:rtl/>
        </w:rPr>
        <w:t>צוות הביקורת</w:t>
      </w:r>
      <w:r w:rsidRPr="00AA5065">
        <w:rPr>
          <w:rFonts w:eastAsia="Calibri"/>
          <w:sz w:val="16"/>
          <w:szCs w:val="20"/>
          <w:rtl/>
        </w:rPr>
        <w:t xml:space="preserve"> </w:t>
      </w:r>
      <w:r w:rsidRPr="00AA5065">
        <w:rPr>
          <w:rFonts w:eastAsia="Calibri" w:hint="eastAsia"/>
          <w:sz w:val="16"/>
          <w:szCs w:val="20"/>
          <w:rtl/>
        </w:rPr>
        <w:t>ב</w:t>
      </w:r>
      <w:r w:rsidRPr="00AA5065">
        <w:rPr>
          <w:rFonts w:eastAsia="Calibri" w:hint="cs"/>
          <w:sz w:val="16"/>
          <w:szCs w:val="20"/>
          <w:rtl/>
        </w:rPr>
        <w:t>אוגוסט</w:t>
      </w:r>
      <w:r w:rsidRPr="00AA5065">
        <w:rPr>
          <w:rFonts w:eastAsia="Calibri"/>
          <w:sz w:val="16"/>
          <w:szCs w:val="20"/>
          <w:rtl/>
        </w:rPr>
        <w:t xml:space="preserve"> 202</w:t>
      </w:r>
      <w:r w:rsidRPr="00AA5065">
        <w:rPr>
          <w:rFonts w:eastAsia="Calibri" w:hint="cs"/>
          <w:sz w:val="16"/>
          <w:szCs w:val="20"/>
          <w:rtl/>
        </w:rPr>
        <w:t>4</w:t>
      </w:r>
      <w:r w:rsidRPr="00AA5065">
        <w:rPr>
          <w:rFonts w:eastAsia="Calibri"/>
          <w:sz w:val="16"/>
          <w:szCs w:val="20"/>
          <w:rtl/>
        </w:rPr>
        <w:t>.</w:t>
      </w:r>
    </w:p>
    <w:p w:rsidR="00AA5065" w:rsidRPr="00AA5065" w:rsidP="00860D89">
      <w:pPr>
        <w:spacing w:line="269" w:lineRule="auto"/>
        <w:rPr>
          <w:rFonts w:eastAsia="Calibri"/>
          <w:rtl/>
        </w:rPr>
      </w:pPr>
      <w:r w:rsidRPr="00AA5065">
        <w:rPr>
          <w:rFonts w:eastAsia="Calibri" w:hint="cs"/>
          <w:rtl/>
        </w:rPr>
        <w:t xml:space="preserve">גם </w:t>
      </w:r>
      <w:r w:rsidRPr="00AA5065">
        <w:rPr>
          <w:rFonts w:eastAsia="Calibri" w:hint="eastAsia"/>
          <w:rtl/>
        </w:rPr>
        <w:t>המשרד</w:t>
      </w:r>
      <w:r w:rsidRPr="00AA5065">
        <w:rPr>
          <w:rFonts w:eastAsia="Calibri"/>
          <w:rtl/>
        </w:rPr>
        <w:t xml:space="preserve"> </w:t>
      </w:r>
      <w:r w:rsidRPr="00AA5065">
        <w:rPr>
          <w:rFonts w:eastAsia="Calibri" w:hint="eastAsia"/>
          <w:rtl/>
        </w:rPr>
        <w:t>להג</w:t>
      </w:r>
      <w:r w:rsidRPr="00AA5065">
        <w:rPr>
          <w:rFonts w:eastAsia="Calibri"/>
          <w:rtl/>
        </w:rPr>
        <w:t>"</w:t>
      </w:r>
      <w:r w:rsidRPr="00AA5065">
        <w:rPr>
          <w:rFonts w:eastAsia="Calibri" w:hint="eastAsia"/>
          <w:rtl/>
        </w:rPr>
        <w:t>ס</w:t>
      </w:r>
      <w:r w:rsidRPr="00AA5065">
        <w:rPr>
          <w:rFonts w:eastAsia="Calibri"/>
          <w:rtl/>
        </w:rPr>
        <w:t xml:space="preserve"> </w:t>
      </w:r>
      <w:r w:rsidRPr="00AA5065">
        <w:rPr>
          <w:rFonts w:eastAsia="Calibri" w:hint="eastAsia"/>
          <w:rtl/>
        </w:rPr>
        <w:t>נתקל</w:t>
      </w:r>
      <w:r w:rsidRPr="00AA5065">
        <w:rPr>
          <w:rFonts w:eastAsia="Calibri"/>
          <w:rtl/>
        </w:rPr>
        <w:t xml:space="preserve"> </w:t>
      </w:r>
      <w:r w:rsidRPr="00AA5065">
        <w:rPr>
          <w:rFonts w:eastAsia="Calibri" w:hint="eastAsia"/>
          <w:rtl/>
        </w:rPr>
        <w:t>ב</w:t>
      </w:r>
      <w:r w:rsidRPr="00AA5065">
        <w:rPr>
          <w:rFonts w:eastAsia="Calibri" w:hint="cs"/>
          <w:rtl/>
        </w:rPr>
        <w:t xml:space="preserve">השלכת פסולת על גדות הנחלים ובסתימתם של ערוצי נחל. </w:t>
      </w:r>
      <w:r w:rsidRPr="00AA5065">
        <w:rPr>
          <w:rFonts w:eastAsia="Calibri" w:hint="eastAsia"/>
          <w:rtl/>
        </w:rPr>
        <w:t>לדוגמה</w:t>
      </w:r>
      <w:r w:rsidRPr="00AA5065">
        <w:rPr>
          <w:rFonts w:eastAsia="Calibri" w:hint="cs"/>
          <w:rtl/>
        </w:rPr>
        <w:t>,</w:t>
      </w:r>
      <w:r w:rsidRPr="00AA5065">
        <w:rPr>
          <w:rFonts w:eastAsia="Calibri"/>
          <w:rtl/>
        </w:rPr>
        <w:t xml:space="preserve"> </w:t>
      </w:r>
      <w:r w:rsidRPr="00AA5065">
        <w:rPr>
          <w:rFonts w:eastAsia="Calibri" w:hint="eastAsia"/>
          <w:rtl/>
        </w:rPr>
        <w:t>בדוח</w:t>
      </w:r>
      <w:r w:rsidRPr="00AA5065">
        <w:rPr>
          <w:rFonts w:eastAsia="Calibri"/>
          <w:rtl/>
        </w:rPr>
        <w:t xml:space="preserve"> </w:t>
      </w:r>
      <w:r w:rsidRPr="00AA5065">
        <w:rPr>
          <w:rFonts w:eastAsia="Calibri" w:hint="eastAsia"/>
          <w:rtl/>
        </w:rPr>
        <w:t>סיור</w:t>
      </w:r>
      <w:r w:rsidRPr="00AA5065">
        <w:rPr>
          <w:rFonts w:eastAsia="Calibri"/>
          <w:rtl/>
        </w:rPr>
        <w:t xml:space="preserve"> מיום </w:t>
      </w:r>
      <w:r w:rsidRPr="00AA5065">
        <w:rPr>
          <w:rFonts w:eastAsia="Calibri" w:hint="cs"/>
          <w:rtl/>
        </w:rPr>
        <w:t>30</w:t>
      </w:r>
      <w:r w:rsidRPr="00AA5065">
        <w:rPr>
          <w:rFonts w:eastAsia="Calibri"/>
          <w:rtl/>
        </w:rPr>
        <w:t>.</w:t>
      </w:r>
      <w:r w:rsidRPr="00AA5065">
        <w:rPr>
          <w:rFonts w:eastAsia="Calibri" w:hint="cs"/>
          <w:rtl/>
        </w:rPr>
        <w:t>11</w:t>
      </w:r>
      <w:r w:rsidRPr="00AA5065">
        <w:rPr>
          <w:rFonts w:eastAsia="Calibri"/>
          <w:rtl/>
        </w:rPr>
        <w:t>.</w:t>
      </w:r>
      <w:r w:rsidRPr="00AA5065">
        <w:rPr>
          <w:rFonts w:eastAsia="Calibri" w:hint="cs"/>
          <w:rtl/>
        </w:rPr>
        <w:t>23</w:t>
      </w:r>
      <w:r w:rsidRPr="00AA5065">
        <w:rPr>
          <w:rFonts w:eastAsia="Calibri"/>
          <w:rtl/>
        </w:rPr>
        <w:t xml:space="preserve"> ששלח </w:t>
      </w:r>
      <w:r w:rsidRPr="00AA5065">
        <w:rPr>
          <w:rFonts w:eastAsia="Calibri" w:hint="eastAsia"/>
          <w:rtl/>
        </w:rPr>
        <w:t>מחוז</w:t>
      </w:r>
      <w:r w:rsidRPr="00AA5065">
        <w:rPr>
          <w:rFonts w:eastAsia="Calibri"/>
          <w:rtl/>
        </w:rPr>
        <w:t xml:space="preserve"> </w:t>
      </w:r>
      <w:r w:rsidRPr="00AA5065">
        <w:rPr>
          <w:rFonts w:eastAsia="Calibri" w:hint="eastAsia"/>
          <w:rtl/>
        </w:rPr>
        <w:t>דרום</w:t>
      </w:r>
      <w:r w:rsidRPr="00AA5065">
        <w:rPr>
          <w:rFonts w:eastAsia="Calibri"/>
          <w:rtl/>
        </w:rPr>
        <w:t xml:space="preserve"> </w:t>
      </w:r>
      <w:r w:rsidRPr="00AA5065">
        <w:rPr>
          <w:rFonts w:eastAsia="Calibri" w:hint="cs"/>
          <w:rtl/>
        </w:rPr>
        <w:t xml:space="preserve">לראש המועצה המקומית ערערה </w:t>
      </w:r>
      <w:r w:rsidRPr="00AA5065">
        <w:rPr>
          <w:rFonts w:eastAsia="Calibri" w:hint="eastAsia"/>
          <w:rtl/>
        </w:rPr>
        <w:t>נכתב</w:t>
      </w:r>
      <w:r w:rsidRPr="00AA5065">
        <w:rPr>
          <w:rFonts w:eastAsia="Calibri"/>
          <w:rtl/>
        </w:rPr>
        <w:t xml:space="preserve">, </w:t>
      </w:r>
      <w:r w:rsidRPr="00AA5065">
        <w:rPr>
          <w:rFonts w:eastAsia="Calibri" w:hint="eastAsia"/>
          <w:rtl/>
        </w:rPr>
        <w:t>בין</w:t>
      </w:r>
      <w:r w:rsidRPr="00AA5065">
        <w:rPr>
          <w:rFonts w:eastAsia="Calibri"/>
          <w:rtl/>
        </w:rPr>
        <w:t xml:space="preserve"> </w:t>
      </w:r>
      <w:r w:rsidRPr="00AA5065">
        <w:rPr>
          <w:rFonts w:eastAsia="Calibri" w:hint="eastAsia"/>
          <w:rtl/>
        </w:rPr>
        <w:t>השאר</w:t>
      </w:r>
      <w:r w:rsidRPr="00AA5065">
        <w:rPr>
          <w:rFonts w:eastAsia="Calibri"/>
          <w:rtl/>
        </w:rPr>
        <w:t xml:space="preserve">, </w:t>
      </w:r>
      <w:r w:rsidRPr="00AA5065">
        <w:rPr>
          <w:rFonts w:eastAsia="Calibri" w:hint="eastAsia"/>
          <w:rtl/>
        </w:rPr>
        <w:t>כי</w:t>
      </w:r>
      <w:r w:rsidRPr="00AA5065">
        <w:rPr>
          <w:rFonts w:eastAsia="Calibri"/>
          <w:rtl/>
        </w:rPr>
        <w:t xml:space="preserve"> "</w:t>
      </w:r>
      <w:r w:rsidRPr="00AA5065">
        <w:rPr>
          <w:rFonts w:eastAsia="Calibri" w:hint="cs"/>
          <w:rtl/>
        </w:rPr>
        <w:t xml:space="preserve">בשטח נמצא כי הושלכה פסולת מגוונת בכמות רבה כגון: פסולת בניין, עודפי חפירה, פסולת יבשה, ברזל ועוד. הפסולת מפוזרת בערימות בצמוד לגדת נחל טלה... מהסיור עולה כי מפגע הפסולת כיום, מהווה חסימה לשביל עפר לאורך גדת נחל טלה, השביל מהווה שביל הליכה...".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בתמונה 8 שלהלן מוצגת הפסולת המושלכת על גדת נחל טלה וחוסמת את שביל העפר.</w:t>
      </w:r>
    </w:p>
    <w:p w:rsidR="00AA5065" w:rsidRPr="00AA5065" w:rsidP="00860D89">
      <w:pPr>
        <w:spacing w:line="269" w:lineRule="auto"/>
        <w:ind w:left="-567"/>
        <w:rPr>
          <w:rFonts w:eastAsia="Calibri"/>
          <w:szCs w:val="20"/>
          <w:rtl/>
        </w:rPr>
      </w:pPr>
    </w:p>
    <w:p w:rsidR="00AA5065" w:rsidRPr="00AA5065" w:rsidP="006649F9">
      <w:pPr>
        <w:keepNext/>
        <w:keepLines/>
        <w:spacing w:after="120" w:line="269" w:lineRule="auto"/>
        <w:ind w:left="-1"/>
        <w:jc w:val="center"/>
        <w:rPr>
          <w:rFonts w:eastAsia="Calibri"/>
          <w:b/>
          <w:bCs/>
          <w:sz w:val="24"/>
          <w:rtl/>
        </w:rPr>
      </w:pPr>
      <w:bookmarkStart w:id="67" w:name="_Hlk205374204"/>
      <w:r w:rsidRPr="00AA5065">
        <w:rPr>
          <w:rFonts w:eastAsia="Calibri" w:hint="cs"/>
          <w:sz w:val="24"/>
          <w:rtl/>
        </w:rPr>
        <w:t>תמונה 8:</w:t>
      </w:r>
      <w:r w:rsidRPr="00AA5065">
        <w:rPr>
          <w:rFonts w:eastAsia="Calibri" w:hint="cs"/>
          <w:rtl/>
        </w:rPr>
        <w:t xml:space="preserve"> </w:t>
      </w:r>
      <w:r w:rsidRPr="00AA5065">
        <w:rPr>
          <w:rFonts w:eastAsia="Calibri" w:hint="cs"/>
          <w:b/>
          <w:bCs/>
          <w:rtl/>
        </w:rPr>
        <w:t>הפסולת המושלכת על גדת נחל טלה וחוסמת את שביל העפר</w:t>
      </w:r>
      <w:r w:rsidRPr="00AA5065">
        <w:rPr>
          <w:rFonts w:eastAsia="Calibri" w:hint="cs"/>
          <w:b/>
          <w:bCs/>
          <w:sz w:val="24"/>
          <w:rtl/>
        </w:rPr>
        <w:t>, 30.11.23</w:t>
      </w:r>
    </w:p>
    <w:bookmarkEnd w:id="67"/>
    <w:p w:rsidR="00AA5065" w:rsidRPr="00AA5065" w:rsidP="00860D89">
      <w:pPr>
        <w:spacing w:line="269" w:lineRule="auto"/>
        <w:jc w:val="center"/>
        <w:rPr>
          <w:rFonts w:eastAsia="Calibri"/>
          <w:rtl/>
        </w:rPr>
      </w:pPr>
      <w:r w:rsidRPr="00AA5065">
        <w:rPr>
          <w:rFonts w:eastAsia="Calibri"/>
          <w:noProof/>
          <w:rtl/>
        </w:rPr>
        <w:drawing>
          <wp:inline distT="0" distB="0" distL="0" distR="0">
            <wp:extent cx="4764787" cy="5370341"/>
            <wp:effectExtent l="0" t="0" r="0" b="1905"/>
            <wp:docPr id="23" name="תמונה 23"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6"/>
                    <pic:cNvPicPr>
                      <a:picLocks noChangeAspect="1" noChangeArrowheads="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rcRect t="15495"/>
                    <a:stretch>
                      <a:fillRect/>
                    </a:stretch>
                  </pic:blipFill>
                  <pic:spPr bwMode="auto">
                    <a:xfrm>
                      <a:off x="0" y="0"/>
                      <a:ext cx="4768419" cy="537443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AA5065" w:rsidRPr="00AA5065" w:rsidP="006649F9">
      <w:pPr>
        <w:spacing w:before="120" w:line="269" w:lineRule="auto"/>
        <w:rPr>
          <w:rFonts w:eastAsia="Calibri"/>
          <w:rtl/>
        </w:rPr>
      </w:pPr>
      <w:bookmarkStart w:id="68" w:name="_Toc9869667"/>
      <w:bookmarkStart w:id="69" w:name="_Toc31186237"/>
      <w:bookmarkStart w:id="70" w:name="_Toc40713052"/>
      <w:r w:rsidRPr="00AA5065">
        <w:rPr>
          <w:rFonts w:eastAsia="Calibri" w:hint="cs"/>
          <w:sz w:val="16"/>
          <w:szCs w:val="20"/>
          <w:rtl/>
        </w:rPr>
        <w:t>המקור: המשרד להג</w:t>
      </w:r>
      <w:r w:rsidRPr="00AA5065">
        <w:rPr>
          <w:rFonts w:eastAsia="Calibri"/>
          <w:sz w:val="16"/>
          <w:szCs w:val="20"/>
          <w:rtl/>
        </w:rPr>
        <w:t>"</w:t>
      </w:r>
      <w:r w:rsidRPr="00AA5065">
        <w:rPr>
          <w:rFonts w:eastAsia="Calibri" w:hint="cs"/>
          <w:sz w:val="16"/>
          <w:szCs w:val="20"/>
          <w:rtl/>
        </w:rPr>
        <w:t>ס.</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נציגי המשרד להג</w:t>
      </w:r>
      <w:r w:rsidRPr="00AA5065">
        <w:rPr>
          <w:rFonts w:eastAsia="Calibri"/>
          <w:rtl/>
        </w:rPr>
        <w:t>"</w:t>
      </w:r>
      <w:r w:rsidRPr="00AA5065">
        <w:rPr>
          <w:rFonts w:eastAsia="Calibri" w:hint="cs"/>
          <w:rtl/>
        </w:rPr>
        <w:t>ס מסרו לצוות הביקורת ב-14.7.24 כי התופעה של סתימת ערוצי נחל עדיין מתקיימת, ובכלל זה הנחת קווי ביוב בתוך הנחל והשלכת פסולת לערוצי הנחלים. עוד הם מסרו כי המשרד להג</w:t>
      </w:r>
      <w:r w:rsidRPr="00AA5065">
        <w:rPr>
          <w:rFonts w:eastAsia="Calibri"/>
          <w:rtl/>
        </w:rPr>
        <w:t>"</w:t>
      </w:r>
      <w:r w:rsidRPr="00AA5065">
        <w:rPr>
          <w:rFonts w:eastAsia="Calibri" w:hint="cs"/>
          <w:rtl/>
        </w:rPr>
        <w:t>ס נעזר בשירותי הפיקוח של רט"ג ואף יזם פרויקט של שיקום נחלים הכולל, בין השאר, הצבת מצלמות, הצבת בטונדות לחסימת משאיות וכן פעילות בתחום החינוך וההסברה.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עוד ציינו נציגי המשרד להג</w:t>
      </w:r>
      <w:r w:rsidRPr="00AA5065">
        <w:rPr>
          <w:rFonts w:eastAsia="Calibri"/>
          <w:rtl/>
        </w:rPr>
        <w:t>"</w:t>
      </w:r>
      <w:r w:rsidRPr="00AA5065">
        <w:rPr>
          <w:rFonts w:eastAsia="Calibri" w:hint="cs"/>
          <w:rtl/>
        </w:rPr>
        <w:t>ס כי קיים קושי ממשי בגיוס פקחים ליל"ס</w:t>
      </w:r>
      <w:r>
        <w:rPr>
          <w:rFonts w:eastAsia="Calibri"/>
          <w:vertAlign w:val="superscript"/>
          <w:rtl/>
        </w:rPr>
        <w:footnoteReference w:id="66"/>
      </w:r>
      <w:r w:rsidRPr="00AA5065">
        <w:rPr>
          <w:rFonts w:eastAsia="Calibri" w:hint="cs"/>
          <w:rtl/>
        </w:rPr>
        <w:t xml:space="preserve"> וכי קיימת תחלופה גבוהה של פקחים ביחידה זו.</w:t>
      </w:r>
    </w:p>
    <w:p w:rsidR="00AA5065" w:rsidRPr="00AA5065" w:rsidP="00860D89">
      <w:pPr>
        <w:spacing w:line="269" w:lineRule="auto"/>
        <w:ind w:left="-567"/>
        <w:rPr>
          <w:rFonts w:eastAsia="Calibri"/>
          <w:szCs w:val="20"/>
          <w:rtl/>
        </w:rPr>
      </w:pPr>
    </w:p>
    <w:p w:rsidR="00AA5065" w:rsidRPr="00AA5065" w:rsidP="006649F9">
      <w:pPr>
        <w:spacing w:after="120" w:line="269" w:lineRule="auto"/>
        <w:rPr>
          <w:rFonts w:eastAsia="Calibri"/>
          <w:b/>
          <w:bCs/>
          <w:rtl/>
        </w:rPr>
      </w:pPr>
      <w:r w:rsidRPr="00AA5065">
        <w:rPr>
          <w:rFonts w:eastAsia="Calibri" w:hint="cs"/>
          <w:b/>
          <w:bCs/>
          <w:rtl/>
        </w:rPr>
        <w:t xml:space="preserve">בביקורת הקודמת עלה כי </w:t>
      </w:r>
      <w:r w:rsidRPr="00AA5065">
        <w:rPr>
          <w:rFonts w:eastAsia="Calibri"/>
          <w:b/>
          <w:bCs/>
          <w:rtl/>
        </w:rPr>
        <w:t>הרשויות המקומיות</w:t>
      </w:r>
      <w:r w:rsidRPr="00AA5065">
        <w:rPr>
          <w:rFonts w:eastAsia="Calibri" w:hint="cs"/>
          <w:b/>
          <w:bCs/>
          <w:rtl/>
        </w:rPr>
        <w:t xml:space="preserve">, </w:t>
      </w:r>
      <w:r w:rsidRPr="00AA5065">
        <w:rPr>
          <w:rFonts w:eastAsia="Calibri"/>
          <w:b/>
          <w:bCs/>
          <w:rtl/>
        </w:rPr>
        <w:t>המשרד להג"ס ו</w:t>
      </w:r>
      <w:r w:rsidRPr="00AA5065">
        <w:rPr>
          <w:rFonts w:eastAsia="Calibri" w:hint="cs"/>
          <w:b/>
          <w:bCs/>
          <w:rtl/>
        </w:rPr>
        <w:t>ה</w:t>
      </w:r>
      <w:r w:rsidRPr="00AA5065">
        <w:rPr>
          <w:rFonts w:eastAsia="Calibri"/>
          <w:b/>
          <w:bCs/>
          <w:rtl/>
        </w:rPr>
        <w:t>משטר</w:t>
      </w:r>
      <w:r w:rsidRPr="00AA5065">
        <w:rPr>
          <w:rFonts w:eastAsia="Calibri" w:hint="cs"/>
          <w:b/>
          <w:bCs/>
          <w:rtl/>
        </w:rPr>
        <w:t>ה</w:t>
      </w:r>
      <w:r w:rsidRPr="00AA5065">
        <w:rPr>
          <w:rFonts w:eastAsia="Calibri"/>
          <w:b/>
          <w:bCs/>
          <w:rtl/>
        </w:rPr>
        <w:t xml:space="preserve"> אינם מטפלים, כל גוף במסגרת סמכויותיו ובאמצעי האכיפה העומדים לרשותו, בתופעה של סתימת ערוצי נחלים בפסולת בכלל ובפסולת בניין בפרט, שנפוצה ביותר באזורים הסמוכים ליישובי הבדואים בנגב ובפזורה. </w:t>
      </w:r>
      <w:r w:rsidRPr="00AA5065">
        <w:rPr>
          <w:rFonts w:eastAsia="Calibri" w:hint="cs"/>
          <w:b/>
          <w:bCs/>
          <w:rtl/>
        </w:rPr>
        <w:t>ממצאי המעקב מעלים כי הליקוי לא תוקן. תמונת המצב בתחום סתימתם של ערוצי הנחל באזור הדרום באמצעות פסולת נותרה בעינה.</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eastAsia="Calibri"/>
          <w:rtl/>
        </w:rPr>
      </w:pPr>
      <w:r w:rsidRPr="00AA5065">
        <w:rPr>
          <w:rFonts w:eastAsia="Calibri" w:hint="cs"/>
          <w:b/>
          <w:bCs/>
          <w:rtl/>
          <w:lang w:eastAsia="he-IL"/>
        </w:rPr>
        <w:t>מידת תיקון הליקוי</w:t>
      </w:r>
    </w:p>
    <w:p w:rsidR="00AA5065" w:rsidRPr="00AA5065" w:rsidP="00860D89">
      <w:pPr>
        <w:spacing w:line="269" w:lineRule="auto"/>
        <w:jc w:val="center"/>
        <w:rPr>
          <w:rFonts w:eastAsia="Calibri"/>
          <w:rtl/>
        </w:rPr>
      </w:pPr>
      <w:r w:rsidRPr="00AA5065">
        <w:rPr>
          <w:rFonts w:eastAsia="Calibri"/>
          <w:noProof/>
        </w:rPr>
        <w:drawing>
          <wp:inline distT="0" distB="0" distL="0" distR="0">
            <wp:extent cx="3422650" cy="933450"/>
            <wp:effectExtent l="0" t="0" r="6350" b="0"/>
            <wp:docPr id="56" name="תמונה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2650" cy="933450"/>
                    </a:xfrm>
                    <a:prstGeom prst="rect">
                      <a:avLst/>
                    </a:prstGeom>
                    <a:noFill/>
                    <a:ln>
                      <a:noFill/>
                    </a:ln>
                  </pic:spPr>
                </pic:pic>
              </a:graphicData>
            </a:graphic>
          </wp:inline>
        </w:drawing>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משטרת ישראל מסרה בתשובתה כי</w:t>
      </w:r>
      <w:r w:rsidRPr="00AA5065">
        <w:rPr>
          <w:rFonts w:ascii="David" w:eastAsia="Times New Roman" w:hAnsi="David" w:hint="eastAsia"/>
          <w:sz w:val="24"/>
          <w:rtl/>
          <w:lang w:eastAsia="he-IL"/>
        </w:rPr>
        <w:t xml:space="preserve"> </w:t>
      </w:r>
      <w:r w:rsidRPr="00AA5065">
        <w:rPr>
          <w:rFonts w:ascii="David" w:eastAsia="Times New Roman" w:hAnsi="David" w:hint="cs"/>
          <w:sz w:val="24"/>
          <w:rtl/>
          <w:lang w:eastAsia="he-IL"/>
        </w:rPr>
        <w:t>"</w:t>
      </w:r>
      <w:r w:rsidRPr="00AA5065">
        <w:rPr>
          <w:rFonts w:ascii="David" w:eastAsia="Times New Roman" w:hAnsi="David" w:hint="eastAsia"/>
          <w:sz w:val="24"/>
          <w:rtl/>
          <w:lang w:eastAsia="he-IL"/>
        </w:rPr>
        <w:t>לא</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הועברה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פנייה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רשות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כזו</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או</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אחרת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על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מנת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לטפל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בנושא</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הגנת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הסביבה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פינוי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פסולת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או</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מניעת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סתימת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ערוצי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נחל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הקרובים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ליישובי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המגזר</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הבדואי</w:t>
      </w:r>
      <w:r w:rsidRPr="00AA5065">
        <w:rPr>
          <w:rFonts w:ascii="David" w:eastAsia="Times New Roman" w:hAnsi="David"/>
          <w:sz w:val="24"/>
          <w:rtl/>
          <w:lang w:eastAsia="he-IL"/>
        </w:rPr>
        <w:t>.</w:t>
      </w:r>
      <w:r w:rsidRPr="00AA5065">
        <w:rPr>
          <w:rFonts w:ascii="David" w:eastAsia="Times New Roman" w:hAnsi="David" w:hint="cs"/>
          <w:sz w:val="24"/>
          <w:rtl/>
          <w:lang w:eastAsia="he-IL"/>
        </w:rPr>
        <w:t xml:space="preserve"> </w:t>
      </w:r>
      <w:r w:rsidRPr="00AA5065">
        <w:rPr>
          <w:rFonts w:ascii="David" w:eastAsia="Times New Roman" w:hAnsi="David" w:hint="eastAsia"/>
          <w:sz w:val="24"/>
          <w:rtl/>
          <w:lang w:eastAsia="he-IL"/>
        </w:rPr>
        <w:t>כמו</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כן</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לא</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הי</w:t>
      </w:r>
      <w:r w:rsidRPr="00AA5065">
        <w:rPr>
          <w:rFonts w:ascii="David" w:eastAsia="Times New Roman" w:hAnsi="David" w:hint="cs"/>
          <w:sz w:val="24"/>
          <w:rtl/>
          <w:lang w:eastAsia="he-IL"/>
        </w:rPr>
        <w:t>י</w:t>
      </w:r>
      <w:r w:rsidRPr="00AA5065">
        <w:rPr>
          <w:rFonts w:ascii="David" w:eastAsia="Times New Roman" w:hAnsi="David" w:hint="eastAsia"/>
          <w:sz w:val="24"/>
          <w:rtl/>
          <w:lang w:eastAsia="he-IL"/>
        </w:rPr>
        <w:t>תה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פניה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המשרד</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w:t>
      </w:r>
      <w:r w:rsidRPr="00AA5065">
        <w:rPr>
          <w:rFonts w:ascii="David" w:eastAsia="Times New Roman" w:hAnsi="David" w:hint="cs"/>
          <w:sz w:val="24"/>
          <w:rtl/>
          <w:lang w:eastAsia="he-IL"/>
        </w:rPr>
        <w:t>הג"ס</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על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מנת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לקבל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סיוע</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משטרתי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כדי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לטפל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בתופעות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אלה</w:t>
      </w:r>
      <w:r w:rsidRPr="00AA5065">
        <w:rPr>
          <w:rFonts w:ascii="David" w:eastAsia="Times New Roman" w:hAnsi="David"/>
          <w:sz w:val="24"/>
          <w:rtl/>
          <w:lang w:eastAsia="he-IL"/>
        </w:rPr>
        <w:t>.</w:t>
      </w:r>
      <w:r w:rsidRPr="00AA5065">
        <w:rPr>
          <w:rFonts w:ascii="David" w:eastAsia="Times New Roman" w:hAnsi="David" w:hint="cs"/>
          <w:sz w:val="24"/>
          <w:rtl/>
          <w:lang w:eastAsia="he-IL"/>
        </w:rPr>
        <w:t xml:space="preserve"> </w:t>
      </w:r>
      <w:r w:rsidRPr="00AA5065">
        <w:rPr>
          <w:rFonts w:ascii="Arial" w:eastAsia="Times New Roman" w:hAnsi="Arial"/>
          <w:sz w:val="24"/>
          <w:rtl/>
        </w:rPr>
        <w:t xml:space="preserve">משטרת ישראל מסיעת למשרד </w:t>
      </w:r>
      <w:r w:rsidRPr="00AA5065">
        <w:rPr>
          <w:rFonts w:ascii="Arial" w:eastAsia="Times New Roman" w:hAnsi="Arial" w:hint="cs"/>
          <w:sz w:val="24"/>
          <w:rtl/>
        </w:rPr>
        <w:t>להג"ס</w:t>
      </w:r>
      <w:r w:rsidRPr="00AA5065">
        <w:rPr>
          <w:rFonts w:ascii="Arial" w:eastAsia="Times New Roman" w:hAnsi="Arial"/>
          <w:sz w:val="24"/>
          <w:rtl/>
        </w:rPr>
        <w:t xml:space="preserve"> באכיפה וטיפול בעברייני </w:t>
      </w:r>
      <w:r w:rsidRPr="00AA5065">
        <w:rPr>
          <w:rFonts w:ascii="Calibri" w:eastAsia="Times New Roman" w:hAnsi="Calibri" w:hint="cs"/>
          <w:sz w:val="24"/>
          <w:rtl/>
        </w:rPr>
        <w:t>סביבה".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ascii="Calibri" w:eastAsia="Calibri" w:hAnsi="Calibri" w:hint="eastAsia"/>
          <w:b/>
          <w:bCs/>
          <w:sz w:val="24"/>
          <w:rtl/>
        </w:rPr>
        <w:t>על</w:t>
      </w:r>
      <w:r w:rsidRPr="00AA5065">
        <w:rPr>
          <w:rFonts w:ascii="Calibri" w:eastAsia="Calibri" w:hAnsi="Calibri" w:hint="cs"/>
          <w:b/>
          <w:bCs/>
          <w:sz w:val="24"/>
          <w:rtl/>
        </w:rPr>
        <w:t xml:space="preserve"> המשרד להג"ס, בשיתוף משטרת ישראל והרשויות המקומיות הרלוונטיות בנגב, </w:t>
      </w:r>
      <w:r w:rsidRPr="00AA5065">
        <w:rPr>
          <w:rFonts w:ascii="Calibri" w:eastAsia="Calibri" w:hAnsi="Calibri" w:hint="eastAsia"/>
          <w:b/>
          <w:bCs/>
          <w:sz w:val="24"/>
          <w:rtl/>
        </w:rPr>
        <w:t>להגביר</w:t>
      </w:r>
      <w:r w:rsidRPr="00AA5065">
        <w:rPr>
          <w:rFonts w:ascii="Calibri" w:eastAsia="Calibri" w:hAnsi="Calibri" w:hint="cs"/>
          <w:b/>
          <w:bCs/>
          <w:sz w:val="24"/>
          <w:rtl/>
        </w:rPr>
        <w:t xml:space="preserve"> את הטיפול ואת האכיפה הנדרשת</w:t>
      </w:r>
      <w:r w:rsidRPr="00AA5065">
        <w:rPr>
          <w:rFonts w:eastAsia="Calibri" w:hint="cs"/>
          <w:b/>
          <w:bCs/>
          <w:rtl/>
        </w:rPr>
        <w:t xml:space="preserve"> בנוגע לתופעת השלכת פסולת בנחלים שבאזור הדרום וסתימתם של ערוצי הנחל.</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המשרד להג"ס מסר בתשובתו כי "</w:t>
      </w:r>
      <w:r w:rsidRPr="00AA5065">
        <w:rPr>
          <w:rFonts w:eastAsia="Calibri"/>
          <w:rtl/>
        </w:rPr>
        <w:t>המשרד רואה חשיבות רבה למקד את פעולות הפיקוח והאכיפה באזורים בעלי רגישות כדוגמת ערוצי נחל.</w:t>
      </w:r>
      <w:r w:rsidRPr="00AA5065">
        <w:rPr>
          <w:rFonts w:eastAsia="Calibri"/>
        </w:rPr>
        <w:t xml:space="preserve"> </w:t>
      </w:r>
      <w:r w:rsidRPr="00AA5065">
        <w:rPr>
          <w:rFonts w:eastAsia="Calibri"/>
          <w:rtl/>
        </w:rPr>
        <w:t xml:space="preserve">נוסיף כי במסגרת פעילות </w:t>
      </w:r>
      <w:r w:rsidRPr="00AA5065">
        <w:rPr>
          <w:rFonts w:eastAsia="Calibri" w:hint="cs"/>
          <w:rtl/>
        </w:rPr>
        <w:t>'</w:t>
      </w:r>
      <w:r w:rsidRPr="00AA5065">
        <w:rPr>
          <w:rFonts w:eastAsia="Calibri"/>
          <w:rtl/>
        </w:rPr>
        <w:t>שולחן עגול</w:t>
      </w:r>
      <w:r w:rsidRPr="00AA5065">
        <w:rPr>
          <w:rFonts w:eastAsia="Calibri" w:hint="cs"/>
          <w:rtl/>
        </w:rPr>
        <w:t>'</w:t>
      </w:r>
      <w:r w:rsidRPr="00AA5065">
        <w:rPr>
          <w:rFonts w:eastAsia="Calibri"/>
          <w:rtl/>
        </w:rPr>
        <w:t xml:space="preserve"> נערכו 2 מבצעי אכיפה בשיתוף גופי אכיפה ממשלתיים (רשות מקרקעי ישראל, היחידה לאכיפה דיני מקרקעין ומשטרת ישראל) בנחל גרר</w:t>
      </w:r>
      <w:r w:rsidRPr="00AA5065">
        <w:rPr>
          <w:rFonts w:eastAsia="Calibri"/>
        </w:rPr>
        <w:t>-</w:t>
      </w:r>
      <w:r w:rsidRPr="00AA5065">
        <w:rPr>
          <w:rFonts w:eastAsia="Calibri"/>
          <w:rtl/>
        </w:rPr>
        <w:t xml:space="preserve"> ברהט ונחל פלט - באבו קוידר. כמו כן בשנה החולפת פעל המשרד בשיתוף פעולה עם הרשויות הבדואיות בערערה, שגב שלום, ורהט </w:t>
      </w:r>
      <w:r w:rsidRPr="00AA5065">
        <w:rPr>
          <w:rFonts w:eastAsia="Calibri" w:hint="cs"/>
          <w:rtl/>
        </w:rPr>
        <w:t>לתקצוב</w:t>
      </w:r>
      <w:r w:rsidRPr="00AA5065">
        <w:rPr>
          <w:rFonts w:eastAsia="Calibri"/>
          <w:rtl/>
        </w:rPr>
        <w:t xml:space="preserve"> פרויקט לפיתוח ושיקום ערוצי נחלים - נוקדים, גרר וטלה. במסגרת הפרויקט ניתן תקצוב גם לפינוי פסולת, פינוי מבנים בלתי חוקיים, הסדרת תוואי הנחל, הקמת שבילי הליכה ופארקים וכן הסדרת מערכת הביוב. כך למשל, הותקנה בתמיכת המשרד הגדר הכחולה בסמוך לגדות נחל טלה (המופיעה בתצלום בסעיף 240 לטיוטת הביקורת) המונעת הצטברות פסולת בערוץ הנחל - מהווה שיפור לעומת המצב הקודם שבו נחסמו ערוצי נחל בפסולת. בנוסף, למיטב ידיעת המשרד, מפגע הפסולת שתועד על גדות נחל טלה פונה. יחד עם זאת, המשרד מודע לכך שנותרה עוד עבודה רבה בתחום זה</w:t>
      </w:r>
      <w:r w:rsidRPr="00AA5065">
        <w:rPr>
          <w:rFonts w:eastAsia="Calibri" w:hint="cs"/>
          <w:rtl/>
        </w:rPr>
        <w:t>"</w:t>
      </w:r>
      <w:r w:rsidRPr="00AA5065">
        <w:rPr>
          <w:rFonts w:eastAsia="Calibri"/>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Pr>
      </w:pPr>
      <w:r w:rsidRPr="00AA5065">
        <w:rPr>
          <w:rFonts w:eastAsia="Calibri" w:hint="cs"/>
          <w:rtl/>
        </w:rPr>
        <w:t>ה</w:t>
      </w:r>
      <w:r w:rsidRPr="00AA5065">
        <w:rPr>
          <w:rFonts w:eastAsia="Calibri"/>
          <w:rtl/>
        </w:rPr>
        <w:t xml:space="preserve">מועצה </w:t>
      </w:r>
      <w:r w:rsidRPr="00AA5065">
        <w:rPr>
          <w:rFonts w:eastAsia="Calibri" w:hint="cs"/>
          <w:rtl/>
        </w:rPr>
        <w:t>ה</w:t>
      </w:r>
      <w:r w:rsidRPr="00AA5065">
        <w:rPr>
          <w:rFonts w:eastAsia="Calibri"/>
          <w:rtl/>
        </w:rPr>
        <w:t xml:space="preserve">מקומית כסיפה מסרה בתשובתה ‏כי החל </w:t>
      </w:r>
      <w:r w:rsidRPr="00AA5065">
        <w:rPr>
          <w:rFonts w:eastAsia="Calibri" w:hint="cs"/>
          <w:rtl/>
        </w:rPr>
        <w:t>ב</w:t>
      </w:r>
      <w:r w:rsidRPr="00AA5065">
        <w:rPr>
          <w:rFonts w:eastAsia="Calibri"/>
          <w:rtl/>
        </w:rPr>
        <w:t>תאריך 21.10.25 מתבצע</w:t>
      </w:r>
      <w:r w:rsidRPr="00AA5065">
        <w:rPr>
          <w:rFonts w:eastAsia="Calibri" w:hint="cs"/>
          <w:rtl/>
        </w:rPr>
        <w:t>ות</w:t>
      </w:r>
      <w:r w:rsidRPr="00AA5065">
        <w:rPr>
          <w:rFonts w:eastAsia="Calibri"/>
          <w:rtl/>
        </w:rPr>
        <w:t xml:space="preserve"> עבודות ‏פינוי </w:t>
      </w:r>
      <w:r w:rsidRPr="00AA5065">
        <w:rPr>
          <w:rFonts w:eastAsia="Calibri" w:hint="cs"/>
          <w:rtl/>
        </w:rPr>
        <w:t xml:space="preserve">מפגעי </w:t>
      </w:r>
      <w:r w:rsidRPr="00AA5065">
        <w:rPr>
          <w:rFonts w:eastAsia="Calibri"/>
          <w:rtl/>
        </w:rPr>
        <w:t>פסולת ו</w:t>
      </w:r>
      <w:r w:rsidRPr="00AA5065">
        <w:rPr>
          <w:rFonts w:eastAsia="Calibri" w:hint="cs"/>
          <w:rtl/>
        </w:rPr>
        <w:t xml:space="preserve">מתבצע </w:t>
      </w:r>
      <w:r w:rsidRPr="00AA5065">
        <w:rPr>
          <w:rFonts w:eastAsia="Calibri"/>
          <w:rtl/>
        </w:rPr>
        <w:t>נ</w:t>
      </w:r>
      <w:r w:rsidRPr="00AA5065">
        <w:rPr>
          <w:rFonts w:eastAsia="Calibri" w:hint="cs"/>
          <w:rtl/>
        </w:rPr>
        <w:t>י</w:t>
      </w:r>
      <w:r w:rsidRPr="00AA5065">
        <w:rPr>
          <w:rFonts w:eastAsia="Calibri"/>
          <w:rtl/>
        </w:rPr>
        <w:t xml:space="preserve">קיון יסודי </w:t>
      </w:r>
      <w:r w:rsidRPr="00AA5065">
        <w:rPr>
          <w:rFonts w:eastAsia="Calibri" w:hint="cs"/>
          <w:rtl/>
        </w:rPr>
        <w:t xml:space="preserve">באזורי </w:t>
      </w:r>
      <w:r w:rsidRPr="00AA5065">
        <w:rPr>
          <w:rFonts w:eastAsia="Calibri"/>
          <w:rtl/>
        </w:rPr>
        <w:t>נחל העובר ‏בתחום היישוב</w:t>
      </w:r>
      <w:r w:rsidRPr="00AA5065">
        <w:rPr>
          <w:rFonts w:eastAsia="Calibri" w:hint="cs"/>
          <w:rtl/>
        </w:rPr>
        <w:t>.</w:t>
      </w:r>
    </w:p>
    <w:p w:rsidR="00AA5065" w:rsidRPr="00AA5065" w:rsidP="00860D89">
      <w:pPr>
        <w:spacing w:line="269" w:lineRule="auto"/>
        <w:ind w:left="-567"/>
        <w:rPr>
          <w:rFonts w:eastAsia="Calibri"/>
          <w:szCs w:val="20"/>
          <w:rtl/>
        </w:rPr>
      </w:pPr>
    </w:p>
    <w:p w:rsidR="00AA5065" w:rsidP="00860D89">
      <w:pPr>
        <w:spacing w:line="269" w:lineRule="auto"/>
        <w:rPr>
          <w:rFonts w:eastAsia="Calibri"/>
          <w:rtl/>
        </w:rPr>
      </w:pPr>
      <w:r w:rsidRPr="00AA5065">
        <w:rPr>
          <w:rFonts w:eastAsia="Calibri" w:hint="eastAsia"/>
          <w:rtl/>
        </w:rPr>
        <w:t>בסעיף</w:t>
      </w:r>
      <w:r w:rsidRPr="00AA5065">
        <w:rPr>
          <w:rFonts w:eastAsia="Calibri"/>
          <w:rtl/>
        </w:rPr>
        <w:t xml:space="preserve"> 26 להחלטת ממשלה 550</w:t>
      </w:r>
      <w:r>
        <w:rPr>
          <w:rFonts w:eastAsia="Calibri"/>
          <w:vertAlign w:val="superscript"/>
          <w:rtl/>
        </w:rPr>
        <w:footnoteReference w:id="67"/>
      </w:r>
      <w:r w:rsidRPr="00AA5065">
        <w:rPr>
          <w:rFonts w:eastAsia="Calibri"/>
          <w:rtl/>
        </w:rPr>
        <w:t xml:space="preserve"> מנובמבר 2021 הוטל על המשרד ל</w:t>
      </w:r>
      <w:r w:rsidRPr="00AA5065">
        <w:rPr>
          <w:rFonts w:eastAsia="Calibri" w:hint="cs"/>
          <w:rtl/>
        </w:rPr>
        <w:t>הג"ס</w:t>
      </w:r>
      <w:r w:rsidRPr="00AA5065">
        <w:rPr>
          <w:rFonts w:eastAsia="Calibri"/>
          <w:rtl/>
        </w:rPr>
        <w:t xml:space="preserve"> לגבש </w:t>
      </w:r>
      <w:r w:rsidRPr="00AA5065">
        <w:rPr>
          <w:rFonts w:eastAsia="Calibri" w:hint="eastAsia"/>
          <w:rtl/>
        </w:rPr>
        <w:t>תוכנית</w:t>
      </w:r>
      <w:r w:rsidRPr="00AA5065">
        <w:rPr>
          <w:rFonts w:eastAsia="Calibri"/>
          <w:rtl/>
        </w:rPr>
        <w:t xml:space="preserve"> סביבתית. התוכנית נועדה לשיפור מצב הסביבה לרבות בהיבטי שינוי האקלים ביישובי המיעוטים. כמו כן, נקבע כי יש להקים ועדת היגוי בראשות מנכ"לית המשרד ל</w:t>
      </w:r>
      <w:r w:rsidRPr="00AA5065">
        <w:rPr>
          <w:rFonts w:eastAsia="Calibri" w:hint="cs"/>
          <w:rtl/>
        </w:rPr>
        <w:t>הג"ס</w:t>
      </w:r>
      <w:r w:rsidRPr="00AA5065">
        <w:rPr>
          <w:rFonts w:eastAsia="Calibri"/>
          <w:rtl/>
        </w:rPr>
        <w:t xml:space="preserve"> (או מי מטעמה) ומשרדים נוספים. </w:t>
      </w:r>
      <w:r w:rsidRPr="00AA5065">
        <w:rPr>
          <w:rFonts w:eastAsia="Calibri" w:hint="eastAsia"/>
          <w:rtl/>
        </w:rPr>
        <w:t>תוכנית</w:t>
      </w:r>
      <w:r w:rsidRPr="00AA5065">
        <w:rPr>
          <w:rFonts w:eastAsia="Calibri"/>
          <w:rtl/>
        </w:rPr>
        <w:t xml:space="preserve"> העבודה תגובש, בהתאם לעקרונות ה</w:t>
      </w:r>
      <w:r w:rsidRPr="00AA5065">
        <w:rPr>
          <w:rFonts w:eastAsia="Calibri" w:hint="cs"/>
          <w:rtl/>
        </w:rPr>
        <w:t>אלה</w:t>
      </w:r>
      <w:r w:rsidRPr="00AA5065">
        <w:rPr>
          <w:rFonts w:eastAsia="Calibri"/>
          <w:rtl/>
        </w:rPr>
        <w:t>:</w:t>
      </w:r>
    </w:p>
    <w:p w:rsidR="006649F9" w:rsidRPr="00AA5065" w:rsidP="00860D89">
      <w:pPr>
        <w:spacing w:line="269" w:lineRule="auto"/>
        <w:rPr>
          <w:rFonts w:eastAsia="Calibri"/>
          <w:rtl/>
        </w:rPr>
      </w:pPr>
    </w:p>
    <w:p w:rsidR="00AA5065" w:rsidRPr="00401221" w:rsidP="00860D89">
      <w:pPr>
        <w:spacing w:line="269" w:lineRule="auto"/>
        <w:rPr>
          <w:rFonts w:eastAsia="Calibri"/>
          <w:sz w:val="10"/>
          <w:szCs w:val="14"/>
          <w:rtl/>
        </w:rPr>
      </w:pPr>
    </w:p>
    <w:p w:rsidR="00AA5065" w:rsidRPr="00AA5065" w:rsidP="006649F9">
      <w:pPr>
        <w:numPr>
          <w:ilvl w:val="0"/>
          <w:numId w:val="18"/>
        </w:numPr>
        <w:spacing w:after="120" w:line="269" w:lineRule="auto"/>
        <w:ind w:left="312"/>
        <w:jc w:val="left"/>
        <w:rPr>
          <w:rFonts w:eastAsia="Calibri"/>
        </w:rPr>
      </w:pPr>
      <w:r w:rsidRPr="00AA5065">
        <w:rPr>
          <w:rFonts w:eastAsia="Calibri"/>
          <w:rtl/>
        </w:rPr>
        <w:t>קיום הליכים של שיתוף ציבור מקדימים בקרב החברה הערבי</w:t>
      </w:r>
      <w:r w:rsidRPr="00AA5065">
        <w:rPr>
          <w:rFonts w:eastAsia="Calibri" w:hint="eastAsia"/>
          <w:rtl/>
        </w:rPr>
        <w:t>ת</w:t>
      </w:r>
      <w:r w:rsidRPr="00AA5065">
        <w:rPr>
          <w:rFonts w:eastAsia="Calibri"/>
          <w:rtl/>
        </w:rPr>
        <w:t>.</w:t>
      </w:r>
    </w:p>
    <w:p w:rsidR="00AA5065" w:rsidRPr="00AA5065" w:rsidP="006649F9">
      <w:pPr>
        <w:numPr>
          <w:ilvl w:val="0"/>
          <w:numId w:val="18"/>
        </w:numPr>
        <w:spacing w:after="120" w:line="269" w:lineRule="auto"/>
        <w:ind w:left="312"/>
        <w:jc w:val="left"/>
        <w:rPr>
          <w:rFonts w:eastAsia="Calibri"/>
        </w:rPr>
      </w:pPr>
      <w:r w:rsidRPr="00AA5065">
        <w:rPr>
          <w:rFonts w:eastAsia="Calibri"/>
          <w:rtl/>
        </w:rPr>
        <w:t>קידום פתרונות למשק הפסולת בהתאם לאסטרטגיית הפסולת של המשרד</w:t>
      </w:r>
      <w:r w:rsidRPr="00AA5065">
        <w:rPr>
          <w:rFonts w:eastAsia="Calibri"/>
        </w:rPr>
        <w:t>.</w:t>
      </w:r>
    </w:p>
    <w:p w:rsidR="00AA5065" w:rsidRPr="00AA5065" w:rsidP="006649F9">
      <w:pPr>
        <w:numPr>
          <w:ilvl w:val="0"/>
          <w:numId w:val="18"/>
        </w:numPr>
        <w:spacing w:after="120" w:line="269" w:lineRule="auto"/>
        <w:ind w:left="312"/>
        <w:jc w:val="left"/>
        <w:rPr>
          <w:rFonts w:eastAsia="Calibri"/>
        </w:rPr>
      </w:pPr>
      <w:r w:rsidRPr="00AA5065">
        <w:rPr>
          <w:rFonts w:eastAsia="Calibri"/>
          <w:rtl/>
        </w:rPr>
        <w:t>העצמת יכולות בקרב הרשויות המקומיות.</w:t>
      </w:r>
    </w:p>
    <w:p w:rsidR="00AA5065" w:rsidRPr="00AA5065" w:rsidP="006649F9">
      <w:pPr>
        <w:numPr>
          <w:ilvl w:val="0"/>
          <w:numId w:val="18"/>
        </w:numPr>
        <w:spacing w:after="120" w:line="269" w:lineRule="auto"/>
        <w:ind w:left="312"/>
        <w:jc w:val="left"/>
        <w:rPr>
          <w:rFonts w:eastAsia="Calibri"/>
        </w:rPr>
      </w:pPr>
      <w:r w:rsidRPr="00AA5065">
        <w:rPr>
          <w:rFonts w:eastAsia="Calibri"/>
          <w:rtl/>
        </w:rPr>
        <w:t>שיפור השירות הניתן לתושב.</w:t>
      </w:r>
    </w:p>
    <w:p w:rsidR="00AA5065" w:rsidRPr="00AA5065" w:rsidP="006649F9">
      <w:pPr>
        <w:numPr>
          <w:ilvl w:val="0"/>
          <w:numId w:val="18"/>
        </w:numPr>
        <w:spacing w:after="120" w:line="269" w:lineRule="auto"/>
        <w:ind w:left="312"/>
        <w:jc w:val="left"/>
        <w:rPr>
          <w:rFonts w:eastAsia="Calibri"/>
        </w:rPr>
      </w:pPr>
      <w:r w:rsidRPr="00AA5065">
        <w:rPr>
          <w:rFonts w:eastAsia="Calibri"/>
          <w:rtl/>
        </w:rPr>
        <w:t>הגברת הפיקוח והאכיפה בתחום הגנת הסביבה ביישובי המיעוטים.</w:t>
      </w:r>
    </w:p>
    <w:p w:rsidR="00AA5065" w:rsidRPr="00AA5065" w:rsidP="006649F9">
      <w:pPr>
        <w:numPr>
          <w:ilvl w:val="0"/>
          <w:numId w:val="18"/>
        </w:numPr>
        <w:spacing w:after="120" w:line="269" w:lineRule="auto"/>
        <w:ind w:left="312"/>
        <w:jc w:val="left"/>
        <w:rPr>
          <w:rFonts w:eastAsia="Calibri"/>
        </w:rPr>
      </w:pPr>
      <w:r w:rsidRPr="00AA5065">
        <w:rPr>
          <w:rFonts w:eastAsia="Calibri"/>
          <w:rtl/>
        </w:rPr>
        <w:t>עידוד מנהיגות מקומית, העלאת מודעות ובניית יכולות בתחום הגנת הסביבה בקרב האוכלוסייה.</w:t>
      </w:r>
    </w:p>
    <w:p w:rsidR="00AA5065" w:rsidRPr="00AA5065" w:rsidP="00860D89">
      <w:pPr>
        <w:numPr>
          <w:ilvl w:val="0"/>
          <w:numId w:val="18"/>
        </w:numPr>
        <w:spacing w:line="269" w:lineRule="auto"/>
        <w:ind w:left="312"/>
        <w:jc w:val="left"/>
        <w:rPr>
          <w:rFonts w:eastAsia="Calibri"/>
        </w:rPr>
      </w:pPr>
      <w:r w:rsidRPr="00AA5065">
        <w:rPr>
          <w:rFonts w:eastAsia="Calibri"/>
          <w:rtl/>
        </w:rPr>
        <w:t>הבטחת קיימות של הפעילויות נשואי התוכנית הסביבתית</w:t>
      </w:r>
      <w:r w:rsidRPr="00AA5065">
        <w:rPr>
          <w:rFonts w:eastAsia="Calibri"/>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בהחלטת</w:t>
      </w:r>
      <w:r w:rsidRPr="00AA5065">
        <w:rPr>
          <w:rFonts w:eastAsia="Calibri"/>
          <w:rtl/>
        </w:rPr>
        <w:t xml:space="preserve"> ממשלה 1279</w:t>
      </w:r>
      <w:r>
        <w:rPr>
          <w:rFonts w:eastAsia="Calibri"/>
          <w:vertAlign w:val="superscript"/>
          <w:rtl/>
        </w:rPr>
        <w:footnoteReference w:id="68"/>
      </w:r>
      <w:r w:rsidRPr="00AA5065">
        <w:rPr>
          <w:rFonts w:eastAsia="Calibri"/>
          <w:rtl/>
        </w:rPr>
        <w:t xml:space="preserve">, </w:t>
      </w:r>
      <w:r w:rsidRPr="00AA5065">
        <w:rPr>
          <w:rFonts w:eastAsia="Calibri" w:hint="eastAsia"/>
          <w:rtl/>
        </w:rPr>
        <w:t>נקבע</w:t>
      </w:r>
      <w:r w:rsidRPr="00AA5065">
        <w:rPr>
          <w:rFonts w:eastAsia="Calibri"/>
          <w:rtl/>
        </w:rPr>
        <w:t xml:space="preserve"> </w:t>
      </w:r>
      <w:r w:rsidRPr="00AA5065">
        <w:rPr>
          <w:rFonts w:eastAsia="Calibri" w:hint="eastAsia"/>
          <w:rtl/>
        </w:rPr>
        <w:t>כי</w:t>
      </w:r>
      <w:r w:rsidRPr="00AA5065">
        <w:rPr>
          <w:rFonts w:eastAsia="Calibri"/>
          <w:rtl/>
        </w:rPr>
        <w:t xml:space="preserve"> </w:t>
      </w:r>
      <w:r w:rsidRPr="00AA5065">
        <w:rPr>
          <w:rFonts w:eastAsia="Calibri" w:hint="eastAsia"/>
          <w:rtl/>
        </w:rPr>
        <w:t>על</w:t>
      </w:r>
      <w:r w:rsidRPr="00AA5065">
        <w:rPr>
          <w:rFonts w:eastAsia="Calibri"/>
          <w:rtl/>
        </w:rPr>
        <w:t xml:space="preserve"> </w:t>
      </w:r>
      <w:r w:rsidRPr="00AA5065">
        <w:rPr>
          <w:rFonts w:eastAsia="Calibri" w:hint="eastAsia"/>
          <w:rtl/>
        </w:rPr>
        <w:t>המשרד</w:t>
      </w:r>
      <w:r w:rsidRPr="00AA5065">
        <w:rPr>
          <w:rFonts w:eastAsia="Calibri"/>
          <w:rtl/>
        </w:rPr>
        <w:t xml:space="preserve"> </w:t>
      </w:r>
      <w:r w:rsidRPr="00AA5065">
        <w:rPr>
          <w:rFonts w:eastAsia="Calibri" w:hint="eastAsia"/>
          <w:rtl/>
        </w:rPr>
        <w:t>ל</w:t>
      </w:r>
      <w:r w:rsidRPr="00AA5065">
        <w:rPr>
          <w:rFonts w:eastAsia="Calibri" w:hint="cs"/>
          <w:rtl/>
        </w:rPr>
        <w:t>הג"ס</w:t>
      </w:r>
      <w:r w:rsidRPr="00AA5065">
        <w:rPr>
          <w:rFonts w:eastAsia="Calibri"/>
          <w:rtl/>
        </w:rPr>
        <w:t xml:space="preserve"> </w:t>
      </w:r>
      <w:r w:rsidRPr="00AA5065">
        <w:rPr>
          <w:rFonts w:eastAsia="Calibri" w:hint="eastAsia"/>
          <w:rtl/>
        </w:rPr>
        <w:t>לכלול</w:t>
      </w:r>
      <w:r w:rsidRPr="00AA5065">
        <w:rPr>
          <w:rFonts w:eastAsia="Calibri"/>
          <w:rtl/>
        </w:rPr>
        <w:t xml:space="preserve"> </w:t>
      </w:r>
      <w:r w:rsidRPr="00AA5065">
        <w:rPr>
          <w:rFonts w:eastAsia="Calibri" w:hint="eastAsia"/>
          <w:rtl/>
        </w:rPr>
        <w:t>במסגרת</w:t>
      </w:r>
      <w:r w:rsidRPr="00AA5065">
        <w:rPr>
          <w:rFonts w:eastAsia="Calibri"/>
          <w:rtl/>
        </w:rPr>
        <w:t xml:space="preserve"> </w:t>
      </w:r>
      <w:r w:rsidRPr="00AA5065">
        <w:rPr>
          <w:rFonts w:eastAsia="Calibri" w:hint="eastAsia"/>
          <w:rtl/>
        </w:rPr>
        <w:t>התוכנית</w:t>
      </w:r>
      <w:r w:rsidRPr="00AA5065">
        <w:rPr>
          <w:rFonts w:eastAsia="Calibri"/>
          <w:rtl/>
        </w:rPr>
        <w:t xml:space="preserve"> </w:t>
      </w:r>
      <w:r w:rsidRPr="00AA5065">
        <w:rPr>
          <w:rFonts w:eastAsia="Calibri" w:hint="eastAsia"/>
          <w:rtl/>
        </w:rPr>
        <w:t>הסביבתית</w:t>
      </w:r>
      <w:r w:rsidRPr="00AA5065">
        <w:rPr>
          <w:rFonts w:eastAsia="Calibri"/>
          <w:rtl/>
        </w:rPr>
        <w:t xml:space="preserve"> </w:t>
      </w:r>
      <w:r w:rsidRPr="00AA5065">
        <w:rPr>
          <w:rFonts w:eastAsia="Calibri" w:hint="eastAsia"/>
          <w:rtl/>
        </w:rPr>
        <w:t>כאמור</w:t>
      </w:r>
      <w:r w:rsidRPr="00AA5065">
        <w:rPr>
          <w:rFonts w:eastAsia="Calibri"/>
          <w:rtl/>
        </w:rPr>
        <w:t xml:space="preserve"> </w:t>
      </w:r>
      <w:r w:rsidRPr="00AA5065">
        <w:rPr>
          <w:rFonts w:eastAsia="Calibri" w:hint="eastAsia"/>
          <w:rtl/>
        </w:rPr>
        <w:t>פרק</w:t>
      </w:r>
      <w:r w:rsidRPr="00AA5065">
        <w:rPr>
          <w:rFonts w:eastAsia="Calibri"/>
          <w:rtl/>
        </w:rPr>
        <w:t xml:space="preserve"> </w:t>
      </w:r>
      <w:r w:rsidRPr="00AA5065">
        <w:rPr>
          <w:rFonts w:eastAsia="Calibri" w:hint="eastAsia"/>
          <w:rtl/>
        </w:rPr>
        <w:t>ייעודי</w:t>
      </w:r>
      <w:r w:rsidRPr="00AA5065">
        <w:rPr>
          <w:rFonts w:eastAsia="Calibri"/>
          <w:rtl/>
        </w:rPr>
        <w:t xml:space="preserve"> </w:t>
      </w:r>
      <w:r w:rsidRPr="00AA5065">
        <w:rPr>
          <w:rFonts w:eastAsia="Calibri" w:hint="eastAsia"/>
          <w:rtl/>
        </w:rPr>
        <w:t>שיכלול</w:t>
      </w:r>
      <w:r w:rsidRPr="00AA5065">
        <w:rPr>
          <w:rFonts w:eastAsia="Calibri"/>
          <w:rtl/>
        </w:rPr>
        <w:t xml:space="preserve"> </w:t>
      </w:r>
      <w:r w:rsidRPr="00AA5065">
        <w:rPr>
          <w:rFonts w:eastAsia="Calibri" w:hint="eastAsia"/>
          <w:rtl/>
        </w:rPr>
        <w:t>את</w:t>
      </w:r>
      <w:r w:rsidRPr="00AA5065">
        <w:rPr>
          <w:rFonts w:eastAsia="Calibri"/>
          <w:rtl/>
        </w:rPr>
        <w:t xml:space="preserve"> </w:t>
      </w:r>
      <w:r w:rsidRPr="00AA5065">
        <w:rPr>
          <w:rFonts w:eastAsia="Calibri" w:hint="eastAsia"/>
          <w:rtl/>
        </w:rPr>
        <w:t>יישובי</w:t>
      </w:r>
      <w:r w:rsidRPr="00AA5065">
        <w:rPr>
          <w:rFonts w:eastAsia="Calibri"/>
          <w:rtl/>
        </w:rPr>
        <w:t xml:space="preserve"> </w:t>
      </w:r>
      <w:r w:rsidRPr="00AA5065">
        <w:rPr>
          <w:rFonts w:eastAsia="Calibri" w:hint="eastAsia"/>
          <w:rtl/>
        </w:rPr>
        <w:t>הבדואים</w:t>
      </w:r>
      <w:r w:rsidRPr="00AA5065">
        <w:rPr>
          <w:rFonts w:eastAsia="Calibri"/>
          <w:rtl/>
        </w:rPr>
        <w:t xml:space="preserve"> </w:t>
      </w:r>
      <w:r w:rsidRPr="00AA5065">
        <w:rPr>
          <w:rFonts w:eastAsia="Calibri" w:hint="eastAsia"/>
          <w:rtl/>
        </w:rPr>
        <w:t>בנגב</w:t>
      </w:r>
      <w:r w:rsidRPr="00AA5065">
        <w:rPr>
          <w:rFonts w:eastAsia="Calibri"/>
          <w:rtl/>
        </w:rPr>
        <w:t xml:space="preserve">. </w:t>
      </w:r>
      <w:r w:rsidRPr="00AA5065">
        <w:rPr>
          <w:rFonts w:eastAsia="Calibri" w:hint="eastAsia"/>
          <w:rtl/>
        </w:rPr>
        <w:t>לצורך</w:t>
      </w:r>
      <w:r w:rsidRPr="00AA5065">
        <w:rPr>
          <w:rFonts w:eastAsia="Calibri"/>
          <w:rtl/>
        </w:rPr>
        <w:t xml:space="preserve"> </w:t>
      </w:r>
      <w:r w:rsidRPr="00AA5065">
        <w:rPr>
          <w:rFonts w:eastAsia="Calibri" w:hint="eastAsia"/>
          <w:rtl/>
        </w:rPr>
        <w:t>כך</w:t>
      </w:r>
      <w:r w:rsidRPr="00AA5065">
        <w:rPr>
          <w:rFonts w:eastAsia="Calibri"/>
          <w:rtl/>
        </w:rPr>
        <w:t xml:space="preserve">, </w:t>
      </w:r>
      <w:r w:rsidRPr="00AA5065">
        <w:rPr>
          <w:rFonts w:eastAsia="Calibri" w:hint="eastAsia"/>
          <w:rtl/>
        </w:rPr>
        <w:t>יוקצה</w:t>
      </w:r>
      <w:r w:rsidRPr="00AA5065">
        <w:rPr>
          <w:rFonts w:eastAsia="Calibri"/>
          <w:rtl/>
        </w:rPr>
        <w:t xml:space="preserve"> </w:t>
      </w:r>
      <w:r w:rsidRPr="00AA5065">
        <w:rPr>
          <w:rFonts w:eastAsia="Calibri" w:hint="eastAsia"/>
          <w:rtl/>
        </w:rPr>
        <w:t>סכום</w:t>
      </w:r>
      <w:r w:rsidRPr="00AA5065">
        <w:rPr>
          <w:rFonts w:eastAsia="Calibri"/>
          <w:rtl/>
        </w:rPr>
        <w:t xml:space="preserve"> </w:t>
      </w:r>
      <w:r w:rsidRPr="00AA5065">
        <w:rPr>
          <w:rFonts w:eastAsia="Calibri" w:hint="eastAsia"/>
          <w:rtl/>
        </w:rPr>
        <w:t>בהיקף</w:t>
      </w:r>
      <w:r w:rsidRPr="00AA5065">
        <w:rPr>
          <w:rFonts w:eastAsia="Calibri"/>
          <w:rtl/>
        </w:rPr>
        <w:t xml:space="preserve"> </w:t>
      </w:r>
      <w:r w:rsidRPr="00AA5065">
        <w:rPr>
          <w:rFonts w:eastAsia="Calibri" w:hint="eastAsia"/>
          <w:rtl/>
        </w:rPr>
        <w:t>של</w:t>
      </w:r>
      <w:r w:rsidRPr="00AA5065">
        <w:rPr>
          <w:rFonts w:eastAsia="Calibri"/>
          <w:rtl/>
        </w:rPr>
        <w:t xml:space="preserve"> 96.25 </w:t>
      </w:r>
      <w:r w:rsidRPr="00AA5065">
        <w:rPr>
          <w:rFonts w:eastAsia="Calibri" w:hint="eastAsia"/>
          <w:rtl/>
        </w:rPr>
        <w:t>מיליון</w:t>
      </w:r>
      <w:r w:rsidRPr="00AA5065">
        <w:rPr>
          <w:rFonts w:eastAsia="Calibri"/>
          <w:rtl/>
        </w:rPr>
        <w:t xml:space="preserve"> </w:t>
      </w:r>
      <w:r w:rsidRPr="00AA5065">
        <w:rPr>
          <w:rFonts w:eastAsia="Calibri" w:hint="eastAsia"/>
          <w:rtl/>
        </w:rPr>
        <w:t>ש</w:t>
      </w:r>
      <w:r w:rsidRPr="00AA5065">
        <w:rPr>
          <w:rFonts w:eastAsia="Calibri"/>
          <w:rtl/>
        </w:rPr>
        <w:t xml:space="preserve">"ח </w:t>
      </w:r>
      <w:r w:rsidRPr="00AA5065">
        <w:rPr>
          <w:rFonts w:eastAsia="Calibri" w:hint="eastAsia"/>
          <w:rtl/>
        </w:rPr>
        <w:t>על</w:t>
      </w:r>
      <w:r w:rsidRPr="00AA5065">
        <w:rPr>
          <w:rFonts w:eastAsia="Calibri"/>
          <w:rtl/>
        </w:rPr>
        <w:t xml:space="preserve"> </w:t>
      </w:r>
      <w:r w:rsidRPr="00AA5065">
        <w:rPr>
          <w:rFonts w:eastAsia="Calibri" w:hint="eastAsia"/>
          <w:rtl/>
        </w:rPr>
        <w:t>פני</w:t>
      </w:r>
      <w:r w:rsidRPr="00AA5065">
        <w:rPr>
          <w:rFonts w:eastAsia="Calibri"/>
          <w:rtl/>
        </w:rPr>
        <w:t xml:space="preserve"> </w:t>
      </w:r>
      <w:r w:rsidRPr="00AA5065">
        <w:rPr>
          <w:rFonts w:eastAsia="Calibri" w:hint="eastAsia"/>
          <w:rtl/>
        </w:rPr>
        <w:t>השנים</w:t>
      </w:r>
      <w:r w:rsidRPr="00AA5065">
        <w:rPr>
          <w:rFonts w:eastAsia="Calibri"/>
          <w:rtl/>
        </w:rPr>
        <w:t xml:space="preserve"> 2022</w:t>
      </w:r>
      <w:r w:rsidRPr="00AA5065">
        <w:rPr>
          <w:rFonts w:eastAsia="Calibri" w:hint="cs"/>
          <w:rtl/>
        </w:rPr>
        <w:t xml:space="preserve"> </w:t>
      </w:r>
      <w:r w:rsidRPr="00AA5065">
        <w:rPr>
          <w:rFonts w:eastAsia="Calibri"/>
          <w:rtl/>
        </w:rPr>
        <w:t>-</w:t>
      </w:r>
      <w:r w:rsidRPr="00AA5065">
        <w:rPr>
          <w:rFonts w:eastAsia="Calibri" w:hint="cs"/>
          <w:rtl/>
        </w:rPr>
        <w:t xml:space="preserve"> </w:t>
      </w:r>
      <w:r w:rsidRPr="00AA5065">
        <w:rPr>
          <w:rFonts w:eastAsia="Calibri"/>
          <w:rtl/>
        </w:rPr>
        <w:t xml:space="preserve">2026 </w:t>
      </w:r>
      <w:r w:rsidRPr="00AA5065">
        <w:rPr>
          <w:rFonts w:eastAsia="Calibri" w:hint="eastAsia"/>
          <w:rtl/>
        </w:rPr>
        <w:t>ממקורות</w:t>
      </w:r>
      <w:r w:rsidRPr="00AA5065">
        <w:rPr>
          <w:rFonts w:eastAsia="Calibri"/>
          <w:rtl/>
        </w:rPr>
        <w:t xml:space="preserve"> </w:t>
      </w:r>
      <w:r w:rsidRPr="00AA5065">
        <w:rPr>
          <w:rFonts w:eastAsia="Calibri" w:hint="eastAsia"/>
          <w:rtl/>
        </w:rPr>
        <w:t>שונים</w:t>
      </w:r>
      <w:r w:rsidRPr="00AA5065">
        <w:rPr>
          <w:rFonts w:eastAsia="Calibri"/>
          <w:rtl/>
        </w:rPr>
        <w:t xml:space="preserve">. בפועל הוקצו </w:t>
      </w:r>
      <w:r w:rsidRPr="00AA5065">
        <w:rPr>
          <w:rFonts w:eastAsia="Calibri" w:hint="cs"/>
          <w:rtl/>
        </w:rPr>
        <w:t>43.75</w:t>
      </w:r>
      <w:r w:rsidRPr="00AA5065">
        <w:rPr>
          <w:rFonts w:eastAsia="Calibri"/>
          <w:rtl/>
        </w:rPr>
        <w:t xml:space="preserve"> מלש"ח מתקציב משרד האוצר, ואילו יתרת הסכום ה</w:t>
      </w:r>
      <w:r w:rsidRPr="00AA5065">
        <w:rPr>
          <w:rFonts w:eastAsia="Calibri" w:hint="cs"/>
          <w:rtl/>
        </w:rPr>
        <w:t>תקבלה</w:t>
      </w:r>
      <w:r w:rsidRPr="00AA5065">
        <w:rPr>
          <w:rFonts w:eastAsia="Calibri"/>
          <w:rtl/>
        </w:rPr>
        <w:t xml:space="preserve"> מ</w:t>
      </w:r>
      <w:r w:rsidRPr="00AA5065">
        <w:rPr>
          <w:rFonts w:eastAsia="Calibri" w:hint="cs"/>
          <w:rtl/>
        </w:rPr>
        <w:t>ה</w:t>
      </w:r>
      <w:r w:rsidRPr="00AA5065">
        <w:rPr>
          <w:rFonts w:eastAsia="Calibri"/>
          <w:rtl/>
        </w:rPr>
        <w:t>קרן לשמירת הניקיון.</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בהקשר זה נמצא כי </w:t>
      </w:r>
      <w:bookmarkStart w:id="71" w:name="_Hlk193794212"/>
      <w:r w:rsidRPr="00AA5065">
        <w:rPr>
          <w:rFonts w:eastAsia="Calibri" w:hint="cs"/>
          <w:rtl/>
        </w:rPr>
        <w:t>במצגת של סטטוס תוכנית העבודה המשרדית ליישום החלטת הממשלה 1279 נכון לפברואר 2025 שהכין המשרד להג</w:t>
      </w:r>
      <w:r w:rsidRPr="00AA5065">
        <w:rPr>
          <w:rFonts w:eastAsia="Calibri"/>
          <w:rtl/>
        </w:rPr>
        <w:t>"</w:t>
      </w:r>
      <w:r w:rsidRPr="00AA5065">
        <w:rPr>
          <w:rFonts w:eastAsia="Calibri" w:hint="cs"/>
          <w:rtl/>
        </w:rPr>
        <w:t>ס עבור הוועדה המתמדת</w:t>
      </w:r>
      <w:r>
        <w:rPr>
          <w:rFonts w:eastAsia="Calibri"/>
          <w:vertAlign w:val="superscript"/>
          <w:rtl/>
        </w:rPr>
        <w:footnoteReference w:id="69"/>
      </w:r>
      <w:r w:rsidRPr="00AA5065">
        <w:rPr>
          <w:rFonts w:eastAsia="Calibri" w:hint="cs"/>
          <w:rtl/>
        </w:rPr>
        <w:t xml:space="preserve"> הוצגו, בין השאר, היעדים של הגדלת היקף הפסולת המטופלת והגברת האכיפה הסביבתית ברשויות הבדואיות</w:t>
      </w:r>
      <w:bookmarkEnd w:id="71"/>
      <w:r w:rsidRPr="00AA5065">
        <w:rPr>
          <w:rFonts w:eastAsia="Calibri" w:hint="cs"/>
          <w:rtl/>
        </w:rPr>
        <w:t xml:space="preserve">. על פי המצגת, עד כה הוקצו התחייבויות תקציביות בהיקף של כ-41 מיליון ש"ח לתמיכה במיזמים שונים כגון טיפול בפסולת גושית, תכנון בנייה ירוקה במוסדות חינוך, שיקום וניקוי של נחלים, הכנת תוכניות היערכות להתמודדות עם שינויי אקלים וחינוך אקלימי. עוד נכתב במסמך זה כי העמידה ביעדים הייתה בעיקר בפעילות של אשכול נגב מערבי בתחומים האלה: טיפול בפסולת גושית, התקדמות בתכנוני בנייה ירוקה וכן השלמת תוכניות היערכות להתמודדות עם שינויי אקלים, וכי בין החסמים העומדים בפני הצלחתה של התוכנית נמצאים היעדר מימוש ההתחייבויות לטיפול בפסולת גושית באשכול נגב מזרחי, ביצוע בפועל יחסית נמוך וכן חלוקה לא מאוזנת של התקציב בין הרשויות.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Pr>
      </w:pPr>
      <w:r w:rsidRPr="00AA5065">
        <w:rPr>
          <w:rFonts w:eastAsia="Calibri" w:hint="cs"/>
          <w:rtl/>
        </w:rPr>
        <w:t>המשרד להג"ס מסר בתשובתו כי "</w:t>
      </w:r>
      <w:r w:rsidRPr="00AA5065">
        <w:rPr>
          <w:rFonts w:eastAsia="Calibri"/>
          <w:rtl/>
        </w:rPr>
        <w:t>ביחס</w:t>
      </w:r>
      <w:r w:rsidRPr="00AA5065">
        <w:rPr>
          <w:rFonts w:eastAsia="Calibri" w:hint="cs"/>
          <w:rtl/>
        </w:rPr>
        <w:t>...</w:t>
      </w:r>
      <w:r w:rsidRPr="00AA5065">
        <w:rPr>
          <w:rFonts w:eastAsia="Calibri"/>
          <w:rtl/>
        </w:rPr>
        <w:t xml:space="preserve"> </w:t>
      </w:r>
      <w:r w:rsidRPr="00AA5065">
        <w:rPr>
          <w:rFonts w:eastAsia="Calibri" w:hint="cs"/>
          <w:rtl/>
        </w:rPr>
        <w:t>ל</w:t>
      </w:r>
      <w:r w:rsidRPr="00AA5065">
        <w:rPr>
          <w:rFonts w:eastAsia="Calibri"/>
          <w:rtl/>
        </w:rPr>
        <w:t>החלטת ממשלה 1279</w:t>
      </w:r>
      <w:r w:rsidRPr="00AA5065">
        <w:rPr>
          <w:rFonts w:eastAsia="Calibri" w:hint="cs"/>
          <w:rtl/>
        </w:rPr>
        <w:t>... כ-15% מתקציב האוצר קוצץ בשלב מאוחר יותר על ידי משרד האוצר</w:t>
      </w:r>
      <w:r w:rsidRPr="00AA5065">
        <w:rPr>
          <w:rFonts w:eastAsia="Calibri"/>
          <w:rtl/>
        </w:rPr>
        <w:t>"</w:t>
      </w:r>
      <w:r w:rsidRPr="00AA5065">
        <w:rPr>
          <w:rFonts w:eastAsia="Calibri" w:hint="cs"/>
          <w:rtl/>
        </w:rPr>
        <w:t>. עוד הוסיף המשרד להג"ס כי גורמי האכיפה במשרד ביצעו במהלך השנים 2021 - 2024 תפיסות של כלים בתחום הפסולת וכן מבצעים ופעילויות יזומות עם תחנות המשטרה השונות</w:t>
      </w:r>
      <w:r w:rsidRPr="00AA5065">
        <w:rPr>
          <w:rFonts w:ascii="David" w:eastAsia="Calibri" w:hAnsi="David"/>
          <w:rtl/>
        </w:rPr>
        <w:t xml:space="preserve"> וגורמי אכיפה אזרחיים, במגוון רב של היבטים סביבתיים, כולל תחום הפסולת. במסגרת המבצעים נמסרו הודעות תשלום קנס וצווי ניקוי.</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eastAsia"/>
          <w:b/>
          <w:bCs/>
          <w:rtl/>
        </w:rPr>
        <w:t>כלל</w:t>
      </w:r>
      <w:r w:rsidRPr="00AA5065">
        <w:rPr>
          <w:rFonts w:eastAsia="Calibri"/>
          <w:b/>
          <w:bCs/>
          <w:rtl/>
        </w:rPr>
        <w:t xml:space="preserve"> </w:t>
      </w:r>
      <w:r w:rsidRPr="00AA5065">
        <w:rPr>
          <w:rFonts w:eastAsia="Calibri" w:hint="eastAsia"/>
          <w:b/>
          <w:bCs/>
          <w:rtl/>
        </w:rPr>
        <w:t>ה</w:t>
      </w:r>
      <w:r w:rsidRPr="00AA5065">
        <w:rPr>
          <w:rFonts w:eastAsia="Calibri" w:hint="cs"/>
          <w:b/>
          <w:bCs/>
          <w:rtl/>
        </w:rPr>
        <w:t>ממצאים והכשלים</w:t>
      </w:r>
      <w:r w:rsidRPr="00AA5065">
        <w:rPr>
          <w:rFonts w:eastAsia="Calibri"/>
          <w:b/>
          <w:bCs/>
          <w:rtl/>
        </w:rPr>
        <w:t xml:space="preserve"> שהועלו בביקורת המעקב </w:t>
      </w:r>
      <w:r w:rsidRPr="00AA5065">
        <w:rPr>
          <w:rFonts w:eastAsia="Calibri" w:hint="eastAsia"/>
          <w:b/>
          <w:bCs/>
          <w:rtl/>
        </w:rPr>
        <w:t>ובכללן</w:t>
      </w:r>
      <w:r w:rsidRPr="00AA5065">
        <w:rPr>
          <w:rFonts w:eastAsia="Calibri"/>
          <w:b/>
          <w:bCs/>
          <w:rtl/>
        </w:rPr>
        <w:t xml:space="preserve"> בת</w:t>
      </w:r>
      <w:r w:rsidRPr="00AA5065">
        <w:rPr>
          <w:rFonts w:eastAsia="Calibri" w:hint="eastAsia"/>
          <w:b/>
          <w:bCs/>
          <w:rtl/>
        </w:rPr>
        <w:t>ופעת</w:t>
      </w:r>
      <w:r w:rsidRPr="00AA5065">
        <w:rPr>
          <w:rFonts w:eastAsia="Calibri"/>
          <w:b/>
          <w:bCs/>
          <w:rtl/>
        </w:rPr>
        <w:t xml:space="preserve"> שריפת הפסולת והשלכתה שלא כדין,</w:t>
      </w:r>
      <w:r w:rsidRPr="00AA5065">
        <w:rPr>
          <w:rFonts w:eastAsia="Calibri" w:hint="cs"/>
          <w:rtl/>
        </w:rPr>
        <w:t xml:space="preserve"> </w:t>
      </w:r>
      <w:r w:rsidRPr="00AA5065">
        <w:rPr>
          <w:rFonts w:eastAsia="Calibri" w:hint="cs"/>
          <w:b/>
          <w:bCs/>
          <w:rtl/>
        </w:rPr>
        <w:t xml:space="preserve">בתופעת השלכת הפגרים במרחב הציבורי </w:t>
      </w:r>
      <w:r w:rsidRPr="00AA5065">
        <w:rPr>
          <w:rFonts w:ascii="Calibri" w:eastAsia="Calibri" w:hAnsi="Calibri" w:hint="cs"/>
          <w:b/>
          <w:bCs/>
          <w:sz w:val="24"/>
          <w:rtl/>
        </w:rPr>
        <w:t>ברחבי הנגב וכן</w:t>
      </w:r>
      <w:r w:rsidRPr="00AA5065">
        <w:rPr>
          <w:rFonts w:eastAsia="Calibri" w:hint="cs"/>
          <w:b/>
          <w:bCs/>
          <w:rtl/>
        </w:rPr>
        <w:t xml:space="preserve"> בתופעת השלכת פסולת בנחלים שבאזור הדרום וסתימתם של ערוצי הנחל מלמדים על יישום חלקי ולוקה בחסר של החלטת ממשלה 1279 בידי המשרד להג"ס.</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ascii="Calibri" w:eastAsia="Calibri" w:hAnsi="Calibri" w:hint="cs"/>
          <w:b/>
          <w:bCs/>
          <w:sz w:val="24"/>
          <w:rtl/>
        </w:rPr>
        <w:t>על המשרד להג</w:t>
      </w:r>
      <w:r w:rsidRPr="00AA5065">
        <w:rPr>
          <w:rFonts w:ascii="Calibri" w:eastAsia="Calibri" w:hAnsi="Calibri"/>
          <w:b/>
          <w:bCs/>
          <w:sz w:val="24"/>
          <w:rtl/>
        </w:rPr>
        <w:t>"</w:t>
      </w:r>
      <w:r w:rsidRPr="00AA5065">
        <w:rPr>
          <w:rFonts w:ascii="Calibri" w:eastAsia="Calibri" w:hAnsi="Calibri" w:hint="cs"/>
          <w:b/>
          <w:bCs/>
          <w:sz w:val="24"/>
          <w:rtl/>
        </w:rPr>
        <w:t>ס לפעול למימוש התוכנית אשר אושרה בממשלה במסגרת החלטה 1279 ולניצול מיטבי של התקציב אשר הוקצה למימושה.</w:t>
      </w:r>
      <w:r w:rsidRPr="00AA5065">
        <w:rPr>
          <w:rFonts w:ascii="Calibri" w:eastAsia="Calibri" w:hAnsi="Calibri" w:hint="cs"/>
          <w:b/>
          <w:bCs/>
          <w:sz w:val="24"/>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ascii="Calibri" w:eastAsia="Calibri" w:hAnsi="Calibri" w:hint="cs"/>
          <w:b/>
          <w:bCs/>
          <w:sz w:val="24"/>
          <w:rtl/>
        </w:rPr>
        <w:t xml:space="preserve">על </w:t>
      </w:r>
      <w:r w:rsidRPr="00AA5065">
        <w:rPr>
          <w:rFonts w:ascii="Calibri" w:eastAsia="Calibri" w:hAnsi="Calibri"/>
          <w:b/>
          <w:bCs/>
          <w:sz w:val="24"/>
          <w:rtl/>
        </w:rPr>
        <w:t xml:space="preserve">כלל הרשויות המקומיות הבדואיות ברחבי הנגב </w:t>
      </w:r>
      <w:r w:rsidRPr="00AA5065">
        <w:rPr>
          <w:rFonts w:ascii="Calibri" w:eastAsia="Calibri" w:hAnsi="Calibri" w:hint="cs"/>
          <w:b/>
          <w:bCs/>
          <w:sz w:val="24"/>
          <w:rtl/>
        </w:rPr>
        <w:t>לפעול</w:t>
      </w:r>
      <w:r w:rsidRPr="00AA5065">
        <w:rPr>
          <w:rFonts w:ascii="Calibri" w:eastAsia="Calibri" w:hAnsi="Calibri"/>
          <w:b/>
          <w:bCs/>
          <w:sz w:val="24"/>
          <w:rtl/>
        </w:rPr>
        <w:t xml:space="preserve"> לפינוי הפסולת משטחן לאתרי פינוי פסולת מוסדרים</w:t>
      </w:r>
      <w:r w:rsidRPr="00AA5065">
        <w:rPr>
          <w:rFonts w:ascii="Calibri" w:eastAsia="Calibri" w:hAnsi="Calibri" w:hint="cs"/>
          <w:b/>
          <w:bCs/>
          <w:sz w:val="24"/>
          <w:rtl/>
        </w:rPr>
        <w:t>,</w:t>
      </w:r>
      <w:r w:rsidRPr="00AA5065">
        <w:rPr>
          <w:rFonts w:ascii="Calibri" w:eastAsia="Calibri" w:hAnsi="Calibri"/>
          <w:b/>
          <w:bCs/>
          <w:sz w:val="24"/>
          <w:rtl/>
        </w:rPr>
        <w:t xml:space="preserve"> </w:t>
      </w:r>
      <w:r w:rsidRPr="00AA5065">
        <w:rPr>
          <w:rFonts w:ascii="Calibri" w:eastAsia="Calibri" w:hAnsi="Calibri" w:hint="eastAsia"/>
          <w:b/>
          <w:bCs/>
          <w:sz w:val="24"/>
          <w:rtl/>
        </w:rPr>
        <w:t>ועל</w:t>
      </w:r>
      <w:r w:rsidRPr="00AA5065">
        <w:rPr>
          <w:rFonts w:ascii="Calibri" w:eastAsia="Calibri" w:hAnsi="Calibri"/>
          <w:b/>
          <w:bCs/>
          <w:sz w:val="24"/>
          <w:rtl/>
        </w:rPr>
        <w:t xml:space="preserve"> </w:t>
      </w:r>
      <w:r w:rsidRPr="00AA5065">
        <w:rPr>
          <w:rFonts w:ascii="Calibri" w:eastAsia="Calibri" w:hAnsi="Calibri" w:hint="cs"/>
          <w:b/>
          <w:bCs/>
          <w:sz w:val="24"/>
          <w:rtl/>
        </w:rPr>
        <w:t xml:space="preserve">המשרד להג"ס </w:t>
      </w:r>
      <w:r w:rsidRPr="00AA5065">
        <w:rPr>
          <w:rFonts w:ascii="Calibri" w:eastAsia="Calibri" w:hAnsi="Calibri"/>
          <w:b/>
          <w:bCs/>
          <w:sz w:val="24"/>
          <w:rtl/>
        </w:rPr>
        <w:t xml:space="preserve">לפקח </w:t>
      </w:r>
      <w:r w:rsidRPr="00AA5065">
        <w:rPr>
          <w:rFonts w:ascii="Calibri" w:eastAsia="Calibri" w:hAnsi="Calibri" w:hint="cs"/>
          <w:b/>
          <w:bCs/>
          <w:sz w:val="24"/>
          <w:rtl/>
        </w:rPr>
        <w:t>על</w:t>
      </w:r>
      <w:r w:rsidRPr="00AA5065">
        <w:rPr>
          <w:rFonts w:ascii="Calibri" w:eastAsia="Calibri" w:hAnsi="Calibri"/>
          <w:b/>
          <w:bCs/>
          <w:sz w:val="24"/>
          <w:rtl/>
        </w:rPr>
        <w:t xml:space="preserve"> פעילות הרשויות </w:t>
      </w:r>
      <w:r w:rsidRPr="00AA5065">
        <w:rPr>
          <w:rFonts w:ascii="Calibri" w:eastAsia="Calibri" w:hAnsi="Calibri" w:hint="cs"/>
          <w:b/>
          <w:bCs/>
          <w:sz w:val="24"/>
          <w:rtl/>
        </w:rPr>
        <w:t>לפינוי הפסולת משטחן לאתרי פינוי פסולת מוסדרים</w:t>
      </w:r>
      <w:r w:rsidRPr="00AA5065">
        <w:rPr>
          <w:rFonts w:ascii="Calibri" w:eastAsia="Calibri" w:hAnsi="Calibri"/>
          <w:b/>
          <w:bCs/>
          <w:sz w:val="24"/>
          <w:rtl/>
        </w:rPr>
        <w:t>.</w:t>
      </w:r>
      <w:r w:rsidRPr="00AA5065">
        <w:rPr>
          <w:rFonts w:ascii="Calibri" w:eastAsia="Calibri" w:hAnsi="Calibri" w:hint="cs"/>
          <w:b/>
          <w:bCs/>
          <w:sz w:val="24"/>
          <w:rtl/>
        </w:rPr>
        <w:t xml:space="preserve"> </w:t>
      </w:r>
      <w:r w:rsidRPr="00AA5065">
        <w:rPr>
          <w:rFonts w:ascii="Calibri" w:eastAsia="Calibri" w:hAnsi="Calibri" w:hint="eastAsia"/>
          <w:b/>
          <w:bCs/>
          <w:sz w:val="24"/>
          <w:rtl/>
        </w:rPr>
        <w:t>על</w:t>
      </w:r>
      <w:r w:rsidRPr="00AA5065">
        <w:rPr>
          <w:rFonts w:ascii="Calibri" w:eastAsia="Calibri" w:hAnsi="Calibri"/>
          <w:b/>
          <w:bCs/>
          <w:sz w:val="24"/>
          <w:rtl/>
        </w:rPr>
        <w:t xml:space="preserve"> המשרד להג"ס </w:t>
      </w:r>
      <w:r w:rsidRPr="00AA5065">
        <w:rPr>
          <w:rFonts w:ascii="Calibri" w:eastAsia="Calibri" w:hAnsi="Calibri" w:hint="cs"/>
          <w:b/>
          <w:bCs/>
          <w:sz w:val="24"/>
          <w:rtl/>
        </w:rPr>
        <w:t>בסיוע ה</w:t>
      </w:r>
      <w:r w:rsidRPr="00AA5065">
        <w:rPr>
          <w:rFonts w:ascii="Calibri" w:eastAsia="Calibri" w:hAnsi="Calibri"/>
          <w:b/>
          <w:bCs/>
          <w:sz w:val="24"/>
          <w:rtl/>
        </w:rPr>
        <w:t>משטר</w:t>
      </w:r>
      <w:r w:rsidRPr="00AA5065">
        <w:rPr>
          <w:rFonts w:ascii="Calibri" w:eastAsia="Calibri" w:hAnsi="Calibri" w:hint="cs"/>
          <w:b/>
          <w:bCs/>
          <w:sz w:val="24"/>
          <w:rtl/>
        </w:rPr>
        <w:t>ה</w:t>
      </w:r>
      <w:r w:rsidRPr="00AA5065">
        <w:rPr>
          <w:rFonts w:ascii="Calibri" w:eastAsia="Calibri" w:hAnsi="Calibri"/>
          <w:b/>
          <w:bCs/>
          <w:sz w:val="24"/>
          <w:rtl/>
        </w:rPr>
        <w:t xml:space="preserve"> לפעול </w:t>
      </w:r>
      <w:r w:rsidRPr="00AA5065">
        <w:rPr>
          <w:rFonts w:ascii="Calibri" w:eastAsia="Calibri" w:hAnsi="Calibri" w:hint="cs"/>
          <w:b/>
          <w:bCs/>
          <w:sz w:val="24"/>
          <w:rtl/>
        </w:rPr>
        <w:t>להגברת</w:t>
      </w:r>
      <w:r w:rsidRPr="00AA5065">
        <w:rPr>
          <w:rFonts w:ascii="Calibri" w:eastAsia="Calibri" w:hAnsi="Calibri"/>
          <w:b/>
          <w:bCs/>
          <w:sz w:val="24"/>
          <w:rtl/>
        </w:rPr>
        <w:t xml:space="preserve"> </w:t>
      </w:r>
      <w:r w:rsidRPr="00AA5065">
        <w:rPr>
          <w:rFonts w:ascii="Calibri" w:eastAsia="Calibri" w:hAnsi="Calibri" w:hint="cs"/>
          <w:b/>
          <w:bCs/>
          <w:sz w:val="24"/>
          <w:rtl/>
        </w:rPr>
        <w:t>ה</w:t>
      </w:r>
      <w:r w:rsidRPr="00AA5065">
        <w:rPr>
          <w:rFonts w:ascii="Calibri" w:eastAsia="Calibri" w:hAnsi="Calibri"/>
          <w:b/>
          <w:bCs/>
          <w:sz w:val="24"/>
          <w:rtl/>
        </w:rPr>
        <w:t xml:space="preserve">אכיפה </w:t>
      </w:r>
      <w:r w:rsidRPr="00AA5065">
        <w:rPr>
          <w:rFonts w:ascii="Calibri" w:eastAsia="Calibri" w:hAnsi="Calibri" w:hint="eastAsia"/>
          <w:b/>
          <w:bCs/>
          <w:sz w:val="24"/>
          <w:rtl/>
        </w:rPr>
        <w:t>בנושא</w:t>
      </w:r>
      <w:r w:rsidRPr="00AA5065">
        <w:rPr>
          <w:rFonts w:ascii="Calibri" w:eastAsia="Calibri" w:hAnsi="Calibri"/>
          <w:b/>
          <w:bCs/>
          <w:sz w:val="24"/>
          <w:rtl/>
        </w:rPr>
        <w:t xml:space="preserve"> </w:t>
      </w:r>
      <w:r w:rsidRPr="00AA5065">
        <w:rPr>
          <w:rFonts w:ascii="Calibri" w:eastAsia="Calibri" w:hAnsi="Calibri" w:hint="eastAsia"/>
          <w:b/>
          <w:bCs/>
          <w:sz w:val="24"/>
          <w:rtl/>
        </w:rPr>
        <w:t>שפיכת</w:t>
      </w:r>
      <w:r w:rsidRPr="00AA5065">
        <w:rPr>
          <w:rFonts w:ascii="Calibri" w:eastAsia="Calibri" w:hAnsi="Calibri"/>
          <w:b/>
          <w:bCs/>
          <w:sz w:val="24"/>
          <w:rtl/>
        </w:rPr>
        <w:t xml:space="preserve"> פסולת </w:t>
      </w:r>
      <w:r w:rsidRPr="00AA5065">
        <w:rPr>
          <w:rFonts w:ascii="Calibri" w:eastAsia="Calibri" w:hAnsi="Calibri" w:hint="eastAsia"/>
          <w:b/>
          <w:bCs/>
          <w:sz w:val="24"/>
          <w:rtl/>
        </w:rPr>
        <w:t>באתרים</w:t>
      </w:r>
      <w:r w:rsidRPr="00AA5065">
        <w:rPr>
          <w:rFonts w:ascii="Calibri" w:eastAsia="Calibri" w:hAnsi="Calibri"/>
          <w:b/>
          <w:bCs/>
          <w:sz w:val="24"/>
          <w:rtl/>
        </w:rPr>
        <w:t xml:space="preserve"> בלתי מורשים </w:t>
      </w:r>
      <w:r w:rsidRPr="00AA5065">
        <w:rPr>
          <w:rFonts w:ascii="Calibri" w:eastAsia="Calibri" w:hAnsi="Calibri" w:hint="eastAsia"/>
          <w:b/>
          <w:bCs/>
          <w:sz w:val="24"/>
          <w:rtl/>
        </w:rPr>
        <w:t>ושריפתה</w:t>
      </w:r>
      <w:r w:rsidRPr="00AA5065">
        <w:rPr>
          <w:rFonts w:ascii="Calibri" w:eastAsia="Calibri" w:hAnsi="Calibri"/>
          <w:b/>
          <w:bCs/>
          <w:sz w:val="24"/>
          <w:rtl/>
        </w:rPr>
        <w:t>.</w:t>
      </w:r>
      <w:r w:rsidRPr="00AA5065">
        <w:rPr>
          <w:rFonts w:ascii="Calibri" w:eastAsia="Calibri" w:hAnsi="Calibri" w:hint="cs"/>
          <w:b/>
          <w:bCs/>
          <w:sz w:val="24"/>
          <w:rtl/>
        </w:rPr>
        <w:t xml:space="preserve"> </w:t>
      </w:r>
    </w:p>
    <w:p w:rsidR="00AA5065" w:rsidRPr="00AA5065" w:rsidP="00860D89">
      <w:pPr>
        <w:spacing w:line="269" w:lineRule="auto"/>
        <w:jc w:val="center"/>
        <w:rPr>
          <w:rFonts w:ascii="Segoe UI Symbol" w:eastAsia="Calibri" w:hAnsi="Segoe UI Symbol" w:cs="Segoe UI Symbol"/>
          <w:b/>
          <w:bCs/>
          <w:sz w:val="36"/>
          <w:rtl/>
        </w:rPr>
      </w:pPr>
    </w:p>
    <w:p w:rsidR="00AA5065" w:rsidRPr="00AA5065" w:rsidP="00860D89">
      <w:pPr>
        <w:spacing w:line="269" w:lineRule="auto"/>
        <w:jc w:val="center"/>
        <w:rPr>
          <w:rFonts w:ascii="Arial" w:eastAsia="Calibri" w:hAnsi="Arial" w:cs="Arial"/>
          <w:b/>
          <w:bCs/>
          <w:sz w:val="36"/>
          <w:rtl/>
        </w:rPr>
      </w:pPr>
      <w:r w:rsidRPr="00AA5065">
        <w:rPr>
          <w:rFonts w:ascii="Segoe UI Symbol" w:eastAsia="Calibri" w:hAnsi="Segoe UI Symbol" w:cs="Segoe UI Symbol" w:hint="cs"/>
          <w:b/>
          <w:bCs/>
          <w:sz w:val="36"/>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Calibri" w:eastAsia="Calibri" w:hAnsi="Calibri"/>
          <w:b/>
          <w:bCs/>
          <w:sz w:val="24"/>
          <w:rtl/>
        </w:rPr>
      </w:pPr>
      <w:bookmarkStart w:id="72" w:name="_Hlk204851471"/>
      <w:r w:rsidRPr="00AA5065">
        <w:rPr>
          <w:rFonts w:ascii="Calibri" w:eastAsia="Calibri" w:hAnsi="Calibri" w:hint="cs"/>
          <w:b/>
          <w:bCs/>
          <w:sz w:val="24"/>
          <w:rtl/>
        </w:rPr>
        <w:t>משרד מבקר המדינה מעיר למשרד להג</w:t>
      </w:r>
      <w:r w:rsidRPr="00AA5065">
        <w:rPr>
          <w:rFonts w:ascii="Calibri" w:eastAsia="Calibri" w:hAnsi="Calibri"/>
          <w:b/>
          <w:bCs/>
          <w:sz w:val="24"/>
          <w:rtl/>
        </w:rPr>
        <w:t>"</w:t>
      </w:r>
      <w:r w:rsidRPr="00AA5065">
        <w:rPr>
          <w:rFonts w:ascii="Calibri" w:eastAsia="Calibri" w:hAnsi="Calibri" w:hint="cs"/>
          <w:b/>
          <w:bCs/>
          <w:sz w:val="24"/>
          <w:rtl/>
        </w:rPr>
        <w:t xml:space="preserve">ס ולמשטרה כי התמשכותו של המצב המתואר במשך שנים, ובכלל זה שלל הכשלים החמורים בתחום איכות הסביבה ברחבי הנגב, </w:t>
      </w:r>
      <w:r w:rsidRPr="00AA5065">
        <w:rPr>
          <w:rFonts w:ascii="Calibri" w:eastAsia="Calibri" w:hAnsi="Calibri" w:hint="eastAsia"/>
          <w:b/>
          <w:bCs/>
          <w:sz w:val="24"/>
          <w:rtl/>
        </w:rPr>
        <w:t>כפי</w:t>
      </w:r>
      <w:r w:rsidRPr="00AA5065">
        <w:rPr>
          <w:rFonts w:ascii="Calibri" w:eastAsia="Calibri" w:hAnsi="Calibri"/>
          <w:b/>
          <w:bCs/>
          <w:sz w:val="24"/>
          <w:rtl/>
        </w:rPr>
        <w:t xml:space="preserve"> שתוארו </w:t>
      </w:r>
      <w:r w:rsidRPr="00AA5065">
        <w:rPr>
          <w:rFonts w:ascii="Calibri" w:eastAsia="Calibri" w:hAnsi="Calibri" w:hint="eastAsia"/>
          <w:b/>
          <w:bCs/>
          <w:sz w:val="24"/>
          <w:rtl/>
        </w:rPr>
        <w:t>לעיל</w:t>
      </w:r>
      <w:r w:rsidRPr="00AA5065">
        <w:rPr>
          <w:rFonts w:ascii="Calibri" w:eastAsia="Calibri" w:hAnsi="Calibri"/>
          <w:b/>
          <w:bCs/>
          <w:sz w:val="24"/>
          <w:rtl/>
        </w:rPr>
        <w:t>,</w:t>
      </w:r>
      <w:r w:rsidRPr="00AA5065">
        <w:rPr>
          <w:rFonts w:ascii="Calibri" w:eastAsia="Calibri" w:hAnsi="Calibri" w:hint="cs"/>
          <w:b/>
          <w:bCs/>
          <w:sz w:val="24"/>
          <w:rtl/>
        </w:rPr>
        <w:t xml:space="preserve"> ובהם תופעת שריפת</w:t>
      </w:r>
      <w:r w:rsidRPr="00AA5065">
        <w:rPr>
          <w:rFonts w:eastAsia="Calibri" w:hint="cs"/>
          <w:b/>
          <w:bCs/>
          <w:rtl/>
        </w:rPr>
        <w:t xml:space="preserve"> הפסולת והשלכתה שלא כדין,</w:t>
      </w:r>
      <w:r w:rsidRPr="00AA5065">
        <w:rPr>
          <w:rFonts w:eastAsia="Calibri" w:hint="cs"/>
          <w:rtl/>
        </w:rPr>
        <w:t xml:space="preserve"> </w:t>
      </w:r>
      <w:r w:rsidRPr="00AA5065">
        <w:rPr>
          <w:rFonts w:eastAsia="Calibri" w:hint="cs"/>
          <w:b/>
          <w:bCs/>
          <w:rtl/>
        </w:rPr>
        <w:t xml:space="preserve">תופעת השלכת הפגרים במרחב הציבורי </w:t>
      </w:r>
      <w:r w:rsidRPr="00AA5065">
        <w:rPr>
          <w:rFonts w:ascii="Calibri" w:eastAsia="Calibri" w:hAnsi="Calibri" w:hint="cs"/>
          <w:b/>
          <w:bCs/>
          <w:sz w:val="24"/>
          <w:rtl/>
        </w:rPr>
        <w:t>וכן</w:t>
      </w:r>
      <w:r w:rsidRPr="00AA5065">
        <w:rPr>
          <w:rFonts w:eastAsia="Calibri" w:hint="cs"/>
          <w:b/>
          <w:bCs/>
          <w:rtl/>
        </w:rPr>
        <w:t xml:space="preserve"> תופעת השלכת פסולת בנחלים וסתימתם של ערוצי הנחל,</w:t>
      </w:r>
      <w:r w:rsidRPr="00AA5065">
        <w:rPr>
          <w:rFonts w:ascii="Calibri" w:eastAsia="Calibri" w:hAnsi="Calibri" w:hint="cs"/>
          <w:b/>
          <w:bCs/>
          <w:sz w:val="24"/>
          <w:rtl/>
        </w:rPr>
        <w:t xml:space="preserve"> חושפת את האוכלוסייה המתגוררת באזור זה למפגעים תברואתיים ובריאותיים קשים ומחמירה את תנאי המגורים והמחיה שלהם. </w:t>
      </w:r>
    </w:p>
    <w:bookmarkEnd w:id="72"/>
    <w:p w:rsidR="00AA5065" w:rsidRPr="00AA5065" w:rsidP="00860D89">
      <w:pPr>
        <w:spacing w:line="269" w:lineRule="auto"/>
        <w:ind w:left="-567"/>
        <w:rPr>
          <w:rFonts w:eastAsia="Calibri"/>
          <w:szCs w:val="20"/>
          <w:rtl/>
        </w:rPr>
      </w:pPr>
    </w:p>
    <w:p w:rsidR="00AA5065" w:rsidRPr="00AA5065" w:rsidP="00860D89">
      <w:pPr>
        <w:spacing w:line="269" w:lineRule="auto"/>
        <w:rPr>
          <w:rFonts w:ascii="Calibri" w:eastAsia="Calibri" w:hAnsi="Calibri"/>
          <w:b/>
          <w:bCs/>
          <w:sz w:val="24"/>
          <w:rtl/>
        </w:rPr>
      </w:pPr>
      <w:r w:rsidRPr="00AA5065">
        <w:rPr>
          <w:rFonts w:ascii="Calibri" w:eastAsia="Calibri" w:hAnsi="Calibri" w:hint="cs"/>
          <w:b/>
          <w:bCs/>
          <w:sz w:val="24"/>
          <w:rtl/>
        </w:rPr>
        <w:t>על המשרד להג</w:t>
      </w:r>
      <w:r w:rsidRPr="00AA5065">
        <w:rPr>
          <w:rFonts w:ascii="Calibri" w:eastAsia="Calibri" w:hAnsi="Calibri"/>
          <w:b/>
          <w:bCs/>
          <w:sz w:val="24"/>
          <w:rtl/>
        </w:rPr>
        <w:t>"</w:t>
      </w:r>
      <w:r w:rsidRPr="00AA5065">
        <w:rPr>
          <w:rFonts w:ascii="Calibri" w:eastAsia="Calibri" w:hAnsi="Calibri" w:hint="cs"/>
          <w:b/>
          <w:bCs/>
          <w:sz w:val="24"/>
          <w:rtl/>
        </w:rPr>
        <w:t xml:space="preserve">ס לפעול </w:t>
      </w:r>
      <w:r w:rsidRPr="00AA5065">
        <w:rPr>
          <w:rFonts w:ascii="Calibri" w:eastAsia="Calibri" w:hAnsi="Calibri" w:hint="eastAsia"/>
          <w:b/>
          <w:bCs/>
          <w:sz w:val="24"/>
          <w:rtl/>
        </w:rPr>
        <w:t>לתיקון</w:t>
      </w:r>
      <w:r w:rsidRPr="00AA5065">
        <w:rPr>
          <w:rFonts w:ascii="Calibri" w:eastAsia="Calibri" w:hAnsi="Calibri"/>
          <w:b/>
          <w:bCs/>
          <w:sz w:val="24"/>
          <w:rtl/>
        </w:rPr>
        <w:t xml:space="preserve"> המצב הקשה כפי שתואר בפרק </w:t>
      </w:r>
      <w:r w:rsidRPr="00AA5065">
        <w:rPr>
          <w:rFonts w:ascii="Calibri" w:eastAsia="Calibri" w:hAnsi="Calibri" w:hint="eastAsia"/>
          <w:b/>
          <w:bCs/>
          <w:sz w:val="24"/>
          <w:rtl/>
        </w:rPr>
        <w:t>זה</w:t>
      </w:r>
      <w:r w:rsidRPr="00AA5065">
        <w:rPr>
          <w:rFonts w:ascii="Calibri" w:eastAsia="Calibri" w:hAnsi="Calibri" w:hint="cs"/>
          <w:b/>
          <w:bCs/>
          <w:sz w:val="24"/>
          <w:rtl/>
        </w:rPr>
        <w:t xml:space="preserve"> בתחומים</w:t>
      </w:r>
      <w:r w:rsidRPr="00AA5065">
        <w:rPr>
          <w:rFonts w:eastAsia="Calibri" w:hint="cs"/>
          <w:b/>
          <w:bCs/>
          <w:rtl/>
        </w:rPr>
        <w:t xml:space="preserve"> של שריפת הפסולת והשלכתה שלא כדין ברחבי הנגב,</w:t>
      </w:r>
      <w:r w:rsidRPr="00AA5065">
        <w:rPr>
          <w:rFonts w:eastAsia="Calibri" w:hint="cs"/>
          <w:rtl/>
        </w:rPr>
        <w:t xml:space="preserve"> </w:t>
      </w:r>
      <w:r w:rsidRPr="00AA5065">
        <w:rPr>
          <w:rFonts w:eastAsia="Calibri" w:hint="cs"/>
          <w:b/>
          <w:bCs/>
          <w:rtl/>
        </w:rPr>
        <w:t>השלכת הפגרים במרחב הציבורי</w:t>
      </w:r>
      <w:r w:rsidRPr="00AA5065">
        <w:rPr>
          <w:rFonts w:ascii="Calibri" w:eastAsia="Calibri" w:hAnsi="Calibri" w:hint="cs"/>
          <w:b/>
          <w:bCs/>
          <w:sz w:val="24"/>
          <w:rtl/>
        </w:rPr>
        <w:t xml:space="preserve"> וכן</w:t>
      </w:r>
      <w:r w:rsidRPr="00AA5065">
        <w:rPr>
          <w:rFonts w:eastAsia="Calibri" w:hint="cs"/>
          <w:b/>
          <w:bCs/>
          <w:rtl/>
        </w:rPr>
        <w:t xml:space="preserve"> תופעת השלכת פסולת בנחלים שבאזור הדרום וסתימתם של ערוצי הנחל</w:t>
      </w:r>
      <w:r w:rsidRPr="00AA5065">
        <w:rPr>
          <w:rFonts w:eastAsia="Calibri" w:hint="cs"/>
          <w:sz w:val="16"/>
          <w:szCs w:val="16"/>
          <w:rtl/>
        </w:rPr>
        <w:t>.</w:t>
      </w:r>
      <w:r w:rsidRPr="00AA5065">
        <w:rPr>
          <w:rFonts w:ascii="Calibri" w:eastAsia="Calibri" w:hAnsi="Calibri" w:hint="cs"/>
          <w:b/>
          <w:bCs/>
          <w:sz w:val="24"/>
          <w:rtl/>
        </w:rPr>
        <w:t xml:space="preserve"> משרד מבקר המדינה שב וממליץ למשרד להג"ס </w:t>
      </w:r>
      <w:r w:rsidRPr="00AA5065">
        <w:rPr>
          <w:rFonts w:ascii="Calibri" w:eastAsia="Calibri" w:hAnsi="Calibri"/>
          <w:b/>
          <w:bCs/>
          <w:sz w:val="24"/>
          <w:rtl/>
        </w:rPr>
        <w:t>בשיתוף הרשויות המקומיות באזור הנגב ‏</w:t>
      </w:r>
      <w:r w:rsidRPr="00AA5065">
        <w:rPr>
          <w:rFonts w:ascii="Calibri" w:eastAsia="Calibri" w:hAnsi="Calibri" w:hint="cs"/>
          <w:b/>
          <w:bCs/>
          <w:sz w:val="24"/>
          <w:rtl/>
        </w:rPr>
        <w:t>לגבש תוכנית כוללת לניקיון מרחבי הנגב ממפגעי איכות הסביבה הרבים המצויים בו.</w:t>
      </w:r>
    </w:p>
    <w:p w:rsidR="00AA5065" w:rsidRPr="00AA5065" w:rsidP="00860D89">
      <w:pPr>
        <w:spacing w:line="269" w:lineRule="auto"/>
        <w:rPr>
          <w:rFonts w:eastAsia="Calibri"/>
          <w:rtl/>
        </w:rPr>
      </w:pPr>
    </w:p>
    <w:p w:rsidR="00AA5065" w:rsidRPr="00AA5065" w:rsidP="006649F9">
      <w:pPr>
        <w:keepNext/>
        <w:keepLines/>
        <w:spacing w:before="120" w:line="269" w:lineRule="auto"/>
        <w:outlineLvl w:val="3"/>
        <w:rPr>
          <w:rFonts w:eastAsia="Times New Roman"/>
          <w:bCs/>
          <w:szCs w:val="26"/>
          <w:rtl/>
        </w:rPr>
      </w:pPr>
      <w:r w:rsidRPr="00AA5065">
        <w:rPr>
          <w:rFonts w:eastAsia="Times New Roman" w:hint="cs"/>
          <w:bCs/>
          <w:szCs w:val="26"/>
          <w:rtl/>
        </w:rPr>
        <w:t>פגיעה בתלמידי מוסדות החינוך בשל קרבה יתרה ומסוכנת לנאות חובב</w:t>
      </w:r>
      <w:bookmarkEnd w:id="68"/>
      <w:bookmarkEnd w:id="69"/>
      <w:bookmarkEnd w:id="70"/>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אזור התעשייה נאות חובב ממוקם במרחק של 12 ק"מ דרומית מזרחית לבאר שבע, והוא משתרע על פני אלפי דונמים וכולל כ-20 מפעלי תעשייה, רובם בתחום הפטרוכימיה, המייצרים בין השאר מוצרי ברום, חומרי הדברה, כימיקלים שונים ומוצרי פארמה. חלק מהמפעלים הפועלים במקום משנעים ומאחסנים חומרים שעלולים להיות מסוכנים. </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בביקורת הקודמת עלה</w:t>
      </w:r>
      <w:r w:rsidRPr="00AA5065">
        <w:rPr>
          <w:rFonts w:eastAsia="Calibri"/>
          <w:rtl/>
        </w:rPr>
        <w:t xml:space="preserve"> </w:t>
      </w:r>
      <w:r w:rsidRPr="00AA5065">
        <w:rPr>
          <w:rFonts w:eastAsia="Calibri" w:hint="eastAsia"/>
          <w:rtl/>
        </w:rPr>
        <w:t>כי</w:t>
      </w:r>
      <w:r w:rsidRPr="00AA5065">
        <w:rPr>
          <w:rFonts w:eastAsia="Calibri"/>
          <w:rtl/>
        </w:rPr>
        <w:t xml:space="preserve"> נכון לדצמבר 2018 </w:t>
      </w:r>
      <w:r w:rsidRPr="00AA5065">
        <w:rPr>
          <w:rFonts w:eastAsia="Calibri" w:hint="eastAsia"/>
          <w:rtl/>
        </w:rPr>
        <w:t>קיים</w:t>
      </w:r>
      <w:r w:rsidRPr="00AA5065">
        <w:rPr>
          <w:rFonts w:eastAsia="Calibri"/>
          <w:rtl/>
        </w:rPr>
        <w:t xml:space="preserve"> מרכז חינוכי גדול בתחום המועצה האזורית נווה מדבר</w:t>
      </w:r>
      <w:r w:rsidRPr="00AA5065">
        <w:rPr>
          <w:rFonts w:eastAsia="Calibri" w:hint="cs"/>
          <w:rtl/>
        </w:rPr>
        <w:t>,</w:t>
      </w:r>
      <w:r w:rsidRPr="00AA5065">
        <w:rPr>
          <w:rFonts w:eastAsia="Calibri"/>
          <w:rtl/>
        </w:rPr>
        <w:t xml:space="preserve"> </w:t>
      </w:r>
      <w:r w:rsidRPr="00AA5065">
        <w:rPr>
          <w:rFonts w:eastAsia="Calibri" w:hint="cs"/>
          <w:rtl/>
        </w:rPr>
        <w:t xml:space="preserve">הממוקם בקרבת נאות חובב, </w:t>
      </w:r>
      <w:r w:rsidRPr="00AA5065">
        <w:rPr>
          <w:rFonts w:eastAsia="Calibri"/>
          <w:rtl/>
        </w:rPr>
        <w:t>שבו לומדים כ-3,000 תלמידים בשני בתי ספר יסודיים</w:t>
      </w:r>
      <w:r w:rsidRPr="00AA5065">
        <w:rPr>
          <w:rFonts w:eastAsia="Calibri" w:hint="cs"/>
          <w:rtl/>
        </w:rPr>
        <w:t xml:space="preserve"> -</w:t>
      </w:r>
      <w:r w:rsidRPr="00AA5065">
        <w:rPr>
          <w:rFonts w:eastAsia="Calibri"/>
          <w:rtl/>
        </w:rPr>
        <w:t xml:space="preserve"> אל</w:t>
      </w:r>
      <w:r w:rsidRPr="00AA5065">
        <w:rPr>
          <w:rFonts w:eastAsia="Calibri" w:hint="cs"/>
          <w:rtl/>
        </w:rPr>
        <w:t>-</w:t>
      </w:r>
      <w:r w:rsidRPr="00AA5065">
        <w:rPr>
          <w:rFonts w:eastAsia="Calibri"/>
          <w:rtl/>
        </w:rPr>
        <w:t>עזאזמה א' ואל</w:t>
      </w:r>
      <w:r w:rsidRPr="00AA5065">
        <w:rPr>
          <w:rFonts w:eastAsia="Calibri" w:hint="cs"/>
          <w:rtl/>
        </w:rPr>
        <w:t>-</w:t>
      </w:r>
      <w:r w:rsidRPr="00AA5065">
        <w:rPr>
          <w:rFonts w:eastAsia="Calibri"/>
          <w:rtl/>
        </w:rPr>
        <w:t>עזאזמה ב'</w:t>
      </w:r>
      <w:r w:rsidRPr="00AA5065">
        <w:rPr>
          <w:rFonts w:eastAsia="Calibri" w:hint="cs"/>
          <w:rtl/>
        </w:rPr>
        <w:t xml:space="preserve"> -</w:t>
      </w:r>
      <w:r w:rsidRPr="00AA5065">
        <w:rPr>
          <w:rFonts w:eastAsia="Calibri"/>
          <w:rtl/>
        </w:rPr>
        <w:t xml:space="preserve"> וב-13 גני ילדים. </w:t>
      </w:r>
      <w:r w:rsidRPr="00AA5065">
        <w:rPr>
          <w:rFonts w:eastAsia="Calibri" w:hint="cs"/>
          <w:rtl/>
        </w:rPr>
        <w:t xml:space="preserve">מרבית התלמידים הלומדים במרכז זה מגיעים מהיישוב ואדי אל נעם, שטרם הוסדר.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 xml:space="preserve">בתמונה </w:t>
      </w:r>
      <w:r w:rsidRPr="00AA5065">
        <w:rPr>
          <w:rFonts w:eastAsia="Calibri" w:hint="cs"/>
          <w:rtl/>
        </w:rPr>
        <w:t xml:space="preserve">9 שלהלן </w:t>
      </w:r>
      <w:r w:rsidRPr="00AA5065">
        <w:rPr>
          <w:rFonts w:eastAsia="Calibri"/>
          <w:rtl/>
        </w:rPr>
        <w:t xml:space="preserve">מוצג המרחק האווירי בין בתי הספר ביישוב ואדי אל נעם, הסמוך ליישוב שגב שלום, </w:t>
      </w:r>
      <w:r w:rsidRPr="00AA5065">
        <w:rPr>
          <w:rFonts w:eastAsia="Calibri" w:hint="cs"/>
          <w:rtl/>
        </w:rPr>
        <w:t>ו</w:t>
      </w:r>
      <w:r w:rsidRPr="00AA5065">
        <w:rPr>
          <w:rFonts w:eastAsia="Calibri"/>
          <w:rtl/>
        </w:rPr>
        <w:t xml:space="preserve">בין אזור התעשייה </w:t>
      </w:r>
      <w:r w:rsidRPr="00AA5065">
        <w:rPr>
          <w:rFonts w:eastAsia="Calibri" w:hint="cs"/>
          <w:rtl/>
        </w:rPr>
        <w:t>נאות</w:t>
      </w:r>
      <w:r w:rsidRPr="00AA5065">
        <w:rPr>
          <w:rFonts w:eastAsia="Calibri"/>
          <w:rtl/>
        </w:rPr>
        <w:t xml:space="preserve"> חובב.</w:t>
      </w:r>
    </w:p>
    <w:p w:rsidR="00AA5065" w:rsidRPr="00AA5065" w:rsidP="00860D89">
      <w:pPr>
        <w:spacing w:line="269" w:lineRule="auto"/>
        <w:ind w:left="-567"/>
        <w:rPr>
          <w:rFonts w:eastAsia="Calibri"/>
          <w:szCs w:val="20"/>
          <w:rtl/>
        </w:rPr>
      </w:pPr>
      <w:bookmarkStart w:id="73" w:name="_Hlk205380656"/>
    </w:p>
    <w:p w:rsidR="00AA5065" w:rsidRPr="00AA5065" w:rsidP="00860D89">
      <w:pPr>
        <w:keepNext/>
        <w:keepLines/>
        <w:spacing w:line="269" w:lineRule="auto"/>
        <w:jc w:val="center"/>
        <w:rPr>
          <w:rFonts w:eastAsia="Calibri"/>
          <w:b/>
          <w:bCs/>
          <w:rtl/>
        </w:rPr>
      </w:pPr>
      <w:r w:rsidRPr="00AA5065">
        <w:rPr>
          <w:rFonts w:eastAsia="Calibri" w:hint="cs"/>
          <w:rtl/>
        </w:rPr>
        <w:t>תמונה 9:</w:t>
      </w:r>
      <w:r w:rsidRPr="00AA5065">
        <w:rPr>
          <w:rFonts w:eastAsia="Calibri" w:hint="cs"/>
          <w:b/>
          <w:bCs/>
          <w:rtl/>
        </w:rPr>
        <w:t xml:space="preserve"> </w:t>
      </w:r>
      <w:r w:rsidRPr="00AA5065">
        <w:rPr>
          <w:rFonts w:eastAsia="Calibri"/>
          <w:b/>
          <w:bCs/>
          <w:rtl/>
        </w:rPr>
        <w:t xml:space="preserve">המרחק האווירי בין בתי הספר ביישוב ואדי אל נעם, הסמוך ליישוב שגב שלום, </w:t>
      </w:r>
      <w:r w:rsidRPr="00AA5065">
        <w:rPr>
          <w:rFonts w:eastAsia="Calibri"/>
          <w:b/>
          <w:bCs/>
          <w:rtl/>
        </w:rPr>
        <w:br/>
      </w:r>
      <w:r w:rsidRPr="00AA5065">
        <w:rPr>
          <w:rFonts w:eastAsia="Calibri" w:hint="cs"/>
          <w:b/>
          <w:bCs/>
          <w:rtl/>
        </w:rPr>
        <w:t>ו</w:t>
      </w:r>
      <w:r w:rsidRPr="00AA5065">
        <w:rPr>
          <w:rFonts w:eastAsia="Calibri"/>
          <w:b/>
          <w:bCs/>
          <w:rtl/>
        </w:rPr>
        <w:t xml:space="preserve">בין אזור התעשייה </w:t>
      </w:r>
      <w:r w:rsidRPr="00AA5065">
        <w:rPr>
          <w:rFonts w:eastAsia="Calibri" w:hint="cs"/>
          <w:b/>
          <w:bCs/>
          <w:rtl/>
        </w:rPr>
        <w:t>נאו</w:t>
      </w:r>
      <w:r w:rsidRPr="00AA5065">
        <w:rPr>
          <w:rFonts w:eastAsia="Calibri"/>
          <w:b/>
          <w:bCs/>
          <w:rtl/>
        </w:rPr>
        <w:t>ת חובב</w:t>
      </w:r>
    </w:p>
    <w:p w:rsidR="00AA5065" w:rsidRPr="00AA5065" w:rsidP="00401221">
      <w:pPr>
        <w:spacing w:line="269" w:lineRule="auto"/>
        <w:jc w:val="center"/>
        <w:rPr>
          <w:rFonts w:eastAsia="Calibri"/>
          <w:sz w:val="18"/>
          <w:szCs w:val="22"/>
          <w:rtl/>
        </w:rPr>
      </w:pPr>
      <w:r w:rsidRPr="00AA5065">
        <w:rPr>
          <w:rFonts w:eastAsia="Calibri"/>
          <w:noProof/>
          <w:sz w:val="18"/>
          <w:szCs w:val="22"/>
          <w:rtl/>
          <w:lang w:val="he-IL"/>
        </w:rPr>
        <w:drawing>
          <wp:inline distT="0" distB="0" distL="0" distR="0">
            <wp:extent cx="5220335" cy="4121978"/>
            <wp:effectExtent l="0" t="0" r="0" b="0"/>
            <wp:docPr id="29" name="תמונה 29"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רמת חובב_עם תיקון מקרא-01.jpg"/>
                    <pic:cNvPicPr/>
                  </pic:nvPicPr>
                  <pic:blipFill>
                    <a:blip xmlns:r="http://schemas.openxmlformats.org/officeDocument/2006/relationships" r:embed="rId27" cstate="print">
                      <a:extLst>
                        <a:ext xmlns:a="http://schemas.openxmlformats.org/drawingml/2006/main" uri="{28A0092B-C50C-407E-A947-70E740481C1C}">
                          <a14:useLocalDpi xmlns:a14="http://schemas.microsoft.com/office/drawing/2010/main" val="0"/>
                        </a:ext>
                      </a:extLst>
                    </a:blip>
                    <a:srcRect t="1706"/>
                    <a:stretch>
                      <a:fillRect/>
                    </a:stretch>
                  </pic:blipFill>
                  <pic:spPr bwMode="auto">
                    <a:xfrm>
                      <a:off x="0" y="0"/>
                      <a:ext cx="5220335" cy="412197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A5065" w:rsidP="00860D89">
      <w:pPr>
        <w:spacing w:line="269" w:lineRule="auto"/>
        <w:rPr>
          <w:rFonts w:eastAsia="Calibri"/>
          <w:sz w:val="16"/>
          <w:szCs w:val="20"/>
          <w:rtl/>
        </w:rPr>
      </w:pPr>
      <w:r w:rsidRPr="00AA5065">
        <w:rPr>
          <w:rFonts w:eastAsia="Calibri" w:hint="cs"/>
          <w:sz w:val="16"/>
          <w:szCs w:val="20"/>
          <w:rtl/>
        </w:rPr>
        <w:t>המקור: הרשות לפיתוח התיישבות הבדואים בנגב, 25.1.21.</w:t>
      </w:r>
    </w:p>
    <w:p w:rsidR="006649F9" w:rsidRPr="00AA5065" w:rsidP="00860D89">
      <w:pPr>
        <w:spacing w:line="269" w:lineRule="auto"/>
        <w:rPr>
          <w:rFonts w:eastAsia="Calibri"/>
          <w:sz w:val="16"/>
          <w:szCs w:val="20"/>
          <w:rtl/>
        </w:rPr>
      </w:pPr>
    </w:p>
    <w:bookmarkEnd w:id="73"/>
    <w:p w:rsidR="00AA5065" w:rsidRPr="00AA5065" w:rsidP="00860D89">
      <w:pPr>
        <w:spacing w:line="269" w:lineRule="auto"/>
        <w:rPr>
          <w:rFonts w:eastAsia="Calibri"/>
          <w:b/>
          <w:bCs/>
          <w:rtl/>
        </w:rPr>
      </w:pPr>
      <w:r w:rsidRPr="00AA5065">
        <w:rPr>
          <w:rFonts w:eastAsia="Calibri" w:hint="eastAsia"/>
          <w:b/>
          <w:bCs/>
          <w:rtl/>
        </w:rPr>
        <w:t>התמונה</w:t>
      </w:r>
      <w:r w:rsidRPr="00AA5065">
        <w:rPr>
          <w:rFonts w:eastAsia="Calibri" w:hint="cs"/>
          <w:b/>
          <w:bCs/>
          <w:rtl/>
        </w:rPr>
        <w:t xml:space="preserve"> האווירית</w:t>
      </w:r>
      <w:r w:rsidRPr="00AA5065">
        <w:rPr>
          <w:rFonts w:eastAsia="Calibri"/>
          <w:b/>
          <w:bCs/>
          <w:rtl/>
        </w:rPr>
        <w:t xml:space="preserve"> </w:t>
      </w:r>
      <w:r w:rsidRPr="00AA5065">
        <w:rPr>
          <w:rFonts w:eastAsia="Calibri" w:hint="eastAsia"/>
          <w:b/>
          <w:bCs/>
          <w:rtl/>
        </w:rPr>
        <w:t>ממחישה</w:t>
      </w:r>
      <w:r w:rsidRPr="00AA5065">
        <w:rPr>
          <w:rFonts w:eastAsia="Calibri"/>
          <w:b/>
          <w:bCs/>
          <w:rtl/>
        </w:rPr>
        <w:t xml:space="preserve"> </w:t>
      </w:r>
      <w:r w:rsidRPr="00AA5065">
        <w:rPr>
          <w:rFonts w:eastAsia="Calibri" w:hint="eastAsia"/>
          <w:b/>
          <w:bCs/>
          <w:rtl/>
        </w:rPr>
        <w:t>את</w:t>
      </w:r>
      <w:r w:rsidRPr="00AA5065">
        <w:rPr>
          <w:rFonts w:eastAsia="Calibri"/>
          <w:b/>
          <w:bCs/>
          <w:rtl/>
        </w:rPr>
        <w:t xml:space="preserve"> </w:t>
      </w:r>
      <w:r w:rsidRPr="00AA5065">
        <w:rPr>
          <w:rFonts w:eastAsia="Calibri" w:hint="eastAsia"/>
          <w:b/>
          <w:bCs/>
          <w:rtl/>
        </w:rPr>
        <w:t>קרבתם</w:t>
      </w:r>
      <w:r w:rsidRPr="00AA5065">
        <w:rPr>
          <w:rFonts w:eastAsia="Calibri"/>
          <w:b/>
          <w:bCs/>
          <w:rtl/>
        </w:rPr>
        <w:t xml:space="preserve"> </w:t>
      </w:r>
      <w:r w:rsidRPr="00AA5065">
        <w:rPr>
          <w:rFonts w:eastAsia="Calibri" w:hint="eastAsia"/>
          <w:b/>
          <w:bCs/>
          <w:rtl/>
        </w:rPr>
        <w:t>של</w:t>
      </w:r>
      <w:r w:rsidRPr="00AA5065">
        <w:rPr>
          <w:rFonts w:eastAsia="Calibri"/>
          <w:b/>
          <w:bCs/>
          <w:rtl/>
        </w:rPr>
        <w:t xml:space="preserve"> </w:t>
      </w:r>
      <w:r w:rsidRPr="00AA5065">
        <w:rPr>
          <w:rFonts w:eastAsia="Calibri" w:hint="eastAsia"/>
          <w:b/>
          <w:bCs/>
          <w:rtl/>
        </w:rPr>
        <w:t>בתי</w:t>
      </w:r>
      <w:r w:rsidRPr="00AA5065">
        <w:rPr>
          <w:rFonts w:eastAsia="Calibri"/>
          <w:b/>
          <w:bCs/>
          <w:rtl/>
        </w:rPr>
        <w:t xml:space="preserve"> </w:t>
      </w:r>
      <w:r w:rsidRPr="00AA5065">
        <w:rPr>
          <w:rFonts w:eastAsia="Calibri" w:hint="eastAsia"/>
          <w:b/>
          <w:bCs/>
          <w:rtl/>
        </w:rPr>
        <w:t>הספר</w:t>
      </w:r>
      <w:r w:rsidRPr="00AA5065">
        <w:rPr>
          <w:rFonts w:eastAsia="Calibri" w:hint="cs"/>
          <w:b/>
          <w:bCs/>
          <w:rtl/>
        </w:rPr>
        <w:t xml:space="preserve"> והגנים</w:t>
      </w:r>
      <w:r w:rsidRPr="00AA5065">
        <w:rPr>
          <w:rFonts w:eastAsia="Calibri"/>
          <w:b/>
          <w:bCs/>
          <w:rtl/>
        </w:rPr>
        <w:t xml:space="preserve"> </w:t>
      </w:r>
      <w:r w:rsidRPr="00AA5065">
        <w:rPr>
          <w:rFonts w:eastAsia="Calibri" w:hint="eastAsia"/>
          <w:b/>
          <w:bCs/>
          <w:rtl/>
        </w:rPr>
        <w:t>ביישוב</w:t>
      </w:r>
      <w:r w:rsidRPr="00AA5065">
        <w:rPr>
          <w:rFonts w:eastAsia="Calibri"/>
          <w:b/>
          <w:bCs/>
          <w:rtl/>
        </w:rPr>
        <w:t xml:space="preserve"> </w:t>
      </w:r>
      <w:r w:rsidRPr="00AA5065">
        <w:rPr>
          <w:rFonts w:eastAsia="Calibri" w:hint="eastAsia"/>
          <w:b/>
          <w:bCs/>
          <w:rtl/>
        </w:rPr>
        <w:t>ואדי</w:t>
      </w:r>
      <w:r w:rsidRPr="00AA5065">
        <w:rPr>
          <w:rFonts w:eastAsia="Calibri"/>
          <w:b/>
          <w:bCs/>
          <w:rtl/>
        </w:rPr>
        <w:t xml:space="preserve"> </w:t>
      </w:r>
      <w:r w:rsidRPr="00AA5065">
        <w:rPr>
          <w:rFonts w:eastAsia="Calibri" w:hint="eastAsia"/>
          <w:b/>
          <w:bCs/>
          <w:rtl/>
        </w:rPr>
        <w:t>אל</w:t>
      </w:r>
      <w:r w:rsidRPr="00AA5065">
        <w:rPr>
          <w:rFonts w:eastAsia="Calibri"/>
          <w:b/>
          <w:bCs/>
          <w:rtl/>
        </w:rPr>
        <w:t xml:space="preserve"> </w:t>
      </w:r>
      <w:r w:rsidRPr="00AA5065">
        <w:rPr>
          <w:rFonts w:eastAsia="Calibri" w:hint="eastAsia"/>
          <w:b/>
          <w:bCs/>
          <w:rtl/>
        </w:rPr>
        <w:t>נעם</w:t>
      </w:r>
      <w:r w:rsidRPr="00AA5065">
        <w:rPr>
          <w:rFonts w:eastAsia="Calibri"/>
          <w:b/>
          <w:bCs/>
          <w:rtl/>
        </w:rPr>
        <w:t xml:space="preserve">, </w:t>
      </w:r>
      <w:r w:rsidRPr="00AA5065">
        <w:rPr>
          <w:rFonts w:eastAsia="Calibri" w:hint="eastAsia"/>
          <w:b/>
          <w:bCs/>
          <w:rtl/>
        </w:rPr>
        <w:t>הנמצאים</w:t>
      </w:r>
      <w:r w:rsidRPr="00AA5065">
        <w:rPr>
          <w:rFonts w:eastAsia="Calibri"/>
          <w:b/>
          <w:bCs/>
          <w:rtl/>
        </w:rPr>
        <w:t xml:space="preserve"> </w:t>
      </w:r>
      <w:r w:rsidRPr="00AA5065">
        <w:rPr>
          <w:rFonts w:eastAsia="Calibri" w:hint="eastAsia"/>
          <w:b/>
          <w:bCs/>
          <w:rtl/>
        </w:rPr>
        <w:t>במרחק</w:t>
      </w:r>
      <w:r w:rsidRPr="00AA5065">
        <w:rPr>
          <w:rFonts w:eastAsia="Calibri"/>
          <w:b/>
          <w:bCs/>
          <w:rtl/>
        </w:rPr>
        <w:t xml:space="preserve"> </w:t>
      </w:r>
      <w:r w:rsidRPr="00AA5065">
        <w:rPr>
          <w:rFonts w:eastAsia="Calibri" w:hint="eastAsia"/>
          <w:b/>
          <w:bCs/>
          <w:rtl/>
        </w:rPr>
        <w:t>של</w:t>
      </w:r>
      <w:r w:rsidRPr="00AA5065">
        <w:rPr>
          <w:rFonts w:eastAsia="Calibri"/>
          <w:b/>
          <w:bCs/>
          <w:rtl/>
        </w:rPr>
        <w:t xml:space="preserve"> </w:t>
      </w:r>
      <w:r w:rsidRPr="00AA5065">
        <w:rPr>
          <w:rFonts w:eastAsia="Calibri" w:hint="eastAsia"/>
          <w:b/>
          <w:bCs/>
          <w:rtl/>
        </w:rPr>
        <w:t>כ</w:t>
      </w:r>
      <w:r w:rsidRPr="00AA5065">
        <w:rPr>
          <w:rFonts w:eastAsia="Calibri"/>
          <w:b/>
          <w:bCs/>
          <w:rtl/>
        </w:rPr>
        <w:t xml:space="preserve">-3.5 </w:t>
      </w:r>
      <w:r w:rsidRPr="00AA5065">
        <w:rPr>
          <w:rFonts w:eastAsia="Calibri" w:hint="eastAsia"/>
          <w:b/>
          <w:bCs/>
          <w:rtl/>
        </w:rPr>
        <w:t>ק</w:t>
      </w:r>
      <w:r w:rsidRPr="00AA5065">
        <w:rPr>
          <w:rFonts w:eastAsia="Calibri" w:hint="cs"/>
          <w:b/>
          <w:bCs/>
          <w:rtl/>
        </w:rPr>
        <w:t>"מ</w:t>
      </w:r>
      <w:r w:rsidRPr="00AA5065">
        <w:rPr>
          <w:rFonts w:eastAsia="Calibri"/>
          <w:b/>
          <w:bCs/>
          <w:rtl/>
        </w:rPr>
        <w:t xml:space="preserve"> </w:t>
      </w:r>
      <w:r w:rsidRPr="00AA5065">
        <w:rPr>
          <w:rFonts w:eastAsia="Calibri" w:hint="eastAsia"/>
          <w:b/>
          <w:bCs/>
          <w:rtl/>
        </w:rPr>
        <w:t>מאזור</w:t>
      </w:r>
      <w:r w:rsidRPr="00AA5065">
        <w:rPr>
          <w:rFonts w:eastAsia="Calibri"/>
          <w:b/>
          <w:bCs/>
          <w:rtl/>
        </w:rPr>
        <w:t xml:space="preserve"> </w:t>
      </w:r>
      <w:r w:rsidRPr="00AA5065">
        <w:rPr>
          <w:rFonts w:eastAsia="Calibri" w:hint="eastAsia"/>
          <w:b/>
          <w:bCs/>
          <w:rtl/>
        </w:rPr>
        <w:t>התעשייה</w:t>
      </w:r>
      <w:r w:rsidRPr="00AA5065">
        <w:rPr>
          <w:rFonts w:eastAsia="Calibri"/>
          <w:b/>
          <w:bCs/>
          <w:rtl/>
        </w:rPr>
        <w:t xml:space="preserve"> </w:t>
      </w:r>
      <w:r w:rsidRPr="00AA5065">
        <w:rPr>
          <w:rFonts w:eastAsia="Calibri" w:hint="eastAsia"/>
          <w:b/>
          <w:bCs/>
          <w:rtl/>
        </w:rPr>
        <w:t>הכימית</w:t>
      </w:r>
      <w:r w:rsidRPr="00AA5065">
        <w:rPr>
          <w:rFonts w:eastAsia="Calibri"/>
          <w:b/>
          <w:bCs/>
          <w:rtl/>
        </w:rPr>
        <w:t xml:space="preserve"> </w:t>
      </w:r>
      <w:r w:rsidRPr="00AA5065">
        <w:rPr>
          <w:rFonts w:eastAsia="Calibri" w:hint="cs"/>
          <w:b/>
          <w:bCs/>
          <w:rtl/>
        </w:rPr>
        <w:t>נאות</w:t>
      </w:r>
      <w:r w:rsidRPr="00AA5065">
        <w:rPr>
          <w:rFonts w:eastAsia="Calibri"/>
          <w:b/>
          <w:bCs/>
          <w:rtl/>
        </w:rPr>
        <w:t xml:space="preserve"> </w:t>
      </w:r>
      <w:r w:rsidRPr="00AA5065">
        <w:rPr>
          <w:rFonts w:eastAsia="Calibri" w:hint="eastAsia"/>
          <w:b/>
          <w:bCs/>
          <w:rtl/>
        </w:rPr>
        <w:t>חובב</w:t>
      </w:r>
      <w:r w:rsidRPr="00AA5065">
        <w:rPr>
          <w:rFonts w:eastAsia="Calibri" w:hint="cs"/>
          <w:b/>
          <w:bCs/>
          <w:rtl/>
        </w:rPr>
        <w:t>,</w:t>
      </w:r>
      <w:r w:rsidRPr="00AA5065">
        <w:rPr>
          <w:rFonts w:eastAsia="Calibri"/>
          <w:b/>
          <w:bCs/>
          <w:rtl/>
        </w:rPr>
        <w:t xml:space="preserve"> </w:t>
      </w:r>
      <w:r w:rsidRPr="00AA5065">
        <w:rPr>
          <w:rFonts w:eastAsia="Calibri" w:hint="cs"/>
          <w:b/>
          <w:bCs/>
          <w:rtl/>
        </w:rPr>
        <w:t xml:space="preserve">יודגש </w:t>
      </w:r>
      <w:r w:rsidRPr="00AA5065">
        <w:rPr>
          <w:rFonts w:eastAsia="Calibri" w:hint="eastAsia"/>
          <w:b/>
          <w:bCs/>
          <w:rtl/>
        </w:rPr>
        <w:t>כי</w:t>
      </w:r>
      <w:r w:rsidRPr="00AA5065">
        <w:rPr>
          <w:rFonts w:eastAsia="Calibri"/>
          <w:b/>
          <w:bCs/>
          <w:rtl/>
        </w:rPr>
        <w:t xml:space="preserve"> </w:t>
      </w:r>
      <w:r w:rsidRPr="00AA5065">
        <w:rPr>
          <w:rFonts w:eastAsia="Calibri" w:hint="eastAsia"/>
          <w:b/>
          <w:bCs/>
          <w:rtl/>
        </w:rPr>
        <w:t>בתי</w:t>
      </w:r>
      <w:r w:rsidRPr="00AA5065">
        <w:rPr>
          <w:rFonts w:eastAsia="Calibri"/>
          <w:b/>
          <w:bCs/>
          <w:rtl/>
        </w:rPr>
        <w:t xml:space="preserve"> </w:t>
      </w:r>
      <w:r w:rsidRPr="00AA5065">
        <w:rPr>
          <w:rFonts w:eastAsia="Calibri" w:hint="eastAsia"/>
          <w:b/>
          <w:bCs/>
          <w:rtl/>
        </w:rPr>
        <w:t>התושבים</w:t>
      </w:r>
      <w:r w:rsidRPr="00AA5065">
        <w:rPr>
          <w:rFonts w:eastAsia="Calibri"/>
          <w:b/>
          <w:bCs/>
          <w:rtl/>
        </w:rPr>
        <w:t xml:space="preserve"> </w:t>
      </w:r>
      <w:r w:rsidRPr="00AA5065">
        <w:rPr>
          <w:rFonts w:eastAsia="Calibri" w:hint="eastAsia"/>
          <w:b/>
          <w:bCs/>
          <w:rtl/>
        </w:rPr>
        <w:t>הבדואים</w:t>
      </w:r>
      <w:r w:rsidRPr="00AA5065">
        <w:rPr>
          <w:rFonts w:eastAsia="Calibri"/>
          <w:b/>
          <w:bCs/>
          <w:rtl/>
        </w:rPr>
        <w:t xml:space="preserve"> </w:t>
      </w:r>
      <w:r w:rsidRPr="00AA5065">
        <w:rPr>
          <w:rFonts w:eastAsia="Calibri" w:hint="eastAsia"/>
          <w:b/>
          <w:bCs/>
          <w:rtl/>
        </w:rPr>
        <w:t>בפזורה</w:t>
      </w:r>
      <w:r w:rsidRPr="00AA5065">
        <w:rPr>
          <w:rFonts w:eastAsia="Calibri"/>
          <w:b/>
          <w:bCs/>
          <w:rtl/>
        </w:rPr>
        <w:t xml:space="preserve">, </w:t>
      </w:r>
      <w:r w:rsidRPr="00AA5065">
        <w:rPr>
          <w:rFonts w:eastAsia="Calibri" w:hint="eastAsia"/>
          <w:b/>
          <w:bCs/>
          <w:rtl/>
        </w:rPr>
        <w:t>הנמצאים</w:t>
      </w:r>
      <w:r w:rsidRPr="00AA5065">
        <w:rPr>
          <w:rFonts w:eastAsia="Calibri"/>
          <w:b/>
          <w:bCs/>
          <w:rtl/>
        </w:rPr>
        <w:t xml:space="preserve"> </w:t>
      </w:r>
      <w:r w:rsidRPr="00AA5065">
        <w:rPr>
          <w:rFonts w:eastAsia="Calibri" w:hint="eastAsia"/>
          <w:b/>
          <w:bCs/>
          <w:rtl/>
        </w:rPr>
        <w:t>סמוך</w:t>
      </w:r>
      <w:r w:rsidRPr="00AA5065">
        <w:rPr>
          <w:rFonts w:eastAsia="Calibri"/>
          <w:b/>
          <w:bCs/>
          <w:rtl/>
        </w:rPr>
        <w:t xml:space="preserve"> </w:t>
      </w:r>
      <w:r w:rsidRPr="00AA5065">
        <w:rPr>
          <w:rFonts w:eastAsia="Calibri" w:hint="eastAsia"/>
          <w:b/>
          <w:bCs/>
          <w:rtl/>
        </w:rPr>
        <w:t>לכביש</w:t>
      </w:r>
      <w:r w:rsidRPr="00AA5065">
        <w:rPr>
          <w:rFonts w:eastAsia="Calibri"/>
          <w:b/>
          <w:bCs/>
          <w:rtl/>
        </w:rPr>
        <w:t xml:space="preserve"> 40, </w:t>
      </w:r>
      <w:r w:rsidRPr="00AA5065">
        <w:rPr>
          <w:rFonts w:eastAsia="Calibri" w:hint="eastAsia"/>
          <w:b/>
          <w:bCs/>
          <w:rtl/>
        </w:rPr>
        <w:t>הוקמו</w:t>
      </w:r>
      <w:r w:rsidRPr="00AA5065">
        <w:rPr>
          <w:rFonts w:eastAsia="Calibri"/>
          <w:b/>
          <w:bCs/>
          <w:rtl/>
        </w:rPr>
        <w:t xml:space="preserve"> </w:t>
      </w:r>
      <w:r w:rsidRPr="00AA5065">
        <w:rPr>
          <w:rFonts w:eastAsia="Calibri" w:hint="eastAsia"/>
          <w:b/>
          <w:bCs/>
          <w:rtl/>
        </w:rPr>
        <w:t>קרוב</w:t>
      </w:r>
      <w:r w:rsidRPr="00AA5065">
        <w:rPr>
          <w:rFonts w:eastAsia="Calibri"/>
          <w:b/>
          <w:bCs/>
          <w:rtl/>
        </w:rPr>
        <w:t xml:space="preserve"> </w:t>
      </w:r>
      <w:r w:rsidRPr="00AA5065">
        <w:rPr>
          <w:rFonts w:eastAsia="Calibri" w:hint="eastAsia"/>
          <w:b/>
          <w:bCs/>
          <w:rtl/>
        </w:rPr>
        <w:t>לאזור</w:t>
      </w:r>
      <w:r w:rsidRPr="00AA5065">
        <w:rPr>
          <w:rFonts w:eastAsia="Calibri"/>
          <w:b/>
          <w:bCs/>
          <w:rtl/>
        </w:rPr>
        <w:t xml:space="preserve"> </w:t>
      </w:r>
      <w:r w:rsidRPr="00AA5065">
        <w:rPr>
          <w:rFonts w:eastAsia="Calibri" w:hint="eastAsia"/>
          <w:b/>
          <w:bCs/>
          <w:rtl/>
        </w:rPr>
        <w:t>התעשייה</w:t>
      </w:r>
      <w:r w:rsidRPr="00AA5065">
        <w:rPr>
          <w:rFonts w:eastAsia="Calibri"/>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Batang"/>
          <w:sz w:val="24"/>
          <w:rtl/>
          <w:lang w:eastAsia="ko-KR"/>
        </w:rPr>
      </w:pPr>
      <w:r w:rsidRPr="00AA5065">
        <w:rPr>
          <w:rFonts w:eastAsia="Calibri" w:hint="cs"/>
          <w:rtl/>
        </w:rPr>
        <w:t xml:space="preserve">מהביקורת הקודמת עלה כי </w:t>
      </w:r>
      <w:r w:rsidRPr="00AA5065">
        <w:rPr>
          <w:rFonts w:eastAsia="Calibri" w:hint="eastAsia"/>
          <w:rtl/>
        </w:rPr>
        <w:t>ב</w:t>
      </w:r>
      <w:r w:rsidRPr="00AA5065">
        <w:rPr>
          <w:rFonts w:eastAsia="Calibri" w:hint="cs"/>
          <w:rtl/>
        </w:rPr>
        <w:t>שנת 2012 נערך בבתי הספר ובגנים האלו תרגיל חומרים מסוכנים, ומסיכום התרגיל שהוציא משרד החינוך עלה שאין למעשה כל פתרון יעיל מלבד סגירת בתי הספר והגנים והעברתם של התלמידים למקום לימודים חדש שיהיה מרוחק מספיק, ובהתאם לנדרש, מנאות חובב.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משרד</w:t>
      </w:r>
      <w:r w:rsidRPr="00AA5065">
        <w:rPr>
          <w:rFonts w:eastAsia="Calibri"/>
          <w:rtl/>
        </w:rPr>
        <w:t xml:space="preserve"> </w:t>
      </w:r>
      <w:r w:rsidRPr="00AA5065">
        <w:rPr>
          <w:rFonts w:eastAsia="Calibri" w:hint="eastAsia"/>
          <w:rtl/>
        </w:rPr>
        <w:t>מבקר</w:t>
      </w:r>
      <w:r w:rsidRPr="00AA5065">
        <w:rPr>
          <w:rFonts w:eastAsia="Calibri"/>
          <w:rtl/>
        </w:rPr>
        <w:t xml:space="preserve"> </w:t>
      </w:r>
      <w:r w:rsidRPr="00AA5065">
        <w:rPr>
          <w:rFonts w:eastAsia="Calibri" w:hint="eastAsia"/>
          <w:rtl/>
        </w:rPr>
        <w:t>המדינה</w:t>
      </w:r>
      <w:r w:rsidRPr="00AA5065">
        <w:rPr>
          <w:rFonts w:eastAsia="Calibri"/>
          <w:rtl/>
        </w:rPr>
        <w:t xml:space="preserve"> </w:t>
      </w:r>
      <w:r w:rsidRPr="00AA5065">
        <w:rPr>
          <w:rFonts w:eastAsia="Calibri" w:hint="cs"/>
          <w:rtl/>
        </w:rPr>
        <w:t>ה</w:t>
      </w:r>
      <w:r w:rsidRPr="00AA5065">
        <w:rPr>
          <w:rFonts w:eastAsia="Calibri" w:hint="eastAsia"/>
          <w:rtl/>
        </w:rPr>
        <w:t>עיר</w:t>
      </w:r>
      <w:r w:rsidRPr="00AA5065">
        <w:rPr>
          <w:rFonts w:eastAsia="Calibri"/>
          <w:rtl/>
        </w:rPr>
        <w:t xml:space="preserve"> </w:t>
      </w:r>
      <w:r w:rsidRPr="00AA5065">
        <w:rPr>
          <w:rFonts w:eastAsia="Calibri" w:hint="cs"/>
          <w:rtl/>
        </w:rPr>
        <w:t xml:space="preserve">בדוח הקודם </w:t>
      </w:r>
      <w:r w:rsidRPr="00AA5065">
        <w:rPr>
          <w:rFonts w:eastAsia="Calibri" w:hint="eastAsia"/>
          <w:rtl/>
        </w:rPr>
        <w:t>למשרדי</w:t>
      </w:r>
      <w:r w:rsidRPr="00AA5065">
        <w:rPr>
          <w:rFonts w:eastAsia="Calibri"/>
          <w:rtl/>
        </w:rPr>
        <w:t xml:space="preserve"> החינוך והג"ס על השתהותם בפתרון הבעיה שיש בה כדי לסכן באופן ממשי אלפי תלמידים בנגב, הגם שהיישום כרוך בהתמודדות עם התנגדויות ההורים</w:t>
      </w:r>
      <w:r w:rsidRPr="00AA5065">
        <w:rPr>
          <w:rFonts w:eastAsia="Calibri" w:hint="cs"/>
          <w:rtl/>
        </w:rPr>
        <w:t xml:space="preserve"> להעברתם</w:t>
      </w:r>
      <w:r w:rsidRPr="00AA5065">
        <w:rPr>
          <w:rFonts w:eastAsia="Calibri"/>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בדוח הקודם</w:t>
      </w:r>
      <w:r w:rsidRPr="00AA5065">
        <w:rPr>
          <w:rFonts w:eastAsia="Calibri"/>
          <w:rtl/>
        </w:rPr>
        <w:t xml:space="preserve"> </w:t>
      </w:r>
      <w:r w:rsidRPr="00AA5065">
        <w:rPr>
          <w:rFonts w:eastAsia="Calibri" w:hint="cs"/>
          <w:rtl/>
        </w:rPr>
        <w:t>ה</w:t>
      </w:r>
      <w:r w:rsidRPr="00AA5065">
        <w:rPr>
          <w:rFonts w:eastAsia="Calibri"/>
          <w:rtl/>
        </w:rPr>
        <w:t>ומלץ כי משרדי החינוך והג"ס, בשיתוף המועצה האזורית נווה מדבר, יפעלו להע</w:t>
      </w:r>
      <w:r w:rsidRPr="00AA5065">
        <w:rPr>
          <w:rFonts w:eastAsia="Calibri" w:hint="cs"/>
          <w:rtl/>
        </w:rPr>
        <w:t>ברת</w:t>
      </w:r>
      <w:r w:rsidRPr="00AA5065">
        <w:rPr>
          <w:rFonts w:eastAsia="Calibri"/>
          <w:rtl/>
        </w:rPr>
        <w:t xml:space="preserve"> התלמידים לבתי ספר </w:t>
      </w:r>
      <w:r w:rsidRPr="00AA5065">
        <w:rPr>
          <w:rFonts w:eastAsia="Calibri" w:hint="cs"/>
          <w:rtl/>
        </w:rPr>
        <w:t xml:space="preserve">וגנים </w:t>
      </w:r>
      <w:r w:rsidRPr="00AA5065">
        <w:rPr>
          <w:rFonts w:eastAsia="Calibri"/>
          <w:rtl/>
        </w:rPr>
        <w:t xml:space="preserve">אחרים המצויים מחוץ לטווח הסיכון. עוד </w:t>
      </w:r>
      <w:r w:rsidRPr="00AA5065">
        <w:rPr>
          <w:rFonts w:eastAsia="Calibri" w:hint="cs"/>
          <w:rtl/>
        </w:rPr>
        <w:t>ה</w:t>
      </w:r>
      <w:r w:rsidRPr="00AA5065">
        <w:rPr>
          <w:rFonts w:eastAsia="Calibri"/>
          <w:rtl/>
        </w:rPr>
        <w:t>ומלץ כי רשות ההסדרה ת</w:t>
      </w:r>
      <w:r w:rsidRPr="00AA5065">
        <w:rPr>
          <w:rFonts w:eastAsia="Calibri" w:hint="cs"/>
          <w:rtl/>
        </w:rPr>
        <w:t>פעל</w:t>
      </w:r>
      <w:r w:rsidRPr="00AA5065">
        <w:rPr>
          <w:rFonts w:eastAsia="Calibri"/>
          <w:rtl/>
        </w:rPr>
        <w:t xml:space="preserve"> </w:t>
      </w:r>
      <w:r w:rsidRPr="00AA5065">
        <w:rPr>
          <w:rFonts w:eastAsia="Calibri" w:hint="cs"/>
          <w:rtl/>
        </w:rPr>
        <w:t>ל</w:t>
      </w:r>
      <w:r w:rsidRPr="00AA5065">
        <w:rPr>
          <w:rFonts w:eastAsia="Calibri"/>
          <w:rtl/>
        </w:rPr>
        <w:t>העתקת התיישבות בלתי מוסדרת בסביבות נאות חובב.</w:t>
      </w:r>
    </w:p>
    <w:p w:rsidR="00AA5065" w:rsidRPr="00AA5065" w:rsidP="00860D89">
      <w:pPr>
        <w:spacing w:line="269" w:lineRule="auto"/>
        <w:ind w:left="-567"/>
        <w:rPr>
          <w:rFonts w:eastAsia="Calibri"/>
          <w:szCs w:val="20"/>
          <w:rtl/>
        </w:rPr>
      </w:pPr>
    </w:p>
    <w:p w:rsidR="00AA5065" w:rsidRPr="00AA5065" w:rsidP="00860D89">
      <w:pPr>
        <w:spacing w:line="269" w:lineRule="auto"/>
        <w:rPr>
          <w:rFonts w:ascii="Calibri" w:eastAsia="Calibri" w:hAnsi="Calibri"/>
          <w:sz w:val="24"/>
          <w:rtl/>
        </w:rPr>
      </w:pPr>
      <w:r w:rsidRPr="00AA5065">
        <w:rPr>
          <w:rFonts w:eastAsia="Calibri" w:hint="eastAsia"/>
          <w:rtl/>
        </w:rPr>
        <w:t>המשרד</w:t>
      </w:r>
      <w:r w:rsidRPr="00AA5065">
        <w:rPr>
          <w:rFonts w:eastAsia="Calibri"/>
          <w:rtl/>
        </w:rPr>
        <w:t xml:space="preserve"> </w:t>
      </w:r>
      <w:r w:rsidRPr="00AA5065">
        <w:rPr>
          <w:rFonts w:eastAsia="Calibri" w:hint="eastAsia"/>
          <w:rtl/>
        </w:rPr>
        <w:t>להג</w:t>
      </w:r>
      <w:r w:rsidRPr="00AA5065">
        <w:rPr>
          <w:rFonts w:eastAsia="Calibri"/>
          <w:rtl/>
        </w:rPr>
        <w:t>"</w:t>
      </w:r>
      <w:r w:rsidRPr="00AA5065">
        <w:rPr>
          <w:rFonts w:eastAsia="Calibri" w:hint="eastAsia"/>
          <w:rtl/>
        </w:rPr>
        <w:t>ס</w:t>
      </w:r>
      <w:r w:rsidRPr="00AA5065">
        <w:rPr>
          <w:rFonts w:eastAsia="Calibri"/>
          <w:rtl/>
        </w:rPr>
        <w:t xml:space="preserve"> </w:t>
      </w:r>
      <w:r w:rsidRPr="00AA5065">
        <w:rPr>
          <w:rFonts w:eastAsia="Calibri" w:hint="eastAsia"/>
          <w:rtl/>
        </w:rPr>
        <w:t>מסר</w:t>
      </w:r>
      <w:r w:rsidRPr="00AA5065">
        <w:rPr>
          <w:rFonts w:eastAsia="Calibri"/>
          <w:rtl/>
        </w:rPr>
        <w:t xml:space="preserve"> </w:t>
      </w:r>
      <w:r w:rsidRPr="00AA5065">
        <w:rPr>
          <w:rFonts w:eastAsia="Calibri" w:hint="eastAsia"/>
          <w:rtl/>
        </w:rPr>
        <w:t>בתשובתו</w:t>
      </w:r>
      <w:r w:rsidRPr="00AA5065">
        <w:rPr>
          <w:rFonts w:eastAsia="Calibri" w:hint="cs"/>
          <w:rtl/>
        </w:rPr>
        <w:t xml:space="preserve"> לדוח הקודם</w:t>
      </w:r>
      <w:r w:rsidRPr="00AA5065">
        <w:rPr>
          <w:rFonts w:eastAsia="Calibri"/>
          <w:rtl/>
        </w:rPr>
        <w:t xml:space="preserve"> </w:t>
      </w:r>
      <w:r w:rsidRPr="00AA5065">
        <w:rPr>
          <w:rFonts w:eastAsia="Calibri" w:hint="eastAsia"/>
          <w:rtl/>
        </w:rPr>
        <w:t>כי</w:t>
      </w:r>
      <w:r w:rsidRPr="00AA5065">
        <w:rPr>
          <w:rFonts w:eastAsia="Calibri"/>
          <w:rtl/>
        </w:rPr>
        <w:t xml:space="preserve"> "על </w:t>
      </w:r>
      <w:r w:rsidRPr="00AA5065">
        <w:rPr>
          <w:rFonts w:eastAsia="Calibri" w:hint="eastAsia"/>
          <w:rtl/>
        </w:rPr>
        <w:t>אף</w:t>
      </w:r>
      <w:r w:rsidRPr="00AA5065">
        <w:rPr>
          <w:rFonts w:eastAsia="Calibri"/>
          <w:rtl/>
        </w:rPr>
        <w:t xml:space="preserve"> </w:t>
      </w:r>
      <w:r w:rsidRPr="00AA5065">
        <w:rPr>
          <w:rFonts w:eastAsia="Calibri" w:hint="eastAsia"/>
          <w:rtl/>
        </w:rPr>
        <w:t>עמדת</w:t>
      </w:r>
      <w:r w:rsidRPr="00AA5065">
        <w:rPr>
          <w:rFonts w:eastAsia="Calibri"/>
          <w:rtl/>
        </w:rPr>
        <w:t xml:space="preserve"> </w:t>
      </w:r>
      <w:r w:rsidRPr="00AA5065">
        <w:rPr>
          <w:rFonts w:eastAsia="Calibri" w:hint="eastAsia"/>
          <w:rtl/>
        </w:rPr>
        <w:t>נציגי</w:t>
      </w:r>
      <w:r w:rsidRPr="00AA5065">
        <w:rPr>
          <w:rFonts w:eastAsia="Calibri"/>
          <w:rtl/>
        </w:rPr>
        <w:t xml:space="preserve"> </w:t>
      </w:r>
      <w:r w:rsidRPr="00AA5065">
        <w:rPr>
          <w:rFonts w:eastAsia="Calibri" w:hint="eastAsia"/>
          <w:rtl/>
        </w:rPr>
        <w:t>השרה</w:t>
      </w:r>
      <w:r w:rsidRPr="00AA5065">
        <w:rPr>
          <w:rFonts w:eastAsia="Calibri"/>
          <w:rtl/>
        </w:rPr>
        <w:t xml:space="preserve"> </w:t>
      </w:r>
      <w:r w:rsidRPr="00AA5065">
        <w:rPr>
          <w:rFonts w:eastAsia="Calibri" w:hint="eastAsia"/>
          <w:rtl/>
        </w:rPr>
        <w:t>להגנת</w:t>
      </w:r>
      <w:r w:rsidRPr="00AA5065">
        <w:rPr>
          <w:rFonts w:eastAsia="Calibri"/>
          <w:rtl/>
        </w:rPr>
        <w:t xml:space="preserve"> </w:t>
      </w:r>
      <w:r w:rsidRPr="00AA5065">
        <w:rPr>
          <w:rFonts w:eastAsia="Calibri" w:hint="eastAsia"/>
          <w:rtl/>
        </w:rPr>
        <w:t>הסביבה</w:t>
      </w:r>
      <w:r w:rsidRPr="00AA5065">
        <w:rPr>
          <w:rFonts w:eastAsia="Calibri"/>
          <w:rtl/>
        </w:rPr>
        <w:t xml:space="preserve"> </w:t>
      </w:r>
      <w:r w:rsidRPr="00AA5065">
        <w:rPr>
          <w:rFonts w:eastAsia="Calibri" w:hint="eastAsia"/>
          <w:rtl/>
        </w:rPr>
        <w:t>ומשרד</w:t>
      </w:r>
      <w:r w:rsidRPr="00AA5065">
        <w:rPr>
          <w:rFonts w:eastAsia="Calibri"/>
          <w:rtl/>
        </w:rPr>
        <w:t xml:space="preserve"> </w:t>
      </w:r>
      <w:r w:rsidRPr="00AA5065">
        <w:rPr>
          <w:rFonts w:eastAsia="Calibri" w:hint="eastAsia"/>
          <w:rtl/>
        </w:rPr>
        <w:t>הבריאות</w:t>
      </w:r>
      <w:r w:rsidRPr="00AA5065">
        <w:rPr>
          <w:rFonts w:eastAsia="Calibri"/>
          <w:rtl/>
        </w:rPr>
        <w:t xml:space="preserve"> </w:t>
      </w:r>
      <w:r w:rsidRPr="00AA5065">
        <w:rPr>
          <w:rFonts w:eastAsia="Calibri" w:hint="eastAsia"/>
          <w:rtl/>
        </w:rPr>
        <w:t>בוועדה</w:t>
      </w:r>
      <w:r w:rsidRPr="00AA5065">
        <w:rPr>
          <w:rFonts w:eastAsia="Calibri"/>
          <w:rtl/>
        </w:rPr>
        <w:t xml:space="preserve"> </w:t>
      </w:r>
      <w:r w:rsidRPr="00AA5065">
        <w:rPr>
          <w:rFonts w:eastAsia="Calibri" w:hint="eastAsia"/>
          <w:rtl/>
        </w:rPr>
        <w:t>המחוזית</w:t>
      </w:r>
      <w:r w:rsidRPr="00AA5065">
        <w:rPr>
          <w:rFonts w:eastAsia="Calibri"/>
          <w:rtl/>
        </w:rPr>
        <w:t xml:space="preserve"> </w:t>
      </w:r>
      <w:r w:rsidRPr="00AA5065">
        <w:rPr>
          <w:rFonts w:eastAsia="Calibri" w:hint="eastAsia"/>
          <w:rtl/>
        </w:rPr>
        <w:t>לתכנון</w:t>
      </w:r>
      <w:r w:rsidRPr="00AA5065">
        <w:rPr>
          <w:rFonts w:eastAsia="Calibri"/>
          <w:rtl/>
        </w:rPr>
        <w:t xml:space="preserve"> </w:t>
      </w:r>
      <w:r w:rsidRPr="00AA5065">
        <w:rPr>
          <w:rFonts w:eastAsia="Calibri" w:hint="eastAsia"/>
          <w:rtl/>
        </w:rPr>
        <w:t>ובנייה</w:t>
      </w:r>
      <w:r w:rsidRPr="00AA5065">
        <w:rPr>
          <w:rFonts w:eastAsia="Calibri"/>
          <w:rtl/>
        </w:rPr>
        <w:t xml:space="preserve"> </w:t>
      </w:r>
      <w:r w:rsidRPr="00AA5065">
        <w:rPr>
          <w:rFonts w:eastAsia="Calibri" w:hint="eastAsia"/>
          <w:rtl/>
        </w:rPr>
        <w:t>מחוז</w:t>
      </w:r>
      <w:r w:rsidRPr="00AA5065">
        <w:rPr>
          <w:rFonts w:eastAsia="Calibri"/>
          <w:rtl/>
        </w:rPr>
        <w:t xml:space="preserve"> </w:t>
      </w:r>
      <w:r w:rsidRPr="00AA5065">
        <w:rPr>
          <w:rFonts w:eastAsia="Calibri" w:hint="eastAsia"/>
          <w:rtl/>
        </w:rPr>
        <w:t>דרום</w:t>
      </w:r>
      <w:r w:rsidRPr="00AA5065">
        <w:rPr>
          <w:rFonts w:eastAsia="Calibri"/>
          <w:rtl/>
        </w:rPr>
        <w:t xml:space="preserve"> </w:t>
      </w:r>
      <w:r w:rsidRPr="00AA5065">
        <w:rPr>
          <w:rFonts w:eastAsia="Calibri" w:hint="eastAsia"/>
          <w:rtl/>
        </w:rPr>
        <w:t>שיש</w:t>
      </w:r>
      <w:r w:rsidRPr="00AA5065">
        <w:rPr>
          <w:rFonts w:eastAsia="Calibri"/>
          <w:rtl/>
        </w:rPr>
        <w:t xml:space="preserve"> </w:t>
      </w:r>
      <w:r w:rsidRPr="00AA5065">
        <w:rPr>
          <w:rFonts w:eastAsia="Calibri" w:hint="eastAsia"/>
          <w:rtl/>
        </w:rPr>
        <w:t>להעתיק</w:t>
      </w:r>
      <w:r w:rsidRPr="00AA5065">
        <w:rPr>
          <w:rFonts w:eastAsia="Calibri"/>
          <w:rtl/>
        </w:rPr>
        <w:t xml:space="preserve"> </w:t>
      </w:r>
      <w:r w:rsidRPr="00AA5065">
        <w:rPr>
          <w:rFonts w:eastAsia="Calibri" w:hint="eastAsia"/>
          <w:rtl/>
        </w:rPr>
        <w:t>את</w:t>
      </w:r>
      <w:r w:rsidRPr="00AA5065">
        <w:rPr>
          <w:rFonts w:eastAsia="Calibri"/>
          <w:rtl/>
        </w:rPr>
        <w:t xml:space="preserve"> </w:t>
      </w:r>
      <w:r w:rsidRPr="00AA5065">
        <w:rPr>
          <w:rFonts w:eastAsia="Calibri" w:hint="eastAsia"/>
          <w:rtl/>
        </w:rPr>
        <w:t>בית</w:t>
      </w:r>
      <w:r w:rsidRPr="00AA5065">
        <w:rPr>
          <w:rFonts w:eastAsia="Calibri"/>
          <w:rtl/>
        </w:rPr>
        <w:t xml:space="preserve"> </w:t>
      </w:r>
      <w:r w:rsidRPr="00AA5065">
        <w:rPr>
          <w:rFonts w:eastAsia="Calibri" w:hint="eastAsia"/>
          <w:rtl/>
        </w:rPr>
        <w:t>הספר</w:t>
      </w:r>
      <w:r w:rsidRPr="00AA5065">
        <w:rPr>
          <w:rFonts w:eastAsia="Calibri"/>
          <w:rtl/>
        </w:rPr>
        <w:t xml:space="preserve"> </w:t>
      </w:r>
      <w:r w:rsidRPr="00AA5065">
        <w:rPr>
          <w:rFonts w:eastAsia="Calibri" w:hint="eastAsia"/>
          <w:rtl/>
        </w:rPr>
        <w:t>אל</w:t>
      </w:r>
      <w:r w:rsidRPr="00AA5065">
        <w:rPr>
          <w:rFonts w:eastAsia="Calibri"/>
          <w:rtl/>
        </w:rPr>
        <w:t xml:space="preserve"> </w:t>
      </w:r>
      <w:r w:rsidRPr="00AA5065">
        <w:rPr>
          <w:rFonts w:eastAsia="Calibri" w:hint="eastAsia"/>
          <w:rtl/>
        </w:rPr>
        <w:t>מחוץ</w:t>
      </w:r>
      <w:r w:rsidRPr="00AA5065">
        <w:rPr>
          <w:rFonts w:eastAsia="Calibri"/>
          <w:rtl/>
        </w:rPr>
        <w:t xml:space="preserve"> </w:t>
      </w:r>
      <w:r w:rsidRPr="00AA5065">
        <w:rPr>
          <w:rFonts w:eastAsia="Calibri" w:hint="eastAsia"/>
          <w:rtl/>
        </w:rPr>
        <w:t>לתחום</w:t>
      </w:r>
      <w:r w:rsidRPr="00AA5065">
        <w:rPr>
          <w:rFonts w:eastAsia="Calibri"/>
          <w:rtl/>
        </w:rPr>
        <w:t xml:space="preserve"> </w:t>
      </w:r>
      <w:r w:rsidRPr="00AA5065">
        <w:rPr>
          <w:rFonts w:eastAsia="Calibri" w:hint="eastAsia"/>
          <w:rtl/>
        </w:rPr>
        <w:t>המגבלות</w:t>
      </w:r>
      <w:r w:rsidRPr="00AA5065">
        <w:rPr>
          <w:rFonts w:eastAsia="Calibri"/>
          <w:rtl/>
        </w:rPr>
        <w:t xml:space="preserve"> </w:t>
      </w:r>
      <w:r w:rsidRPr="00AA5065">
        <w:rPr>
          <w:rFonts w:eastAsia="Calibri" w:hint="eastAsia"/>
          <w:rtl/>
        </w:rPr>
        <w:t>הסביבתיות</w:t>
      </w:r>
      <w:r w:rsidRPr="00AA5065">
        <w:rPr>
          <w:rFonts w:eastAsia="Calibri"/>
          <w:rtl/>
        </w:rPr>
        <w:t xml:space="preserve"> </w:t>
      </w:r>
      <w:r w:rsidRPr="00AA5065">
        <w:rPr>
          <w:rFonts w:eastAsia="Calibri" w:hint="eastAsia"/>
          <w:rtl/>
        </w:rPr>
        <w:t>מנאות</w:t>
      </w:r>
      <w:r w:rsidRPr="00AA5065">
        <w:rPr>
          <w:rFonts w:eastAsia="Calibri"/>
          <w:rtl/>
        </w:rPr>
        <w:t xml:space="preserve"> </w:t>
      </w:r>
      <w:r w:rsidRPr="00AA5065">
        <w:rPr>
          <w:rFonts w:eastAsia="Calibri" w:hint="eastAsia"/>
          <w:rtl/>
        </w:rPr>
        <w:t>חובב</w:t>
      </w:r>
      <w:r w:rsidRPr="00AA5065">
        <w:rPr>
          <w:rFonts w:eastAsia="Calibri"/>
          <w:rtl/>
        </w:rPr>
        <w:t xml:space="preserve">, </w:t>
      </w:r>
      <w:r w:rsidRPr="00AA5065">
        <w:rPr>
          <w:rFonts w:eastAsia="Calibri" w:hint="eastAsia"/>
          <w:rtl/>
        </w:rPr>
        <w:t>החליטה</w:t>
      </w:r>
      <w:r w:rsidRPr="00AA5065">
        <w:rPr>
          <w:rFonts w:eastAsia="Calibri"/>
          <w:rtl/>
        </w:rPr>
        <w:t xml:space="preserve"> </w:t>
      </w:r>
      <w:r w:rsidRPr="00AA5065">
        <w:rPr>
          <w:rFonts w:eastAsia="Calibri" w:hint="eastAsia"/>
          <w:rtl/>
        </w:rPr>
        <w:t>הוועדה</w:t>
      </w:r>
      <w:r w:rsidRPr="00AA5065">
        <w:rPr>
          <w:rFonts w:eastAsia="Calibri"/>
          <w:rtl/>
        </w:rPr>
        <w:t xml:space="preserve"> המחוזית </w:t>
      </w:r>
      <w:r w:rsidRPr="00AA5065">
        <w:rPr>
          <w:rFonts w:eastAsia="Calibri" w:hint="eastAsia"/>
          <w:rtl/>
        </w:rPr>
        <w:t>לתכנון</w:t>
      </w:r>
      <w:r w:rsidRPr="00AA5065">
        <w:rPr>
          <w:rFonts w:eastAsia="Calibri"/>
          <w:rtl/>
        </w:rPr>
        <w:t xml:space="preserve"> </w:t>
      </w:r>
      <w:r w:rsidRPr="00AA5065">
        <w:rPr>
          <w:rFonts w:eastAsia="Calibri" w:hint="eastAsia"/>
          <w:rtl/>
        </w:rPr>
        <w:t>ובנייה</w:t>
      </w:r>
      <w:r w:rsidRPr="00AA5065">
        <w:rPr>
          <w:rFonts w:eastAsia="Calibri"/>
          <w:rtl/>
        </w:rPr>
        <w:t xml:space="preserve"> </w:t>
      </w:r>
      <w:r w:rsidRPr="00AA5065">
        <w:rPr>
          <w:rFonts w:eastAsia="Calibri" w:hint="eastAsia"/>
          <w:rtl/>
        </w:rPr>
        <w:t>בישיבתה</w:t>
      </w:r>
      <w:r w:rsidRPr="00AA5065">
        <w:rPr>
          <w:rFonts w:eastAsia="Calibri"/>
          <w:rtl/>
        </w:rPr>
        <w:t xml:space="preserve"> </w:t>
      </w:r>
      <w:r w:rsidRPr="00AA5065">
        <w:rPr>
          <w:rFonts w:eastAsia="Calibri" w:hint="eastAsia"/>
          <w:rtl/>
        </w:rPr>
        <w:t>מיום</w:t>
      </w:r>
      <w:r w:rsidRPr="00AA5065">
        <w:rPr>
          <w:rFonts w:eastAsia="Calibri"/>
          <w:rtl/>
        </w:rPr>
        <w:t xml:space="preserve"> 14.12.20 </w:t>
      </w:r>
      <w:r w:rsidRPr="00AA5065">
        <w:rPr>
          <w:rFonts w:eastAsia="Calibri" w:hint="eastAsia"/>
          <w:rtl/>
        </w:rPr>
        <w:t>להמליץ</w:t>
      </w:r>
      <w:r w:rsidRPr="00AA5065">
        <w:rPr>
          <w:rFonts w:eastAsia="Calibri"/>
          <w:rtl/>
        </w:rPr>
        <w:t xml:space="preserve"> </w:t>
      </w:r>
      <w:r w:rsidRPr="00AA5065">
        <w:rPr>
          <w:rFonts w:eastAsia="Calibri" w:hint="eastAsia"/>
          <w:rtl/>
        </w:rPr>
        <w:t>למועצה</w:t>
      </w:r>
      <w:r w:rsidRPr="00AA5065">
        <w:rPr>
          <w:rFonts w:eastAsia="Calibri"/>
          <w:rtl/>
        </w:rPr>
        <w:t xml:space="preserve"> </w:t>
      </w:r>
      <w:r w:rsidRPr="00AA5065">
        <w:rPr>
          <w:rFonts w:eastAsia="Calibri" w:hint="eastAsia"/>
          <w:rtl/>
        </w:rPr>
        <w:t>הארצית</w:t>
      </w:r>
      <w:r w:rsidRPr="00AA5065">
        <w:rPr>
          <w:rFonts w:eastAsia="Calibri"/>
          <w:rtl/>
        </w:rPr>
        <w:t xml:space="preserve"> </w:t>
      </w:r>
      <w:r w:rsidRPr="00AA5065">
        <w:rPr>
          <w:rFonts w:eastAsia="Calibri" w:hint="eastAsia"/>
          <w:rtl/>
        </w:rPr>
        <w:t>לאשר</w:t>
      </w:r>
      <w:r w:rsidRPr="00AA5065">
        <w:rPr>
          <w:rFonts w:eastAsia="Calibri"/>
          <w:rtl/>
        </w:rPr>
        <w:t xml:space="preserve"> </w:t>
      </w:r>
      <w:r w:rsidRPr="00AA5065">
        <w:rPr>
          <w:rFonts w:eastAsia="Calibri" w:hint="eastAsia"/>
          <w:rtl/>
        </w:rPr>
        <w:t>תכנית</w:t>
      </w:r>
      <w:r w:rsidRPr="00AA5065">
        <w:rPr>
          <w:rFonts w:eastAsia="Calibri"/>
          <w:rtl/>
        </w:rPr>
        <w:t xml:space="preserve"> </w:t>
      </w:r>
      <w:r w:rsidRPr="00AA5065">
        <w:rPr>
          <w:rFonts w:eastAsia="Calibri" w:hint="eastAsia"/>
          <w:rtl/>
        </w:rPr>
        <w:t>למבנים</w:t>
      </w:r>
      <w:r w:rsidRPr="00AA5065">
        <w:rPr>
          <w:rFonts w:eastAsia="Calibri"/>
          <w:rtl/>
        </w:rPr>
        <w:t xml:space="preserve"> </w:t>
      </w:r>
      <w:r w:rsidRPr="00AA5065">
        <w:rPr>
          <w:rFonts w:eastAsia="Calibri" w:hint="eastAsia"/>
          <w:rtl/>
        </w:rPr>
        <w:t>יבילים</w:t>
      </w:r>
      <w:r w:rsidRPr="00AA5065">
        <w:rPr>
          <w:rFonts w:eastAsia="Calibri"/>
          <w:rtl/>
        </w:rPr>
        <w:t xml:space="preserve"> </w:t>
      </w:r>
      <w:r w:rsidRPr="00AA5065">
        <w:rPr>
          <w:rFonts w:eastAsia="Calibri" w:hint="eastAsia"/>
          <w:rtl/>
        </w:rPr>
        <w:t>אל</w:t>
      </w:r>
      <w:r w:rsidRPr="00AA5065">
        <w:rPr>
          <w:rFonts w:eastAsia="Calibri"/>
          <w:rtl/>
        </w:rPr>
        <w:t xml:space="preserve"> </w:t>
      </w:r>
      <w:r w:rsidRPr="00AA5065">
        <w:rPr>
          <w:rFonts w:eastAsia="Calibri" w:hint="eastAsia"/>
          <w:rtl/>
        </w:rPr>
        <w:t>עזזמה</w:t>
      </w:r>
      <w:r w:rsidRPr="00AA5065">
        <w:rPr>
          <w:rFonts w:eastAsia="Calibri"/>
          <w:rtl/>
        </w:rPr>
        <w:t xml:space="preserve"> </w:t>
      </w:r>
      <w:r w:rsidRPr="00AA5065">
        <w:rPr>
          <w:rFonts w:eastAsia="Calibri" w:hint="eastAsia"/>
          <w:rtl/>
        </w:rPr>
        <w:t>א</w:t>
      </w:r>
      <w:r w:rsidRPr="00AA5065">
        <w:rPr>
          <w:rFonts w:eastAsia="Calibri"/>
          <w:rtl/>
        </w:rPr>
        <w:t xml:space="preserve">' </w:t>
      </w:r>
      <w:r w:rsidRPr="00AA5065">
        <w:rPr>
          <w:rFonts w:eastAsia="Calibri" w:hint="eastAsia"/>
          <w:rtl/>
        </w:rPr>
        <w:t>וב</w:t>
      </w:r>
      <w:r w:rsidRPr="00AA5065">
        <w:rPr>
          <w:rFonts w:eastAsia="Calibri"/>
          <w:rtl/>
        </w:rPr>
        <w:t xml:space="preserve">' </w:t>
      </w:r>
      <w:r w:rsidRPr="00AA5065">
        <w:rPr>
          <w:rFonts w:eastAsia="Calibri" w:hint="eastAsia"/>
          <w:rtl/>
        </w:rPr>
        <w:t>במיקום</w:t>
      </w:r>
      <w:r w:rsidRPr="00AA5065">
        <w:rPr>
          <w:rFonts w:eastAsia="Calibri"/>
          <w:rtl/>
        </w:rPr>
        <w:t xml:space="preserve"> </w:t>
      </w:r>
      <w:r w:rsidRPr="00AA5065">
        <w:rPr>
          <w:rFonts w:eastAsia="Calibri" w:hint="eastAsia"/>
          <w:rtl/>
        </w:rPr>
        <w:t>הקיים</w:t>
      </w:r>
      <w:r w:rsidRPr="00AA5065">
        <w:rPr>
          <w:rFonts w:eastAsia="Calibri" w:hint="cs"/>
          <w:rtl/>
        </w:rPr>
        <w:t>...</w:t>
      </w:r>
      <w:r w:rsidRPr="00AA5065">
        <w:rPr>
          <w:rFonts w:eastAsia="Calibri"/>
          <w:rtl/>
        </w:rPr>
        <w:t>".</w:t>
      </w:r>
    </w:p>
    <w:p w:rsidR="00AA5065" w:rsidRPr="00AA5065" w:rsidP="00860D89">
      <w:pPr>
        <w:spacing w:line="269" w:lineRule="auto"/>
        <w:rPr>
          <w:rFonts w:ascii="Calibri" w:eastAsia="Calibri" w:hAnsi="Calibri"/>
          <w:sz w:val="24"/>
          <w:rtl/>
        </w:rPr>
      </w:pPr>
      <w:r w:rsidRPr="00AA5065">
        <w:rPr>
          <w:rFonts w:ascii="Calibri" w:eastAsia="Calibri" w:hAnsi="Calibri" w:hint="eastAsia"/>
          <w:sz w:val="24"/>
          <w:rtl/>
        </w:rPr>
        <w:t>משרד</w:t>
      </w:r>
      <w:r w:rsidRPr="00AA5065">
        <w:rPr>
          <w:rFonts w:ascii="Calibri" w:eastAsia="Calibri" w:hAnsi="Calibri"/>
          <w:sz w:val="24"/>
          <w:rtl/>
        </w:rPr>
        <w:t xml:space="preserve"> </w:t>
      </w:r>
      <w:r w:rsidRPr="00AA5065">
        <w:rPr>
          <w:rFonts w:ascii="Calibri" w:eastAsia="Calibri" w:hAnsi="Calibri" w:hint="eastAsia"/>
          <w:sz w:val="24"/>
          <w:rtl/>
        </w:rPr>
        <w:t>החינוך</w:t>
      </w:r>
      <w:r w:rsidRPr="00AA5065">
        <w:rPr>
          <w:rFonts w:ascii="Calibri" w:eastAsia="Calibri" w:hAnsi="Calibri"/>
          <w:sz w:val="24"/>
          <w:rtl/>
        </w:rPr>
        <w:t xml:space="preserve"> </w:t>
      </w:r>
      <w:r w:rsidRPr="00AA5065">
        <w:rPr>
          <w:rFonts w:ascii="Calibri" w:eastAsia="Calibri" w:hAnsi="Calibri" w:hint="eastAsia"/>
          <w:sz w:val="24"/>
          <w:rtl/>
        </w:rPr>
        <w:t>מסר</w:t>
      </w:r>
      <w:r w:rsidRPr="00AA5065">
        <w:rPr>
          <w:rFonts w:ascii="Calibri" w:eastAsia="Calibri" w:hAnsi="Calibri"/>
          <w:sz w:val="24"/>
          <w:rtl/>
        </w:rPr>
        <w:t xml:space="preserve"> </w:t>
      </w:r>
      <w:r w:rsidRPr="00AA5065">
        <w:rPr>
          <w:rFonts w:ascii="Calibri" w:eastAsia="Calibri" w:hAnsi="Calibri" w:hint="eastAsia"/>
          <w:sz w:val="24"/>
          <w:rtl/>
        </w:rPr>
        <w:t>בתשובתו</w:t>
      </w:r>
      <w:r w:rsidRPr="00AA5065">
        <w:rPr>
          <w:rFonts w:ascii="Calibri" w:eastAsia="Calibri" w:hAnsi="Calibri"/>
          <w:sz w:val="24"/>
          <w:rtl/>
        </w:rPr>
        <w:t xml:space="preserve"> </w:t>
      </w:r>
      <w:r w:rsidRPr="00AA5065">
        <w:rPr>
          <w:rFonts w:ascii="Calibri" w:eastAsia="Calibri" w:hAnsi="Calibri" w:hint="cs"/>
          <w:sz w:val="24"/>
          <w:rtl/>
        </w:rPr>
        <w:t xml:space="preserve">לדוח הקודם </w:t>
      </w:r>
      <w:r w:rsidRPr="00AA5065">
        <w:rPr>
          <w:rFonts w:ascii="Calibri" w:eastAsia="Calibri" w:hAnsi="Calibri" w:hint="eastAsia"/>
          <w:sz w:val="24"/>
          <w:rtl/>
        </w:rPr>
        <w:t>כי</w:t>
      </w:r>
      <w:r w:rsidRPr="00AA5065">
        <w:rPr>
          <w:rFonts w:ascii="Calibri" w:eastAsia="Calibri" w:hAnsi="Calibri"/>
          <w:sz w:val="24"/>
          <w:rtl/>
        </w:rPr>
        <w:t xml:space="preserve"> "המועצה </w:t>
      </w:r>
      <w:r w:rsidRPr="00AA5065">
        <w:rPr>
          <w:rFonts w:ascii="Calibri" w:eastAsia="Calibri" w:hAnsi="Calibri" w:hint="eastAsia"/>
          <w:sz w:val="24"/>
          <w:rtl/>
        </w:rPr>
        <w:t>האזורית</w:t>
      </w:r>
      <w:r w:rsidRPr="00AA5065">
        <w:rPr>
          <w:rFonts w:ascii="Calibri" w:eastAsia="Calibri" w:hAnsi="Calibri"/>
          <w:sz w:val="24"/>
          <w:rtl/>
        </w:rPr>
        <w:t xml:space="preserve"> </w:t>
      </w:r>
      <w:r w:rsidRPr="00AA5065">
        <w:rPr>
          <w:rFonts w:ascii="Calibri" w:eastAsia="Calibri" w:hAnsi="Calibri" w:hint="eastAsia"/>
          <w:sz w:val="24"/>
          <w:rtl/>
        </w:rPr>
        <w:t>נווה</w:t>
      </w:r>
      <w:r w:rsidRPr="00AA5065">
        <w:rPr>
          <w:rFonts w:ascii="Calibri" w:eastAsia="Calibri" w:hAnsi="Calibri"/>
          <w:sz w:val="24"/>
          <w:rtl/>
        </w:rPr>
        <w:t xml:space="preserve"> </w:t>
      </w:r>
      <w:r w:rsidRPr="00AA5065">
        <w:rPr>
          <w:rFonts w:ascii="Calibri" w:eastAsia="Calibri" w:hAnsi="Calibri" w:hint="eastAsia"/>
          <w:sz w:val="24"/>
          <w:rtl/>
        </w:rPr>
        <w:t>מדבר</w:t>
      </w:r>
      <w:r w:rsidRPr="00AA5065">
        <w:rPr>
          <w:rFonts w:ascii="Calibri" w:eastAsia="Calibri" w:hAnsi="Calibri"/>
          <w:sz w:val="24"/>
          <w:rtl/>
        </w:rPr>
        <w:t xml:space="preserve">, </w:t>
      </w:r>
      <w:r w:rsidRPr="00AA5065">
        <w:rPr>
          <w:rFonts w:ascii="Calibri" w:eastAsia="Calibri" w:hAnsi="Calibri" w:hint="eastAsia"/>
          <w:sz w:val="24"/>
          <w:rtl/>
        </w:rPr>
        <w:t>בסיוע</w:t>
      </w:r>
      <w:r w:rsidRPr="00AA5065">
        <w:rPr>
          <w:rFonts w:ascii="Calibri" w:eastAsia="Calibri" w:hAnsi="Calibri"/>
          <w:sz w:val="24"/>
          <w:rtl/>
        </w:rPr>
        <w:t xml:space="preserve"> </w:t>
      </w:r>
      <w:r w:rsidRPr="00AA5065">
        <w:rPr>
          <w:rFonts w:ascii="Calibri" w:eastAsia="Calibri" w:hAnsi="Calibri" w:hint="eastAsia"/>
          <w:sz w:val="24"/>
          <w:rtl/>
        </w:rPr>
        <w:t>של</w:t>
      </w:r>
      <w:r w:rsidRPr="00AA5065">
        <w:rPr>
          <w:rFonts w:ascii="Calibri" w:eastAsia="Calibri" w:hAnsi="Calibri"/>
          <w:sz w:val="24"/>
          <w:rtl/>
        </w:rPr>
        <w:t xml:space="preserve"> </w:t>
      </w:r>
      <w:r w:rsidRPr="00AA5065">
        <w:rPr>
          <w:rFonts w:ascii="Calibri" w:eastAsia="Calibri" w:hAnsi="Calibri" w:hint="eastAsia"/>
          <w:sz w:val="24"/>
          <w:rtl/>
        </w:rPr>
        <w:t>משרד</w:t>
      </w:r>
      <w:r w:rsidRPr="00AA5065">
        <w:rPr>
          <w:rFonts w:ascii="Calibri" w:eastAsia="Calibri" w:hAnsi="Calibri"/>
          <w:sz w:val="24"/>
          <w:rtl/>
        </w:rPr>
        <w:t xml:space="preserve"> </w:t>
      </w:r>
      <w:r w:rsidRPr="00AA5065">
        <w:rPr>
          <w:rFonts w:ascii="Calibri" w:eastAsia="Calibri" w:hAnsi="Calibri" w:hint="eastAsia"/>
          <w:sz w:val="24"/>
          <w:rtl/>
        </w:rPr>
        <w:t>החינוך</w:t>
      </w:r>
      <w:r w:rsidRPr="00AA5065">
        <w:rPr>
          <w:rFonts w:ascii="Calibri" w:eastAsia="Calibri" w:hAnsi="Calibri"/>
          <w:sz w:val="24"/>
          <w:rtl/>
        </w:rPr>
        <w:t xml:space="preserve"> </w:t>
      </w:r>
      <w:r w:rsidRPr="00AA5065">
        <w:rPr>
          <w:rFonts w:ascii="Calibri" w:eastAsia="Calibri" w:hAnsi="Calibri" w:hint="eastAsia"/>
          <w:sz w:val="24"/>
          <w:rtl/>
        </w:rPr>
        <w:t>ורשות</w:t>
      </w:r>
      <w:r w:rsidRPr="00AA5065">
        <w:rPr>
          <w:rFonts w:ascii="Calibri" w:eastAsia="Calibri" w:hAnsi="Calibri"/>
          <w:sz w:val="24"/>
          <w:rtl/>
        </w:rPr>
        <w:t xml:space="preserve"> </w:t>
      </w:r>
      <w:r w:rsidRPr="00AA5065">
        <w:rPr>
          <w:rFonts w:ascii="Calibri" w:eastAsia="Calibri" w:hAnsi="Calibri" w:hint="eastAsia"/>
          <w:sz w:val="24"/>
          <w:rtl/>
        </w:rPr>
        <w:t>התכנון</w:t>
      </w:r>
      <w:r w:rsidRPr="00AA5065">
        <w:rPr>
          <w:rFonts w:ascii="Calibri" w:eastAsia="Calibri" w:hAnsi="Calibri"/>
          <w:sz w:val="24"/>
          <w:rtl/>
        </w:rPr>
        <w:t xml:space="preserve">, </w:t>
      </w:r>
      <w:r w:rsidRPr="00AA5065">
        <w:rPr>
          <w:rFonts w:ascii="Calibri" w:eastAsia="Calibri" w:hAnsi="Calibri" w:hint="eastAsia"/>
          <w:sz w:val="24"/>
          <w:rtl/>
        </w:rPr>
        <w:t>פעלה</w:t>
      </w:r>
      <w:r w:rsidRPr="00AA5065">
        <w:rPr>
          <w:rFonts w:ascii="Calibri" w:eastAsia="Calibri" w:hAnsi="Calibri"/>
          <w:sz w:val="24"/>
          <w:rtl/>
        </w:rPr>
        <w:t xml:space="preserve"> </w:t>
      </w:r>
      <w:r w:rsidRPr="00AA5065">
        <w:rPr>
          <w:rFonts w:ascii="Calibri" w:eastAsia="Calibri" w:hAnsi="Calibri" w:hint="eastAsia"/>
          <w:sz w:val="24"/>
          <w:rtl/>
        </w:rPr>
        <w:t>להקמת</w:t>
      </w:r>
      <w:r w:rsidRPr="00AA5065">
        <w:rPr>
          <w:rFonts w:ascii="Calibri" w:eastAsia="Calibri" w:hAnsi="Calibri"/>
          <w:sz w:val="24"/>
          <w:rtl/>
        </w:rPr>
        <w:t xml:space="preserve"> </w:t>
      </w:r>
      <w:r w:rsidRPr="00AA5065">
        <w:rPr>
          <w:rFonts w:ascii="Calibri" w:eastAsia="Calibri" w:hAnsi="Calibri" w:hint="eastAsia"/>
          <w:sz w:val="24"/>
          <w:rtl/>
        </w:rPr>
        <w:t>חלופות</w:t>
      </w:r>
      <w:r w:rsidRPr="00AA5065">
        <w:rPr>
          <w:rFonts w:ascii="Calibri" w:eastAsia="Calibri" w:hAnsi="Calibri"/>
          <w:sz w:val="24"/>
          <w:rtl/>
        </w:rPr>
        <w:t xml:space="preserve"> </w:t>
      </w:r>
      <w:r w:rsidRPr="00AA5065">
        <w:rPr>
          <w:rFonts w:ascii="Calibri" w:eastAsia="Calibri" w:hAnsi="Calibri" w:hint="eastAsia"/>
          <w:sz w:val="24"/>
          <w:rtl/>
        </w:rPr>
        <w:t>לתלמידי</w:t>
      </w:r>
      <w:r w:rsidRPr="00AA5065">
        <w:rPr>
          <w:rFonts w:ascii="Calibri" w:eastAsia="Calibri" w:hAnsi="Calibri"/>
          <w:sz w:val="24"/>
          <w:rtl/>
        </w:rPr>
        <w:t xml:space="preserve"> </w:t>
      </w:r>
      <w:r w:rsidRPr="00AA5065">
        <w:rPr>
          <w:rFonts w:ascii="Calibri" w:eastAsia="Calibri" w:hAnsi="Calibri" w:hint="eastAsia"/>
          <w:sz w:val="24"/>
          <w:rtl/>
        </w:rPr>
        <w:t>בתי</w:t>
      </w:r>
      <w:r w:rsidRPr="00AA5065">
        <w:rPr>
          <w:rFonts w:ascii="Calibri" w:eastAsia="Calibri" w:hAnsi="Calibri"/>
          <w:sz w:val="24"/>
          <w:rtl/>
        </w:rPr>
        <w:t xml:space="preserve"> </w:t>
      </w:r>
      <w:r w:rsidRPr="00AA5065">
        <w:rPr>
          <w:rFonts w:ascii="Calibri" w:eastAsia="Calibri" w:hAnsi="Calibri" w:hint="eastAsia"/>
          <w:sz w:val="24"/>
          <w:rtl/>
        </w:rPr>
        <w:t>הספר</w:t>
      </w:r>
      <w:r w:rsidRPr="00AA5065">
        <w:rPr>
          <w:rFonts w:ascii="Calibri" w:eastAsia="Calibri" w:hAnsi="Calibri"/>
          <w:sz w:val="24"/>
          <w:rtl/>
        </w:rPr>
        <w:t xml:space="preserve"> שבטווח הסיכון של רמת חובב. הוכנה ואושרה תב"ע לבתי ספר בשתי נקודות ואף הוקם בית ספר במבנים יבילים, </w:t>
      </w:r>
      <w:r w:rsidRPr="00AA5065">
        <w:rPr>
          <w:rFonts w:ascii="Calibri" w:eastAsia="Calibri" w:hAnsi="Calibri" w:hint="eastAsia"/>
          <w:sz w:val="24"/>
          <w:rtl/>
        </w:rPr>
        <w:t>אלעזזמה</w:t>
      </w:r>
      <w:r w:rsidRPr="00AA5065">
        <w:rPr>
          <w:rFonts w:ascii="Calibri" w:eastAsia="Calibri" w:hAnsi="Calibri"/>
          <w:sz w:val="24"/>
          <w:rtl/>
        </w:rPr>
        <w:t xml:space="preserve"> </w:t>
      </w:r>
      <w:r w:rsidRPr="00AA5065">
        <w:rPr>
          <w:rFonts w:ascii="Calibri" w:eastAsia="Calibri" w:hAnsi="Calibri" w:hint="eastAsia"/>
          <w:sz w:val="24"/>
          <w:rtl/>
        </w:rPr>
        <w:t>ג</w:t>
      </w:r>
      <w:r w:rsidRPr="00AA5065">
        <w:rPr>
          <w:rFonts w:ascii="Calibri" w:eastAsia="Calibri" w:hAnsi="Calibri"/>
          <w:sz w:val="24"/>
          <w:rtl/>
        </w:rPr>
        <w:t xml:space="preserve">', </w:t>
      </w:r>
      <w:r w:rsidRPr="00AA5065">
        <w:rPr>
          <w:rFonts w:ascii="Calibri" w:eastAsia="Calibri" w:hAnsi="Calibri" w:hint="eastAsia"/>
          <w:sz w:val="24"/>
          <w:rtl/>
        </w:rPr>
        <w:t>בתוך</w:t>
      </w:r>
      <w:r w:rsidRPr="00AA5065">
        <w:rPr>
          <w:rFonts w:ascii="Calibri" w:eastAsia="Calibri" w:hAnsi="Calibri"/>
          <w:sz w:val="24"/>
          <w:rtl/>
        </w:rPr>
        <w:t xml:space="preserve"> </w:t>
      </w:r>
      <w:r w:rsidRPr="00AA5065">
        <w:rPr>
          <w:rFonts w:ascii="Calibri" w:eastAsia="Calibri" w:hAnsi="Calibri" w:hint="eastAsia"/>
          <w:sz w:val="24"/>
          <w:rtl/>
        </w:rPr>
        <w:t>שטח</w:t>
      </w:r>
      <w:r w:rsidRPr="00AA5065">
        <w:rPr>
          <w:rFonts w:ascii="Calibri" w:eastAsia="Calibri" w:hAnsi="Calibri"/>
          <w:sz w:val="24"/>
          <w:rtl/>
        </w:rPr>
        <w:t xml:space="preserve"> </w:t>
      </w:r>
      <w:r w:rsidRPr="00AA5065">
        <w:rPr>
          <w:rFonts w:ascii="Calibri" w:eastAsia="Calibri" w:hAnsi="Calibri" w:hint="eastAsia"/>
          <w:sz w:val="24"/>
          <w:rtl/>
        </w:rPr>
        <w:t>הישוב</w:t>
      </w:r>
      <w:r w:rsidRPr="00AA5065">
        <w:rPr>
          <w:rFonts w:ascii="Calibri" w:eastAsia="Calibri" w:hAnsi="Calibri"/>
          <w:sz w:val="24"/>
          <w:rtl/>
        </w:rPr>
        <w:t xml:space="preserve"> </w:t>
      </w:r>
      <w:r w:rsidRPr="00AA5065">
        <w:rPr>
          <w:rFonts w:ascii="Calibri" w:eastAsia="Calibri" w:hAnsi="Calibri" w:hint="eastAsia"/>
          <w:sz w:val="24"/>
          <w:rtl/>
        </w:rPr>
        <w:t>העתידי</w:t>
      </w:r>
      <w:r w:rsidRPr="00AA5065">
        <w:rPr>
          <w:rFonts w:ascii="Calibri" w:eastAsia="Calibri" w:hAnsi="Calibri"/>
          <w:sz w:val="24"/>
          <w:rtl/>
        </w:rPr>
        <w:t xml:space="preserve"> </w:t>
      </w:r>
      <w:r w:rsidRPr="00AA5065">
        <w:rPr>
          <w:rFonts w:ascii="Calibri" w:eastAsia="Calibri" w:hAnsi="Calibri" w:hint="eastAsia"/>
          <w:sz w:val="24"/>
          <w:rtl/>
        </w:rPr>
        <w:t>לאותה</w:t>
      </w:r>
      <w:r w:rsidRPr="00AA5065">
        <w:rPr>
          <w:rFonts w:ascii="Calibri" w:eastAsia="Calibri" w:hAnsi="Calibri"/>
          <w:sz w:val="24"/>
          <w:rtl/>
        </w:rPr>
        <w:t xml:space="preserve"> </w:t>
      </w:r>
      <w:r w:rsidRPr="00AA5065">
        <w:rPr>
          <w:rFonts w:ascii="Calibri" w:eastAsia="Calibri" w:hAnsi="Calibri" w:hint="eastAsia"/>
          <w:sz w:val="24"/>
          <w:rtl/>
        </w:rPr>
        <w:t>אוכלוסייה</w:t>
      </w:r>
      <w:r w:rsidRPr="00AA5065">
        <w:rPr>
          <w:rFonts w:ascii="Calibri" w:eastAsia="Calibri" w:hAnsi="Calibri"/>
          <w:sz w:val="24"/>
          <w:rtl/>
        </w:rPr>
        <w:t xml:space="preserve">, </w:t>
      </w:r>
      <w:r w:rsidRPr="00AA5065">
        <w:rPr>
          <w:rFonts w:ascii="Calibri" w:eastAsia="Calibri" w:hAnsi="Calibri" w:hint="eastAsia"/>
          <w:sz w:val="24"/>
          <w:rtl/>
        </w:rPr>
        <w:t>ואדי</w:t>
      </w:r>
      <w:r w:rsidRPr="00AA5065">
        <w:rPr>
          <w:rFonts w:ascii="Calibri" w:eastAsia="Calibri" w:hAnsi="Calibri"/>
          <w:sz w:val="24"/>
          <w:rtl/>
        </w:rPr>
        <w:t xml:space="preserve"> </w:t>
      </w:r>
      <w:r w:rsidRPr="00AA5065">
        <w:rPr>
          <w:rFonts w:ascii="Calibri" w:eastAsia="Calibri" w:hAnsi="Calibri" w:hint="eastAsia"/>
          <w:sz w:val="24"/>
          <w:rtl/>
        </w:rPr>
        <w:t>אלנעם</w:t>
      </w:r>
      <w:r w:rsidRPr="00AA5065">
        <w:rPr>
          <w:rFonts w:ascii="Calibri" w:eastAsia="Calibri" w:hAnsi="Calibri"/>
          <w:sz w:val="24"/>
          <w:rtl/>
        </w:rPr>
        <w:t xml:space="preserve">. </w:t>
      </w:r>
      <w:r w:rsidRPr="00AA5065">
        <w:rPr>
          <w:rFonts w:ascii="Calibri" w:eastAsia="Calibri" w:hAnsi="Calibri" w:hint="eastAsia"/>
          <w:sz w:val="24"/>
          <w:rtl/>
        </w:rPr>
        <w:t>עם</w:t>
      </w:r>
      <w:r w:rsidRPr="00AA5065">
        <w:rPr>
          <w:rFonts w:ascii="Calibri" w:eastAsia="Calibri" w:hAnsi="Calibri"/>
          <w:sz w:val="24"/>
          <w:rtl/>
        </w:rPr>
        <w:t xml:space="preserve"> </w:t>
      </w:r>
      <w:r w:rsidRPr="00AA5065">
        <w:rPr>
          <w:rFonts w:ascii="Calibri" w:eastAsia="Calibri" w:hAnsi="Calibri" w:hint="eastAsia"/>
          <w:sz w:val="24"/>
          <w:rtl/>
        </w:rPr>
        <w:t>זאת</w:t>
      </w:r>
      <w:r w:rsidRPr="00AA5065">
        <w:rPr>
          <w:rFonts w:ascii="Calibri" w:eastAsia="Calibri" w:hAnsi="Calibri"/>
          <w:sz w:val="24"/>
          <w:rtl/>
        </w:rPr>
        <w:t xml:space="preserve">, </w:t>
      </w:r>
      <w:r w:rsidRPr="00AA5065">
        <w:rPr>
          <w:rFonts w:ascii="Calibri" w:eastAsia="Calibri" w:hAnsi="Calibri" w:hint="eastAsia"/>
          <w:sz w:val="24"/>
          <w:rtl/>
        </w:rPr>
        <w:t>האוכלוסייה</w:t>
      </w:r>
      <w:r w:rsidRPr="00AA5065">
        <w:rPr>
          <w:rFonts w:ascii="Calibri" w:eastAsia="Calibri" w:hAnsi="Calibri"/>
          <w:sz w:val="24"/>
          <w:rtl/>
        </w:rPr>
        <w:t xml:space="preserve"> </w:t>
      </w:r>
      <w:r w:rsidRPr="00AA5065">
        <w:rPr>
          <w:rFonts w:ascii="Calibri" w:eastAsia="Calibri" w:hAnsi="Calibri" w:hint="eastAsia"/>
          <w:sz w:val="24"/>
          <w:rtl/>
        </w:rPr>
        <w:t>היושבת</w:t>
      </w:r>
      <w:r w:rsidRPr="00AA5065">
        <w:rPr>
          <w:rFonts w:ascii="Calibri" w:eastAsia="Calibri" w:hAnsi="Calibri"/>
          <w:sz w:val="24"/>
          <w:rtl/>
        </w:rPr>
        <w:t xml:space="preserve"> </w:t>
      </w:r>
      <w:r w:rsidRPr="00AA5065">
        <w:rPr>
          <w:rFonts w:ascii="Calibri" w:eastAsia="Calibri" w:hAnsi="Calibri" w:hint="eastAsia"/>
          <w:sz w:val="24"/>
          <w:rtl/>
        </w:rPr>
        <w:t>לאורך</w:t>
      </w:r>
      <w:r w:rsidRPr="00AA5065">
        <w:rPr>
          <w:rFonts w:ascii="Calibri" w:eastAsia="Calibri" w:hAnsi="Calibri"/>
          <w:sz w:val="24"/>
          <w:rtl/>
        </w:rPr>
        <w:t xml:space="preserve"> </w:t>
      </w:r>
      <w:r w:rsidRPr="00AA5065">
        <w:rPr>
          <w:rFonts w:ascii="Calibri" w:eastAsia="Calibri" w:hAnsi="Calibri" w:hint="eastAsia"/>
          <w:sz w:val="24"/>
          <w:rtl/>
        </w:rPr>
        <w:t>כביש</w:t>
      </w:r>
      <w:r w:rsidRPr="00AA5065">
        <w:rPr>
          <w:rFonts w:ascii="Calibri" w:eastAsia="Calibri" w:hAnsi="Calibri"/>
          <w:sz w:val="24"/>
          <w:rtl/>
        </w:rPr>
        <w:t xml:space="preserve"> 40 </w:t>
      </w:r>
      <w:r w:rsidRPr="00AA5065">
        <w:rPr>
          <w:rFonts w:ascii="Calibri" w:eastAsia="Calibri" w:hAnsi="Calibri" w:hint="eastAsia"/>
          <w:sz w:val="24"/>
          <w:rtl/>
        </w:rPr>
        <w:t>באזור</w:t>
      </w:r>
      <w:r w:rsidRPr="00AA5065">
        <w:rPr>
          <w:rFonts w:ascii="Calibri" w:eastAsia="Calibri" w:hAnsi="Calibri"/>
          <w:sz w:val="24"/>
          <w:rtl/>
        </w:rPr>
        <w:t xml:space="preserve"> </w:t>
      </w:r>
      <w:r w:rsidRPr="00AA5065">
        <w:rPr>
          <w:rFonts w:ascii="Calibri" w:eastAsia="Calibri" w:hAnsi="Calibri" w:hint="eastAsia"/>
          <w:sz w:val="24"/>
          <w:rtl/>
        </w:rPr>
        <w:t>זה</w:t>
      </w:r>
      <w:r w:rsidRPr="00AA5065">
        <w:rPr>
          <w:rFonts w:ascii="Calibri" w:eastAsia="Calibri" w:hAnsi="Calibri"/>
          <w:sz w:val="24"/>
          <w:rtl/>
        </w:rPr>
        <w:t xml:space="preserve">, </w:t>
      </w:r>
      <w:r w:rsidRPr="00AA5065">
        <w:rPr>
          <w:rFonts w:ascii="Calibri" w:eastAsia="Calibri" w:hAnsi="Calibri" w:hint="eastAsia"/>
          <w:sz w:val="24"/>
          <w:rtl/>
        </w:rPr>
        <w:t>ושולחת</w:t>
      </w:r>
      <w:r w:rsidRPr="00AA5065">
        <w:rPr>
          <w:rFonts w:ascii="Calibri" w:eastAsia="Calibri" w:hAnsi="Calibri"/>
          <w:sz w:val="24"/>
          <w:rtl/>
        </w:rPr>
        <w:t xml:space="preserve"> </w:t>
      </w:r>
      <w:r w:rsidRPr="00AA5065">
        <w:rPr>
          <w:rFonts w:ascii="Calibri" w:eastAsia="Calibri" w:hAnsi="Calibri" w:hint="eastAsia"/>
          <w:sz w:val="24"/>
          <w:rtl/>
        </w:rPr>
        <w:t>את</w:t>
      </w:r>
      <w:r w:rsidRPr="00AA5065">
        <w:rPr>
          <w:rFonts w:ascii="Calibri" w:eastAsia="Calibri" w:hAnsi="Calibri"/>
          <w:sz w:val="24"/>
          <w:rtl/>
        </w:rPr>
        <w:t xml:space="preserve"> </w:t>
      </w:r>
      <w:r w:rsidRPr="00AA5065">
        <w:rPr>
          <w:rFonts w:ascii="Calibri" w:eastAsia="Calibri" w:hAnsi="Calibri" w:hint="eastAsia"/>
          <w:sz w:val="24"/>
          <w:rtl/>
        </w:rPr>
        <w:t>ילדיהם</w:t>
      </w:r>
      <w:r w:rsidRPr="00AA5065">
        <w:rPr>
          <w:rFonts w:ascii="Calibri" w:eastAsia="Calibri" w:hAnsi="Calibri"/>
          <w:sz w:val="24"/>
          <w:rtl/>
        </w:rPr>
        <w:t xml:space="preserve"> </w:t>
      </w:r>
      <w:r w:rsidRPr="00AA5065">
        <w:rPr>
          <w:rFonts w:ascii="Calibri" w:eastAsia="Calibri" w:hAnsi="Calibri" w:hint="eastAsia"/>
          <w:sz w:val="24"/>
          <w:rtl/>
        </w:rPr>
        <w:t>לבתי</w:t>
      </w:r>
      <w:r w:rsidRPr="00AA5065">
        <w:rPr>
          <w:rFonts w:ascii="Calibri" w:eastAsia="Calibri" w:hAnsi="Calibri"/>
          <w:sz w:val="24"/>
          <w:rtl/>
        </w:rPr>
        <w:t xml:space="preserve"> </w:t>
      </w:r>
      <w:r w:rsidRPr="00AA5065">
        <w:rPr>
          <w:rFonts w:ascii="Calibri" w:eastAsia="Calibri" w:hAnsi="Calibri" w:hint="eastAsia"/>
          <w:sz w:val="24"/>
          <w:rtl/>
        </w:rPr>
        <w:t>הספ</w:t>
      </w:r>
      <w:r w:rsidRPr="00AA5065">
        <w:rPr>
          <w:rFonts w:ascii="Calibri" w:eastAsia="Calibri" w:hAnsi="Calibri" w:hint="cs"/>
          <w:sz w:val="24"/>
          <w:rtl/>
        </w:rPr>
        <w:t>ר</w:t>
      </w:r>
      <w:r w:rsidRPr="00AA5065">
        <w:rPr>
          <w:rFonts w:ascii="Calibri" w:eastAsia="Calibri" w:hAnsi="Calibri"/>
          <w:sz w:val="24"/>
          <w:rtl/>
        </w:rPr>
        <w:t xml:space="preserve"> </w:t>
      </w:r>
      <w:r w:rsidRPr="00AA5065">
        <w:rPr>
          <w:rFonts w:ascii="Calibri" w:eastAsia="Calibri" w:hAnsi="Calibri" w:hint="eastAsia"/>
          <w:sz w:val="24"/>
          <w:rtl/>
        </w:rPr>
        <w:t>אלעזזמה</w:t>
      </w:r>
      <w:r w:rsidRPr="00AA5065">
        <w:rPr>
          <w:rFonts w:ascii="Calibri" w:eastAsia="Calibri" w:hAnsi="Calibri"/>
          <w:sz w:val="24"/>
          <w:rtl/>
        </w:rPr>
        <w:t xml:space="preserve"> </w:t>
      </w:r>
      <w:r w:rsidRPr="00AA5065">
        <w:rPr>
          <w:rFonts w:ascii="Calibri" w:eastAsia="Calibri" w:hAnsi="Calibri" w:hint="eastAsia"/>
          <w:sz w:val="24"/>
          <w:rtl/>
        </w:rPr>
        <w:t>א</w:t>
      </w:r>
      <w:r w:rsidRPr="00AA5065">
        <w:rPr>
          <w:rFonts w:ascii="Calibri" w:eastAsia="Calibri" w:hAnsi="Calibri"/>
          <w:sz w:val="24"/>
          <w:rtl/>
        </w:rPr>
        <w:t xml:space="preserve">'+ב', </w:t>
      </w:r>
      <w:r w:rsidRPr="00AA5065">
        <w:rPr>
          <w:rFonts w:ascii="Calibri" w:eastAsia="Calibri" w:hAnsi="Calibri" w:hint="eastAsia"/>
          <w:sz w:val="24"/>
          <w:rtl/>
        </w:rPr>
        <w:t>מסרבים</w:t>
      </w:r>
      <w:r w:rsidRPr="00AA5065">
        <w:rPr>
          <w:rFonts w:ascii="Calibri" w:eastAsia="Calibri" w:hAnsi="Calibri"/>
          <w:sz w:val="24"/>
          <w:rtl/>
        </w:rPr>
        <w:t xml:space="preserve"> </w:t>
      </w:r>
      <w:r w:rsidRPr="00AA5065">
        <w:rPr>
          <w:rFonts w:ascii="Calibri" w:eastAsia="Calibri" w:hAnsi="Calibri" w:hint="eastAsia"/>
          <w:sz w:val="24"/>
          <w:rtl/>
        </w:rPr>
        <w:t>להגיע</w:t>
      </w:r>
      <w:r w:rsidRPr="00AA5065">
        <w:rPr>
          <w:rFonts w:ascii="Calibri" w:eastAsia="Calibri" w:hAnsi="Calibri"/>
          <w:sz w:val="24"/>
          <w:rtl/>
        </w:rPr>
        <w:t xml:space="preserve"> </w:t>
      </w:r>
      <w:r w:rsidRPr="00AA5065">
        <w:rPr>
          <w:rFonts w:ascii="Calibri" w:eastAsia="Calibri" w:hAnsi="Calibri" w:hint="eastAsia"/>
          <w:sz w:val="24"/>
          <w:rtl/>
        </w:rPr>
        <w:t>לביה</w:t>
      </w:r>
      <w:r w:rsidRPr="00AA5065">
        <w:rPr>
          <w:rFonts w:ascii="Calibri" w:eastAsia="Calibri" w:hAnsi="Calibri"/>
          <w:sz w:val="24"/>
          <w:rtl/>
        </w:rPr>
        <w:t xml:space="preserve">"ס </w:t>
      </w:r>
      <w:r w:rsidRPr="00AA5065">
        <w:rPr>
          <w:rFonts w:ascii="Calibri" w:eastAsia="Calibri" w:hAnsi="Calibri" w:hint="eastAsia"/>
          <w:sz w:val="24"/>
          <w:rtl/>
        </w:rPr>
        <w:t>החדש</w:t>
      </w:r>
      <w:r w:rsidRPr="00AA5065">
        <w:rPr>
          <w:rFonts w:ascii="Calibri" w:eastAsia="Calibri" w:hAnsi="Calibri"/>
          <w:sz w:val="24"/>
          <w:rtl/>
        </w:rPr>
        <w:t>".</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בפגישה שהתקיימה ב-14.7.24 בין נציגי משרד מבקר המדינה לנציגי המשרד להג</w:t>
      </w:r>
      <w:r w:rsidRPr="00AA5065">
        <w:rPr>
          <w:rFonts w:eastAsia="Calibri"/>
          <w:rtl/>
        </w:rPr>
        <w:t>"</w:t>
      </w:r>
      <w:r w:rsidRPr="00AA5065">
        <w:rPr>
          <w:rFonts w:eastAsia="Calibri" w:hint="cs"/>
          <w:rtl/>
        </w:rPr>
        <w:t>ס מסרו הללו כי לגבי אירוע חומרים מסוכנים (חומ"ס) בוצעה עבודה שעדכנה את טווח המרחק הבטוח מ-5 ק"מ ל-4.8 ק"מ, ואילו לגבי מפגעים סביבתיים שבשגרה (ריח, זיהום אוויר) - הרי שהמשרד מבצע סקרים סביבתיים בסוגיות אלו ונמצא בקשר ובבירור מתמשך אל מול המפעלים עצמם, וכי בימים אלו מתגבש סקר סביבתי מקיף חדש.</w:t>
      </w:r>
    </w:p>
    <w:p w:rsidR="00AA5065" w:rsidRPr="00AA5065" w:rsidP="00860D89">
      <w:pPr>
        <w:spacing w:line="269" w:lineRule="auto"/>
        <w:ind w:left="-567"/>
        <w:rPr>
          <w:rFonts w:eastAsia="Calibri"/>
          <w:szCs w:val="20"/>
          <w:rtl/>
        </w:rPr>
      </w:pPr>
    </w:p>
    <w:p w:rsidR="00AA5065" w:rsidRPr="00AA5065" w:rsidP="000723B7">
      <w:pPr>
        <w:spacing w:after="120" w:line="269" w:lineRule="auto"/>
        <w:rPr>
          <w:rFonts w:eastAsia="Calibri"/>
          <w:b/>
          <w:bCs/>
          <w:rtl/>
        </w:rPr>
      </w:pPr>
      <w:r w:rsidRPr="00AA5065">
        <w:rPr>
          <w:rFonts w:eastAsia="Calibri" w:hint="cs"/>
          <w:b/>
          <w:bCs/>
          <w:rtl/>
        </w:rPr>
        <w:t>בביקורת הקודמת נמצא כי ה</w:t>
      </w:r>
      <w:r w:rsidRPr="00AA5065">
        <w:rPr>
          <w:rFonts w:eastAsia="Calibri"/>
          <w:b/>
          <w:bCs/>
          <w:rtl/>
        </w:rPr>
        <w:t xml:space="preserve">מרכז </w:t>
      </w:r>
      <w:r w:rsidRPr="00AA5065">
        <w:rPr>
          <w:rFonts w:eastAsia="Calibri" w:hint="cs"/>
          <w:b/>
          <w:bCs/>
          <w:rtl/>
        </w:rPr>
        <w:t>ה</w:t>
      </w:r>
      <w:r w:rsidRPr="00AA5065">
        <w:rPr>
          <w:rFonts w:eastAsia="Calibri"/>
          <w:b/>
          <w:bCs/>
          <w:rtl/>
        </w:rPr>
        <w:t xml:space="preserve">חינוכי </w:t>
      </w:r>
      <w:r w:rsidRPr="00AA5065">
        <w:rPr>
          <w:rFonts w:eastAsia="Calibri" w:hint="cs"/>
          <w:b/>
          <w:bCs/>
          <w:rtl/>
        </w:rPr>
        <w:t>ה</w:t>
      </w:r>
      <w:r w:rsidRPr="00AA5065">
        <w:rPr>
          <w:rFonts w:eastAsia="Calibri"/>
          <w:b/>
          <w:bCs/>
          <w:rtl/>
        </w:rPr>
        <w:t xml:space="preserve">גדול בתחום המועצה האזורית נווה מדבר </w:t>
      </w:r>
      <w:r w:rsidRPr="00AA5065">
        <w:rPr>
          <w:rFonts w:eastAsia="Calibri" w:hint="cs"/>
          <w:b/>
          <w:bCs/>
          <w:rtl/>
        </w:rPr>
        <w:t>ממוקם</w:t>
      </w:r>
      <w:r w:rsidRPr="00AA5065">
        <w:rPr>
          <w:rFonts w:eastAsia="Calibri"/>
          <w:b/>
          <w:bCs/>
          <w:rtl/>
        </w:rPr>
        <w:t xml:space="preserve"> בקרב</w:t>
      </w:r>
      <w:r w:rsidRPr="00AA5065">
        <w:rPr>
          <w:rFonts w:eastAsia="Calibri" w:hint="cs"/>
          <w:b/>
          <w:bCs/>
          <w:rtl/>
        </w:rPr>
        <w:t>ת</w:t>
      </w:r>
      <w:r w:rsidRPr="00AA5065">
        <w:rPr>
          <w:rFonts w:eastAsia="Calibri"/>
          <w:b/>
          <w:bCs/>
          <w:rtl/>
        </w:rPr>
        <w:t xml:space="preserve"> נאות חובב. </w:t>
      </w:r>
      <w:r w:rsidRPr="00AA5065">
        <w:rPr>
          <w:rFonts w:eastAsia="Calibri" w:hint="cs"/>
          <w:b/>
          <w:bCs/>
          <w:rtl/>
        </w:rPr>
        <w:t>בביקורת המעקב נמצא כי הליקוי לא תוקן; בתי הספר וגני הילדים המדוברים עדיין ממוקמים במיקומם הקודם, והם טרם הורחקו מהטווח של המרחק המזערי, 4.8 קילומטר, הנדרש מנאות חובב.</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jc w:val="center"/>
        <w:rPr>
          <w:rFonts w:eastAsia="Calibri"/>
          <w:b/>
          <w:bCs/>
          <w:rtl/>
        </w:rPr>
      </w:pPr>
      <w:r w:rsidRPr="00AA5065">
        <w:rPr>
          <w:rFonts w:eastAsia="Calibri" w:hint="cs"/>
          <w:b/>
          <w:bCs/>
          <w:rtl/>
        </w:rPr>
        <w:t>מידת תיקון הליקוי</w:t>
      </w:r>
    </w:p>
    <w:p w:rsidR="00AA5065" w:rsidRPr="00AA5065" w:rsidP="00860D89">
      <w:pPr>
        <w:spacing w:line="269" w:lineRule="auto"/>
        <w:rPr>
          <w:rFonts w:eastAsia="Calibri"/>
          <w:rtl/>
        </w:rPr>
      </w:pPr>
      <w:r w:rsidRPr="00AA5065">
        <w:rPr>
          <w:rFonts w:eastAsia="Calibri"/>
          <w:noProof/>
        </w:rPr>
        <w:drawing>
          <wp:anchor distT="0" distB="0" distL="114300" distR="114300" simplePos="0" relativeHeight="251660288" behindDoc="1" locked="0" layoutInCell="1" allowOverlap="1">
            <wp:simplePos x="0" y="0"/>
            <wp:positionH relativeFrom="column">
              <wp:posOffset>882650</wp:posOffset>
            </wp:positionH>
            <wp:positionV relativeFrom="paragraph">
              <wp:posOffset>-635</wp:posOffset>
            </wp:positionV>
            <wp:extent cx="3422650" cy="933450"/>
            <wp:effectExtent l="0" t="0" r="6350" b="0"/>
            <wp:wrapNone/>
            <wp:docPr id="42" name="תמונה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265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065" w:rsidRPr="00AA5065" w:rsidP="00860D89">
      <w:pPr>
        <w:spacing w:line="269" w:lineRule="auto"/>
        <w:rPr>
          <w:rFonts w:eastAsia="Calibri"/>
          <w:rtl/>
        </w:rPr>
      </w:pP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p>
    <w:p w:rsidR="00AA5065" w:rsidRPr="00AA5065" w:rsidP="00860D89">
      <w:pPr>
        <w:spacing w:line="269" w:lineRule="auto"/>
        <w:rPr>
          <w:rFonts w:eastAsia="Calibri"/>
          <w:b/>
          <w:bCs/>
          <w:rtl/>
        </w:rPr>
      </w:pPr>
    </w:p>
    <w:p w:rsidR="00AA5065" w:rsidRPr="00AA5065" w:rsidP="00E07D80">
      <w:pPr>
        <w:spacing w:after="120" w:line="269" w:lineRule="auto"/>
        <w:rPr>
          <w:rFonts w:eastAsia="Calibri"/>
          <w:b/>
          <w:bCs/>
          <w:rtl/>
        </w:rPr>
      </w:pPr>
    </w:p>
    <w:p w:rsidR="00AA5065" w:rsidRPr="00AA5065" w:rsidP="00860D89">
      <w:pPr>
        <w:spacing w:line="269" w:lineRule="auto"/>
        <w:rPr>
          <w:rFonts w:eastAsia="Calibri"/>
          <w:b/>
          <w:bCs/>
          <w:rtl/>
        </w:rPr>
      </w:pPr>
      <w:r w:rsidRPr="00AA5065">
        <w:rPr>
          <w:rFonts w:eastAsia="Calibri" w:hint="eastAsia"/>
          <w:b/>
          <w:bCs/>
          <w:rtl/>
        </w:rPr>
        <w:t>מ</w:t>
      </w:r>
      <w:r w:rsidRPr="00AA5065">
        <w:rPr>
          <w:rFonts w:eastAsia="Calibri"/>
          <w:b/>
          <w:bCs/>
          <w:rtl/>
        </w:rPr>
        <w:t>ומלץ כי משרד החינוך, בשיתוף המועצה האזורית נווה מדבר, יפעלו להעתקת התלמידים לבתי ספר אחרים המצויים מחוץ לטווח הסיכון</w:t>
      </w:r>
      <w:r w:rsidRPr="00AA5065">
        <w:rPr>
          <w:rFonts w:eastAsia="Calibri" w:hint="cs"/>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ascii="Calibri" w:eastAsia="Calibri" w:hAnsi="Calibri" w:hint="cs"/>
          <w:sz w:val="24"/>
          <w:rtl/>
        </w:rPr>
        <w:t xml:space="preserve">משרד החינוך מסר בתשובתו מיום 20.10.25 (להלן - תשובת משרד החינוך) </w:t>
      </w:r>
      <w:r w:rsidRPr="00AA5065">
        <w:rPr>
          <w:rFonts w:eastAsia="Calibri" w:hint="eastAsia"/>
          <w:rtl/>
        </w:rPr>
        <w:t>כי</w:t>
      </w:r>
      <w:r w:rsidRPr="00AA5065">
        <w:rPr>
          <w:rFonts w:eastAsia="Calibri"/>
          <w:rtl/>
        </w:rPr>
        <w:t xml:space="preserve"> "המשרד מעודד את מועצה אזורית נווה מדבר לקדם את פינוי ואדי אלנעם לצד בניית מבנה קבע</w:t>
      </w:r>
      <w:r w:rsidRPr="00AA5065">
        <w:rPr>
          <w:rFonts w:eastAsia="Calibri" w:cs="Times New Roman"/>
          <w:rtl/>
          <w:lang w:bidi="ar-SA"/>
        </w:rPr>
        <w:t>.</w:t>
      </w:r>
      <w:r w:rsidRPr="00AA5065">
        <w:rPr>
          <w:rFonts w:eastAsia="Calibri" w:hint="cs"/>
          <w:rtl/>
        </w:rPr>
        <w:t xml:space="preserve"> </w:t>
      </w:r>
      <w:r w:rsidRPr="00AA5065">
        <w:rPr>
          <w:rFonts w:eastAsia="Calibri"/>
          <w:rtl/>
        </w:rPr>
        <w:t xml:space="preserve">עד </w:t>
      </w:r>
      <w:r w:rsidRPr="00AA5065">
        <w:rPr>
          <w:rFonts w:eastAsia="Calibri" w:hint="eastAsia"/>
          <w:rtl/>
        </w:rPr>
        <w:t>כה</w:t>
      </w:r>
      <w:r w:rsidRPr="00AA5065">
        <w:rPr>
          <w:rFonts w:eastAsia="Calibri"/>
          <w:rtl/>
        </w:rPr>
        <w:t xml:space="preserve"> הוק</w:t>
      </w:r>
      <w:r w:rsidRPr="00AA5065">
        <w:rPr>
          <w:rFonts w:eastAsia="Calibri" w:hint="eastAsia"/>
          <w:rtl/>
        </w:rPr>
        <w:t>מו</w:t>
      </w:r>
      <w:r w:rsidRPr="00AA5065">
        <w:rPr>
          <w:rFonts w:eastAsia="Calibri"/>
          <w:rtl/>
        </w:rPr>
        <w:t xml:space="preserve"> בא</w:t>
      </w:r>
      <w:r w:rsidRPr="00AA5065">
        <w:rPr>
          <w:rFonts w:eastAsia="Calibri" w:hint="cs"/>
          <w:rtl/>
        </w:rPr>
        <w:t>זו</w:t>
      </w:r>
      <w:r w:rsidRPr="00AA5065">
        <w:rPr>
          <w:rFonts w:eastAsia="Calibri"/>
          <w:rtl/>
        </w:rPr>
        <w:t>ר החדש והמאושר ביה</w:t>
      </w:r>
      <w:r w:rsidRPr="00AA5065">
        <w:rPr>
          <w:rFonts w:eastAsia="Calibri" w:cs="Times New Roman"/>
          <w:rtl/>
          <w:lang w:bidi="ar-SA"/>
        </w:rPr>
        <w:t>"</w:t>
      </w:r>
      <w:r w:rsidRPr="00AA5065">
        <w:rPr>
          <w:rFonts w:eastAsia="Calibri"/>
          <w:rtl/>
        </w:rPr>
        <w:t xml:space="preserve">ס תיכון ארבע שנתי </w:t>
      </w:r>
      <w:r w:rsidRPr="00AA5065">
        <w:rPr>
          <w:rFonts w:eastAsia="Calibri" w:hint="eastAsia"/>
          <w:rtl/>
        </w:rPr>
        <w:t>ו</w:t>
      </w:r>
      <w:r w:rsidRPr="00AA5065">
        <w:rPr>
          <w:rFonts w:eastAsia="Calibri"/>
          <w:rtl/>
        </w:rPr>
        <w:t>אשכול גנים במבנים יבילים</w:t>
      </w:r>
      <w:r w:rsidRPr="00AA5065">
        <w:rPr>
          <w:rFonts w:eastAsia="Calibri" w:cs="Times New Roman"/>
          <w:rtl/>
          <w:lang w:bidi="ar-SA"/>
        </w:rPr>
        <w:t xml:space="preserve">, </w:t>
      </w:r>
      <w:r w:rsidRPr="00AA5065">
        <w:rPr>
          <w:rFonts w:eastAsia="Calibri"/>
          <w:rtl/>
        </w:rPr>
        <w:t>לצד תכנון הקמת ביה</w:t>
      </w:r>
      <w:r w:rsidRPr="00AA5065">
        <w:rPr>
          <w:rFonts w:eastAsia="Calibri" w:cs="Times New Roman"/>
          <w:rtl/>
          <w:lang w:bidi="ar-SA"/>
        </w:rPr>
        <w:t>"</w:t>
      </w:r>
      <w:r w:rsidRPr="00AA5065">
        <w:rPr>
          <w:rFonts w:eastAsia="Calibri"/>
          <w:rtl/>
        </w:rPr>
        <w:t>ס יסודי וביה</w:t>
      </w:r>
      <w:r w:rsidRPr="00AA5065">
        <w:rPr>
          <w:rFonts w:eastAsia="Calibri" w:cs="Times New Roman"/>
          <w:rtl/>
          <w:lang w:bidi="ar-SA"/>
        </w:rPr>
        <w:t>"</w:t>
      </w:r>
      <w:r w:rsidRPr="00AA5065">
        <w:rPr>
          <w:rFonts w:eastAsia="Calibri"/>
          <w:rtl/>
        </w:rPr>
        <w:t>ס תיכון במבנה קבע</w:t>
      </w:r>
      <w:r w:rsidRPr="00AA5065">
        <w:rPr>
          <w:rFonts w:eastAsia="Calibri" w:cs="Times New Roman"/>
          <w:rtl/>
          <w:lang w:bidi="ar-SA"/>
        </w:rPr>
        <w:t>.</w:t>
      </w:r>
      <w:r w:rsidRPr="00AA5065">
        <w:rPr>
          <w:rFonts w:eastAsia="Calibri" w:hint="cs"/>
          <w:rtl/>
        </w:rPr>
        <w:t xml:space="preserve"> </w:t>
      </w:r>
      <w:r w:rsidRPr="00AA5065">
        <w:rPr>
          <w:rFonts w:eastAsia="Calibri"/>
          <w:rtl/>
        </w:rPr>
        <w:t>יודגש כי במקביל המשרד פועל לקידום התקשרות עם חברה ממשלתית על מנת שזו תבנה את מוסדות החינוך במועצות נווה מדבר ואלקסום</w:t>
      </w:r>
      <w:r w:rsidRPr="00AA5065">
        <w:rPr>
          <w:rFonts w:eastAsia="Calibri" w:cs="Times New Roman"/>
          <w:rtl/>
          <w:lang w:bidi="ar-SA"/>
        </w:rPr>
        <w:t xml:space="preserve">. </w:t>
      </w:r>
      <w:r w:rsidRPr="00AA5065">
        <w:rPr>
          <w:rFonts w:eastAsia="Calibri"/>
          <w:rtl/>
        </w:rPr>
        <w:t>מהלך כזה יאפשר להאיץ את בניית מוס</w:t>
      </w:r>
      <w:r w:rsidRPr="00AA5065">
        <w:rPr>
          <w:rFonts w:eastAsia="Calibri" w:cs="Times New Roman"/>
          <w:rtl/>
          <w:lang w:bidi="ar-SA"/>
        </w:rPr>
        <w:t>"</w:t>
      </w:r>
      <w:r w:rsidRPr="00AA5065">
        <w:rPr>
          <w:rFonts w:eastAsia="Calibri"/>
          <w:rtl/>
        </w:rPr>
        <w:t>ח בכלל ועבור ואדי אלנעם בפרט</w:t>
      </w:r>
      <w:r w:rsidRPr="00AA5065">
        <w:rPr>
          <w:rFonts w:eastAsia="Calibri" w:hint="cs"/>
          <w:rtl/>
        </w:rPr>
        <w:t>"</w:t>
      </w:r>
      <w:r w:rsidRPr="00AA5065">
        <w:rPr>
          <w:rFonts w:eastAsia="Calibri" w:cs="Times New Roman"/>
          <w:rtl/>
          <w:lang w:bidi="ar-SA"/>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הרשות לפיתוח והתיישבות הבדואים בנגב מסרה ב-10.2.26 כי היא "</w:t>
      </w:r>
      <w:r w:rsidRPr="00AA5065">
        <w:rPr>
          <w:rFonts w:eastAsia="Calibri"/>
          <w:rtl/>
        </w:rPr>
        <w:t>יזמה, קידמה והביאה לאישור את תכנית 699-0716530 מתחם למוסדות חינוך בואדי אל נעם, הממוקם מחוץ לתחום המגבלות הסביבתיות ובדרום היישוב.</w:t>
      </w:r>
      <w:r w:rsidRPr="00AA5065">
        <w:rPr>
          <w:rFonts w:eastAsia="Calibri" w:hint="cs"/>
          <w:rtl/>
        </w:rPr>
        <w:t xml:space="preserve"> </w:t>
      </w:r>
      <w:r w:rsidRPr="00AA5065">
        <w:rPr>
          <w:rFonts w:eastAsia="Calibri"/>
          <w:rtl/>
        </w:rPr>
        <w:t>התוכנית מאפשרת הקמת מבני ציבור בבניית קבע עבור בית ספר תיכון, יסודי ושש כיתות גן ומעונות יום. התכנית אושרה בשנת 2021 והרשות השלימה את ביצוע כביש הגישה למתחם</w:t>
      </w:r>
      <w:r w:rsidRPr="00AA5065">
        <w:rPr>
          <w:rFonts w:eastAsia="Calibri" w:hint="cs"/>
          <w:rtl/>
        </w:rPr>
        <w:t>"</w:t>
      </w:r>
      <w:r w:rsidRPr="00AA5065">
        <w:rPr>
          <w:rFonts w:eastAsia="Calibri"/>
          <w:rtl/>
        </w:rPr>
        <w:t>.</w:t>
      </w:r>
    </w:p>
    <w:p w:rsidR="00AA5065" w:rsidRPr="00AA5065" w:rsidP="00860D89">
      <w:pPr>
        <w:spacing w:line="269" w:lineRule="auto"/>
        <w:rPr>
          <w:rFonts w:eastAsia="Calibri"/>
          <w:rtl/>
        </w:rPr>
      </w:pPr>
    </w:p>
    <w:p w:rsidR="00E07D80" w:rsidRPr="00E07D80">
      <w:pPr>
        <w:bidi w:val="0"/>
        <w:spacing w:after="200" w:line="276" w:lineRule="auto"/>
        <w:rPr>
          <w:rFonts w:eastAsia="Times New Roman"/>
          <w:bCs/>
          <w:szCs w:val="28"/>
          <w:rtl/>
        </w:rPr>
      </w:pPr>
      <w:r w:rsidRPr="00E07D80">
        <w:rPr>
          <w:rFonts w:eastAsia="Times New Roman"/>
          <w:bCs/>
          <w:szCs w:val="28"/>
          <w:rtl/>
        </w:rPr>
        <w:br w:type="page"/>
      </w:r>
    </w:p>
    <w:p w:rsidR="00AA5065" w:rsidRPr="00AA5065" w:rsidP="00860D89">
      <w:pPr>
        <w:keepNext/>
        <w:keepLines/>
        <w:spacing w:line="269" w:lineRule="auto"/>
        <w:outlineLvl w:val="2"/>
        <w:rPr>
          <w:rFonts w:eastAsia="Times New Roman"/>
          <w:bCs/>
          <w:szCs w:val="28"/>
          <w:u w:val="single"/>
          <w:rtl/>
        </w:rPr>
      </w:pPr>
      <w:r w:rsidRPr="00AA5065">
        <w:rPr>
          <w:rFonts w:eastAsia="Times New Roman" w:hint="cs"/>
          <w:bCs/>
          <w:szCs w:val="28"/>
          <w:u w:val="single"/>
          <w:rtl/>
        </w:rPr>
        <w:t>ה</w:t>
      </w:r>
      <w:r w:rsidRPr="00AA5065">
        <w:rPr>
          <w:rFonts w:eastAsia="Times New Roman"/>
          <w:bCs/>
          <w:szCs w:val="28"/>
          <w:u w:val="single"/>
          <w:rtl/>
        </w:rPr>
        <w:t>שמירה על ב</w:t>
      </w:r>
      <w:r w:rsidRPr="00AA5065">
        <w:rPr>
          <w:rFonts w:eastAsia="Times New Roman" w:hint="cs"/>
          <w:bCs/>
          <w:szCs w:val="28"/>
          <w:u w:val="single"/>
          <w:rtl/>
        </w:rPr>
        <w:t>י</w:t>
      </w:r>
      <w:r w:rsidRPr="00AA5065">
        <w:rPr>
          <w:rFonts w:eastAsia="Times New Roman"/>
          <w:bCs/>
          <w:szCs w:val="28"/>
          <w:u w:val="single"/>
          <w:rtl/>
        </w:rPr>
        <w:t>טחון הנפש</w:t>
      </w:r>
      <w:r w:rsidRPr="00AA5065">
        <w:rPr>
          <w:rFonts w:eastAsia="Times New Roman" w:hint="cs"/>
          <w:bCs/>
          <w:szCs w:val="28"/>
          <w:u w:val="single"/>
          <w:rtl/>
        </w:rPr>
        <w:t>,</w:t>
      </w:r>
      <w:r w:rsidRPr="00AA5065">
        <w:rPr>
          <w:rFonts w:eastAsia="Times New Roman"/>
          <w:bCs/>
          <w:szCs w:val="28"/>
          <w:u w:val="single"/>
          <w:rtl/>
        </w:rPr>
        <w:t xml:space="preserve"> הרכוש והסדר הציבורי</w:t>
      </w:r>
    </w:p>
    <w:p w:rsidR="00AA5065" w:rsidRPr="00AA5065" w:rsidP="00860D89">
      <w:pPr>
        <w:spacing w:line="269" w:lineRule="auto"/>
        <w:rPr>
          <w:rFonts w:eastAsia="Calibri"/>
          <w:rtl/>
        </w:rPr>
      </w:pPr>
    </w:p>
    <w:p w:rsidR="00AA5065" w:rsidRPr="00AA5065" w:rsidP="00860D89">
      <w:pPr>
        <w:keepNext/>
        <w:keepLines/>
        <w:spacing w:line="269" w:lineRule="auto"/>
        <w:outlineLvl w:val="3"/>
        <w:rPr>
          <w:rFonts w:eastAsia="Times New Roman"/>
          <w:bCs/>
          <w:szCs w:val="26"/>
          <w:rtl/>
        </w:rPr>
      </w:pPr>
      <w:r w:rsidRPr="00AA5065">
        <w:rPr>
          <w:rFonts w:eastAsia="Times New Roman"/>
          <w:bCs/>
          <w:szCs w:val="26"/>
          <w:rtl/>
        </w:rPr>
        <w:t>הקמת תחנות משטרה ביישובי הבדואים בנגב</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bookmarkStart w:id="74" w:name="_Hlk191981173"/>
      <w:r w:rsidRPr="00AA5065">
        <w:rPr>
          <w:rFonts w:ascii="David" w:eastAsia="Calibri" w:hAnsi="David"/>
          <w:rtl/>
        </w:rPr>
        <w:t>משטר</w:t>
      </w:r>
      <w:r w:rsidRPr="00AA5065">
        <w:rPr>
          <w:rFonts w:ascii="David" w:eastAsia="Calibri" w:hAnsi="David" w:hint="cs"/>
          <w:rtl/>
        </w:rPr>
        <w:t>ת</w:t>
      </w:r>
      <w:r w:rsidRPr="00AA5065">
        <w:rPr>
          <w:rFonts w:ascii="David" w:eastAsia="Calibri" w:hAnsi="David"/>
          <w:rtl/>
        </w:rPr>
        <w:t xml:space="preserve"> ישראל היא הגוף האחראי לאכיפת החוק, </w:t>
      </w:r>
      <w:r w:rsidRPr="00AA5065">
        <w:rPr>
          <w:rFonts w:ascii="David" w:eastAsia="Calibri" w:hAnsi="David" w:hint="cs"/>
          <w:rtl/>
        </w:rPr>
        <w:t>ל</w:t>
      </w:r>
      <w:r w:rsidRPr="00AA5065">
        <w:rPr>
          <w:rFonts w:ascii="David" w:eastAsia="Calibri" w:hAnsi="David"/>
          <w:rtl/>
        </w:rPr>
        <w:t>שמירה על הסדר הציבורי ולמאבק בפשיעה. פעילותה היעילה והאפקטיבית של המשטרה חיונית לחיזוק המשילות במדינה, הן בהפחתת רמות הפשיעה, אי</w:t>
      </w:r>
      <w:r w:rsidRPr="00AA5065">
        <w:rPr>
          <w:rFonts w:ascii="David" w:eastAsia="Calibri" w:hAnsi="David" w:hint="cs"/>
          <w:rtl/>
        </w:rPr>
        <w:t>-</w:t>
      </w:r>
      <w:r w:rsidRPr="00AA5065">
        <w:rPr>
          <w:rFonts w:ascii="David" w:eastAsia="Calibri" w:hAnsi="David"/>
          <w:rtl/>
        </w:rPr>
        <w:t xml:space="preserve">הסדר והעבירות על החוק, והן ביצירת הרתעה בקרב גורמים פליליים. </w:t>
      </w:r>
      <w:r w:rsidRPr="00AA5065">
        <w:rPr>
          <w:rFonts w:ascii="David" w:eastAsia="Calibri" w:hAnsi="David" w:hint="cs"/>
          <w:rtl/>
        </w:rPr>
        <w:t xml:space="preserve">באמצעות </w:t>
      </w:r>
      <w:r w:rsidRPr="00AA5065">
        <w:rPr>
          <w:rFonts w:ascii="David" w:eastAsia="Calibri" w:hAnsi="David"/>
          <w:rtl/>
        </w:rPr>
        <w:t xml:space="preserve">תחנות המשטרה </w:t>
      </w:r>
      <w:r w:rsidRPr="00AA5065">
        <w:rPr>
          <w:rFonts w:ascii="David" w:eastAsia="Calibri" w:hAnsi="David" w:hint="cs"/>
          <w:rtl/>
        </w:rPr>
        <w:t>מתבצעות</w:t>
      </w:r>
      <w:r w:rsidRPr="00AA5065">
        <w:rPr>
          <w:rFonts w:ascii="David" w:eastAsia="Calibri" w:hAnsi="David"/>
          <w:rtl/>
        </w:rPr>
        <w:t xml:space="preserve"> </w:t>
      </w:r>
      <w:r w:rsidRPr="00AA5065">
        <w:rPr>
          <w:rFonts w:ascii="David" w:eastAsia="Calibri" w:hAnsi="David" w:hint="cs"/>
          <w:rtl/>
        </w:rPr>
        <w:t xml:space="preserve">רוב </w:t>
      </w:r>
      <w:r w:rsidRPr="00AA5065">
        <w:rPr>
          <w:rFonts w:ascii="David" w:eastAsia="Calibri" w:hAnsi="David"/>
          <w:rtl/>
        </w:rPr>
        <w:t>פעילויות השיטור וה</w:t>
      </w:r>
      <w:r w:rsidRPr="00AA5065">
        <w:rPr>
          <w:rFonts w:ascii="David" w:eastAsia="Calibri" w:hAnsi="David" w:hint="cs"/>
          <w:rtl/>
        </w:rPr>
        <w:t xml:space="preserve">אכיפה </w:t>
      </w:r>
      <w:r w:rsidRPr="00AA5065">
        <w:rPr>
          <w:rFonts w:ascii="David" w:eastAsia="Calibri" w:hAnsi="David"/>
          <w:rtl/>
        </w:rPr>
        <w:t>המשמעותיות מול האזרח.</w:t>
      </w:r>
    </w:p>
    <w:p w:rsidR="00AA5065" w:rsidRPr="00AA5065" w:rsidP="00860D89">
      <w:pPr>
        <w:spacing w:line="269" w:lineRule="auto"/>
        <w:ind w:left="-567"/>
        <w:rPr>
          <w:rFonts w:eastAsia="Calibri"/>
          <w:szCs w:val="20"/>
          <w:rtl/>
        </w:rPr>
      </w:pPr>
    </w:p>
    <w:p w:rsidR="00AA5065" w:rsidRPr="00AA5065" w:rsidP="00860D89">
      <w:pPr>
        <w:spacing w:line="269" w:lineRule="auto"/>
        <w:ind w:left="-2"/>
        <w:rPr>
          <w:rFonts w:ascii="David" w:eastAsia="Calibri" w:hAnsi="David"/>
          <w:rtl/>
        </w:rPr>
      </w:pPr>
      <w:r w:rsidRPr="00AA5065">
        <w:rPr>
          <w:rFonts w:ascii="David" w:eastAsia="Calibri" w:hAnsi="David"/>
          <w:rtl/>
        </w:rPr>
        <w:t>מרחב נגב חולש על שטח המהווה כ-60% משטח מדינת ישראל, מ</w:t>
      </w:r>
      <w:r w:rsidRPr="00AA5065">
        <w:rPr>
          <w:rFonts w:ascii="David" w:eastAsia="Calibri" w:hAnsi="David" w:hint="cs"/>
          <w:rtl/>
        </w:rPr>
        <w:t>הקילומטר</w:t>
      </w:r>
      <w:r w:rsidRPr="00AA5065">
        <w:rPr>
          <w:rFonts w:ascii="David" w:eastAsia="Calibri" w:hAnsi="David"/>
          <w:rtl/>
        </w:rPr>
        <w:t xml:space="preserve"> </w:t>
      </w:r>
      <w:r w:rsidRPr="00AA5065">
        <w:rPr>
          <w:rFonts w:ascii="David" w:eastAsia="Calibri" w:hAnsi="David" w:hint="cs"/>
          <w:rtl/>
        </w:rPr>
        <w:t>ה-</w:t>
      </w:r>
      <w:r w:rsidRPr="00AA5065">
        <w:rPr>
          <w:rFonts w:ascii="David" w:eastAsia="Calibri" w:hAnsi="David"/>
          <w:rtl/>
        </w:rPr>
        <w:t xml:space="preserve">101 בדרום </w:t>
      </w:r>
      <w:r w:rsidRPr="00AA5065">
        <w:rPr>
          <w:rFonts w:ascii="David" w:eastAsia="Calibri" w:hAnsi="David" w:hint="cs"/>
          <w:rtl/>
        </w:rPr>
        <w:t>ועד</w:t>
      </w:r>
      <w:r w:rsidRPr="00AA5065">
        <w:rPr>
          <w:rFonts w:ascii="David" w:eastAsia="Calibri" w:hAnsi="David"/>
          <w:rtl/>
        </w:rPr>
        <w:t xml:space="preserve"> ים המלח במזרח והעיר נתיבות בצפון מערב.</w:t>
      </w:r>
      <w:r w:rsidRPr="00AA5065">
        <w:rPr>
          <w:rFonts w:ascii="David" w:eastAsia="Calibri" w:hAnsi="David" w:hint="cs"/>
          <w:rtl/>
        </w:rPr>
        <w:t xml:space="preserve"> ה</w:t>
      </w:r>
      <w:r w:rsidRPr="00AA5065">
        <w:rPr>
          <w:rFonts w:ascii="David" w:eastAsia="Calibri" w:hAnsi="David"/>
          <w:rtl/>
        </w:rPr>
        <w:t>משטר</w:t>
      </w:r>
      <w:r w:rsidRPr="00AA5065">
        <w:rPr>
          <w:rFonts w:ascii="David" w:eastAsia="Calibri" w:hAnsi="David" w:hint="cs"/>
          <w:rtl/>
        </w:rPr>
        <w:t>ה</w:t>
      </w:r>
      <w:r w:rsidRPr="00AA5065">
        <w:rPr>
          <w:rFonts w:ascii="David" w:eastAsia="Calibri" w:hAnsi="David"/>
          <w:rtl/>
        </w:rPr>
        <w:t xml:space="preserve"> מפעילה במרחב נגב את היחידות ה</w:t>
      </w:r>
      <w:r w:rsidRPr="00AA5065">
        <w:rPr>
          <w:rFonts w:ascii="David" w:eastAsia="Calibri" w:hAnsi="David" w:hint="cs"/>
          <w:rtl/>
        </w:rPr>
        <w:t>אלה</w:t>
      </w:r>
      <w:r w:rsidRPr="00AA5065">
        <w:rPr>
          <w:rFonts w:ascii="David" w:eastAsia="Calibri" w:hAnsi="David"/>
          <w:rtl/>
        </w:rPr>
        <w:t xml:space="preserve">: (א) </w:t>
      </w:r>
      <w:r w:rsidRPr="00AA5065">
        <w:rPr>
          <w:rFonts w:ascii="David" w:eastAsia="Calibri" w:hAnsi="David" w:hint="cs"/>
          <w:rtl/>
        </w:rPr>
        <w:t>תשע</w:t>
      </w:r>
      <w:r w:rsidRPr="00AA5065">
        <w:rPr>
          <w:rFonts w:ascii="David" w:eastAsia="Calibri" w:hAnsi="David"/>
          <w:rtl/>
        </w:rPr>
        <w:t xml:space="preserve"> תחנות משטרה: באר שבע, דימונה, ערד, עיירות, רהט, ערוער</w:t>
      </w:r>
      <w:r w:rsidRPr="00AA5065">
        <w:rPr>
          <w:rFonts w:ascii="David" w:eastAsia="Calibri" w:hAnsi="David" w:hint="cs"/>
          <w:rtl/>
        </w:rPr>
        <w:t xml:space="preserve"> (ערערה בנגב)</w:t>
      </w:r>
      <w:r w:rsidRPr="00AA5065">
        <w:rPr>
          <w:rFonts w:ascii="David" w:eastAsia="Calibri" w:hAnsi="David"/>
          <w:rtl/>
        </w:rPr>
        <w:t>, אופקים</w:t>
      </w:r>
      <w:r w:rsidRPr="00AA5065">
        <w:rPr>
          <w:rFonts w:ascii="David" w:eastAsia="Calibri" w:hAnsi="David" w:hint="cs"/>
          <w:rtl/>
        </w:rPr>
        <w:t>,</w:t>
      </w:r>
      <w:r w:rsidRPr="00AA5065">
        <w:rPr>
          <w:rFonts w:ascii="David" w:eastAsia="Calibri" w:hAnsi="David"/>
          <w:rtl/>
        </w:rPr>
        <w:t xml:space="preserve"> נתיבות</w:t>
      </w:r>
      <w:r w:rsidRPr="00AA5065">
        <w:rPr>
          <w:rFonts w:ascii="David" w:eastAsia="Calibri" w:hAnsi="David" w:hint="cs"/>
          <w:rtl/>
        </w:rPr>
        <w:t xml:space="preserve"> ושגב שלום</w:t>
      </w:r>
      <w:r w:rsidRPr="00AA5065">
        <w:rPr>
          <w:rFonts w:ascii="David" w:eastAsia="Calibri" w:hAnsi="David"/>
          <w:rtl/>
        </w:rPr>
        <w:t xml:space="preserve">; (ב) </w:t>
      </w:r>
      <w:r w:rsidRPr="00AA5065">
        <w:rPr>
          <w:rFonts w:ascii="David" w:eastAsia="Calibri" w:hAnsi="David" w:hint="cs"/>
          <w:rtl/>
        </w:rPr>
        <w:t>חמש</w:t>
      </w:r>
      <w:r w:rsidRPr="00AA5065">
        <w:rPr>
          <w:rFonts w:ascii="David" w:eastAsia="Calibri" w:hAnsi="David"/>
          <w:rtl/>
        </w:rPr>
        <w:t xml:space="preserve"> נקודות משטרה: ביר הדאג'</w:t>
      </w:r>
      <w:r w:rsidRPr="00AA5065">
        <w:rPr>
          <w:rFonts w:ascii="David" w:eastAsia="Calibri" w:hAnsi="David" w:hint="cs"/>
          <w:rtl/>
        </w:rPr>
        <w:t xml:space="preserve">, </w:t>
      </w:r>
      <w:r w:rsidRPr="00AA5065">
        <w:rPr>
          <w:rFonts w:ascii="David" w:eastAsia="Calibri" w:hAnsi="David"/>
          <w:rtl/>
        </w:rPr>
        <w:t>תל שבע</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 xml:space="preserve">מצפה רמון, ירוחם וים המלח; </w:t>
      </w:r>
      <w:r w:rsidRPr="00AA5065">
        <w:rPr>
          <w:rFonts w:ascii="David" w:eastAsia="Calibri" w:hAnsi="David"/>
          <w:rtl/>
        </w:rPr>
        <w:t xml:space="preserve">(ג) </w:t>
      </w:r>
      <w:r w:rsidRPr="00AA5065">
        <w:rPr>
          <w:rFonts w:ascii="David" w:eastAsia="Calibri" w:hAnsi="David" w:hint="cs"/>
          <w:rtl/>
        </w:rPr>
        <w:t>שלוש</w:t>
      </w:r>
      <w:r w:rsidRPr="00AA5065">
        <w:rPr>
          <w:rFonts w:ascii="David" w:eastAsia="Calibri" w:hAnsi="David"/>
          <w:rtl/>
        </w:rPr>
        <w:t xml:space="preserve"> יחידות מיוחדות: היחידה המרכזית (ימ"ר)</w:t>
      </w:r>
      <w:r w:rsidRPr="00AA5065">
        <w:rPr>
          <w:rFonts w:ascii="David" w:eastAsia="Calibri" w:hAnsi="David" w:hint="cs"/>
          <w:rtl/>
        </w:rPr>
        <w:t>,</w:t>
      </w:r>
      <w:r w:rsidRPr="00AA5065">
        <w:rPr>
          <w:rFonts w:ascii="David" w:eastAsia="Calibri" w:hAnsi="David"/>
          <w:rtl/>
        </w:rPr>
        <w:t xml:space="preserve"> יחידת מודיעין גבולות נגב (מג"ן)</w:t>
      </w:r>
      <w:r w:rsidRPr="00AA5065">
        <w:rPr>
          <w:rFonts w:ascii="David" w:eastAsia="Calibri" w:hAnsi="David" w:hint="cs"/>
          <w:rtl/>
        </w:rPr>
        <w:t xml:space="preserve"> ויחידת יואב שעוסקת</w:t>
      </w:r>
      <w:r w:rsidRPr="00AA5065">
        <w:rPr>
          <w:rFonts w:ascii="David" w:eastAsia="Calibri" w:hAnsi="David"/>
          <w:rtl/>
        </w:rPr>
        <w:t xml:space="preserve"> בפח"ע, </w:t>
      </w:r>
      <w:r w:rsidRPr="00AA5065">
        <w:rPr>
          <w:rFonts w:ascii="David" w:eastAsia="Calibri" w:hAnsi="David" w:hint="cs"/>
          <w:rtl/>
        </w:rPr>
        <w:t>ב</w:t>
      </w:r>
      <w:r w:rsidRPr="00AA5065">
        <w:rPr>
          <w:rFonts w:ascii="David" w:eastAsia="Calibri" w:hAnsi="David"/>
          <w:rtl/>
        </w:rPr>
        <w:t>הפרות סדר ו</w:t>
      </w:r>
      <w:r w:rsidRPr="00AA5065">
        <w:rPr>
          <w:rFonts w:ascii="David" w:eastAsia="Calibri" w:hAnsi="David" w:hint="cs"/>
          <w:rtl/>
        </w:rPr>
        <w:t>ב</w:t>
      </w:r>
      <w:r w:rsidRPr="00AA5065">
        <w:rPr>
          <w:rFonts w:ascii="David" w:eastAsia="Calibri" w:hAnsi="David"/>
          <w:rtl/>
        </w:rPr>
        <w:t>מאבק בפשיעה חמורה</w:t>
      </w:r>
      <w:r w:rsidRPr="00AA5065">
        <w:rPr>
          <w:rFonts w:ascii="David" w:eastAsia="Calibri" w:hAnsi="David" w:hint="cs"/>
          <w:rtl/>
        </w:rPr>
        <w:t>, וכן ב</w:t>
      </w:r>
      <w:r w:rsidRPr="00AA5065">
        <w:rPr>
          <w:rFonts w:ascii="David" w:eastAsia="Calibri" w:hAnsi="David"/>
          <w:rtl/>
        </w:rPr>
        <w:t xml:space="preserve">תיאום, </w:t>
      </w:r>
      <w:r w:rsidRPr="00AA5065">
        <w:rPr>
          <w:rFonts w:ascii="David" w:eastAsia="Calibri" w:hAnsi="David" w:hint="cs"/>
          <w:rtl/>
        </w:rPr>
        <w:t>ב</w:t>
      </w:r>
      <w:r w:rsidRPr="00AA5065">
        <w:rPr>
          <w:rFonts w:ascii="David" w:eastAsia="Calibri" w:hAnsi="David"/>
          <w:rtl/>
        </w:rPr>
        <w:t>הנחיה ואינטגרציה של הגופים הממשלתיים הפועלים לאכיפת דיני מקרקעין</w:t>
      </w:r>
      <w:r w:rsidRPr="00AA5065">
        <w:rPr>
          <w:rFonts w:ascii="David" w:eastAsia="Calibri" w:hAnsi="David" w:hint="cs"/>
          <w:rtl/>
        </w:rPr>
        <w:t xml:space="preserve">. </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bookmarkStart w:id="75" w:name="_Hlk186966230"/>
    </w:p>
    <w:p w:rsidR="00AA5065" w:rsidRPr="00AA5065" w:rsidP="00860D89">
      <w:pPr>
        <w:spacing w:line="269" w:lineRule="auto"/>
        <w:rPr>
          <w:rFonts w:ascii="David" w:eastAsia="Calibri" w:hAnsi="David"/>
          <w:rtl/>
        </w:rPr>
      </w:pPr>
      <w:r w:rsidRPr="00AA5065">
        <w:rPr>
          <w:rFonts w:ascii="David" w:eastAsia="Calibri" w:hAnsi="David" w:hint="cs"/>
          <w:rtl/>
        </w:rPr>
        <w:t>ב</w:t>
      </w:r>
      <w:r w:rsidRPr="00AA5065">
        <w:rPr>
          <w:rFonts w:ascii="David" w:eastAsia="Calibri" w:hAnsi="David"/>
          <w:rtl/>
        </w:rPr>
        <w:t xml:space="preserve">אפריל 2016 אישרה הממשלה את תוכנית השר </w:t>
      </w:r>
      <w:r w:rsidRPr="00AA5065">
        <w:rPr>
          <w:rFonts w:ascii="David" w:eastAsia="Calibri" w:hAnsi="David" w:hint="cs"/>
          <w:rtl/>
        </w:rPr>
        <w:t xml:space="preserve">לביטחון הפנים דאז </w:t>
      </w:r>
      <w:r w:rsidRPr="00AA5065">
        <w:rPr>
          <w:rFonts w:ascii="David" w:eastAsia="Calibri" w:hAnsi="David"/>
          <w:rtl/>
        </w:rPr>
        <w:t xml:space="preserve">לחיזוק מערך המשטרה ביישובי המגזר הערבי ובירושלים. התוכנית </w:t>
      </w:r>
      <w:r w:rsidRPr="00AA5065">
        <w:rPr>
          <w:rFonts w:ascii="David" w:eastAsia="Calibri" w:hAnsi="David" w:hint="cs"/>
          <w:rtl/>
        </w:rPr>
        <w:t xml:space="preserve">כללה בין היתר </w:t>
      </w:r>
      <w:r w:rsidRPr="00AA5065">
        <w:rPr>
          <w:rFonts w:ascii="David" w:eastAsia="Calibri" w:hAnsi="David"/>
          <w:rtl/>
        </w:rPr>
        <w:t>תוכנית חומש להקמת תחנות ונקודות משטרה במגזר הערבי</w:t>
      </w:r>
      <w:r w:rsidRPr="00AA5065">
        <w:rPr>
          <w:rFonts w:ascii="David" w:eastAsia="Calibri" w:hAnsi="David" w:hint="cs"/>
          <w:rtl/>
        </w:rPr>
        <w:t xml:space="preserve"> בדרום ביישובים האלה: ערערה בנגב, שגב שלום, חורה, כסיפה ולקייה.</w:t>
      </w:r>
      <w:bookmarkEnd w:id="75"/>
      <w:r w:rsidRPr="00AA5065">
        <w:rPr>
          <w:rFonts w:ascii="David" w:eastAsia="Calibri" w:hAnsi="David" w:hint="cs"/>
          <w:rtl/>
        </w:rPr>
        <w:t xml:space="preserve"> בביקורת הקודמת הועלה כי </w:t>
      </w:r>
      <w:r w:rsidRPr="00AA5065">
        <w:rPr>
          <w:rFonts w:ascii="David" w:eastAsia="Calibri" w:hAnsi="David"/>
          <w:rtl/>
        </w:rPr>
        <w:t>עד פברואר 2020 טרם הוקמו תחנות משטרה בחורה, בכסיפה ובלקי</w:t>
      </w:r>
      <w:r w:rsidRPr="00AA5065">
        <w:rPr>
          <w:rFonts w:ascii="David" w:eastAsia="Calibri" w:hAnsi="David" w:hint="cs"/>
          <w:rtl/>
        </w:rPr>
        <w:t>י</w:t>
      </w:r>
      <w:r w:rsidRPr="00AA5065">
        <w:rPr>
          <w:rFonts w:ascii="David" w:eastAsia="Calibri" w:hAnsi="David"/>
          <w:rtl/>
        </w:rPr>
        <w:t>ה, שנועדו על פי תוכנית השר לביטחון הפנים לחזק את מערך המשטרה ביישובי המגזר הערבי בדרום</w:t>
      </w:r>
      <w:r w:rsidRPr="00AA5065">
        <w:rPr>
          <w:rFonts w:ascii="David" w:eastAsia="Calibri" w:hAnsi="David"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המשרד לביטחון </w:t>
      </w:r>
      <w:r w:rsidRPr="00AA5065">
        <w:rPr>
          <w:rFonts w:ascii="David" w:eastAsia="Calibri" w:hAnsi="David" w:hint="cs"/>
          <w:rtl/>
        </w:rPr>
        <w:t>ה</w:t>
      </w:r>
      <w:r w:rsidRPr="00AA5065">
        <w:rPr>
          <w:rFonts w:ascii="David" w:eastAsia="Calibri" w:hAnsi="David"/>
          <w:rtl/>
        </w:rPr>
        <w:t>פנים</w:t>
      </w:r>
      <w:r>
        <w:rPr>
          <w:rFonts w:ascii="David" w:eastAsia="Calibri" w:hAnsi="David"/>
          <w:vertAlign w:val="superscript"/>
          <w:rtl/>
        </w:rPr>
        <w:footnoteReference w:id="70"/>
      </w:r>
      <w:r w:rsidRPr="00AA5065">
        <w:rPr>
          <w:rFonts w:ascii="David" w:eastAsia="Calibri" w:hAnsi="David"/>
          <w:rtl/>
        </w:rPr>
        <w:t xml:space="preserve"> ציין בתשובתו </w:t>
      </w:r>
      <w:r w:rsidRPr="00AA5065">
        <w:rPr>
          <w:rFonts w:ascii="David" w:eastAsia="Calibri" w:hAnsi="David" w:hint="cs"/>
          <w:rtl/>
        </w:rPr>
        <w:t xml:space="preserve">לדוח הקודם </w:t>
      </w:r>
      <w:r w:rsidRPr="00AA5065">
        <w:rPr>
          <w:rFonts w:ascii="David" w:eastAsia="Calibri" w:hAnsi="David"/>
          <w:rtl/>
        </w:rPr>
        <w:t>כי</w:t>
      </w:r>
      <w:r w:rsidRPr="00AA5065">
        <w:rPr>
          <w:rFonts w:ascii="David" w:eastAsia="Calibri" w:hAnsi="David" w:hint="cs"/>
          <w:rtl/>
        </w:rPr>
        <w:t xml:space="preserve"> </w:t>
      </w:r>
      <w:r w:rsidRPr="00AA5065">
        <w:rPr>
          <w:rFonts w:ascii="David" w:eastAsia="Calibri" w:hAnsi="David"/>
          <w:rtl/>
        </w:rPr>
        <w:t>"גובשה תכנית המשך המשלימה את התכנית שקוצצה, הכוללת בין היתר בינוי תחנות משטרה ביישובי המגזר הערבי, לרבות ביישובי המגזר הערבי בנגב. התכנית תמומש בכפוף לאישור הממשלה והקצאת המשאבים הנדרשים... בשנת העבודה 2021 תיבחנה הקמת נקודות נוספות וחיזוק קיימות, בשיתוף פעולה עם המשטרה ובהתאם לתקצוב ולתעדוף ארגוני</w:t>
      </w:r>
      <w:r w:rsidRPr="00AA5065">
        <w:rPr>
          <w:rFonts w:ascii="David" w:eastAsia="Calibri" w:hAnsi="David"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ה</w:t>
      </w:r>
      <w:r w:rsidRPr="00AA5065">
        <w:rPr>
          <w:rFonts w:ascii="David" w:eastAsia="Calibri" w:hAnsi="David"/>
          <w:rtl/>
        </w:rPr>
        <w:t>משטר</w:t>
      </w:r>
      <w:r w:rsidRPr="00AA5065">
        <w:rPr>
          <w:rFonts w:ascii="David" w:eastAsia="Calibri" w:hAnsi="David" w:hint="cs"/>
          <w:rtl/>
        </w:rPr>
        <w:t>ה</w:t>
      </w:r>
      <w:r w:rsidRPr="00AA5065">
        <w:rPr>
          <w:rFonts w:ascii="David" w:eastAsia="Calibri" w:hAnsi="David"/>
          <w:rtl/>
        </w:rPr>
        <w:t xml:space="preserve"> ציינה בתשובתה לדוח הביקורת הקודם כי "במסגרת תכנית החומש </w:t>
      </w:r>
      <w:r w:rsidRPr="00AA5065">
        <w:rPr>
          <w:rFonts w:ascii="David" w:eastAsia="Calibri" w:hAnsi="David" w:hint="cs"/>
          <w:rtl/>
        </w:rPr>
        <w:t>2021 - 2025</w:t>
      </w:r>
      <w:r w:rsidRPr="00AA5065">
        <w:rPr>
          <w:rFonts w:ascii="David" w:eastAsia="Calibri" w:hAnsi="David"/>
          <w:rtl/>
        </w:rPr>
        <w:t xml:space="preserve"> מתוכננת הקמה של תחנת חורה - לקיה, זאת בכפוף לאישור גורמי הפיקוד ולתקציב האוצר. בישובים ערערה בנגב ובשגב שלום הוקמו תחנות זמניות. בשגב שלום הוקצתה קרקע לטובת תחנת קבע, ובערערה נמצאת הקצאת הקרקע לתחנת קבע בשלביה הסופיים לקראת רכישה</w:t>
      </w:r>
      <w:r w:rsidRPr="00AA5065">
        <w:rPr>
          <w:rFonts w:ascii="David" w:eastAsia="Calibri" w:hAnsi="David" w:hint="cs"/>
          <w:rtl/>
        </w:rPr>
        <w:t>"</w:t>
      </w:r>
      <w:r w:rsidRPr="00AA5065">
        <w:rPr>
          <w:rFonts w:ascii="David" w:eastAsia="Calibri" w:hAnsi="David"/>
          <w:rtl/>
        </w:rPr>
        <w:t xml:space="preserve">. </w:t>
      </w:r>
    </w:p>
    <w:p w:rsidR="00AA5065" w:rsidRPr="00AA5065" w:rsidP="00860D89">
      <w:pPr>
        <w:spacing w:line="269" w:lineRule="auto"/>
        <w:rPr>
          <w:rFonts w:eastAsia="Calibri"/>
          <w:rtl/>
        </w:rPr>
      </w:pPr>
      <w:bookmarkStart w:id="76" w:name="_Hlk191565570"/>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bookmarkEnd w:id="76"/>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בהחלטת הממשלה 549</w:t>
      </w:r>
      <w:r>
        <w:rPr>
          <w:rFonts w:ascii="David" w:eastAsia="Calibri" w:hAnsi="David"/>
          <w:vertAlign w:val="superscript"/>
          <w:rtl/>
        </w:rPr>
        <w:footnoteReference w:id="71"/>
      </w:r>
      <w:r w:rsidRPr="00AA5065">
        <w:rPr>
          <w:rFonts w:ascii="David" w:eastAsia="Calibri" w:hAnsi="David" w:hint="cs"/>
          <w:rtl/>
        </w:rPr>
        <w:t xml:space="preserve"> בנושא הפשיעה בחברה הערבית לשנים 2022 - 2026 נקבע כי </w:t>
      </w:r>
      <w:r w:rsidRPr="00AA5065">
        <w:rPr>
          <w:rFonts w:ascii="David" w:eastAsia="Calibri" w:hAnsi="David"/>
          <w:rtl/>
        </w:rPr>
        <w:t>הת</w:t>
      </w:r>
      <w:r w:rsidRPr="00AA5065">
        <w:rPr>
          <w:rFonts w:ascii="David" w:eastAsia="Calibri" w:hAnsi="David" w:hint="cs"/>
          <w:rtl/>
        </w:rPr>
        <w:t>ו</w:t>
      </w:r>
      <w:r w:rsidRPr="00AA5065">
        <w:rPr>
          <w:rFonts w:ascii="David" w:eastAsia="Calibri" w:hAnsi="David"/>
          <w:rtl/>
        </w:rPr>
        <w:t>כנית הרב</w:t>
      </w:r>
      <w:r w:rsidRPr="00AA5065">
        <w:rPr>
          <w:rFonts w:ascii="David" w:eastAsia="Calibri" w:hAnsi="David" w:hint="cs"/>
          <w:rtl/>
        </w:rPr>
        <w:t>-</w:t>
      </w:r>
      <w:r w:rsidRPr="00AA5065">
        <w:rPr>
          <w:rFonts w:ascii="David" w:eastAsia="Calibri" w:hAnsi="David"/>
          <w:rtl/>
        </w:rPr>
        <w:t xml:space="preserve">שנתית תכלול </w:t>
      </w:r>
      <w:r w:rsidRPr="00AA5065">
        <w:rPr>
          <w:rFonts w:ascii="David" w:eastAsia="Calibri" w:hAnsi="David" w:hint="cs"/>
          <w:rtl/>
        </w:rPr>
        <w:t xml:space="preserve">בין היתר את הפעולות האלה: </w:t>
      </w:r>
      <w:r w:rsidRPr="00AA5065">
        <w:rPr>
          <w:rFonts w:ascii="David" w:eastAsia="Calibri" w:hAnsi="David"/>
          <w:rtl/>
        </w:rPr>
        <w:t>המשרד לביטחון הפנים יפעל במסגרת המשאבים המוקצים בהחלטה זו לביצוע ת</w:t>
      </w:r>
      <w:r w:rsidRPr="00AA5065">
        <w:rPr>
          <w:rFonts w:ascii="David" w:eastAsia="Calibri" w:hAnsi="David" w:hint="cs"/>
          <w:rtl/>
        </w:rPr>
        <w:t>ו</w:t>
      </w:r>
      <w:r w:rsidRPr="00AA5065">
        <w:rPr>
          <w:rFonts w:ascii="David" w:eastAsia="Calibri" w:hAnsi="David"/>
          <w:rtl/>
        </w:rPr>
        <w:t>כנית רחבה וינקוט צעדים בטווח הזמן המי</w:t>
      </w:r>
      <w:r w:rsidRPr="00AA5065">
        <w:rPr>
          <w:rFonts w:ascii="David" w:eastAsia="Calibri" w:hAnsi="David" w:hint="cs"/>
          <w:rtl/>
        </w:rPr>
        <w:t>י</w:t>
      </w:r>
      <w:r w:rsidRPr="00AA5065">
        <w:rPr>
          <w:rFonts w:ascii="David" w:eastAsia="Calibri" w:hAnsi="David"/>
          <w:rtl/>
        </w:rPr>
        <w:t>די</w:t>
      </w:r>
      <w:r w:rsidRPr="00AA5065">
        <w:rPr>
          <w:rFonts w:ascii="David" w:eastAsia="Calibri" w:hAnsi="David" w:hint="cs"/>
          <w:rtl/>
        </w:rPr>
        <w:t xml:space="preserve"> </w:t>
      </w:r>
      <w:r w:rsidRPr="00AA5065">
        <w:rPr>
          <w:rFonts w:ascii="David" w:eastAsia="Calibri" w:hAnsi="David"/>
          <w:rtl/>
        </w:rPr>
        <w:t xml:space="preserve">להפחתה ניכרת </w:t>
      </w:r>
      <w:r w:rsidRPr="00AA5065">
        <w:rPr>
          <w:rFonts w:ascii="David" w:eastAsia="Calibri" w:hAnsi="David" w:hint="cs"/>
          <w:rtl/>
        </w:rPr>
        <w:t>של ה</w:t>
      </w:r>
      <w:r w:rsidRPr="00AA5065">
        <w:rPr>
          <w:rFonts w:ascii="David" w:eastAsia="Calibri" w:hAnsi="David"/>
          <w:rtl/>
        </w:rPr>
        <w:t>פשיעה ו</w:t>
      </w:r>
      <w:r w:rsidRPr="00AA5065">
        <w:rPr>
          <w:rFonts w:ascii="David" w:eastAsia="Calibri" w:hAnsi="David" w:hint="cs"/>
          <w:rtl/>
        </w:rPr>
        <w:t>ה</w:t>
      </w:r>
      <w:r w:rsidRPr="00AA5065">
        <w:rPr>
          <w:rFonts w:ascii="David" w:eastAsia="Calibri" w:hAnsi="David"/>
          <w:rtl/>
        </w:rPr>
        <w:t>אלימות בחברה הערבית</w:t>
      </w:r>
      <w:r w:rsidRPr="00AA5065">
        <w:rPr>
          <w:rFonts w:ascii="David" w:eastAsia="Calibri" w:hAnsi="David" w:hint="cs"/>
          <w:rtl/>
        </w:rPr>
        <w:t xml:space="preserve"> </w:t>
      </w:r>
      <w:r w:rsidRPr="00AA5065">
        <w:rPr>
          <w:rFonts w:ascii="David" w:eastAsia="Calibri" w:hAnsi="David" w:hint="eastAsia"/>
          <w:rtl/>
        </w:rPr>
        <w:t>על</w:t>
      </w:r>
      <w:r w:rsidRPr="00AA5065">
        <w:rPr>
          <w:rFonts w:ascii="David" w:eastAsia="Calibri" w:hAnsi="David"/>
          <w:rtl/>
        </w:rPr>
        <w:t xml:space="preserve"> </w:t>
      </w:r>
      <w:r w:rsidRPr="00AA5065">
        <w:rPr>
          <w:rFonts w:ascii="David" w:eastAsia="Calibri" w:hAnsi="David" w:hint="cs"/>
          <w:rtl/>
        </w:rPr>
        <w:t xml:space="preserve">ידי </w:t>
      </w:r>
      <w:r w:rsidRPr="00AA5065">
        <w:rPr>
          <w:rFonts w:ascii="David" w:eastAsia="Calibri" w:hAnsi="David"/>
          <w:rtl/>
        </w:rPr>
        <w:t>הגברת הנוכחות ברחוב הערבי</w:t>
      </w:r>
      <w:r w:rsidRPr="00AA5065">
        <w:rPr>
          <w:rFonts w:ascii="David" w:eastAsia="Calibri" w:hAnsi="David" w:hint="cs"/>
          <w:rtl/>
        </w:rPr>
        <w:t>. במסגרת החלטה זו הוחלט על "</w:t>
      </w:r>
      <w:r w:rsidRPr="00AA5065">
        <w:rPr>
          <w:rFonts w:ascii="David" w:eastAsia="Calibri" w:hAnsi="David"/>
          <w:rtl/>
        </w:rPr>
        <w:t>חיזוק תחנות ונקודות של משטרת ישראל ביישובים הערבים, לטובת שיפור המענה המשטרתי והגברת הביטחון האישי ביישובי החברה הערבית</w:t>
      </w:r>
      <w:r w:rsidRPr="00AA5065">
        <w:rPr>
          <w:rFonts w:ascii="David" w:eastAsia="Calibri" w:hAnsi="David" w:hint="cs"/>
          <w:rtl/>
        </w:rPr>
        <w:t>", ועל "</w:t>
      </w:r>
      <w:r w:rsidRPr="00AA5065">
        <w:rPr>
          <w:rFonts w:ascii="David" w:eastAsia="Calibri" w:hAnsi="David"/>
          <w:rtl/>
        </w:rPr>
        <w:t>הקמת תחנת משטרה ביישוב שגב שלום וריכוז מאמצי האכיפה והמניעה ביישובי הבדואים בנגב</w:t>
      </w:r>
      <w:r w:rsidRPr="00AA5065">
        <w:rPr>
          <w:rFonts w:ascii="David" w:eastAsia="Calibri" w:hAnsi="David" w:hint="cs"/>
          <w:rtl/>
        </w:rPr>
        <w:t>".</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outlineLvl w:val="4"/>
        <w:rPr>
          <w:rFonts w:eastAsia="Times New Roman"/>
          <w:bCs/>
          <w:spacing w:val="40"/>
          <w:rtl/>
        </w:rPr>
      </w:pPr>
      <w:r w:rsidRPr="00AA5065">
        <w:rPr>
          <w:rFonts w:ascii="David" w:eastAsia="Calibri" w:hAnsi="David"/>
          <w:rtl/>
        </w:rPr>
        <w:t xml:space="preserve">בהחלטת </w:t>
      </w:r>
      <w:r w:rsidRPr="00AA5065">
        <w:rPr>
          <w:rFonts w:ascii="David" w:eastAsia="Calibri" w:hAnsi="David" w:hint="cs"/>
          <w:rtl/>
        </w:rPr>
        <w:t>ה</w:t>
      </w:r>
      <w:r w:rsidRPr="00AA5065">
        <w:rPr>
          <w:rFonts w:ascii="David" w:eastAsia="Calibri" w:hAnsi="David"/>
          <w:rtl/>
        </w:rPr>
        <w:t>ממשלה</w:t>
      </w:r>
      <w:r>
        <w:rPr>
          <w:rFonts w:ascii="David" w:eastAsia="Calibri" w:hAnsi="David"/>
          <w:vertAlign w:val="superscript"/>
          <w:rtl/>
        </w:rPr>
        <w:footnoteReference w:id="72"/>
      </w:r>
      <w:r w:rsidRPr="00AA5065">
        <w:rPr>
          <w:rFonts w:ascii="David" w:eastAsia="Calibri" w:hAnsi="David"/>
          <w:rtl/>
        </w:rPr>
        <w:t xml:space="preserve">‏ 1279 ממרץ 2022 </w:t>
      </w:r>
      <w:r w:rsidRPr="00AA5065">
        <w:rPr>
          <w:rFonts w:ascii="David" w:eastAsia="Calibri" w:hAnsi="David" w:hint="cs"/>
          <w:rtl/>
        </w:rPr>
        <w:t xml:space="preserve">נקבע </w:t>
      </w:r>
      <w:r w:rsidRPr="00AA5065">
        <w:rPr>
          <w:rFonts w:ascii="David" w:eastAsia="Calibri" w:hAnsi="David"/>
          <w:rtl/>
        </w:rPr>
        <w:t>‏כי</w:t>
      </w:r>
      <w:r w:rsidRPr="00AA5065">
        <w:rPr>
          <w:rFonts w:ascii="David" w:eastAsia="Calibri" w:hAnsi="David" w:hint="cs"/>
          <w:rtl/>
        </w:rPr>
        <w:t xml:space="preserve"> על המשרד לביטחון הפנים</w:t>
      </w:r>
      <w:r w:rsidRPr="00AA5065">
        <w:rPr>
          <w:rFonts w:ascii="David" w:eastAsia="Calibri" w:hAnsi="David"/>
          <w:rtl/>
        </w:rPr>
        <w:t xml:space="preserve"> "לגבש תכנית לחיזוק הביטחון ‏האישי ולחיזוק הקשר בין הקהילה לבין משטרת ישראל ובכלל זה הרחבת מרכזי שיטור ‏קהילתיים וכן חיזוק הנוכחות באזורי המיקוד שיוגדרו במסגרת התכנית".‏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במפה 1</w:t>
      </w:r>
      <w:r w:rsidRPr="00AA5065">
        <w:rPr>
          <w:rFonts w:ascii="David" w:eastAsia="Calibri" w:hAnsi="David"/>
          <w:rtl/>
        </w:rPr>
        <w:t xml:space="preserve"> </w:t>
      </w:r>
      <w:r w:rsidRPr="00AA5065">
        <w:rPr>
          <w:rFonts w:ascii="David" w:eastAsia="Calibri" w:hAnsi="David" w:hint="cs"/>
          <w:rtl/>
        </w:rPr>
        <w:t>שלהלן מתואר</w:t>
      </w:r>
      <w:r w:rsidRPr="00AA5065">
        <w:rPr>
          <w:rFonts w:ascii="David" w:eastAsia="Calibri" w:hAnsi="David"/>
          <w:rtl/>
        </w:rPr>
        <w:t xml:space="preserve"> </w:t>
      </w:r>
      <w:r w:rsidRPr="00AA5065">
        <w:rPr>
          <w:rFonts w:ascii="David" w:eastAsia="Calibri" w:hAnsi="David" w:hint="cs"/>
          <w:rtl/>
        </w:rPr>
        <w:t>פיזור</w:t>
      </w:r>
      <w:r w:rsidRPr="00AA5065">
        <w:rPr>
          <w:rFonts w:ascii="David" w:eastAsia="Calibri" w:hAnsi="David"/>
          <w:rtl/>
        </w:rPr>
        <w:t xml:space="preserve"> מספר התיקים שנפתחו במשטר</w:t>
      </w:r>
      <w:r w:rsidRPr="00AA5065">
        <w:rPr>
          <w:rFonts w:ascii="David" w:eastAsia="Calibri" w:hAnsi="David" w:hint="cs"/>
          <w:rtl/>
        </w:rPr>
        <w:t xml:space="preserve">ה </w:t>
      </w:r>
      <w:r w:rsidRPr="00AA5065">
        <w:rPr>
          <w:rFonts w:ascii="David" w:eastAsia="Calibri" w:hAnsi="David"/>
          <w:rtl/>
        </w:rPr>
        <w:t xml:space="preserve">בשנים 2020 </w:t>
      </w:r>
      <w:r w:rsidRPr="00AA5065">
        <w:rPr>
          <w:rFonts w:ascii="David" w:eastAsia="Calibri" w:hAnsi="David" w:hint="cs"/>
          <w:rtl/>
        </w:rPr>
        <w:t>עד</w:t>
      </w:r>
      <w:r w:rsidRPr="00AA5065">
        <w:rPr>
          <w:rFonts w:ascii="David" w:eastAsia="Calibri" w:hAnsi="David"/>
          <w:rtl/>
        </w:rPr>
        <w:t xml:space="preserve"> 2024 </w:t>
      </w:r>
      <w:r w:rsidRPr="00AA5065">
        <w:rPr>
          <w:rFonts w:ascii="David" w:eastAsia="Calibri" w:hAnsi="David" w:hint="cs"/>
          <w:rtl/>
        </w:rPr>
        <w:t>בממוצע שנתי</w:t>
      </w:r>
      <w:r w:rsidRPr="00AA5065">
        <w:rPr>
          <w:rFonts w:ascii="David" w:eastAsia="Calibri" w:hAnsi="David"/>
          <w:rtl/>
        </w:rPr>
        <w:t xml:space="preserve"> לכל 1,000 נפש לפי </w:t>
      </w:r>
      <w:r w:rsidRPr="00AA5065">
        <w:rPr>
          <w:rFonts w:ascii="David" w:eastAsia="Calibri" w:hAnsi="David" w:hint="cs"/>
          <w:rtl/>
        </w:rPr>
        <w:t>מחוז</w:t>
      </w:r>
      <w:r w:rsidRPr="00AA5065">
        <w:rPr>
          <w:rFonts w:ascii="David" w:eastAsia="Calibri" w:hAnsi="David"/>
          <w:rtl/>
        </w:rPr>
        <w:t xml:space="preserve"> משטרתי.</w:t>
      </w:r>
      <w:r w:rsidRPr="00AA5065">
        <w:rPr>
          <w:rFonts w:eastAsia="Calibri"/>
          <w:rtl/>
        </w:rPr>
        <w:t xml:space="preserve"> </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jc w:val="center"/>
        <w:rPr>
          <w:rFonts w:ascii="David" w:eastAsia="Calibri" w:hAnsi="David"/>
          <w:b/>
          <w:bCs/>
          <w:rtl/>
        </w:rPr>
      </w:pPr>
      <w:bookmarkStart w:id="77" w:name="_Hlk205279540"/>
      <w:r w:rsidRPr="00AA5065">
        <w:rPr>
          <w:rFonts w:ascii="David" w:eastAsia="Calibri" w:hAnsi="David" w:hint="cs"/>
          <w:rtl/>
        </w:rPr>
        <w:t>מפה</w:t>
      </w:r>
      <w:r>
        <w:rPr>
          <w:rFonts w:ascii="David" w:eastAsia="Calibri" w:hAnsi="David"/>
          <w:vertAlign w:val="superscript"/>
          <w:rtl/>
        </w:rPr>
        <w:footnoteReference w:id="73"/>
      </w:r>
      <w:r w:rsidRPr="00AA5065">
        <w:rPr>
          <w:rFonts w:ascii="David" w:eastAsia="Calibri" w:hAnsi="David"/>
          <w:rtl/>
        </w:rPr>
        <w:t xml:space="preserve"> </w:t>
      </w:r>
      <w:r w:rsidRPr="00AA5065">
        <w:rPr>
          <w:rFonts w:ascii="David" w:eastAsia="Calibri" w:hAnsi="David" w:hint="cs"/>
          <w:rtl/>
        </w:rPr>
        <w:t>1:</w:t>
      </w:r>
      <w:r w:rsidRPr="00AA5065">
        <w:rPr>
          <w:rFonts w:ascii="David" w:eastAsia="Calibri" w:hAnsi="David"/>
          <w:rtl/>
        </w:rPr>
        <w:t xml:space="preserve"> </w:t>
      </w:r>
      <w:bookmarkStart w:id="78" w:name="_Hlk205380869"/>
      <w:r w:rsidRPr="00AA5065">
        <w:rPr>
          <w:rFonts w:ascii="David" w:eastAsia="Calibri" w:hAnsi="David" w:hint="cs"/>
          <w:b/>
          <w:bCs/>
          <w:rtl/>
        </w:rPr>
        <w:t>ממוצע שנתי של תיקים</w:t>
      </w:r>
      <w:r w:rsidRPr="00AA5065">
        <w:rPr>
          <w:rFonts w:ascii="David" w:eastAsia="Calibri" w:hAnsi="David"/>
          <w:b/>
          <w:bCs/>
          <w:rtl/>
        </w:rPr>
        <w:t xml:space="preserve"> שנפתחו</w:t>
      </w:r>
      <w:r w:rsidRPr="00AA5065">
        <w:rPr>
          <w:rFonts w:ascii="David" w:eastAsia="Calibri" w:hAnsi="David" w:hint="cs"/>
          <w:b/>
          <w:bCs/>
          <w:rtl/>
        </w:rPr>
        <w:t xml:space="preserve"> במשטרה</w:t>
      </w:r>
      <w:r w:rsidRPr="00AA5065">
        <w:rPr>
          <w:rFonts w:ascii="David" w:eastAsia="Calibri" w:hAnsi="David"/>
          <w:b/>
          <w:bCs/>
          <w:rtl/>
        </w:rPr>
        <w:t xml:space="preserve"> לכל 1,000 נפש, לפי </w:t>
      </w:r>
      <w:r w:rsidRPr="00AA5065">
        <w:rPr>
          <w:rFonts w:ascii="David" w:eastAsia="Calibri" w:hAnsi="David" w:hint="cs"/>
          <w:b/>
          <w:bCs/>
          <w:rtl/>
        </w:rPr>
        <w:t>מחוז</w:t>
      </w:r>
      <w:r w:rsidRPr="00AA5065">
        <w:rPr>
          <w:rFonts w:ascii="David" w:eastAsia="Calibri" w:hAnsi="David"/>
          <w:b/>
          <w:bCs/>
          <w:rtl/>
        </w:rPr>
        <w:t xml:space="preserve"> משטרתי</w:t>
      </w:r>
      <w:bookmarkEnd w:id="78"/>
      <w:r w:rsidRPr="00AA5065">
        <w:rPr>
          <w:rFonts w:ascii="David" w:eastAsia="Calibri" w:hAnsi="David" w:hint="cs"/>
          <w:b/>
          <w:bCs/>
          <w:rtl/>
        </w:rPr>
        <w:t xml:space="preserve">, </w:t>
      </w:r>
      <w:r w:rsidRPr="00AA5065">
        <w:rPr>
          <w:rFonts w:ascii="David" w:eastAsia="Calibri" w:hAnsi="David"/>
          <w:b/>
          <w:bCs/>
          <w:rtl/>
        </w:rPr>
        <w:br/>
      </w:r>
      <w:r w:rsidRPr="00AA5065">
        <w:rPr>
          <w:rFonts w:ascii="David" w:eastAsia="Calibri" w:hAnsi="David" w:hint="cs"/>
          <w:b/>
          <w:bCs/>
          <w:rtl/>
        </w:rPr>
        <w:t>2020 - 2024</w:t>
      </w:r>
      <w:bookmarkEnd w:id="77"/>
    </w:p>
    <w:p w:rsidR="00AA5065" w:rsidRPr="00AA5065" w:rsidP="00860D89">
      <w:pPr>
        <w:spacing w:line="269" w:lineRule="auto"/>
        <w:jc w:val="center"/>
        <w:rPr>
          <w:rFonts w:ascii="David" w:eastAsia="Calibri" w:hAnsi="David"/>
          <w:sz w:val="18"/>
          <w:szCs w:val="18"/>
          <w:rtl/>
        </w:rPr>
      </w:pPr>
      <w:r w:rsidRPr="00AA5065">
        <w:rPr>
          <w:rFonts w:ascii="David" w:eastAsia="Calibri" w:hAnsi="David" w:hint="cs"/>
          <w:noProof/>
          <w:sz w:val="18"/>
          <w:szCs w:val="18"/>
          <w:rtl/>
          <w:lang w:val="he-IL"/>
        </w:rPr>
        <w:drawing>
          <wp:inline distT="0" distB="0" distL="0" distR="0">
            <wp:extent cx="3616224" cy="5114020"/>
            <wp:effectExtent l="0" t="0" r="3810" b="0"/>
            <wp:docPr id="12" name="תמונה 12" descr="תוכן המפ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מפה מעודכנת תיקים לנפש2.jpeg"/>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616224" cy="5114020"/>
                    </a:xfrm>
                    <a:prstGeom prst="rect">
                      <a:avLst/>
                    </a:prstGeom>
                  </pic:spPr>
                </pic:pic>
              </a:graphicData>
            </a:graphic>
          </wp:inline>
        </w:drawing>
      </w:r>
    </w:p>
    <w:p w:rsidR="00AA5065" w:rsidRPr="00AA5065" w:rsidP="00E07D80">
      <w:pPr>
        <w:spacing w:before="60" w:line="269" w:lineRule="auto"/>
        <w:jc w:val="left"/>
        <w:rPr>
          <w:rFonts w:ascii="David" w:eastAsia="Calibri" w:hAnsi="David"/>
          <w:szCs w:val="20"/>
          <w:rtl/>
        </w:rPr>
      </w:pPr>
      <w:r w:rsidRPr="00AA5065">
        <w:rPr>
          <w:rFonts w:ascii="David" w:eastAsia="Calibri" w:hAnsi="David" w:hint="eastAsia"/>
          <w:szCs w:val="20"/>
          <w:rtl/>
        </w:rPr>
        <w:t>ה</w:t>
      </w:r>
      <w:r w:rsidRPr="00AA5065">
        <w:rPr>
          <w:rFonts w:ascii="David" w:eastAsia="Calibri" w:hAnsi="David"/>
          <w:szCs w:val="20"/>
          <w:rtl/>
        </w:rPr>
        <w:t xml:space="preserve">מקור: מרכז המחקר והמידע של הכנסת, </w:t>
      </w:r>
      <w:r w:rsidRPr="00AA5065">
        <w:rPr>
          <w:rFonts w:ascii="David" w:eastAsia="Calibri" w:hAnsi="David"/>
          <w:b/>
          <w:bCs/>
          <w:szCs w:val="20"/>
          <w:rtl/>
        </w:rPr>
        <w:t xml:space="preserve">לקט נתונים על פשיעה מדווחת בישראל מתחילת שנת 2019 עד סוף הרבעון השלישי של שנת 2024 </w:t>
      </w:r>
      <w:r w:rsidRPr="00AA5065">
        <w:rPr>
          <w:rFonts w:ascii="David" w:eastAsia="Calibri" w:hAnsi="David" w:hint="cs"/>
          <w:b/>
          <w:bCs/>
          <w:szCs w:val="20"/>
          <w:rtl/>
        </w:rPr>
        <w:t>-</w:t>
      </w:r>
      <w:r w:rsidRPr="00AA5065">
        <w:rPr>
          <w:rFonts w:ascii="David" w:eastAsia="Calibri" w:hAnsi="David"/>
          <w:b/>
          <w:bCs/>
          <w:szCs w:val="20"/>
          <w:rtl/>
        </w:rPr>
        <w:t xml:space="preserve"> גרסה מתוקנת</w:t>
      </w:r>
      <w:r w:rsidRPr="00AA5065">
        <w:rPr>
          <w:rFonts w:ascii="David" w:eastAsia="Calibri" w:hAnsi="David"/>
          <w:szCs w:val="20"/>
          <w:rtl/>
        </w:rPr>
        <w:t xml:space="preserve"> (25.11.24; עודכן ב-28.1.26)</w:t>
      </w:r>
      <w:r>
        <w:rPr>
          <w:rFonts w:ascii="David" w:eastAsia="Calibri" w:hAnsi="David"/>
          <w:szCs w:val="20"/>
          <w:vertAlign w:val="superscript"/>
        </w:rPr>
        <w:footnoteReference w:id="74"/>
      </w:r>
      <w:r w:rsidRPr="00AA5065">
        <w:rPr>
          <w:rFonts w:ascii="David" w:eastAsia="Calibri" w:hAnsi="David"/>
          <w:szCs w:val="20"/>
          <w:rtl/>
        </w:rPr>
        <w:t>.</w:t>
      </w:r>
    </w:p>
    <w:p w:rsidR="00AA5065" w:rsidRPr="00AA5065" w:rsidP="00860D89">
      <w:pPr>
        <w:spacing w:line="269" w:lineRule="auto"/>
        <w:rPr>
          <w:rFonts w:ascii="David" w:eastAsia="Calibri" w:hAnsi="David"/>
          <w:rtl/>
        </w:rPr>
      </w:pPr>
      <w:r w:rsidRPr="00AA5065">
        <w:rPr>
          <w:rFonts w:ascii="David" w:eastAsia="Calibri" w:hAnsi="David"/>
          <w:rtl/>
        </w:rPr>
        <w:t>בתרשים</w:t>
      </w:r>
      <w:r w:rsidRPr="00AA5065">
        <w:rPr>
          <w:rFonts w:ascii="David" w:eastAsia="Calibri" w:hAnsi="David" w:hint="cs"/>
          <w:rtl/>
        </w:rPr>
        <w:t xml:space="preserve"> 3</w:t>
      </w:r>
      <w:r w:rsidRPr="00AA5065">
        <w:rPr>
          <w:rFonts w:ascii="David" w:eastAsia="Calibri" w:hAnsi="David"/>
          <w:rtl/>
        </w:rPr>
        <w:t xml:space="preserve"> </w:t>
      </w:r>
      <w:r w:rsidRPr="00AA5065">
        <w:rPr>
          <w:rFonts w:ascii="David" w:eastAsia="Calibri" w:hAnsi="David" w:hint="cs"/>
          <w:rtl/>
        </w:rPr>
        <w:t xml:space="preserve">שלהלן </w:t>
      </w:r>
      <w:r w:rsidRPr="00AA5065">
        <w:rPr>
          <w:rFonts w:ascii="David" w:eastAsia="Calibri" w:hAnsi="David"/>
          <w:rtl/>
        </w:rPr>
        <w:t xml:space="preserve">מוצג מספר התיקים </w:t>
      </w:r>
      <w:r w:rsidRPr="00AA5065">
        <w:rPr>
          <w:rFonts w:ascii="David" w:eastAsia="Calibri" w:hAnsi="David" w:hint="cs"/>
          <w:rtl/>
        </w:rPr>
        <w:t xml:space="preserve">שנפתחו באותן השנים בממוצע שנתי </w:t>
      </w:r>
      <w:r w:rsidRPr="00AA5065">
        <w:rPr>
          <w:rFonts w:ascii="David" w:eastAsia="Calibri" w:hAnsi="David"/>
          <w:rtl/>
        </w:rPr>
        <w:t xml:space="preserve">ל-1,000 נפש בכל </w:t>
      </w:r>
      <w:r w:rsidRPr="00AA5065">
        <w:rPr>
          <w:rFonts w:ascii="David" w:eastAsia="Calibri" w:hAnsi="David" w:hint="cs"/>
          <w:rtl/>
        </w:rPr>
        <w:t>מחוז</w:t>
      </w:r>
      <w:r w:rsidRPr="00AA5065">
        <w:rPr>
          <w:rFonts w:ascii="David" w:eastAsia="Calibri" w:hAnsi="David"/>
          <w:rtl/>
        </w:rPr>
        <w:t xml:space="preserve"> משטרתי</w:t>
      </w:r>
      <w:r>
        <w:rPr>
          <w:rFonts w:ascii="David" w:eastAsia="Calibri" w:hAnsi="David"/>
          <w:vertAlign w:val="superscript"/>
          <w:rtl/>
        </w:rPr>
        <w:footnoteReference w:id="75"/>
      </w:r>
      <w:r w:rsidRPr="00AA5065">
        <w:rPr>
          <w:rFonts w:ascii="David" w:eastAsia="Calibri" w:hAnsi="David"/>
          <w:rtl/>
        </w:rPr>
        <w:t xml:space="preserve">, </w:t>
      </w:r>
      <w:r w:rsidRPr="00AA5065">
        <w:rPr>
          <w:rFonts w:ascii="David" w:eastAsia="Calibri" w:hAnsi="David" w:hint="cs"/>
          <w:rtl/>
        </w:rPr>
        <w:t>בציון</w:t>
      </w:r>
      <w:r w:rsidRPr="00AA5065">
        <w:rPr>
          <w:rFonts w:ascii="David" w:eastAsia="Calibri" w:hAnsi="David"/>
          <w:rtl/>
        </w:rPr>
        <w:t xml:space="preserve"> הנתון הכלל-ארצי.</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jc w:val="center"/>
        <w:rPr>
          <w:rFonts w:ascii="David" w:eastAsia="Calibri" w:hAnsi="David"/>
          <w:b/>
          <w:bCs/>
          <w:rtl/>
        </w:rPr>
      </w:pPr>
      <w:r w:rsidRPr="00AA5065">
        <w:rPr>
          <w:rFonts w:ascii="David" w:eastAsia="Calibri" w:hAnsi="David"/>
          <w:rtl/>
        </w:rPr>
        <w:t>תרשים</w:t>
      </w:r>
      <w:r w:rsidRPr="00AA5065">
        <w:rPr>
          <w:rFonts w:ascii="David" w:eastAsia="Calibri" w:hAnsi="David" w:hint="cs"/>
          <w:rtl/>
        </w:rPr>
        <w:t xml:space="preserve"> 3:</w:t>
      </w:r>
      <w:r w:rsidRPr="00AA5065">
        <w:rPr>
          <w:rFonts w:ascii="David" w:eastAsia="Calibri" w:hAnsi="David"/>
          <w:rtl/>
        </w:rPr>
        <w:t xml:space="preserve"> </w:t>
      </w:r>
      <w:r w:rsidRPr="00AA5065">
        <w:rPr>
          <w:rFonts w:ascii="David" w:eastAsia="Calibri" w:hAnsi="David" w:hint="cs"/>
          <w:b/>
          <w:bCs/>
          <w:rtl/>
        </w:rPr>
        <w:t>מספר</w:t>
      </w:r>
      <w:r w:rsidRPr="00AA5065">
        <w:rPr>
          <w:rFonts w:ascii="David" w:eastAsia="Calibri" w:hAnsi="David"/>
          <w:b/>
          <w:bCs/>
          <w:rtl/>
        </w:rPr>
        <w:t xml:space="preserve"> </w:t>
      </w:r>
      <w:r w:rsidRPr="00AA5065">
        <w:rPr>
          <w:rFonts w:ascii="David" w:eastAsia="Calibri" w:hAnsi="David" w:hint="cs"/>
          <w:b/>
          <w:bCs/>
          <w:rtl/>
        </w:rPr>
        <w:t>ה</w:t>
      </w:r>
      <w:r w:rsidRPr="00AA5065">
        <w:rPr>
          <w:rFonts w:ascii="David" w:eastAsia="Calibri" w:hAnsi="David"/>
          <w:b/>
          <w:bCs/>
          <w:rtl/>
        </w:rPr>
        <w:t>תיקים</w:t>
      </w:r>
      <w:r>
        <w:rPr>
          <w:rFonts w:ascii="David" w:eastAsia="Calibri" w:hAnsi="David"/>
          <w:b/>
          <w:bCs/>
          <w:vertAlign w:val="superscript"/>
          <w:rtl/>
        </w:rPr>
        <w:footnoteReference w:id="76"/>
      </w:r>
      <w:r w:rsidRPr="00AA5065">
        <w:rPr>
          <w:rFonts w:ascii="David" w:eastAsia="Calibri" w:hAnsi="David"/>
          <w:b/>
          <w:bCs/>
          <w:rtl/>
        </w:rPr>
        <w:t xml:space="preserve"> שנפתחו במשטר</w:t>
      </w:r>
      <w:r w:rsidRPr="00AA5065">
        <w:rPr>
          <w:rFonts w:ascii="David" w:eastAsia="Calibri" w:hAnsi="David" w:hint="cs"/>
          <w:b/>
          <w:bCs/>
          <w:rtl/>
        </w:rPr>
        <w:t>ה בממוצע שנתי</w:t>
      </w:r>
      <w:r w:rsidRPr="00AA5065">
        <w:rPr>
          <w:rFonts w:ascii="David" w:eastAsia="Calibri" w:hAnsi="David"/>
          <w:b/>
          <w:bCs/>
          <w:rtl/>
        </w:rPr>
        <w:t xml:space="preserve"> לכל 1,000 נפש</w:t>
      </w:r>
      <w:r w:rsidRPr="00AA5065">
        <w:rPr>
          <w:rFonts w:ascii="David" w:eastAsia="Calibri" w:hAnsi="David" w:hint="cs"/>
          <w:b/>
          <w:bCs/>
          <w:rtl/>
        </w:rPr>
        <w:t>,</w:t>
      </w:r>
      <w:r w:rsidRPr="00AA5065">
        <w:rPr>
          <w:rFonts w:ascii="David" w:eastAsia="Calibri" w:hAnsi="David"/>
          <w:b/>
          <w:bCs/>
          <w:rtl/>
        </w:rPr>
        <w:t xml:space="preserve"> לפי </w:t>
      </w:r>
      <w:r w:rsidRPr="00AA5065">
        <w:rPr>
          <w:rFonts w:ascii="David" w:eastAsia="Calibri" w:hAnsi="David" w:hint="cs"/>
          <w:b/>
          <w:bCs/>
          <w:rtl/>
        </w:rPr>
        <w:t>מחוז</w:t>
      </w:r>
      <w:r w:rsidRPr="00AA5065">
        <w:rPr>
          <w:rFonts w:ascii="David" w:eastAsia="Calibri" w:hAnsi="David"/>
          <w:b/>
          <w:bCs/>
          <w:rtl/>
        </w:rPr>
        <w:t xml:space="preserve"> משטרתי</w:t>
      </w:r>
      <w:r w:rsidRPr="00AA5065">
        <w:rPr>
          <w:rFonts w:ascii="David" w:eastAsia="Calibri" w:hAnsi="David" w:hint="cs"/>
          <w:b/>
          <w:bCs/>
          <w:rtl/>
        </w:rPr>
        <w:t>,</w:t>
      </w:r>
      <w:r w:rsidRPr="00AA5065">
        <w:rPr>
          <w:rFonts w:ascii="David" w:eastAsia="Calibri" w:hAnsi="David"/>
          <w:b/>
          <w:bCs/>
          <w:rtl/>
        </w:rPr>
        <w:t xml:space="preserve"> </w:t>
      </w:r>
      <w:r w:rsidRPr="00AA5065">
        <w:rPr>
          <w:rFonts w:ascii="David" w:eastAsia="Calibri" w:hAnsi="David" w:hint="cs"/>
          <w:b/>
          <w:bCs/>
          <w:rtl/>
        </w:rPr>
        <w:t>2020 - 2024</w:t>
      </w:r>
    </w:p>
    <w:p w:rsidR="00AA5065" w:rsidRPr="00AA5065" w:rsidP="00401221">
      <w:pPr>
        <w:spacing w:line="269" w:lineRule="auto"/>
        <w:jc w:val="center"/>
        <w:rPr>
          <w:rFonts w:ascii="David" w:eastAsia="Calibri" w:hAnsi="David"/>
          <w:szCs w:val="20"/>
          <w:rtl/>
        </w:rPr>
      </w:pPr>
      <w:r w:rsidRPr="00AA5065">
        <w:rPr>
          <w:rFonts w:ascii="David" w:eastAsia="Calibri" w:hAnsi="David"/>
          <w:noProof/>
          <w:szCs w:val="20"/>
          <w:rtl/>
          <w:lang w:val="he-IL"/>
        </w:rPr>
        <w:drawing>
          <wp:inline distT="0" distB="0" distL="0" distR="0">
            <wp:extent cx="5190352" cy="2283956"/>
            <wp:effectExtent l="0" t="0" r="0" b="2540"/>
            <wp:docPr id="37" name="תמונה 37" descr="תוכן התרשים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מפה מעודכנת תיקים לנפש 3.jpg"/>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rcRect l="12712" t="15160" r="10380" b="61578"/>
                    <a:stretch>
                      <a:fillRect/>
                    </a:stretch>
                  </pic:blipFill>
                  <pic:spPr bwMode="auto">
                    <a:xfrm>
                      <a:off x="0" y="0"/>
                      <a:ext cx="5213000" cy="229392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A5065" w:rsidRPr="00AA5065" w:rsidP="00860D89">
      <w:pPr>
        <w:spacing w:line="269" w:lineRule="auto"/>
        <w:jc w:val="left"/>
        <w:rPr>
          <w:rFonts w:ascii="David" w:eastAsia="Calibri" w:hAnsi="David"/>
          <w:szCs w:val="20"/>
          <w:rtl/>
        </w:rPr>
      </w:pPr>
      <w:r w:rsidRPr="00AA5065">
        <w:rPr>
          <w:rFonts w:ascii="David" w:eastAsia="Calibri" w:hAnsi="David" w:hint="cs"/>
          <w:szCs w:val="20"/>
          <w:rtl/>
        </w:rPr>
        <w:t>ה</w:t>
      </w:r>
      <w:r w:rsidRPr="00AA5065">
        <w:rPr>
          <w:rFonts w:ascii="David" w:eastAsia="Calibri" w:hAnsi="David"/>
          <w:szCs w:val="20"/>
          <w:rtl/>
        </w:rPr>
        <w:t xml:space="preserve">מקור: מרכז המחקר והמידע של הכנסת, </w:t>
      </w:r>
      <w:r w:rsidRPr="00AA5065">
        <w:rPr>
          <w:rFonts w:ascii="David" w:eastAsia="Calibri" w:hAnsi="David"/>
          <w:b/>
          <w:bCs/>
          <w:szCs w:val="20"/>
          <w:rtl/>
        </w:rPr>
        <w:t xml:space="preserve">לקט נתונים על פשיעה מדווחת בישראל מתחילת שנת 2019 עד סוף הרבעון השלישי של שנת 2024 </w:t>
      </w:r>
      <w:r w:rsidRPr="00AA5065">
        <w:rPr>
          <w:rFonts w:ascii="David" w:eastAsia="Calibri" w:hAnsi="David" w:hint="cs"/>
          <w:b/>
          <w:bCs/>
          <w:szCs w:val="20"/>
          <w:rtl/>
        </w:rPr>
        <w:t>-</w:t>
      </w:r>
      <w:r w:rsidRPr="00AA5065">
        <w:rPr>
          <w:rFonts w:ascii="David" w:eastAsia="Calibri" w:hAnsi="David"/>
          <w:b/>
          <w:bCs/>
          <w:szCs w:val="20"/>
          <w:rtl/>
        </w:rPr>
        <w:t xml:space="preserve"> גרסה מתוקנת</w:t>
      </w:r>
      <w:r w:rsidRPr="00AA5065">
        <w:rPr>
          <w:rFonts w:ascii="David" w:eastAsia="Calibri" w:hAnsi="David"/>
          <w:szCs w:val="20"/>
          <w:rtl/>
        </w:rPr>
        <w:t xml:space="preserve"> (25.11.24; עודכן ב-28.1.26)</w:t>
      </w:r>
      <w:r w:rsidRPr="00AA5065">
        <w:rPr>
          <w:rFonts w:ascii="David" w:eastAsia="Calibri" w:hAnsi="David" w:hint="cs"/>
          <w:szCs w:val="20"/>
          <w:rtl/>
        </w:rPr>
        <w:t>.</w:t>
      </w:r>
    </w:p>
    <w:p w:rsidR="00AA5065" w:rsidRPr="00AA5065" w:rsidP="00860D89">
      <w:pPr>
        <w:spacing w:line="269" w:lineRule="auto"/>
        <w:ind w:left="-567"/>
        <w:rPr>
          <w:rFonts w:eastAsia="Calibri"/>
          <w:szCs w:val="20"/>
        </w:rPr>
      </w:pPr>
    </w:p>
    <w:p w:rsidR="00AA5065" w:rsidRPr="00AA5065" w:rsidP="00860D89">
      <w:pPr>
        <w:spacing w:line="269" w:lineRule="auto"/>
        <w:rPr>
          <w:rFonts w:ascii="David" w:eastAsia="Calibri" w:hAnsi="David"/>
          <w:b/>
          <w:bCs/>
          <w:rtl/>
        </w:rPr>
      </w:pPr>
      <w:r w:rsidRPr="00AA5065">
        <w:rPr>
          <w:rFonts w:ascii="David" w:eastAsia="Calibri" w:hAnsi="David" w:hint="cs"/>
          <w:b/>
          <w:bCs/>
          <w:rtl/>
        </w:rPr>
        <w:t>מהמפה ומהתרשים</w:t>
      </w:r>
      <w:r w:rsidRPr="00AA5065">
        <w:rPr>
          <w:rFonts w:ascii="David" w:eastAsia="Calibri" w:hAnsi="David"/>
          <w:b/>
          <w:bCs/>
          <w:rtl/>
        </w:rPr>
        <w:t xml:space="preserve"> עולה כי בבחינה כלל-ארצית, </w:t>
      </w:r>
      <w:r w:rsidRPr="00AA5065">
        <w:rPr>
          <w:rFonts w:ascii="David" w:eastAsia="Calibri" w:hAnsi="David" w:hint="eastAsia"/>
          <w:b/>
          <w:bCs/>
          <w:rtl/>
        </w:rPr>
        <w:t>ב</w:t>
      </w:r>
      <w:r w:rsidRPr="00AA5065">
        <w:rPr>
          <w:rFonts w:ascii="David" w:eastAsia="Calibri" w:hAnsi="David"/>
          <w:b/>
          <w:bCs/>
          <w:rtl/>
        </w:rPr>
        <w:t xml:space="preserve">שנים 2020 </w:t>
      </w:r>
      <w:r w:rsidRPr="00AA5065">
        <w:rPr>
          <w:rFonts w:ascii="David" w:eastAsia="Calibri" w:hAnsi="David" w:hint="cs"/>
          <w:b/>
          <w:bCs/>
          <w:rtl/>
        </w:rPr>
        <w:t>עד</w:t>
      </w:r>
      <w:r w:rsidRPr="00AA5065">
        <w:rPr>
          <w:rFonts w:ascii="David" w:eastAsia="Calibri" w:hAnsi="David"/>
          <w:b/>
          <w:bCs/>
          <w:rtl/>
        </w:rPr>
        <w:t xml:space="preserve"> 2024 נפתחו </w:t>
      </w:r>
      <w:r w:rsidRPr="00AA5065">
        <w:rPr>
          <w:rFonts w:ascii="David" w:eastAsia="Calibri" w:hAnsi="David" w:hint="cs"/>
          <w:b/>
          <w:bCs/>
          <w:rtl/>
        </w:rPr>
        <w:t>30</w:t>
      </w:r>
      <w:r w:rsidRPr="00AA5065">
        <w:rPr>
          <w:rFonts w:ascii="David" w:eastAsia="Calibri" w:hAnsi="David"/>
          <w:b/>
          <w:bCs/>
          <w:rtl/>
        </w:rPr>
        <w:t xml:space="preserve"> תיקים לכל 1,000 נפש בממוצע </w:t>
      </w:r>
      <w:r w:rsidRPr="00AA5065">
        <w:rPr>
          <w:rFonts w:ascii="David" w:eastAsia="Calibri" w:hAnsi="David" w:hint="cs"/>
          <w:b/>
          <w:bCs/>
          <w:rtl/>
        </w:rPr>
        <w:t xml:space="preserve">שנתי </w:t>
      </w:r>
      <w:r w:rsidRPr="00AA5065">
        <w:rPr>
          <w:rFonts w:ascii="David" w:eastAsia="Calibri" w:hAnsi="David"/>
          <w:b/>
          <w:bCs/>
          <w:rtl/>
        </w:rPr>
        <w:t>ארצי. מספר התיקים הג</w:t>
      </w:r>
      <w:r w:rsidRPr="00AA5065">
        <w:rPr>
          <w:rFonts w:ascii="David" w:eastAsia="Calibri" w:hAnsi="David" w:hint="cs"/>
          <w:b/>
          <w:bCs/>
          <w:rtl/>
        </w:rPr>
        <w:t>דול</w:t>
      </w:r>
      <w:r w:rsidRPr="00AA5065">
        <w:rPr>
          <w:rFonts w:ascii="David" w:eastAsia="Calibri" w:hAnsi="David"/>
          <w:b/>
          <w:bCs/>
          <w:rtl/>
        </w:rPr>
        <w:t xml:space="preserve"> ביותר</w:t>
      </w:r>
      <w:r w:rsidRPr="00AA5065">
        <w:rPr>
          <w:rFonts w:ascii="David" w:eastAsia="Calibri" w:hAnsi="David" w:hint="cs"/>
          <w:b/>
          <w:bCs/>
          <w:rtl/>
        </w:rPr>
        <w:t xml:space="preserve"> </w:t>
      </w:r>
      <w:r w:rsidRPr="00AA5065">
        <w:rPr>
          <w:rFonts w:ascii="David" w:eastAsia="Calibri" w:hAnsi="David"/>
          <w:b/>
          <w:bCs/>
          <w:rtl/>
        </w:rPr>
        <w:t xml:space="preserve">לכל 1,000 נפש היה </w:t>
      </w:r>
      <w:r w:rsidRPr="00AA5065">
        <w:rPr>
          <w:rFonts w:ascii="David" w:eastAsia="Calibri" w:hAnsi="David" w:hint="cs"/>
          <w:b/>
          <w:bCs/>
          <w:rtl/>
        </w:rPr>
        <w:t>במחוז</w:t>
      </w:r>
      <w:r w:rsidRPr="00AA5065">
        <w:rPr>
          <w:rFonts w:ascii="David" w:eastAsia="Calibri" w:hAnsi="David"/>
          <w:b/>
          <w:bCs/>
          <w:rtl/>
        </w:rPr>
        <w:t xml:space="preserve"> דרום</w:t>
      </w:r>
      <w:r>
        <w:rPr>
          <w:rFonts w:ascii="David" w:eastAsia="Calibri" w:hAnsi="David"/>
          <w:b/>
          <w:bCs/>
          <w:vertAlign w:val="superscript"/>
          <w:rtl/>
        </w:rPr>
        <w:footnoteReference w:id="77"/>
      </w:r>
      <w:r w:rsidRPr="00AA5065">
        <w:rPr>
          <w:rFonts w:ascii="David" w:eastAsia="Calibri" w:hAnsi="David" w:hint="cs"/>
          <w:b/>
          <w:bCs/>
          <w:rtl/>
        </w:rPr>
        <w:t>, 39</w:t>
      </w:r>
      <w:r w:rsidRPr="00AA5065">
        <w:rPr>
          <w:rFonts w:ascii="David" w:eastAsia="Calibri" w:hAnsi="David"/>
          <w:b/>
          <w:bCs/>
          <w:rtl/>
        </w:rPr>
        <w:t xml:space="preserve"> תיקים לכל 1,000 נפש</w:t>
      </w:r>
      <w:r w:rsidRPr="00AA5065">
        <w:rPr>
          <w:rFonts w:ascii="David" w:eastAsia="Calibri" w:hAnsi="David" w:hint="cs"/>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eastAsia"/>
          <w:b/>
          <w:bCs/>
          <w:rtl/>
        </w:rPr>
        <w:t>עם</w:t>
      </w:r>
      <w:r w:rsidRPr="00AA5065">
        <w:rPr>
          <w:rFonts w:ascii="David" w:eastAsia="Calibri" w:hAnsi="David"/>
          <w:b/>
          <w:bCs/>
          <w:rtl/>
        </w:rPr>
        <w:t xml:space="preserve"> </w:t>
      </w:r>
      <w:r w:rsidRPr="00AA5065">
        <w:rPr>
          <w:rFonts w:ascii="David" w:eastAsia="Calibri" w:hAnsi="David" w:hint="eastAsia"/>
          <w:b/>
          <w:bCs/>
          <w:rtl/>
        </w:rPr>
        <w:t>זאת</w:t>
      </w:r>
      <w:r w:rsidRPr="00AA5065">
        <w:rPr>
          <w:rFonts w:ascii="David" w:eastAsia="Calibri" w:hAnsi="David"/>
          <w:b/>
          <w:bCs/>
          <w:rtl/>
        </w:rPr>
        <w:t xml:space="preserve"> </w:t>
      </w:r>
      <w:r w:rsidRPr="00AA5065">
        <w:rPr>
          <w:rFonts w:ascii="David" w:eastAsia="Calibri" w:hAnsi="David" w:hint="eastAsia"/>
          <w:b/>
          <w:bCs/>
          <w:rtl/>
        </w:rPr>
        <w:t>מ</w:t>
      </w:r>
      <w:r w:rsidRPr="00AA5065">
        <w:rPr>
          <w:rFonts w:ascii="David" w:eastAsia="Calibri" w:hAnsi="David"/>
          <w:b/>
          <w:bCs/>
          <w:rtl/>
        </w:rPr>
        <w:t xml:space="preserve">ממצאי </w:t>
      </w:r>
      <w:r w:rsidRPr="00AA5065">
        <w:rPr>
          <w:rFonts w:ascii="David" w:eastAsia="Calibri" w:hAnsi="David" w:hint="eastAsia"/>
          <w:b/>
          <w:bCs/>
          <w:rtl/>
        </w:rPr>
        <w:t>ביקורת</w:t>
      </w:r>
      <w:r w:rsidRPr="00AA5065">
        <w:rPr>
          <w:rFonts w:ascii="David" w:eastAsia="Calibri" w:hAnsi="David"/>
          <w:b/>
          <w:bCs/>
          <w:rtl/>
        </w:rPr>
        <w:t xml:space="preserve"> המעקב </w:t>
      </w:r>
      <w:r w:rsidRPr="00AA5065">
        <w:rPr>
          <w:rFonts w:ascii="David" w:eastAsia="Calibri" w:hAnsi="David" w:hint="eastAsia"/>
          <w:b/>
          <w:bCs/>
          <w:rtl/>
        </w:rPr>
        <w:t>עולה</w:t>
      </w:r>
      <w:r w:rsidRPr="00AA5065">
        <w:rPr>
          <w:rFonts w:ascii="David" w:eastAsia="Calibri" w:hAnsi="David"/>
          <w:b/>
          <w:bCs/>
          <w:rtl/>
        </w:rPr>
        <w:t xml:space="preserve"> </w:t>
      </w:r>
      <w:r w:rsidRPr="00AA5065">
        <w:rPr>
          <w:rFonts w:ascii="David" w:eastAsia="Calibri" w:hAnsi="David" w:hint="eastAsia"/>
          <w:b/>
          <w:bCs/>
          <w:rtl/>
        </w:rPr>
        <w:t>כי</w:t>
      </w:r>
      <w:r w:rsidRPr="00AA5065">
        <w:rPr>
          <w:rFonts w:ascii="David" w:eastAsia="Calibri" w:hAnsi="David"/>
          <w:b/>
          <w:bCs/>
          <w:rtl/>
        </w:rPr>
        <w:t xml:space="preserve"> טרם הוקמו תחנות משטרה חדשות בחורה, כסיפה ולק</w:t>
      </w:r>
      <w:r w:rsidRPr="00AA5065">
        <w:rPr>
          <w:rFonts w:ascii="David" w:eastAsia="Calibri" w:hAnsi="David" w:hint="eastAsia"/>
          <w:b/>
          <w:bCs/>
          <w:rtl/>
        </w:rPr>
        <w:t>י</w:t>
      </w:r>
      <w:r w:rsidRPr="00AA5065">
        <w:rPr>
          <w:rFonts w:ascii="David" w:eastAsia="Calibri" w:hAnsi="David"/>
          <w:b/>
          <w:bCs/>
          <w:rtl/>
        </w:rPr>
        <w:t xml:space="preserve">יה, </w:t>
      </w:r>
      <w:r w:rsidRPr="00AA5065">
        <w:rPr>
          <w:rFonts w:ascii="David" w:eastAsia="Calibri" w:hAnsi="David" w:hint="eastAsia"/>
          <w:b/>
          <w:bCs/>
          <w:rtl/>
        </w:rPr>
        <w:t>כך</w:t>
      </w:r>
      <w:r w:rsidRPr="00AA5065">
        <w:rPr>
          <w:rFonts w:ascii="David" w:eastAsia="Calibri" w:hAnsi="David"/>
          <w:b/>
          <w:bCs/>
          <w:rtl/>
        </w:rPr>
        <w:t xml:space="preserve"> </w:t>
      </w:r>
      <w:r w:rsidRPr="00AA5065">
        <w:rPr>
          <w:rFonts w:ascii="David" w:eastAsia="Calibri" w:hAnsi="David" w:hint="eastAsia"/>
          <w:b/>
          <w:bCs/>
          <w:rtl/>
        </w:rPr>
        <w:t>ש</w:t>
      </w:r>
      <w:r w:rsidRPr="00AA5065">
        <w:rPr>
          <w:rFonts w:ascii="David" w:eastAsia="Calibri" w:hAnsi="David"/>
          <w:b/>
          <w:bCs/>
          <w:rtl/>
        </w:rPr>
        <w:t>תושבי חורה ולק</w:t>
      </w:r>
      <w:r w:rsidRPr="00AA5065">
        <w:rPr>
          <w:rFonts w:ascii="David" w:eastAsia="Calibri" w:hAnsi="David" w:hint="eastAsia"/>
          <w:b/>
          <w:bCs/>
          <w:rtl/>
        </w:rPr>
        <w:t>י</w:t>
      </w:r>
      <w:r w:rsidRPr="00AA5065">
        <w:rPr>
          <w:rFonts w:ascii="David" w:eastAsia="Calibri" w:hAnsi="David"/>
          <w:b/>
          <w:bCs/>
          <w:rtl/>
        </w:rPr>
        <w:t xml:space="preserve">יה ממשיכים לקבל שירות מתחנת עיירות, </w:t>
      </w:r>
      <w:r w:rsidRPr="00AA5065">
        <w:rPr>
          <w:rFonts w:ascii="David" w:eastAsia="Calibri" w:hAnsi="David" w:hint="eastAsia"/>
          <w:b/>
          <w:bCs/>
          <w:rtl/>
        </w:rPr>
        <w:t>ואילו</w:t>
      </w:r>
      <w:r w:rsidRPr="00AA5065">
        <w:rPr>
          <w:rFonts w:ascii="David" w:eastAsia="Calibri" w:hAnsi="David"/>
          <w:b/>
          <w:bCs/>
          <w:rtl/>
        </w:rPr>
        <w:t xml:space="preserve"> תושבי כסיפה מקבלים שירות מתחנת ערוער.</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מפקד מחוז דרום דאז ציין לפני צוות הביקורת</w:t>
      </w:r>
      <w:r>
        <w:rPr>
          <w:rFonts w:ascii="David" w:eastAsia="Calibri" w:hAnsi="David"/>
          <w:vertAlign w:val="superscript"/>
          <w:rtl/>
        </w:rPr>
        <w:footnoteReference w:id="78"/>
      </w:r>
      <w:r w:rsidRPr="00AA5065">
        <w:rPr>
          <w:rFonts w:ascii="David" w:eastAsia="Calibri" w:hAnsi="David" w:hint="cs"/>
          <w:rtl/>
        </w:rPr>
        <w:t xml:space="preserve"> כי</w:t>
      </w:r>
      <w:r w:rsidRPr="00AA5065">
        <w:rPr>
          <w:rFonts w:ascii="David" w:eastAsia="Calibri" w:hAnsi="David"/>
          <w:rtl/>
        </w:rPr>
        <w:t xml:space="preserve"> </w:t>
      </w:r>
      <w:r w:rsidRPr="00AA5065">
        <w:rPr>
          <w:rFonts w:ascii="David" w:eastAsia="Calibri" w:hAnsi="David" w:hint="cs"/>
          <w:rtl/>
        </w:rPr>
        <w:t>"</w:t>
      </w:r>
      <w:r w:rsidRPr="00AA5065">
        <w:rPr>
          <w:rFonts w:ascii="David" w:eastAsia="Calibri" w:hAnsi="David"/>
          <w:rtl/>
        </w:rPr>
        <w:t>תחנת עיירות הי</w:t>
      </w:r>
      <w:r w:rsidRPr="00AA5065">
        <w:rPr>
          <w:rFonts w:ascii="David" w:eastAsia="Calibri" w:hAnsi="David" w:hint="cs"/>
          <w:rtl/>
        </w:rPr>
        <w:t>י</w:t>
      </w:r>
      <w:r w:rsidRPr="00AA5065">
        <w:rPr>
          <w:rFonts w:ascii="David" w:eastAsia="Calibri" w:hAnsi="David"/>
          <w:rtl/>
        </w:rPr>
        <w:t>תה אחראית על שטח ענק, לאחר שהקימו את תחנות ערוער ושגב שלום, הנגישות לתושבים עלתה, וכתוצאה מכך ניכרה גם עליה בכמות התלונות</w:t>
      </w:r>
      <w:r w:rsidRPr="00AA5065">
        <w:rPr>
          <w:rFonts w:ascii="David" w:eastAsia="Calibri" w:hAnsi="David" w:hint="cs"/>
          <w:rtl/>
        </w:rPr>
        <w:t>". עוד הוא ציין</w:t>
      </w:r>
      <w:r w:rsidRPr="00AA5065">
        <w:rPr>
          <w:rFonts w:ascii="David" w:eastAsia="Calibri" w:hAnsi="David"/>
          <w:rtl/>
        </w:rPr>
        <w:t xml:space="preserve"> כי </w:t>
      </w:r>
      <w:r w:rsidRPr="00AA5065">
        <w:rPr>
          <w:rFonts w:ascii="David" w:eastAsia="Calibri" w:hAnsi="David" w:hint="cs"/>
          <w:rtl/>
        </w:rPr>
        <w:t>אם</w:t>
      </w:r>
      <w:r w:rsidRPr="00AA5065">
        <w:rPr>
          <w:rFonts w:ascii="David" w:eastAsia="Calibri" w:hAnsi="David"/>
          <w:rtl/>
        </w:rPr>
        <w:t xml:space="preserve"> יתווספו תחנות נוספות בלקי</w:t>
      </w:r>
      <w:r w:rsidRPr="00AA5065">
        <w:rPr>
          <w:rFonts w:ascii="David" w:eastAsia="Calibri" w:hAnsi="David" w:hint="cs"/>
          <w:rtl/>
        </w:rPr>
        <w:t>י</w:t>
      </w:r>
      <w:r w:rsidRPr="00AA5065">
        <w:rPr>
          <w:rFonts w:ascii="David" w:eastAsia="Calibri" w:hAnsi="David"/>
          <w:rtl/>
        </w:rPr>
        <w:t>ה</w:t>
      </w:r>
      <w:r w:rsidRPr="00AA5065">
        <w:rPr>
          <w:rFonts w:ascii="David" w:eastAsia="Calibri" w:hAnsi="David" w:hint="cs"/>
          <w:rtl/>
        </w:rPr>
        <w:t>,</w:t>
      </w:r>
      <w:r w:rsidRPr="00AA5065">
        <w:rPr>
          <w:rFonts w:ascii="David" w:eastAsia="Calibri" w:hAnsi="David"/>
          <w:rtl/>
        </w:rPr>
        <w:t xml:space="preserve"> תל שבע</w:t>
      </w:r>
      <w:r w:rsidRPr="00AA5065">
        <w:rPr>
          <w:rFonts w:ascii="David" w:eastAsia="Calibri" w:hAnsi="David" w:hint="cs"/>
          <w:rtl/>
        </w:rPr>
        <w:t>,</w:t>
      </w:r>
      <w:r w:rsidRPr="00AA5065">
        <w:rPr>
          <w:rFonts w:ascii="David" w:eastAsia="Calibri" w:hAnsi="David"/>
          <w:rtl/>
        </w:rPr>
        <w:t xml:space="preserve"> חורה ועוד, השירות לאזרחים יהיה נגיש יותר, וכתוצאה מכך י</w:t>
      </w:r>
      <w:r w:rsidRPr="00AA5065">
        <w:rPr>
          <w:rFonts w:ascii="David" w:eastAsia="Calibri" w:hAnsi="David" w:hint="cs"/>
          <w:rtl/>
        </w:rPr>
        <w:t>חול</w:t>
      </w:r>
      <w:r w:rsidRPr="00AA5065">
        <w:rPr>
          <w:rFonts w:ascii="David" w:eastAsia="Calibri" w:hAnsi="David"/>
          <w:rtl/>
        </w:rPr>
        <w:t xml:space="preserve"> שיפור הן במספר התלונות והן בהשפעה על הביטחון האישי.</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bookmarkStart w:id="79" w:name="_Hlk192068524"/>
      <w:r w:rsidRPr="00AA5065">
        <w:rPr>
          <w:rFonts w:ascii="David" w:eastAsia="Calibri" w:hAnsi="David" w:hint="cs"/>
          <w:b/>
          <w:bCs/>
          <w:rtl/>
        </w:rPr>
        <w:t xml:space="preserve">בביקורת הקודמת עלה כי בניגוד לנקבע בתוכנית החומש משנת 2016 </w:t>
      </w:r>
      <w:r w:rsidRPr="00AA5065">
        <w:rPr>
          <w:rFonts w:ascii="David" w:eastAsia="Calibri" w:hAnsi="David"/>
          <w:b/>
          <w:bCs/>
          <w:rtl/>
        </w:rPr>
        <w:t>טרם הוקמו תחנות משטרה ב</w:t>
      </w:r>
      <w:r w:rsidRPr="00AA5065">
        <w:rPr>
          <w:rFonts w:ascii="David" w:eastAsia="Calibri" w:hAnsi="David" w:hint="cs"/>
          <w:b/>
          <w:bCs/>
          <w:rtl/>
        </w:rPr>
        <w:t xml:space="preserve">יישובים </w:t>
      </w:r>
      <w:r w:rsidRPr="00AA5065">
        <w:rPr>
          <w:rFonts w:ascii="David" w:eastAsia="Calibri" w:hAnsi="David"/>
          <w:b/>
          <w:bCs/>
          <w:rtl/>
        </w:rPr>
        <w:t xml:space="preserve">חורה, כסיפה </w:t>
      </w:r>
      <w:r w:rsidRPr="00AA5065">
        <w:rPr>
          <w:rFonts w:ascii="David" w:eastAsia="Calibri" w:hAnsi="David" w:hint="cs"/>
          <w:b/>
          <w:bCs/>
          <w:rtl/>
        </w:rPr>
        <w:t>ו</w:t>
      </w:r>
      <w:r w:rsidRPr="00AA5065">
        <w:rPr>
          <w:rFonts w:ascii="David" w:eastAsia="Calibri" w:hAnsi="David"/>
          <w:b/>
          <w:bCs/>
          <w:rtl/>
        </w:rPr>
        <w:t>לקי</w:t>
      </w:r>
      <w:r w:rsidRPr="00AA5065">
        <w:rPr>
          <w:rFonts w:ascii="David" w:eastAsia="Calibri" w:hAnsi="David" w:hint="cs"/>
          <w:b/>
          <w:bCs/>
          <w:rtl/>
        </w:rPr>
        <w:t>י</w:t>
      </w:r>
      <w:r w:rsidRPr="00AA5065">
        <w:rPr>
          <w:rFonts w:ascii="David" w:eastAsia="Calibri" w:hAnsi="David"/>
          <w:b/>
          <w:bCs/>
          <w:rtl/>
        </w:rPr>
        <w:t>ה</w:t>
      </w:r>
      <w:r w:rsidRPr="00AA5065">
        <w:rPr>
          <w:rFonts w:ascii="David" w:eastAsia="Calibri" w:hAnsi="David" w:hint="cs"/>
          <w:b/>
          <w:bCs/>
          <w:rtl/>
        </w:rPr>
        <w:t xml:space="preserve">. בביקורת המעקב נמצא כי </w:t>
      </w:r>
      <w:r w:rsidRPr="00AA5065">
        <w:rPr>
          <w:rFonts w:ascii="David" w:eastAsia="Calibri" w:hAnsi="David"/>
          <w:b/>
          <w:bCs/>
          <w:rtl/>
        </w:rPr>
        <w:t>הליקוי לא תוקן</w:t>
      </w:r>
      <w:bookmarkEnd w:id="79"/>
      <w:r w:rsidRPr="00AA5065">
        <w:rPr>
          <w:rFonts w:ascii="David" w:eastAsia="Calibri" w:hAnsi="David" w:hint="cs"/>
          <w:b/>
          <w:bCs/>
          <w:rtl/>
        </w:rPr>
        <w:t>,</w:t>
      </w:r>
      <w:r w:rsidRPr="00AA5065">
        <w:rPr>
          <w:rFonts w:ascii="David" w:eastAsia="Calibri" w:hAnsi="David"/>
          <w:b/>
          <w:bCs/>
          <w:rtl/>
        </w:rPr>
        <w:t xml:space="preserve"> טרם הוקמו תחנות משטרה בישובים חורה, כסיפה ולקי</w:t>
      </w:r>
      <w:r w:rsidRPr="00AA5065">
        <w:rPr>
          <w:rFonts w:ascii="David" w:eastAsia="Calibri" w:hAnsi="David" w:hint="cs"/>
          <w:b/>
          <w:bCs/>
          <w:rtl/>
        </w:rPr>
        <w:t>י</w:t>
      </w:r>
      <w:r w:rsidRPr="00AA5065">
        <w:rPr>
          <w:rFonts w:ascii="David" w:eastAsia="Calibri" w:hAnsi="David"/>
          <w:b/>
          <w:bCs/>
          <w:rtl/>
        </w:rPr>
        <w:t>ה</w:t>
      </w:r>
      <w:r w:rsidRPr="00AA5065">
        <w:rPr>
          <w:rFonts w:ascii="David" w:eastAsia="Calibri" w:hAnsi="David" w:hint="cs"/>
          <w:b/>
          <w:bCs/>
          <w:rtl/>
        </w:rPr>
        <w:t xml:space="preserve">. הדבר </w:t>
      </w:r>
      <w:r w:rsidRPr="00AA5065">
        <w:rPr>
          <w:rFonts w:ascii="David" w:eastAsia="Calibri" w:hAnsi="David"/>
          <w:b/>
          <w:bCs/>
          <w:rtl/>
        </w:rPr>
        <w:t>מעכב את יישום תוכנית חיזוק מערך המשטרה ביישובים אלו, פוגע בזמינות השירותים המשטרתיים לתושבים ועלול להשפיע לרעה על רמת הביטחון באזור.</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ind w:left="397"/>
        <w:jc w:val="center"/>
        <w:rPr>
          <w:rFonts w:ascii="David" w:eastAsia="Calibri" w:hAnsi="David"/>
          <w:b/>
          <w:bCs/>
          <w:color w:val="0D0D0D"/>
          <w:sz w:val="24"/>
          <w:rtl/>
        </w:rPr>
      </w:pPr>
      <w:bookmarkStart w:id="80" w:name="_Hlk192068433"/>
      <w:r w:rsidRPr="00AA5065">
        <w:rPr>
          <w:rFonts w:ascii="David" w:eastAsia="Calibri" w:hAnsi="David"/>
          <w:b/>
          <w:bCs/>
          <w:color w:val="0D0D0D"/>
          <w:sz w:val="24"/>
          <w:rtl/>
        </w:rPr>
        <w:t>מידת תיקון הליקוי</w:t>
      </w:r>
    </w:p>
    <w:p w:rsidR="00AA5065" w:rsidRPr="00AA5065" w:rsidP="00860D89">
      <w:pPr>
        <w:spacing w:line="269" w:lineRule="auto"/>
        <w:ind w:left="397"/>
        <w:jc w:val="center"/>
        <w:rPr>
          <w:rFonts w:ascii="David" w:eastAsia="Calibri" w:hAnsi="David"/>
          <w:b/>
          <w:rtl/>
        </w:rPr>
      </w:pPr>
      <w:r w:rsidRPr="00AA5065">
        <w:rPr>
          <w:rFonts w:ascii="David" w:eastAsia="Calibri" w:hAnsi="David"/>
          <w:noProof/>
        </w:rPr>
        <w:drawing>
          <wp:inline distT="0" distB="0" distL="0" distR="0">
            <wp:extent cx="3960000" cy="740487"/>
            <wp:effectExtent l="0" t="0" r="0" b="0"/>
            <wp:docPr id="40" name="תמונה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תמונה 1095261540"/>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0000" cy="740487"/>
                    </a:xfrm>
                    <a:prstGeom prst="rect">
                      <a:avLst/>
                    </a:prstGeom>
                    <a:noFill/>
                    <a:ln>
                      <a:noFill/>
                    </a:ln>
                  </pic:spPr>
                </pic:pic>
              </a:graphicData>
            </a:graphic>
          </wp:inline>
        </w:drawing>
      </w:r>
    </w:p>
    <w:p w:rsidR="00AA5065" w:rsidRPr="00AA5065" w:rsidP="00E07D80">
      <w:pPr>
        <w:spacing w:after="120" w:line="269" w:lineRule="auto"/>
        <w:ind w:left="-567"/>
        <w:rPr>
          <w:rFonts w:eastAsia="Calibri"/>
          <w:szCs w:val="20"/>
          <w:rtl/>
        </w:rPr>
      </w:pPr>
      <w:bookmarkStart w:id="81" w:name="_Hlk203558587"/>
      <w:bookmarkEnd w:id="80"/>
    </w:p>
    <w:p w:rsidR="00AA5065" w:rsidRPr="00AA5065" w:rsidP="00860D89">
      <w:pPr>
        <w:spacing w:line="269" w:lineRule="auto"/>
        <w:rPr>
          <w:rFonts w:eastAsia="Calibri"/>
          <w:b/>
          <w:bCs/>
          <w:rtl/>
        </w:rPr>
      </w:pPr>
      <w:r w:rsidRPr="00AA5065">
        <w:rPr>
          <w:rFonts w:eastAsia="Calibri" w:hint="eastAsia"/>
          <w:b/>
          <w:bCs/>
          <w:rtl/>
        </w:rPr>
        <w:t>מומלץ</w:t>
      </w:r>
      <w:r w:rsidRPr="00AA5065">
        <w:rPr>
          <w:rFonts w:eastAsia="Calibri"/>
          <w:b/>
          <w:bCs/>
          <w:rtl/>
        </w:rPr>
        <w:t xml:space="preserve"> כי </w:t>
      </w:r>
      <w:r w:rsidRPr="00AA5065">
        <w:rPr>
          <w:rFonts w:eastAsia="Calibri" w:hint="cs"/>
          <w:b/>
          <w:bCs/>
          <w:rtl/>
        </w:rPr>
        <w:t xml:space="preserve">המשרד לביטחון לאומי בשיתוף עם </w:t>
      </w:r>
      <w:r w:rsidRPr="00AA5065">
        <w:rPr>
          <w:rFonts w:eastAsia="Calibri"/>
          <w:b/>
          <w:bCs/>
          <w:rtl/>
        </w:rPr>
        <w:t>משטרת ישראל ‏</w:t>
      </w:r>
      <w:r w:rsidRPr="00AA5065">
        <w:rPr>
          <w:rFonts w:eastAsia="Calibri" w:hint="cs"/>
          <w:b/>
          <w:bCs/>
          <w:rtl/>
        </w:rPr>
        <w:t>יפעלו להקמת מרכזי שיטור קהילתיים ותחנות משטרה חדשות, אשר יעלו את היקף הנוכחות במרחבים העירוניים, כדי</w:t>
      </w:r>
      <w:r w:rsidRPr="00AA5065">
        <w:rPr>
          <w:rFonts w:eastAsia="Calibri"/>
          <w:b/>
          <w:bCs/>
          <w:rtl/>
        </w:rPr>
        <w:t xml:space="preserve"> </w:t>
      </w:r>
      <w:r w:rsidRPr="00AA5065">
        <w:rPr>
          <w:rFonts w:eastAsia="Calibri" w:hint="cs"/>
          <w:b/>
          <w:bCs/>
          <w:rtl/>
        </w:rPr>
        <w:t xml:space="preserve">להגביר את </w:t>
      </w:r>
      <w:r w:rsidRPr="00AA5065">
        <w:rPr>
          <w:rFonts w:eastAsia="Calibri"/>
          <w:b/>
          <w:bCs/>
          <w:rtl/>
        </w:rPr>
        <w:t>זמינות השירותים המשטרתיים ו</w:t>
      </w:r>
      <w:r w:rsidRPr="00AA5065">
        <w:rPr>
          <w:rFonts w:eastAsia="Calibri" w:hint="cs"/>
          <w:b/>
          <w:bCs/>
          <w:rtl/>
        </w:rPr>
        <w:t xml:space="preserve">העלאת </w:t>
      </w:r>
      <w:r w:rsidRPr="00AA5065">
        <w:rPr>
          <w:rFonts w:eastAsia="Calibri"/>
          <w:b/>
          <w:bCs/>
          <w:rtl/>
        </w:rPr>
        <w:t>רמת הביטחון באזור,</w:t>
      </w:r>
      <w:r w:rsidRPr="00AA5065">
        <w:rPr>
          <w:rFonts w:eastAsia="Calibri" w:hint="cs"/>
          <w:b/>
          <w:bCs/>
          <w:rtl/>
        </w:rPr>
        <w:t xml:space="preserve"> </w:t>
      </w:r>
      <w:r w:rsidRPr="00AA5065">
        <w:rPr>
          <w:rFonts w:eastAsia="Calibri"/>
          <w:b/>
          <w:bCs/>
          <w:rtl/>
        </w:rPr>
        <w:t>תוך שיתוף פעולה עם הרשויות המקומיות</w:t>
      </w:r>
      <w:r w:rsidRPr="00AA5065">
        <w:rPr>
          <w:rFonts w:eastAsia="Calibri" w:hint="cs"/>
          <w:b/>
          <w:bCs/>
          <w:rtl/>
        </w:rPr>
        <w:t>.</w:t>
      </w:r>
      <w:bookmarkEnd w:id="81"/>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 xml:space="preserve">המועצה המקומית חורה </w:t>
      </w:r>
      <w:r w:rsidRPr="00AA5065">
        <w:rPr>
          <w:rFonts w:ascii="David" w:eastAsia="Calibri" w:hAnsi="David"/>
          <w:rtl/>
        </w:rPr>
        <w:t xml:space="preserve">מסרה בתשובתה מתאריך </w:t>
      </w:r>
      <w:r w:rsidRPr="00AA5065">
        <w:rPr>
          <w:rFonts w:ascii="David" w:eastAsia="Calibri" w:hAnsi="David" w:hint="cs"/>
          <w:rtl/>
        </w:rPr>
        <w:t>2</w:t>
      </w:r>
      <w:r w:rsidRPr="00AA5065">
        <w:rPr>
          <w:rFonts w:ascii="David" w:eastAsia="Calibri" w:hAnsi="David"/>
          <w:rtl/>
        </w:rPr>
        <w:t>.9.25 ‏כי</w:t>
      </w:r>
      <w:r w:rsidRPr="00AA5065">
        <w:rPr>
          <w:rFonts w:ascii="David" w:eastAsia="Calibri" w:hAnsi="David" w:hint="cs"/>
          <w:rtl/>
        </w:rPr>
        <w:t xml:space="preserve"> </w:t>
      </w:r>
      <w:r w:rsidRPr="00AA5065">
        <w:rPr>
          <w:rFonts w:ascii="David" w:eastAsia="Calibri" w:hAnsi="David"/>
          <w:rtl/>
        </w:rPr>
        <w:t>"המועצה המקומית חורה רואה בהקמת תחנת משטרה ביישוב צורך חיוני ודחוף לשמירה על ביטחון התושבים. מתוך אחריותה הציבורית, פעלה המועצה במהלך שנת 2023 והקצתה בשיתוף עם רשות מקרקעי ישראל מגרש ייעודי לטובת הקמת התחנה.</w:t>
      </w:r>
      <w:r w:rsidRPr="00AA5065">
        <w:rPr>
          <w:rFonts w:ascii="David" w:eastAsia="Calibri" w:hAnsi="David" w:hint="cs"/>
          <w:rtl/>
        </w:rPr>
        <w:t>.."</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משטרת ישראל מסרה בתשובתה כי היא "</w:t>
      </w:r>
      <w:r w:rsidRPr="00AA5065">
        <w:rPr>
          <w:rFonts w:ascii="David" w:eastAsia="Calibri" w:hAnsi="David"/>
          <w:rtl/>
        </w:rPr>
        <w:t>רואה חשיבות רבה בחיזוק תחושת הביטחון ומתן שירותי משטרה לכלל התושבים, תמשיך לפעול להגברת הנוכחות והאכיפה ומבצעת כל העת בחינה של כלל המקורות</w:t>
      </w:r>
      <w:r w:rsidRPr="00AA5065">
        <w:rPr>
          <w:rFonts w:ascii="David" w:eastAsia="Calibri" w:hAnsi="David" w:hint="cs"/>
          <w:rtl/>
        </w:rPr>
        <w:t xml:space="preserve">... </w:t>
      </w:r>
      <w:r w:rsidRPr="00AA5065">
        <w:rPr>
          <w:rFonts w:ascii="David" w:eastAsia="Calibri" w:hAnsi="David"/>
          <w:rtl/>
        </w:rPr>
        <w:t>מול כלל הצרכים הארגוניים ועושה את מירב המאמצים להתאים את בניין הכוח לאתגרים המשתנים. הקמת תחנות המשטרה תיבחן במסגרת תוכניות העבודה של משטרת ישראל</w:t>
      </w:r>
      <w:r w:rsidRPr="00AA5065">
        <w:rPr>
          <w:rFonts w:ascii="David" w:eastAsia="Calibri" w:hAnsi="David" w:hint="cs"/>
          <w:rtl/>
        </w:rPr>
        <w:t>". עוד מסרה המשטרה כי תוכנית החומש שכללה הקמת מרכזי שיטור קהילתיים או נקודות משטרה קוצצה, ולצורך הקמתם נדרש תקציב ייעודי בפריסה רב-שנתית. כמו כן, "</w:t>
      </w:r>
      <w:r w:rsidRPr="00AA5065">
        <w:rPr>
          <w:rFonts w:ascii="David" w:eastAsia="Calibri" w:hAnsi="David"/>
          <w:rtl/>
        </w:rPr>
        <w:t>בימים אלו הוחלט על פיצול מרחב נגב למרחב נגב מערבי ומרחב רותם שיכלול את תחנות ערד, דימונה, ערוער, שגב שלום ועיירות. הקמת המרחב תסייע בהתמודדות עם אתגרים ייחודיים ומורכבים ותאזן את מוטת השליטה ועומסי הפעילות המשטרתית</w:t>
      </w:r>
      <w:r w:rsidRPr="00AA5065">
        <w:rPr>
          <w:rFonts w:ascii="David" w:eastAsia="Calibri" w:hAnsi="David" w:hint="cs"/>
          <w:rtl/>
        </w:rPr>
        <w:t>"</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המשרד לביטחון לאומי מסר בתשובתו כי "...</w:t>
      </w:r>
      <w:r w:rsidRPr="00AA5065">
        <w:rPr>
          <w:rFonts w:ascii="David" w:eastAsia="Calibri" w:hAnsi="David"/>
          <w:rtl/>
        </w:rPr>
        <w:t>הקמת התחנות תיבחן במסגרת תוכניות העבודה של משטרת ישראל. כאשר הנושא יגיע לפתחו של המשרד לביטחון לאומי הוא ייבחן בהתאם. לאחרונה הוקם ע״י המשטרה ובאישור השר לביטחון לאומי מרחב חדש בנגב, ״מרחב רותם״, על מנת להגביר את פעילות המשטרה. המרחב כולל תקינה של 42 שוטרים במטה המרחב ו-75 שוטרים בימ״ר. כיום המרחב יושב זמנית במבנה בתל שבע</w:t>
      </w:r>
      <w:r w:rsidRPr="00AA5065">
        <w:rPr>
          <w:rFonts w:ascii="David" w:eastAsia="Calibri" w:hAnsi="David" w:hint="cs"/>
          <w:rtl/>
        </w:rPr>
        <w:t>"</w:t>
      </w:r>
      <w:r w:rsidRPr="00AA5065">
        <w:rPr>
          <w:rFonts w:ascii="David" w:eastAsia="Calibri" w:hAnsi="David"/>
          <w:rtl/>
        </w:rPr>
        <w:t>.</w:t>
      </w:r>
    </w:p>
    <w:p w:rsidR="00AA5065" w:rsidRPr="00AA5065" w:rsidP="00860D89">
      <w:pPr>
        <w:spacing w:line="269" w:lineRule="auto"/>
        <w:rPr>
          <w:rFonts w:eastAsia="Calibri"/>
          <w:rtl/>
        </w:rPr>
      </w:pPr>
    </w:p>
    <w:p w:rsidR="00AA5065" w:rsidRPr="00AA5065" w:rsidP="00860D89">
      <w:pPr>
        <w:keepNext/>
        <w:keepLines/>
        <w:spacing w:line="269" w:lineRule="auto"/>
        <w:outlineLvl w:val="3"/>
        <w:rPr>
          <w:rFonts w:eastAsia="Times New Roman"/>
          <w:bCs/>
          <w:szCs w:val="26"/>
          <w:rtl/>
        </w:rPr>
      </w:pPr>
      <w:r w:rsidRPr="00AA5065">
        <w:rPr>
          <w:rFonts w:eastAsia="Times New Roman" w:hint="cs"/>
          <w:bCs/>
          <w:szCs w:val="26"/>
          <w:rtl/>
        </w:rPr>
        <w:t>הקמת תחנת המשטרה ביישוב שגב שלום</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 xml:space="preserve">כאמור, </w:t>
      </w:r>
      <w:r w:rsidRPr="00AA5065">
        <w:rPr>
          <w:rFonts w:ascii="David" w:eastAsia="Calibri" w:hAnsi="David"/>
          <w:rtl/>
        </w:rPr>
        <w:t xml:space="preserve">באפריל 2016 אישרה הממשלה את תוכנית השר לביטחון </w:t>
      </w:r>
      <w:r w:rsidRPr="00AA5065">
        <w:rPr>
          <w:rFonts w:ascii="David" w:eastAsia="Calibri" w:hAnsi="David" w:hint="cs"/>
          <w:rtl/>
        </w:rPr>
        <w:t>ה</w:t>
      </w:r>
      <w:r w:rsidRPr="00AA5065">
        <w:rPr>
          <w:rFonts w:ascii="David" w:eastAsia="Calibri" w:hAnsi="David"/>
          <w:rtl/>
        </w:rPr>
        <w:t xml:space="preserve">פנים לחיזוק מערך המשטרה ‏ביישובי המגזר הערבי ובירושלים. התוכנית כללה </w:t>
      </w:r>
      <w:r w:rsidRPr="00AA5065">
        <w:rPr>
          <w:rFonts w:ascii="David" w:eastAsia="Calibri" w:hAnsi="David" w:hint="cs"/>
          <w:rtl/>
        </w:rPr>
        <w:t xml:space="preserve">בין היתר הקמת תחנת </w:t>
      </w:r>
      <w:r w:rsidRPr="00AA5065">
        <w:rPr>
          <w:rFonts w:ascii="David" w:eastAsia="Calibri" w:hAnsi="David"/>
          <w:rtl/>
        </w:rPr>
        <w:t xml:space="preserve">משטרה </w:t>
      </w:r>
      <w:r w:rsidRPr="00AA5065">
        <w:rPr>
          <w:rFonts w:ascii="David" w:eastAsia="Calibri" w:hAnsi="David" w:hint="cs"/>
          <w:rtl/>
        </w:rPr>
        <w:t xml:space="preserve">ביישוב </w:t>
      </w:r>
      <w:r w:rsidRPr="00AA5065">
        <w:rPr>
          <w:rFonts w:ascii="David" w:eastAsia="Calibri" w:hAnsi="David"/>
          <w:rtl/>
        </w:rPr>
        <w:t>שגב</w:t>
      </w:r>
      <w:r w:rsidRPr="00AA5065">
        <w:rPr>
          <w:rFonts w:ascii="David" w:eastAsia="Calibri" w:hAnsi="David" w:hint="cs"/>
          <w:rtl/>
        </w:rPr>
        <w:t xml:space="preserve"> </w:t>
      </w:r>
      <w:r w:rsidRPr="00AA5065">
        <w:rPr>
          <w:rFonts w:ascii="David" w:eastAsia="Calibri" w:hAnsi="David"/>
          <w:rtl/>
        </w:rPr>
        <w:t>שלום</w:t>
      </w:r>
      <w:r w:rsidRPr="00AA5065">
        <w:rPr>
          <w:rFonts w:ascii="David" w:eastAsia="Calibri" w:hAnsi="David"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בהחלטת </w:t>
      </w:r>
      <w:r w:rsidRPr="00AA5065">
        <w:rPr>
          <w:rFonts w:ascii="David" w:eastAsia="Calibri" w:hAnsi="David" w:hint="cs"/>
          <w:rtl/>
        </w:rPr>
        <w:t>ה</w:t>
      </w:r>
      <w:r w:rsidRPr="00AA5065">
        <w:rPr>
          <w:rFonts w:ascii="David" w:eastAsia="Calibri" w:hAnsi="David"/>
          <w:rtl/>
        </w:rPr>
        <w:t>ממשלה 549</w:t>
      </w:r>
      <w:r>
        <w:rPr>
          <w:rFonts w:ascii="David" w:eastAsia="Calibri" w:hAnsi="David"/>
          <w:vertAlign w:val="superscript"/>
          <w:rtl/>
        </w:rPr>
        <w:footnoteReference w:id="79"/>
      </w:r>
      <w:r w:rsidRPr="00AA5065">
        <w:rPr>
          <w:rFonts w:ascii="David" w:eastAsia="Calibri" w:hAnsi="David"/>
          <w:rtl/>
        </w:rPr>
        <w:t xml:space="preserve"> מאוקטובר 2021 נקבע כי יש להקים תחנת משטרה ביישוב שגב שלום ו</w:t>
      </w:r>
      <w:r w:rsidRPr="00AA5065">
        <w:rPr>
          <w:rFonts w:ascii="David" w:eastAsia="Calibri" w:hAnsi="David" w:hint="cs"/>
          <w:rtl/>
        </w:rPr>
        <w:t>ל</w:t>
      </w:r>
      <w:r w:rsidRPr="00AA5065">
        <w:rPr>
          <w:rFonts w:ascii="David" w:eastAsia="Calibri" w:hAnsi="David"/>
          <w:rtl/>
        </w:rPr>
        <w:t>רכז מאמצי</w:t>
      </w:r>
      <w:r w:rsidRPr="00AA5065">
        <w:rPr>
          <w:rFonts w:ascii="David" w:eastAsia="Calibri" w:hAnsi="David" w:hint="cs"/>
          <w:rtl/>
        </w:rPr>
        <w:t>ם</w:t>
      </w:r>
      <w:r w:rsidRPr="00AA5065">
        <w:rPr>
          <w:rFonts w:ascii="David" w:eastAsia="Calibri" w:hAnsi="David"/>
          <w:rtl/>
        </w:rPr>
        <w:t xml:space="preserve"> </w:t>
      </w:r>
      <w:r w:rsidRPr="00AA5065">
        <w:rPr>
          <w:rFonts w:ascii="David" w:eastAsia="Calibri" w:hAnsi="David" w:hint="cs"/>
          <w:rtl/>
        </w:rPr>
        <w:t>ל</w:t>
      </w:r>
      <w:r w:rsidRPr="00AA5065">
        <w:rPr>
          <w:rFonts w:ascii="David" w:eastAsia="Calibri" w:hAnsi="David"/>
          <w:rtl/>
        </w:rPr>
        <w:t>אכיפה ו</w:t>
      </w:r>
      <w:r w:rsidRPr="00AA5065">
        <w:rPr>
          <w:rFonts w:ascii="David" w:eastAsia="Calibri" w:hAnsi="David" w:hint="cs"/>
          <w:rtl/>
        </w:rPr>
        <w:t>למניעת פשיעה</w:t>
      </w:r>
      <w:r w:rsidRPr="00AA5065">
        <w:rPr>
          <w:rFonts w:ascii="David" w:eastAsia="Calibri" w:hAnsi="David"/>
          <w:rtl/>
        </w:rPr>
        <w:t xml:space="preserve"> ביישובי הבדואים בנגב. תחנת עיירות היא השנייה בגודלה במחוז דרום, ו</w:t>
      </w:r>
      <w:r w:rsidRPr="00AA5065">
        <w:rPr>
          <w:rFonts w:ascii="David" w:eastAsia="Calibri" w:hAnsi="David" w:hint="cs"/>
          <w:rtl/>
        </w:rPr>
        <w:t xml:space="preserve">היא </w:t>
      </w:r>
      <w:r w:rsidRPr="00AA5065">
        <w:rPr>
          <w:rFonts w:ascii="David" w:eastAsia="Calibri" w:hAnsi="David"/>
          <w:rtl/>
        </w:rPr>
        <w:t>נתנה שירות</w:t>
      </w:r>
      <w:r w:rsidRPr="00AA5065">
        <w:rPr>
          <w:rFonts w:ascii="David" w:eastAsia="Calibri" w:hAnsi="David" w:hint="cs"/>
          <w:rtl/>
        </w:rPr>
        <w:t>,</w:t>
      </w:r>
      <w:r w:rsidRPr="00AA5065">
        <w:rPr>
          <w:rFonts w:ascii="David" w:eastAsia="Calibri" w:hAnsi="David"/>
          <w:rtl/>
        </w:rPr>
        <w:t xml:space="preserve"> בין היתר</w:t>
      </w:r>
      <w:r w:rsidRPr="00AA5065">
        <w:rPr>
          <w:rFonts w:ascii="David" w:eastAsia="Calibri" w:hAnsi="David" w:hint="cs"/>
          <w:rtl/>
        </w:rPr>
        <w:t>,</w:t>
      </w:r>
      <w:r w:rsidRPr="00AA5065">
        <w:rPr>
          <w:rFonts w:ascii="David" w:eastAsia="Calibri" w:hAnsi="David"/>
          <w:rtl/>
        </w:rPr>
        <w:t xml:space="preserve"> גם לתושבי שגב שלום.</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bookmarkStart w:id="82" w:name="_Hlk196743115"/>
      <w:r w:rsidRPr="00AA5065">
        <w:rPr>
          <w:rFonts w:eastAsia="Times New Roman"/>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Pr>
      </w:pPr>
      <w:r w:rsidRPr="00AA5065">
        <w:rPr>
          <w:rFonts w:ascii="David" w:eastAsia="Calibri" w:hAnsi="David"/>
          <w:rtl/>
        </w:rPr>
        <w:t>ב</w:t>
      </w:r>
      <w:r w:rsidRPr="00AA5065">
        <w:rPr>
          <w:rFonts w:ascii="David" w:eastAsia="Calibri" w:hAnsi="David" w:hint="cs"/>
          <w:rtl/>
        </w:rPr>
        <w:t>ביקורת הקודמת</w:t>
      </w:r>
      <w:r w:rsidRPr="00AA5065">
        <w:rPr>
          <w:rFonts w:ascii="David" w:eastAsia="Calibri" w:hAnsi="David"/>
          <w:rtl/>
        </w:rPr>
        <w:t xml:space="preserve"> עלה כי נכון לפברואר 2020 </w:t>
      </w:r>
      <w:r w:rsidRPr="00AA5065">
        <w:rPr>
          <w:rFonts w:ascii="David" w:eastAsia="Calibri" w:hAnsi="David" w:hint="cs"/>
          <w:rtl/>
        </w:rPr>
        <w:t>הוקמה ביישוב שגב שלום תחנת משטרה קטנה (נקודת משטרה) וזמנית.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ה</w:t>
      </w:r>
      <w:r w:rsidRPr="00AA5065">
        <w:rPr>
          <w:rFonts w:ascii="David" w:eastAsia="Calibri" w:hAnsi="David"/>
          <w:rtl/>
        </w:rPr>
        <w:t>משטר</w:t>
      </w:r>
      <w:r w:rsidRPr="00AA5065">
        <w:rPr>
          <w:rFonts w:ascii="David" w:eastAsia="Calibri" w:hAnsi="David" w:hint="cs"/>
          <w:rtl/>
        </w:rPr>
        <w:t>ה</w:t>
      </w:r>
      <w:r w:rsidRPr="00AA5065">
        <w:rPr>
          <w:rFonts w:ascii="David" w:eastAsia="Calibri" w:hAnsi="David"/>
          <w:rtl/>
        </w:rPr>
        <w:t xml:space="preserve"> ציינה בתשובתה לדוח הביקורת הקודם כי "בישובים ערערה בנגב ובשגב שלום הוקמו תחנות זמניות. בשגב שלום הוקצתה קרקע לטובת תחנת קבע</w:t>
      </w:r>
      <w:r w:rsidRPr="00AA5065">
        <w:rPr>
          <w:rFonts w:ascii="David" w:eastAsia="Calibri" w:hAnsi="David" w:hint="cs"/>
          <w:rtl/>
        </w:rPr>
        <w:t xml:space="preserve">... </w:t>
      </w:r>
      <w:r w:rsidRPr="00AA5065">
        <w:rPr>
          <w:rFonts w:ascii="David" w:eastAsia="Calibri" w:hAnsi="David"/>
          <w:rtl/>
        </w:rPr>
        <w:t>בשנת העבודה 2021 תיבחן הקמת תחנה [רגילה ולא קטנה] בשגב שלום, בהתאם להקצאת המשאבים הנדרשים והתיעדוף הארגוני".</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בביקורת</w:t>
      </w:r>
      <w:r w:rsidRPr="00AA5065">
        <w:rPr>
          <w:rFonts w:ascii="David" w:eastAsia="Calibri" w:hAnsi="David" w:hint="cs"/>
          <w:rtl/>
        </w:rPr>
        <w:t xml:space="preserve"> המעקב</w:t>
      </w:r>
      <w:r w:rsidRPr="00AA5065">
        <w:rPr>
          <w:rFonts w:ascii="David" w:eastAsia="Calibri" w:hAnsi="David"/>
          <w:rtl/>
        </w:rPr>
        <w:t xml:space="preserve"> נמצא כי תחנת שגב שלום הוקמה בשנת 2022</w:t>
      </w:r>
      <w:r>
        <w:rPr>
          <w:rFonts w:ascii="David" w:eastAsia="Calibri" w:hAnsi="David"/>
          <w:vertAlign w:val="superscript"/>
          <w:rtl/>
        </w:rPr>
        <w:footnoteReference w:id="80"/>
      </w:r>
      <w:r w:rsidRPr="00AA5065">
        <w:rPr>
          <w:rFonts w:ascii="David" w:eastAsia="Calibri" w:hAnsi="David"/>
          <w:rtl/>
        </w:rPr>
        <w:t xml:space="preserve"> ונחנכה במרץ 2023</w:t>
      </w:r>
      <w:r>
        <w:rPr>
          <w:rFonts w:ascii="David" w:eastAsia="Calibri" w:hAnsi="David"/>
          <w:vertAlign w:val="superscript"/>
          <w:rtl/>
        </w:rPr>
        <w:footnoteReference w:id="81"/>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 xml:space="preserve">תחנת שגב </w:t>
      </w:r>
      <w:r w:rsidRPr="00AA5065">
        <w:rPr>
          <w:rFonts w:ascii="David" w:eastAsia="Calibri" w:hAnsi="David"/>
          <w:rtl/>
        </w:rPr>
        <w:t>שלום</w:t>
      </w:r>
      <w:r w:rsidRPr="00AA5065">
        <w:rPr>
          <w:rFonts w:ascii="David" w:eastAsia="Calibri" w:hAnsi="David" w:hint="cs"/>
          <w:rtl/>
        </w:rPr>
        <w:t xml:space="preserve"> הוקמה במטרה</w:t>
      </w:r>
      <w:r>
        <w:rPr>
          <w:rFonts w:ascii="David" w:eastAsia="Calibri" w:hAnsi="David"/>
          <w:vertAlign w:val="superscript"/>
          <w:rtl/>
        </w:rPr>
        <w:footnoteReference w:id="82"/>
      </w:r>
      <w:r w:rsidRPr="00AA5065">
        <w:rPr>
          <w:rFonts w:ascii="David" w:eastAsia="Calibri" w:hAnsi="David"/>
          <w:rtl/>
        </w:rPr>
        <w:t xml:space="preserve"> </w:t>
      </w:r>
      <w:r w:rsidRPr="00AA5065">
        <w:rPr>
          <w:rFonts w:ascii="David" w:eastAsia="Calibri" w:hAnsi="David" w:hint="cs"/>
          <w:rtl/>
        </w:rPr>
        <w:t>לתת</w:t>
      </w:r>
      <w:r w:rsidRPr="00AA5065">
        <w:rPr>
          <w:rFonts w:ascii="David" w:eastAsia="Calibri" w:hAnsi="David"/>
          <w:rtl/>
        </w:rPr>
        <w:t xml:space="preserve"> מענה לתופעות הפשיעה בפזורה</w:t>
      </w:r>
      <w:r w:rsidRPr="00AA5065">
        <w:rPr>
          <w:rFonts w:ascii="David" w:eastAsia="Calibri" w:hAnsi="David" w:hint="cs"/>
          <w:rtl/>
        </w:rPr>
        <w:t xml:space="preserve">, נקבעו לה 117 תקנים, </w:t>
      </w:r>
      <w:r w:rsidRPr="00AA5065">
        <w:rPr>
          <w:rFonts w:ascii="David" w:eastAsia="Calibri" w:hAnsi="David"/>
          <w:rtl/>
        </w:rPr>
        <w:t>ו</w:t>
      </w:r>
      <w:r w:rsidRPr="00AA5065">
        <w:rPr>
          <w:rFonts w:ascii="David" w:eastAsia="Calibri" w:hAnsi="David" w:hint="cs"/>
          <w:rtl/>
        </w:rPr>
        <w:t xml:space="preserve">היא </w:t>
      </w:r>
      <w:r w:rsidRPr="00AA5065">
        <w:rPr>
          <w:rFonts w:ascii="David" w:eastAsia="Calibri" w:hAnsi="David"/>
          <w:rtl/>
        </w:rPr>
        <w:t>תספק מענה ושירות לכ-40,000 תושבים המתגוררים ב-17 ‏</w:t>
      </w:r>
      <w:r w:rsidRPr="00AA5065">
        <w:rPr>
          <w:rFonts w:ascii="David" w:eastAsia="Calibri" w:hAnsi="David" w:hint="cs"/>
          <w:rtl/>
        </w:rPr>
        <w:t>י</w:t>
      </w:r>
      <w:r w:rsidRPr="00AA5065">
        <w:rPr>
          <w:rFonts w:ascii="David" w:eastAsia="Calibri" w:hAnsi="David"/>
          <w:rtl/>
        </w:rPr>
        <w:t>ישובים בתוך המועצות</w:t>
      </w:r>
      <w:r w:rsidRPr="00AA5065">
        <w:rPr>
          <w:rFonts w:ascii="David" w:eastAsia="Calibri" w:hAnsi="David" w:hint="cs"/>
          <w:rtl/>
        </w:rPr>
        <w:t>:</w:t>
      </w:r>
      <w:r w:rsidRPr="00AA5065">
        <w:rPr>
          <w:rFonts w:ascii="David" w:eastAsia="Calibri" w:hAnsi="David"/>
          <w:rtl/>
        </w:rPr>
        <w:t xml:space="preserve"> נאות חובב, נווה מדבר, רמת נגב, שגב שלום ולכלל הסביבה בגזרת התחנה</w:t>
      </w:r>
      <w:r w:rsidRPr="00AA5065">
        <w:rPr>
          <w:rFonts w:ascii="David" w:eastAsia="Calibri" w:hAnsi="David" w:hint="cs"/>
          <w:rtl/>
        </w:rPr>
        <w:t>,</w:t>
      </w:r>
      <w:r w:rsidRPr="00AA5065">
        <w:rPr>
          <w:rFonts w:ascii="David" w:eastAsia="Calibri" w:hAnsi="David"/>
          <w:rtl/>
        </w:rPr>
        <w:t xml:space="preserve"> והכ</w:t>
      </w:r>
      <w:r w:rsidRPr="00AA5065">
        <w:rPr>
          <w:rFonts w:ascii="David" w:eastAsia="Calibri" w:hAnsi="David" w:hint="cs"/>
          <w:rtl/>
        </w:rPr>
        <w:t>ו</w:t>
      </w:r>
      <w:r w:rsidRPr="00AA5065">
        <w:rPr>
          <w:rFonts w:ascii="David" w:eastAsia="Calibri" w:hAnsi="David"/>
          <w:rtl/>
        </w:rPr>
        <w:t xml:space="preserve">ל </w:t>
      </w:r>
      <w:r w:rsidRPr="00AA5065">
        <w:rPr>
          <w:rFonts w:ascii="David" w:eastAsia="Calibri" w:hAnsi="David" w:hint="cs"/>
          <w:rtl/>
        </w:rPr>
        <w:t>כדי</w:t>
      </w:r>
      <w:r w:rsidRPr="00AA5065">
        <w:rPr>
          <w:rFonts w:ascii="David" w:eastAsia="Calibri" w:hAnsi="David"/>
          <w:rtl/>
        </w:rPr>
        <w:t xml:space="preserve"> ‏לתת את המעטפת והביטחון לתושבי הנגב הדרום‏</w:t>
      </w:r>
      <w:r w:rsidRPr="00AA5065">
        <w:rPr>
          <w:rFonts w:ascii="David" w:eastAsia="Calibri" w:hAnsi="David" w:hint="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eastAsia"/>
          <w:b/>
          <w:bCs/>
          <w:rtl/>
        </w:rPr>
        <w:t>בביקורת</w:t>
      </w:r>
      <w:r w:rsidRPr="00AA5065">
        <w:rPr>
          <w:rFonts w:ascii="David" w:eastAsia="Calibri" w:hAnsi="David"/>
          <w:b/>
          <w:bCs/>
          <w:rtl/>
        </w:rPr>
        <w:t xml:space="preserve"> </w:t>
      </w:r>
      <w:r w:rsidRPr="00AA5065">
        <w:rPr>
          <w:rFonts w:ascii="David" w:eastAsia="Calibri" w:hAnsi="David" w:hint="cs"/>
          <w:b/>
          <w:bCs/>
          <w:rtl/>
        </w:rPr>
        <w:t>ה</w:t>
      </w:r>
      <w:r w:rsidRPr="00AA5065">
        <w:rPr>
          <w:rFonts w:ascii="David" w:eastAsia="Calibri" w:hAnsi="David" w:hint="eastAsia"/>
          <w:b/>
          <w:bCs/>
          <w:rtl/>
        </w:rPr>
        <w:t>קודמת</w:t>
      </w:r>
      <w:r w:rsidRPr="00AA5065">
        <w:rPr>
          <w:rFonts w:ascii="David" w:eastAsia="Calibri" w:hAnsi="David"/>
          <w:b/>
          <w:bCs/>
          <w:rtl/>
        </w:rPr>
        <w:t xml:space="preserve"> </w:t>
      </w:r>
      <w:r w:rsidRPr="00AA5065">
        <w:rPr>
          <w:rFonts w:ascii="David" w:eastAsia="Calibri" w:hAnsi="David" w:hint="eastAsia"/>
          <w:b/>
          <w:bCs/>
          <w:rtl/>
        </w:rPr>
        <w:t>עלה</w:t>
      </w:r>
      <w:r w:rsidRPr="00AA5065">
        <w:rPr>
          <w:rFonts w:ascii="David" w:eastAsia="Calibri" w:hAnsi="David"/>
          <w:b/>
          <w:bCs/>
          <w:rtl/>
        </w:rPr>
        <w:t xml:space="preserve"> </w:t>
      </w:r>
      <w:r w:rsidRPr="00AA5065">
        <w:rPr>
          <w:rFonts w:ascii="David" w:eastAsia="Calibri" w:hAnsi="David" w:hint="eastAsia"/>
          <w:b/>
          <w:bCs/>
          <w:rtl/>
        </w:rPr>
        <w:t>כי</w:t>
      </w:r>
      <w:r w:rsidRPr="00AA5065">
        <w:rPr>
          <w:rFonts w:ascii="David" w:eastAsia="Calibri" w:hAnsi="David"/>
          <w:b/>
          <w:bCs/>
          <w:rtl/>
        </w:rPr>
        <w:t xml:space="preserve"> </w:t>
      </w:r>
      <w:r w:rsidRPr="00AA5065">
        <w:rPr>
          <w:rFonts w:ascii="David" w:eastAsia="Calibri" w:hAnsi="David" w:hint="cs"/>
          <w:b/>
          <w:bCs/>
          <w:rtl/>
        </w:rPr>
        <w:t xml:space="preserve">טרם הוקמה תחנת המשטרה ביישוב שגב שלום, </w:t>
      </w:r>
      <w:r w:rsidRPr="00AA5065">
        <w:rPr>
          <w:rFonts w:ascii="David" w:eastAsia="Calibri" w:hAnsi="David" w:hint="eastAsia"/>
          <w:b/>
          <w:bCs/>
          <w:rtl/>
        </w:rPr>
        <w:t>בביקורת</w:t>
      </w:r>
      <w:r w:rsidRPr="00AA5065">
        <w:rPr>
          <w:rFonts w:ascii="David" w:eastAsia="Calibri" w:hAnsi="David"/>
          <w:b/>
          <w:bCs/>
          <w:rtl/>
        </w:rPr>
        <w:t xml:space="preserve"> </w:t>
      </w:r>
      <w:r w:rsidRPr="00AA5065">
        <w:rPr>
          <w:rFonts w:ascii="David" w:eastAsia="Calibri" w:hAnsi="David" w:hint="eastAsia"/>
          <w:b/>
          <w:bCs/>
          <w:rtl/>
        </w:rPr>
        <w:t>המעקב</w:t>
      </w:r>
      <w:r w:rsidRPr="00AA5065">
        <w:rPr>
          <w:rFonts w:ascii="David" w:eastAsia="Calibri" w:hAnsi="David"/>
          <w:b/>
          <w:bCs/>
          <w:rtl/>
        </w:rPr>
        <w:t xml:space="preserve"> </w:t>
      </w:r>
      <w:r w:rsidRPr="00AA5065">
        <w:rPr>
          <w:rFonts w:ascii="David" w:eastAsia="Calibri" w:hAnsi="David" w:hint="eastAsia"/>
          <w:b/>
          <w:bCs/>
          <w:rtl/>
        </w:rPr>
        <w:t>נמצא</w:t>
      </w:r>
      <w:r w:rsidRPr="00AA5065">
        <w:rPr>
          <w:rFonts w:ascii="David" w:eastAsia="Calibri" w:hAnsi="David"/>
          <w:b/>
          <w:bCs/>
          <w:rtl/>
        </w:rPr>
        <w:t xml:space="preserve"> </w:t>
      </w:r>
      <w:r w:rsidRPr="00AA5065">
        <w:rPr>
          <w:rFonts w:ascii="David" w:eastAsia="Calibri" w:hAnsi="David" w:hint="eastAsia"/>
          <w:b/>
          <w:bCs/>
          <w:rtl/>
        </w:rPr>
        <w:t>כי</w:t>
      </w:r>
      <w:r w:rsidRPr="00AA5065">
        <w:rPr>
          <w:rFonts w:ascii="David" w:eastAsia="Calibri" w:hAnsi="David"/>
          <w:b/>
          <w:bCs/>
          <w:rtl/>
        </w:rPr>
        <w:t xml:space="preserve"> </w:t>
      </w:r>
      <w:r w:rsidRPr="00AA5065">
        <w:rPr>
          <w:rFonts w:ascii="David" w:eastAsia="Calibri" w:hAnsi="David" w:hint="eastAsia"/>
          <w:b/>
          <w:bCs/>
          <w:rtl/>
        </w:rPr>
        <w:t>הליקוי</w:t>
      </w:r>
      <w:r w:rsidRPr="00AA5065">
        <w:rPr>
          <w:rFonts w:ascii="David" w:eastAsia="Calibri" w:hAnsi="David"/>
          <w:b/>
          <w:bCs/>
          <w:rtl/>
        </w:rPr>
        <w:t xml:space="preserve"> </w:t>
      </w:r>
      <w:r w:rsidRPr="00AA5065">
        <w:rPr>
          <w:rFonts w:ascii="David" w:eastAsia="Calibri" w:hAnsi="David" w:hint="eastAsia"/>
          <w:b/>
          <w:bCs/>
          <w:rtl/>
        </w:rPr>
        <w:t>תוקן</w:t>
      </w:r>
      <w:r w:rsidRPr="00AA5065">
        <w:rPr>
          <w:rFonts w:ascii="David" w:eastAsia="Calibri" w:hAnsi="David" w:hint="cs"/>
          <w:b/>
          <w:bCs/>
          <w:rtl/>
        </w:rPr>
        <w:t xml:space="preserve"> באופן מלא; תחנת המשטרה ביישוב הוקמה והיא פועלת.</w:t>
      </w:r>
    </w:p>
    <w:p w:rsidR="00AA5065" w:rsidRPr="00AA5065" w:rsidP="00860D89">
      <w:pPr>
        <w:spacing w:line="269" w:lineRule="auto"/>
        <w:rPr>
          <w:rFonts w:ascii="David" w:eastAsia="Calibri" w:hAnsi="David"/>
          <w:b/>
          <w:bCs/>
        </w:rPr>
      </w:pPr>
    </w:p>
    <w:p w:rsidR="00AA5065" w:rsidRPr="00AA5065" w:rsidP="00860D89">
      <w:pPr>
        <w:keepNext/>
        <w:keepLines/>
        <w:spacing w:line="269" w:lineRule="auto"/>
        <w:jc w:val="center"/>
        <w:rPr>
          <w:rFonts w:ascii="David" w:eastAsia="Calibri" w:hAnsi="David"/>
          <w:b/>
          <w:bCs/>
          <w:noProof/>
          <w:color w:val="0D0D0D"/>
          <w:sz w:val="24"/>
          <w:rtl/>
        </w:rPr>
      </w:pPr>
      <w:r w:rsidRPr="00AA5065">
        <w:rPr>
          <w:rFonts w:ascii="David" w:eastAsia="Calibri" w:hAnsi="David"/>
          <w:b/>
          <w:bCs/>
          <w:noProof/>
          <w:color w:val="0D0D0D"/>
          <w:sz w:val="24"/>
          <w:rtl/>
        </w:rPr>
        <w:t>מידת תיקון הליקוי</w:t>
      </w:r>
    </w:p>
    <w:p w:rsidR="00AA5065" w:rsidRPr="00AA5065" w:rsidP="00860D89">
      <w:pPr>
        <w:spacing w:line="269" w:lineRule="auto"/>
        <w:jc w:val="center"/>
        <w:rPr>
          <w:rFonts w:ascii="David" w:eastAsia="Calibri" w:hAnsi="David"/>
          <w:sz w:val="24"/>
          <w:rtl/>
        </w:rPr>
      </w:pPr>
      <w:r w:rsidRPr="00AA5065">
        <w:rPr>
          <w:rFonts w:ascii="David" w:eastAsia="Calibri" w:hAnsi="David"/>
          <w:noProof/>
        </w:rPr>
        <w:drawing>
          <wp:inline distT="0" distB="0" distL="0" distR="0">
            <wp:extent cx="3960000" cy="783414"/>
            <wp:effectExtent l="0" t="0" r="0" b="0"/>
            <wp:docPr id="101" name="תמונה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תמונה 101"/>
                    <pic:cNvPicPr>
                      <a:picLocks noChangeAspect="1" noChangeArrowheads="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0000" cy="783414"/>
                    </a:xfrm>
                    <a:prstGeom prst="rect">
                      <a:avLst/>
                    </a:prstGeom>
                    <a:noFill/>
                    <a:ln>
                      <a:noFill/>
                    </a:ln>
                  </pic:spPr>
                </pic:pic>
              </a:graphicData>
            </a:graphic>
          </wp:inline>
        </w:drawing>
      </w:r>
    </w:p>
    <w:p w:rsidR="00AA5065" w:rsidRPr="00AA5065" w:rsidP="00860D89">
      <w:pPr>
        <w:spacing w:line="269" w:lineRule="auto"/>
        <w:rPr>
          <w:rFonts w:eastAsia="Calibri"/>
          <w:rtl/>
        </w:rPr>
      </w:pPr>
    </w:p>
    <w:p w:rsidR="00AA5065" w:rsidRPr="00AA5065" w:rsidP="00E07D80">
      <w:pPr>
        <w:keepNext/>
        <w:keepLines/>
        <w:spacing w:before="120" w:line="269" w:lineRule="auto"/>
        <w:outlineLvl w:val="3"/>
        <w:rPr>
          <w:rFonts w:eastAsia="Times New Roman"/>
          <w:bCs/>
          <w:szCs w:val="26"/>
          <w:rtl/>
        </w:rPr>
      </w:pPr>
      <w:bookmarkStart w:id="83" w:name="_Hlk197350423"/>
      <w:r w:rsidRPr="00AA5065">
        <w:rPr>
          <w:rFonts w:eastAsia="Times New Roman" w:hint="cs"/>
          <w:bCs/>
          <w:szCs w:val="26"/>
          <w:rtl/>
        </w:rPr>
        <w:t>איוש תחנות המשטרה שגב שלום וערוער</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תחנת המשטרה שגב שלום הוקמה ביישוב שגב שלום</w:t>
      </w:r>
      <w:r>
        <w:rPr>
          <w:rFonts w:ascii="David" w:eastAsia="Calibri" w:hAnsi="David"/>
          <w:vertAlign w:val="superscript"/>
          <w:rtl/>
        </w:rPr>
        <w:footnoteReference w:id="83"/>
      </w:r>
      <w:r w:rsidRPr="00AA5065">
        <w:rPr>
          <w:rFonts w:ascii="David" w:eastAsia="Calibri" w:hAnsi="David" w:hint="cs"/>
          <w:rtl/>
        </w:rPr>
        <w:t>. ה</w:t>
      </w:r>
      <w:r w:rsidRPr="00AA5065">
        <w:rPr>
          <w:rFonts w:ascii="David" w:eastAsia="Calibri" w:hAnsi="David"/>
          <w:rtl/>
        </w:rPr>
        <w:t xml:space="preserve">מועצה </w:t>
      </w:r>
      <w:r w:rsidRPr="00AA5065">
        <w:rPr>
          <w:rFonts w:ascii="David" w:eastAsia="Calibri" w:hAnsi="David" w:hint="cs"/>
          <w:rtl/>
        </w:rPr>
        <w:t>ה</w:t>
      </w:r>
      <w:r w:rsidRPr="00AA5065">
        <w:rPr>
          <w:rFonts w:ascii="David" w:eastAsia="Calibri" w:hAnsi="David"/>
          <w:rtl/>
        </w:rPr>
        <w:t xml:space="preserve">מקומית </w:t>
      </w:r>
      <w:r w:rsidRPr="00AA5065">
        <w:rPr>
          <w:rFonts w:ascii="David" w:eastAsia="Calibri" w:hAnsi="David" w:hint="cs"/>
          <w:rtl/>
        </w:rPr>
        <w:t xml:space="preserve">שגב שלום </w:t>
      </w:r>
      <w:r w:rsidRPr="00AA5065">
        <w:rPr>
          <w:rFonts w:ascii="David" w:eastAsia="Calibri" w:hAnsi="David"/>
          <w:rtl/>
        </w:rPr>
        <w:t xml:space="preserve">הוקמה </w:t>
      </w:r>
      <w:r w:rsidRPr="00AA5065">
        <w:rPr>
          <w:rFonts w:ascii="David" w:eastAsia="Calibri" w:hAnsi="David" w:hint="cs"/>
          <w:rtl/>
        </w:rPr>
        <w:t>בנגב והוכרזה כמועצה מקומית בשנת 1996</w:t>
      </w:r>
      <w:r w:rsidRPr="00AA5065">
        <w:rPr>
          <w:rFonts w:ascii="David" w:eastAsia="Calibri" w:hAnsi="David"/>
          <w:rtl/>
        </w:rPr>
        <w:t xml:space="preserve"> ו</w:t>
      </w:r>
      <w:r w:rsidRPr="00AA5065">
        <w:rPr>
          <w:rFonts w:ascii="David" w:eastAsia="Calibri" w:hAnsi="David" w:hint="cs"/>
          <w:rtl/>
        </w:rPr>
        <w:t xml:space="preserve">היא </w:t>
      </w:r>
      <w:r w:rsidRPr="00AA5065">
        <w:rPr>
          <w:rFonts w:ascii="David" w:eastAsia="Calibri" w:hAnsi="David"/>
          <w:rtl/>
        </w:rPr>
        <w:t xml:space="preserve">מאוכלסת בעיקר באוכלוסייה בדואית. נכון לסוף 2022 מנתה אוכלוסיית </w:t>
      </w:r>
      <w:r w:rsidRPr="00AA5065">
        <w:rPr>
          <w:rFonts w:ascii="David" w:eastAsia="Calibri" w:hAnsi="David" w:hint="cs"/>
          <w:rtl/>
        </w:rPr>
        <w:t>המועצה</w:t>
      </w:r>
      <w:r w:rsidRPr="00AA5065">
        <w:rPr>
          <w:rFonts w:ascii="David" w:eastAsia="Calibri" w:hAnsi="David"/>
          <w:rtl/>
        </w:rPr>
        <w:t xml:space="preserve"> 12,540 תושבים</w:t>
      </w:r>
      <w:r>
        <w:rPr>
          <w:rFonts w:ascii="David" w:eastAsia="Calibri" w:hAnsi="David"/>
          <w:vertAlign w:val="superscript"/>
          <w:rtl/>
        </w:rPr>
        <w:footnoteReference w:id="84"/>
      </w:r>
      <w:r w:rsidRPr="00AA5065">
        <w:rPr>
          <w:rFonts w:ascii="David" w:eastAsia="Calibri" w:hAnsi="David"/>
          <w:rtl/>
        </w:rPr>
        <w:t xml:space="preserve">, כולם מוסלמים. </w:t>
      </w:r>
      <w:r w:rsidRPr="00AA5065">
        <w:rPr>
          <w:rFonts w:ascii="David" w:eastAsia="Calibri" w:hAnsi="David" w:hint="cs"/>
          <w:rtl/>
        </w:rPr>
        <w:t>המועצה</w:t>
      </w:r>
      <w:r w:rsidRPr="00AA5065">
        <w:rPr>
          <w:rFonts w:ascii="David" w:eastAsia="Calibri" w:hAnsi="David"/>
          <w:rtl/>
        </w:rPr>
        <w:t xml:space="preserve"> מתאפיי</w:t>
      </w:r>
      <w:r w:rsidRPr="00AA5065">
        <w:rPr>
          <w:rFonts w:ascii="David" w:eastAsia="Calibri" w:hAnsi="David" w:hint="cs"/>
          <w:rtl/>
        </w:rPr>
        <w:t>נת</w:t>
      </w:r>
      <w:r w:rsidRPr="00AA5065">
        <w:rPr>
          <w:rFonts w:ascii="David" w:eastAsia="Calibri" w:hAnsi="David"/>
          <w:rtl/>
        </w:rPr>
        <w:t xml:space="preserve"> באוכלוסייה צעירה</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והיא</w:t>
      </w:r>
      <w:r w:rsidRPr="00AA5065">
        <w:rPr>
          <w:rFonts w:ascii="David" w:eastAsia="Calibri" w:hAnsi="David"/>
          <w:rtl/>
        </w:rPr>
        <w:t xml:space="preserve"> מדורג</w:t>
      </w:r>
      <w:r w:rsidRPr="00AA5065">
        <w:rPr>
          <w:rFonts w:ascii="David" w:eastAsia="Calibri" w:hAnsi="David" w:hint="cs"/>
          <w:rtl/>
        </w:rPr>
        <w:t>ת</w:t>
      </w:r>
      <w:r w:rsidRPr="00AA5065">
        <w:rPr>
          <w:rFonts w:ascii="David" w:eastAsia="Calibri" w:hAnsi="David"/>
          <w:rtl/>
        </w:rPr>
        <w:t xml:space="preserve"> באשכול החברתי-כלכלי 1, הנמוך ביותר בסולם של הלמ"ס, מה שמעיד על אתגרים כלכליים וחברתיים משמעותיים. השכר הממוצע לשכיר ביישוב </w:t>
      </w:r>
      <w:r w:rsidRPr="00AA5065">
        <w:rPr>
          <w:rFonts w:ascii="David" w:eastAsia="Calibri" w:hAnsi="David" w:hint="cs"/>
          <w:rtl/>
        </w:rPr>
        <w:t>הוא</w:t>
      </w:r>
      <w:r w:rsidRPr="00AA5065">
        <w:rPr>
          <w:rFonts w:ascii="David" w:eastAsia="Calibri" w:hAnsi="David"/>
          <w:rtl/>
        </w:rPr>
        <w:t xml:space="preserve"> 7,069 ש"ח לחודש</w:t>
      </w:r>
      <w:r w:rsidRPr="00AA5065">
        <w:rPr>
          <w:rFonts w:ascii="David" w:eastAsia="Calibri" w:hAnsi="David" w:hint="cs"/>
          <w:rtl/>
        </w:rPr>
        <w:t>.</w:t>
      </w:r>
    </w:p>
    <w:bookmarkEnd w:id="83"/>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 xml:space="preserve">תחנת המשטרה ערוער הוקמה ביישוב </w:t>
      </w:r>
      <w:r w:rsidRPr="00AA5065">
        <w:rPr>
          <w:rFonts w:ascii="David" w:eastAsia="Calibri" w:hAnsi="David"/>
          <w:rtl/>
        </w:rPr>
        <w:t>ערערה בנגב</w:t>
      </w:r>
      <w:r w:rsidRPr="00AA5065">
        <w:rPr>
          <w:rFonts w:ascii="David" w:eastAsia="Calibri" w:hAnsi="David" w:hint="cs"/>
          <w:rtl/>
        </w:rPr>
        <w:t>. המועצה המקומית ערערה בנגב</w:t>
      </w:r>
      <w:r>
        <w:rPr>
          <w:rFonts w:ascii="David" w:eastAsia="Calibri" w:hAnsi="David"/>
          <w:vertAlign w:val="superscript"/>
          <w:rtl/>
        </w:rPr>
        <w:footnoteReference w:id="85"/>
      </w:r>
      <w:r w:rsidRPr="00AA5065">
        <w:rPr>
          <w:rFonts w:ascii="David" w:eastAsia="Calibri" w:hAnsi="David"/>
          <w:rtl/>
        </w:rPr>
        <w:t xml:space="preserve"> היא מועצה מקומית בדואית במחוז הדרום, הממוקמת בבקעת ערד</w:t>
      </w:r>
      <w:r w:rsidRPr="00AA5065">
        <w:rPr>
          <w:rFonts w:ascii="David" w:eastAsia="Calibri" w:hAnsi="David" w:hint="cs"/>
          <w:rtl/>
        </w:rPr>
        <w:t xml:space="preserve">. </w:t>
      </w:r>
      <w:r w:rsidRPr="00AA5065">
        <w:rPr>
          <w:rFonts w:ascii="David" w:eastAsia="Calibri" w:hAnsi="David"/>
          <w:rtl/>
        </w:rPr>
        <w:t>נכון לשנת 2022</w:t>
      </w:r>
      <w:r w:rsidRPr="00AA5065">
        <w:rPr>
          <w:rFonts w:ascii="David" w:eastAsia="Calibri" w:hAnsi="David" w:hint="cs"/>
          <w:rtl/>
        </w:rPr>
        <w:t xml:space="preserve"> מנתה </w:t>
      </w:r>
      <w:r w:rsidRPr="00AA5065">
        <w:rPr>
          <w:rFonts w:ascii="David" w:eastAsia="Calibri" w:hAnsi="David"/>
          <w:rtl/>
        </w:rPr>
        <w:t xml:space="preserve">אוכלוסיית </w:t>
      </w:r>
      <w:r w:rsidRPr="00AA5065">
        <w:rPr>
          <w:rFonts w:ascii="David" w:eastAsia="Calibri" w:hAnsi="David" w:hint="cs"/>
          <w:rtl/>
        </w:rPr>
        <w:t xml:space="preserve">המועצה כ-20,381 </w:t>
      </w:r>
      <w:r w:rsidRPr="00AA5065">
        <w:rPr>
          <w:rFonts w:ascii="David" w:eastAsia="Calibri" w:hAnsi="David"/>
          <w:rtl/>
        </w:rPr>
        <w:t>תושבים, כולם ערבים</w:t>
      </w:r>
      <w:r w:rsidRPr="00AA5065">
        <w:rPr>
          <w:rFonts w:ascii="David" w:eastAsia="Calibri" w:hAnsi="David" w:hint="cs"/>
          <w:rtl/>
        </w:rPr>
        <w:t xml:space="preserve"> </w:t>
      </w:r>
      <w:r w:rsidRPr="00AA5065">
        <w:rPr>
          <w:rFonts w:ascii="David" w:eastAsia="Calibri" w:hAnsi="David"/>
          <w:rtl/>
        </w:rPr>
        <w:t>מוסלמים</w:t>
      </w:r>
      <w:r w:rsidRPr="00AA5065">
        <w:rPr>
          <w:rFonts w:ascii="David" w:eastAsia="Calibri" w:hAnsi="David" w:hint="cs"/>
          <w:rtl/>
        </w:rPr>
        <w:t xml:space="preserve">. </w:t>
      </w:r>
      <w:r w:rsidRPr="00AA5065">
        <w:rPr>
          <w:rFonts w:ascii="David" w:eastAsia="Calibri" w:hAnsi="David"/>
          <w:rtl/>
        </w:rPr>
        <w:t>ערערה בנגב מדורגת באשכול</w:t>
      </w:r>
      <w:r w:rsidRPr="00AA5065">
        <w:rPr>
          <w:rFonts w:ascii="David" w:eastAsia="Calibri" w:hAnsi="David" w:hint="cs"/>
          <w:rtl/>
        </w:rPr>
        <w:t xml:space="preserve"> החברתי-כלכלי</w:t>
      </w:r>
      <w:r w:rsidRPr="00AA5065">
        <w:rPr>
          <w:rFonts w:ascii="David" w:eastAsia="Calibri" w:hAnsi="David"/>
          <w:rtl/>
        </w:rPr>
        <w:t xml:space="preserve"> 1 מתוך 10 במדד הסוציו-אקונומי של הלמ"ס, </w:t>
      </w:r>
      <w:r w:rsidRPr="00AA5065">
        <w:rPr>
          <w:rFonts w:ascii="David" w:eastAsia="Calibri" w:hAnsi="David" w:hint="cs"/>
          <w:rtl/>
        </w:rPr>
        <w:t xml:space="preserve">דבר </w:t>
      </w:r>
      <w:r w:rsidRPr="00AA5065">
        <w:rPr>
          <w:rFonts w:ascii="David" w:eastAsia="Calibri" w:hAnsi="David"/>
          <w:rtl/>
        </w:rPr>
        <w:t>המצביע על רמת סוציו-אקונומית נמוכה במיוחד. השכר הממוצע לשכיר ביישוב עומד על 9,263 ש"ח לחודש, נמוך משמעותית מהממוצע הארצי</w:t>
      </w:r>
      <w:r w:rsidRPr="00AA5065">
        <w:rPr>
          <w:rFonts w:ascii="David" w:eastAsia="Calibri" w:hAnsi="David" w:hint="cs"/>
          <w:rtl/>
        </w:rPr>
        <w:t>.</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בביקורת הקודמת נמצאו פערים בין המצבה לתקן ב</w:t>
      </w:r>
      <w:r w:rsidRPr="00AA5065">
        <w:rPr>
          <w:rFonts w:ascii="David" w:eastAsia="Calibri" w:hAnsi="David"/>
          <w:rtl/>
        </w:rPr>
        <w:t>תחנות</w:t>
      </w:r>
      <w:r w:rsidRPr="00AA5065">
        <w:rPr>
          <w:rFonts w:ascii="David" w:eastAsia="Calibri" w:hAnsi="David" w:hint="cs"/>
          <w:rtl/>
        </w:rPr>
        <w:t xml:space="preserve"> המשטרה ערוער ושגב שלום,</w:t>
      </w:r>
      <w:r w:rsidRPr="00AA5065">
        <w:rPr>
          <w:rFonts w:ascii="David" w:eastAsia="Calibri" w:hAnsi="David"/>
          <w:rtl/>
        </w:rPr>
        <w:t xml:space="preserve"> נכון לפברואר</w:t>
      </w:r>
      <w:r w:rsidRPr="00AA5065">
        <w:rPr>
          <w:rFonts w:ascii="David" w:eastAsia="Calibri" w:hAnsi="David" w:hint="cs"/>
          <w:rtl/>
        </w:rPr>
        <w:t xml:space="preserve"> </w:t>
      </w:r>
      <w:r w:rsidRPr="00AA5065">
        <w:rPr>
          <w:rFonts w:ascii="David" w:eastAsia="Calibri" w:hAnsi="David"/>
          <w:rtl/>
        </w:rPr>
        <w:t>2020</w:t>
      </w:r>
      <w:r w:rsidRPr="00AA5065">
        <w:rPr>
          <w:rFonts w:ascii="David" w:eastAsia="Calibri" w:hAnsi="David" w:hint="cs"/>
          <w:rtl/>
        </w:rPr>
        <w:t xml:space="preserve">, כלהלן בלוח 6א. </w:t>
      </w:r>
    </w:p>
    <w:p w:rsidR="00AA5065" w:rsidRPr="00AA5065" w:rsidP="00860D89">
      <w:pPr>
        <w:spacing w:line="269" w:lineRule="auto"/>
        <w:ind w:left="-567"/>
        <w:rPr>
          <w:rFonts w:eastAsia="Calibri"/>
          <w:szCs w:val="20"/>
          <w:rtl/>
        </w:rPr>
      </w:pPr>
    </w:p>
    <w:p w:rsidR="00E07D80" w:rsidP="00860D89">
      <w:pPr>
        <w:spacing w:line="269" w:lineRule="auto"/>
        <w:jc w:val="center"/>
        <w:rPr>
          <w:rFonts w:ascii="David" w:eastAsia="Calibri" w:hAnsi="David"/>
          <w:rtl/>
        </w:rPr>
      </w:pPr>
    </w:p>
    <w:p w:rsidR="00AA5065" w:rsidRPr="00AA5065" w:rsidP="00860D89">
      <w:pPr>
        <w:spacing w:line="269" w:lineRule="auto"/>
        <w:jc w:val="center"/>
        <w:rPr>
          <w:rFonts w:ascii="David" w:eastAsia="Calibri" w:hAnsi="David"/>
          <w:rtl/>
        </w:rPr>
      </w:pPr>
      <w:r w:rsidRPr="00AA5065">
        <w:rPr>
          <w:rFonts w:ascii="David" w:eastAsia="Calibri" w:hAnsi="David" w:hint="cs"/>
          <w:rtl/>
        </w:rPr>
        <w:t>לוח 6א:</w:t>
      </w:r>
      <w:r w:rsidRPr="00AA5065">
        <w:rPr>
          <w:rFonts w:ascii="David" w:eastAsia="Calibri" w:hAnsi="David" w:hint="cs"/>
          <w:b/>
          <w:bCs/>
          <w:rtl/>
        </w:rPr>
        <w:t xml:space="preserve"> ה</w:t>
      </w:r>
      <w:r w:rsidRPr="00AA5065">
        <w:rPr>
          <w:rFonts w:ascii="David" w:eastAsia="Calibri" w:hAnsi="David"/>
          <w:b/>
          <w:bCs/>
          <w:rtl/>
        </w:rPr>
        <w:t xml:space="preserve">תקן </w:t>
      </w:r>
      <w:r w:rsidRPr="00AA5065">
        <w:rPr>
          <w:rFonts w:ascii="David" w:eastAsia="Calibri" w:hAnsi="David" w:hint="cs"/>
          <w:b/>
          <w:bCs/>
          <w:rtl/>
        </w:rPr>
        <w:t>לעומת</w:t>
      </w:r>
      <w:r w:rsidRPr="00AA5065">
        <w:rPr>
          <w:rFonts w:ascii="David" w:eastAsia="Calibri" w:hAnsi="David"/>
          <w:b/>
          <w:bCs/>
          <w:rtl/>
        </w:rPr>
        <w:t xml:space="preserve"> מצב</w:t>
      </w:r>
      <w:r w:rsidRPr="00AA5065">
        <w:rPr>
          <w:rFonts w:ascii="David" w:eastAsia="Calibri" w:hAnsi="David" w:hint="cs"/>
          <w:b/>
          <w:bCs/>
          <w:rtl/>
        </w:rPr>
        <w:t>ת כוח האדם</w:t>
      </w:r>
      <w:r w:rsidRPr="00AA5065">
        <w:rPr>
          <w:rFonts w:ascii="David" w:eastAsia="Calibri" w:hAnsi="David"/>
          <w:b/>
          <w:bCs/>
          <w:rtl/>
        </w:rPr>
        <w:t xml:space="preserve"> </w:t>
      </w:r>
      <w:r w:rsidRPr="00AA5065">
        <w:rPr>
          <w:rFonts w:ascii="David" w:eastAsia="Calibri" w:hAnsi="David" w:hint="cs"/>
          <w:b/>
          <w:bCs/>
          <w:rtl/>
        </w:rPr>
        <w:t>ב</w:t>
      </w:r>
      <w:r w:rsidRPr="00AA5065">
        <w:rPr>
          <w:rFonts w:ascii="David" w:eastAsia="Calibri" w:hAnsi="David"/>
          <w:b/>
          <w:bCs/>
          <w:rtl/>
        </w:rPr>
        <w:t>תחנת שגב שלום</w:t>
      </w:r>
      <w:r w:rsidR="006453A1">
        <w:rPr>
          <w:rFonts w:ascii="David" w:eastAsia="Calibri" w:hAnsi="David" w:hint="cs"/>
          <w:b/>
          <w:bCs/>
          <w:rtl/>
        </w:rPr>
        <w:t>, פברואר</w:t>
      </w:r>
      <w:r w:rsidRPr="00AA5065">
        <w:rPr>
          <w:rFonts w:ascii="David" w:eastAsia="Calibri" w:hAnsi="David" w:hint="cs"/>
          <w:b/>
          <w:bCs/>
          <w:rtl/>
        </w:rPr>
        <w:t xml:space="preserve"> 2020</w:t>
      </w:r>
    </w:p>
    <w:tbl>
      <w:tblPr>
        <w:tblStyle w:val="5-11"/>
        <w:bidiVisual/>
        <w:tblW w:w="7567" w:type="dxa"/>
        <w:jc w:val="center"/>
        <w:tblLook w:val="04A0"/>
      </w:tblPr>
      <w:tblGrid>
        <w:gridCol w:w="2180"/>
        <w:gridCol w:w="774"/>
        <w:gridCol w:w="3145"/>
        <w:gridCol w:w="1468"/>
      </w:tblGrid>
      <w:tr w:rsidTr="00401221">
        <w:tblPrEx>
          <w:tblW w:w="7567" w:type="dxa"/>
          <w:jc w:val="center"/>
          <w:tblLook w:val="04A0"/>
        </w:tblPrEx>
        <w:trPr>
          <w:trHeight w:val="285"/>
          <w:jc w:val="center"/>
        </w:trPr>
        <w:tc>
          <w:tcPr>
            <w:tcW w:w="2180" w:type="dxa"/>
            <w:noWrap/>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התחנה</w:t>
            </w:r>
          </w:p>
        </w:tc>
        <w:tc>
          <w:tcPr>
            <w:tcW w:w="774" w:type="dxa"/>
            <w:noWrap/>
            <w:hideMark/>
          </w:tcPr>
          <w:p w:rsidR="00AA5065" w:rsidRPr="00AA5065" w:rsidP="000E5D43">
            <w:pPr>
              <w:spacing w:before="60"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תקן</w:t>
            </w:r>
          </w:p>
        </w:tc>
        <w:tc>
          <w:tcPr>
            <w:tcW w:w="3145" w:type="dxa"/>
            <w:noWrap/>
            <w:hideMark/>
          </w:tcPr>
          <w:p w:rsidR="00AA5065" w:rsidRPr="00AA5065" w:rsidP="000E5D43">
            <w:pPr>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מצבה</w:t>
            </w:r>
          </w:p>
        </w:tc>
        <w:tc>
          <w:tcPr>
            <w:tcW w:w="1468" w:type="dxa"/>
            <w:noWrap/>
            <w:hideMark/>
          </w:tcPr>
          <w:p w:rsidR="00AA5065" w:rsidRPr="00AA5065" w:rsidP="000E5D43">
            <w:pPr>
              <w:spacing w:before="60" w:line="269" w:lineRule="auto"/>
              <w:jc w:val="center"/>
              <w:rPr>
                <w:rFonts w:ascii="David" w:eastAsia="Calibri" w:hAnsi="David"/>
                <w:color w:val="000000"/>
                <w:sz w:val="22"/>
                <w:szCs w:val="22"/>
                <w:rtl/>
              </w:rPr>
            </w:pPr>
            <w:r w:rsidRPr="00AA5065">
              <w:rPr>
                <w:rFonts w:ascii="David" w:eastAsia="Calibri" w:hAnsi="David"/>
                <w:color w:val="000000"/>
                <w:sz w:val="22"/>
                <w:szCs w:val="22"/>
                <w:rtl/>
              </w:rPr>
              <w:t>שיעור הפער</w:t>
            </w:r>
          </w:p>
        </w:tc>
      </w:tr>
      <w:tr w:rsidTr="00401221">
        <w:tblPrEx>
          <w:tblW w:w="7567" w:type="dxa"/>
          <w:jc w:val="center"/>
          <w:tblLook w:val="04A0"/>
        </w:tblPrEx>
        <w:trPr>
          <w:trHeight w:val="285"/>
          <w:jc w:val="center"/>
        </w:trPr>
        <w:tc>
          <w:tcPr>
            <w:tcW w:w="2180" w:type="dxa"/>
            <w:noWrap/>
            <w:hideMark/>
          </w:tcPr>
          <w:p w:rsidR="00AA5065" w:rsidRPr="00AA5065" w:rsidP="000E5D43">
            <w:pPr>
              <w:bidi w:val="0"/>
              <w:spacing w:before="60" w:line="269" w:lineRule="auto"/>
              <w:jc w:val="right"/>
              <w:rPr>
                <w:rFonts w:ascii="David" w:eastAsia="Calibri" w:hAnsi="David"/>
                <w:color w:val="000000"/>
                <w:sz w:val="22"/>
                <w:szCs w:val="22"/>
                <w:rtl/>
              </w:rPr>
            </w:pPr>
            <w:r w:rsidRPr="00AA5065">
              <w:rPr>
                <w:rFonts w:ascii="David" w:eastAsia="Calibri" w:hAnsi="David"/>
                <w:color w:val="000000"/>
                <w:sz w:val="22"/>
                <w:szCs w:val="22"/>
                <w:rtl/>
              </w:rPr>
              <w:t>ערוער כולל שגב שלום</w:t>
            </w:r>
          </w:p>
        </w:tc>
        <w:tc>
          <w:tcPr>
            <w:tcW w:w="77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113</w:t>
            </w:r>
          </w:p>
        </w:tc>
        <w:tc>
          <w:tcPr>
            <w:tcW w:w="314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104</w:t>
            </w:r>
          </w:p>
        </w:tc>
        <w:tc>
          <w:tcPr>
            <w:tcW w:w="1468"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w:t>
            </w:r>
          </w:p>
        </w:tc>
      </w:tr>
      <w:tr w:rsidTr="00401221">
        <w:tblPrEx>
          <w:tblW w:w="7567" w:type="dxa"/>
          <w:jc w:val="center"/>
          <w:tblLook w:val="04A0"/>
        </w:tblPrEx>
        <w:trPr>
          <w:trHeight w:val="285"/>
          <w:jc w:val="center"/>
        </w:trPr>
        <w:tc>
          <w:tcPr>
            <w:tcW w:w="2180" w:type="dxa"/>
            <w:noWrap/>
            <w:hideMark/>
          </w:tcPr>
          <w:p w:rsidR="00AA5065" w:rsidRPr="00AA5065" w:rsidP="000E5D43">
            <w:pPr>
              <w:bidi w:val="0"/>
              <w:spacing w:before="60" w:line="269" w:lineRule="auto"/>
              <w:jc w:val="right"/>
              <w:rPr>
                <w:rFonts w:ascii="David" w:eastAsia="Calibri" w:hAnsi="David"/>
                <w:color w:val="000000"/>
                <w:sz w:val="22"/>
                <w:szCs w:val="22"/>
              </w:rPr>
            </w:pPr>
            <w:r w:rsidRPr="00AA5065">
              <w:rPr>
                <w:rFonts w:ascii="David" w:eastAsia="Calibri" w:hAnsi="David"/>
                <w:color w:val="000000"/>
                <w:sz w:val="22"/>
                <w:szCs w:val="22"/>
                <w:rtl/>
              </w:rPr>
              <w:t>שגב שלום</w:t>
            </w:r>
          </w:p>
        </w:tc>
        <w:tc>
          <w:tcPr>
            <w:tcW w:w="77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34</w:t>
            </w:r>
          </w:p>
        </w:tc>
        <w:tc>
          <w:tcPr>
            <w:tcW w:w="314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32</w:t>
            </w:r>
          </w:p>
        </w:tc>
        <w:tc>
          <w:tcPr>
            <w:tcW w:w="1468"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-6%</w:t>
            </w:r>
          </w:p>
        </w:tc>
      </w:tr>
    </w:tbl>
    <w:p w:rsidR="00AA5065" w:rsidRPr="00AA5065" w:rsidP="00860D89">
      <w:pPr>
        <w:spacing w:line="269" w:lineRule="auto"/>
        <w:rPr>
          <w:rFonts w:ascii="David" w:eastAsia="Calibri" w:hAnsi="David"/>
          <w:b/>
          <w:sz w:val="16"/>
          <w:szCs w:val="20"/>
          <w:rtl/>
        </w:rPr>
      </w:pPr>
      <w:r w:rsidRPr="00AA5065">
        <w:rPr>
          <w:rFonts w:ascii="David" w:eastAsia="Calibri" w:hAnsi="David"/>
          <w:b/>
          <w:sz w:val="16"/>
          <w:szCs w:val="20"/>
          <w:rtl/>
        </w:rPr>
        <w:t>המקור: משטרת ישראל.‏</w:t>
      </w:r>
    </w:p>
    <w:p w:rsidR="00E07D80" w:rsidP="00860D89">
      <w:pPr>
        <w:keepNext/>
        <w:keepLines/>
        <w:spacing w:line="269" w:lineRule="auto"/>
        <w:outlineLvl w:val="4"/>
        <w:rPr>
          <w:rFonts w:eastAsia="Times New Roman"/>
          <w:bCs/>
          <w:spacing w:val="40"/>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בביקורת המעקב בחן צוות הביקורת את מצבת השוטרים בתחנות ערוער ושגב שלום לעומת התקן. בלוח</w:t>
      </w:r>
      <w:r w:rsidRPr="00AA5065">
        <w:rPr>
          <w:rFonts w:ascii="David" w:eastAsia="Calibri" w:hAnsi="David"/>
          <w:rtl/>
        </w:rPr>
        <w:t xml:space="preserve"> </w:t>
      </w:r>
      <w:r w:rsidRPr="00AA5065">
        <w:rPr>
          <w:rFonts w:ascii="David" w:eastAsia="Calibri" w:hAnsi="David" w:hint="cs"/>
          <w:rtl/>
        </w:rPr>
        <w:t>6ב שלהלן ממצאי צוות הביקורת לגבי</w:t>
      </w:r>
      <w:r w:rsidRPr="00AA5065">
        <w:rPr>
          <w:rFonts w:ascii="David" w:eastAsia="Calibri" w:hAnsi="David"/>
          <w:rtl/>
        </w:rPr>
        <w:t xml:space="preserve"> תחנת שגב שלום </w:t>
      </w:r>
      <w:r w:rsidRPr="00AA5065">
        <w:rPr>
          <w:rFonts w:ascii="David" w:eastAsia="Calibri" w:hAnsi="David" w:hint="cs"/>
          <w:rtl/>
        </w:rPr>
        <w:t>ב</w:t>
      </w:r>
      <w:r w:rsidRPr="00AA5065">
        <w:rPr>
          <w:rFonts w:ascii="David" w:eastAsia="Calibri" w:hAnsi="David"/>
          <w:rtl/>
        </w:rPr>
        <w:t xml:space="preserve">שנים 2021 </w:t>
      </w:r>
      <w:r w:rsidRPr="00AA5065">
        <w:rPr>
          <w:rFonts w:ascii="David" w:eastAsia="Calibri" w:hAnsi="David" w:hint="cs"/>
          <w:rtl/>
        </w:rPr>
        <w:t>עד</w:t>
      </w:r>
      <w:r w:rsidRPr="00AA5065">
        <w:rPr>
          <w:rFonts w:ascii="David" w:eastAsia="Calibri" w:hAnsi="David"/>
          <w:rtl/>
        </w:rPr>
        <w:t xml:space="preserve"> 2024</w:t>
      </w:r>
      <w:r w:rsidRPr="00AA5065">
        <w:rPr>
          <w:rFonts w:ascii="David" w:eastAsia="Calibri" w:hAnsi="David" w:hint="cs"/>
          <w:rtl/>
        </w:rPr>
        <w:t>.</w:t>
      </w:r>
      <w:r w:rsidRPr="00AA5065">
        <w:rPr>
          <w:rFonts w:ascii="David" w:eastAsia="Calibri" w:hAnsi="David"/>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ascii="David" w:eastAsia="Calibri" w:hAnsi="David"/>
          <w:rtl/>
        </w:rPr>
      </w:pPr>
      <w:r w:rsidRPr="00AA5065">
        <w:rPr>
          <w:rFonts w:ascii="David" w:eastAsia="Calibri" w:hAnsi="David" w:hint="eastAsia"/>
          <w:rtl/>
        </w:rPr>
        <w:t>לוח</w:t>
      </w:r>
      <w:r w:rsidRPr="00AA5065">
        <w:rPr>
          <w:rFonts w:ascii="David" w:eastAsia="Calibri" w:hAnsi="David" w:hint="cs"/>
          <w:rtl/>
        </w:rPr>
        <w:t xml:space="preserve"> 6ב</w:t>
      </w:r>
      <w:r w:rsidRPr="00AA5065">
        <w:rPr>
          <w:rFonts w:ascii="David" w:eastAsia="Calibri" w:hAnsi="David"/>
          <w:rtl/>
        </w:rPr>
        <w:t xml:space="preserve">: </w:t>
      </w:r>
      <w:r w:rsidRPr="00AA5065">
        <w:rPr>
          <w:rFonts w:ascii="David" w:eastAsia="Calibri" w:hAnsi="David" w:hint="cs"/>
          <w:b/>
          <w:bCs/>
          <w:rtl/>
        </w:rPr>
        <w:t>ה</w:t>
      </w:r>
      <w:r w:rsidRPr="00AA5065">
        <w:rPr>
          <w:rFonts w:ascii="David" w:eastAsia="Calibri" w:hAnsi="David"/>
          <w:b/>
          <w:bCs/>
          <w:rtl/>
        </w:rPr>
        <w:t xml:space="preserve">תקן </w:t>
      </w:r>
      <w:r w:rsidRPr="00AA5065">
        <w:rPr>
          <w:rFonts w:ascii="David" w:eastAsia="Calibri" w:hAnsi="David" w:hint="cs"/>
          <w:b/>
          <w:bCs/>
          <w:rtl/>
        </w:rPr>
        <w:t>לעומת</w:t>
      </w:r>
      <w:r w:rsidRPr="00AA5065">
        <w:rPr>
          <w:rFonts w:ascii="David" w:eastAsia="Calibri" w:hAnsi="David"/>
          <w:b/>
          <w:bCs/>
          <w:rtl/>
        </w:rPr>
        <w:t xml:space="preserve"> מצב</w:t>
      </w:r>
      <w:r w:rsidRPr="00AA5065">
        <w:rPr>
          <w:rFonts w:ascii="David" w:eastAsia="Calibri" w:hAnsi="David" w:hint="cs"/>
          <w:b/>
          <w:bCs/>
          <w:rtl/>
        </w:rPr>
        <w:t>ת כוח האדם</w:t>
      </w:r>
      <w:r w:rsidRPr="00AA5065">
        <w:rPr>
          <w:rFonts w:ascii="David" w:eastAsia="Calibri" w:hAnsi="David"/>
          <w:b/>
          <w:bCs/>
          <w:rtl/>
        </w:rPr>
        <w:t xml:space="preserve"> </w:t>
      </w:r>
      <w:r w:rsidRPr="00AA5065">
        <w:rPr>
          <w:rFonts w:ascii="David" w:eastAsia="Calibri" w:hAnsi="David" w:hint="cs"/>
          <w:b/>
          <w:bCs/>
          <w:rtl/>
        </w:rPr>
        <w:t>ב</w:t>
      </w:r>
      <w:r w:rsidRPr="00AA5065">
        <w:rPr>
          <w:rFonts w:ascii="David" w:eastAsia="Calibri" w:hAnsi="David"/>
          <w:b/>
          <w:bCs/>
          <w:rtl/>
        </w:rPr>
        <w:t>תחנת שגב שלום, 2021 - 2024</w:t>
      </w:r>
    </w:p>
    <w:tbl>
      <w:tblPr>
        <w:tblStyle w:val="5-11"/>
        <w:bidiVisual/>
        <w:tblW w:w="6300" w:type="dxa"/>
        <w:jc w:val="center"/>
        <w:tblLook w:val="04A0"/>
      </w:tblPr>
      <w:tblGrid>
        <w:gridCol w:w="1163"/>
        <w:gridCol w:w="1102"/>
        <w:gridCol w:w="1346"/>
        <w:gridCol w:w="1182"/>
        <w:gridCol w:w="1507"/>
      </w:tblGrid>
      <w:tr w:rsidTr="00AA5065">
        <w:tblPrEx>
          <w:tblW w:w="6300" w:type="dxa"/>
          <w:jc w:val="center"/>
          <w:tblLook w:val="04A0"/>
        </w:tblPrEx>
        <w:trPr>
          <w:trHeight w:val="390"/>
          <w:jc w:val="center"/>
        </w:trPr>
        <w:tc>
          <w:tcPr>
            <w:tcW w:w="116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שנה</w:t>
            </w:r>
          </w:p>
        </w:tc>
        <w:tc>
          <w:tcPr>
            <w:tcW w:w="1102"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תקן</w:t>
            </w:r>
          </w:p>
        </w:tc>
        <w:tc>
          <w:tcPr>
            <w:tcW w:w="1346"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מצבה</w:t>
            </w:r>
          </w:p>
        </w:tc>
        <w:tc>
          <w:tcPr>
            <w:tcW w:w="1182"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 xml:space="preserve">פער </w:t>
            </w:r>
          </w:p>
        </w:tc>
        <w:tc>
          <w:tcPr>
            <w:tcW w:w="1507"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פער באחוזים</w:t>
            </w:r>
          </w:p>
        </w:tc>
      </w:tr>
      <w:tr w:rsidTr="00AA5065">
        <w:tblPrEx>
          <w:tblW w:w="6300" w:type="dxa"/>
          <w:jc w:val="center"/>
          <w:tblLook w:val="04A0"/>
        </w:tblPrEx>
        <w:trPr>
          <w:trHeight w:val="315"/>
          <w:jc w:val="center"/>
        </w:trPr>
        <w:tc>
          <w:tcPr>
            <w:tcW w:w="1163"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color w:val="000000"/>
                <w:sz w:val="22"/>
                <w:szCs w:val="22"/>
              </w:rPr>
              <w:t>2021</w:t>
            </w:r>
          </w:p>
        </w:tc>
        <w:tc>
          <w:tcPr>
            <w:tcW w:w="11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34</w:t>
            </w:r>
          </w:p>
        </w:tc>
        <w:tc>
          <w:tcPr>
            <w:tcW w:w="1346"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27</w:t>
            </w:r>
          </w:p>
        </w:tc>
        <w:tc>
          <w:tcPr>
            <w:tcW w:w="118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7</w:t>
            </w:r>
          </w:p>
        </w:tc>
        <w:tc>
          <w:tcPr>
            <w:tcW w:w="150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21%</w:t>
            </w:r>
          </w:p>
        </w:tc>
      </w:tr>
      <w:tr w:rsidTr="00AA5065">
        <w:tblPrEx>
          <w:tblW w:w="6300" w:type="dxa"/>
          <w:jc w:val="center"/>
          <w:tblLook w:val="04A0"/>
        </w:tblPrEx>
        <w:trPr>
          <w:trHeight w:val="315"/>
          <w:jc w:val="center"/>
        </w:trPr>
        <w:tc>
          <w:tcPr>
            <w:tcW w:w="116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2022</w:t>
            </w:r>
          </w:p>
        </w:tc>
        <w:tc>
          <w:tcPr>
            <w:tcW w:w="11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116</w:t>
            </w:r>
          </w:p>
        </w:tc>
        <w:tc>
          <w:tcPr>
            <w:tcW w:w="1346"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83</w:t>
            </w:r>
          </w:p>
        </w:tc>
        <w:tc>
          <w:tcPr>
            <w:tcW w:w="118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33</w:t>
            </w:r>
          </w:p>
        </w:tc>
        <w:tc>
          <w:tcPr>
            <w:tcW w:w="150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28%</w:t>
            </w:r>
          </w:p>
        </w:tc>
      </w:tr>
      <w:tr w:rsidTr="00AA5065">
        <w:tblPrEx>
          <w:tblW w:w="6300" w:type="dxa"/>
          <w:jc w:val="center"/>
          <w:tblLook w:val="04A0"/>
        </w:tblPrEx>
        <w:trPr>
          <w:trHeight w:val="315"/>
          <w:jc w:val="center"/>
        </w:trPr>
        <w:tc>
          <w:tcPr>
            <w:tcW w:w="116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2023</w:t>
            </w:r>
          </w:p>
        </w:tc>
        <w:tc>
          <w:tcPr>
            <w:tcW w:w="11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117</w:t>
            </w:r>
          </w:p>
        </w:tc>
        <w:tc>
          <w:tcPr>
            <w:tcW w:w="1346"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92.5</w:t>
            </w:r>
          </w:p>
        </w:tc>
        <w:tc>
          <w:tcPr>
            <w:tcW w:w="118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24.5</w:t>
            </w:r>
          </w:p>
        </w:tc>
        <w:tc>
          <w:tcPr>
            <w:tcW w:w="150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21%</w:t>
            </w:r>
          </w:p>
        </w:tc>
      </w:tr>
      <w:tr w:rsidTr="00AA5065">
        <w:tblPrEx>
          <w:tblW w:w="6300" w:type="dxa"/>
          <w:jc w:val="center"/>
          <w:tblLook w:val="04A0"/>
        </w:tblPrEx>
        <w:trPr>
          <w:trHeight w:val="330"/>
          <w:jc w:val="center"/>
        </w:trPr>
        <w:tc>
          <w:tcPr>
            <w:tcW w:w="116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2024</w:t>
            </w:r>
          </w:p>
        </w:tc>
        <w:tc>
          <w:tcPr>
            <w:tcW w:w="11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117.5</w:t>
            </w:r>
          </w:p>
        </w:tc>
        <w:tc>
          <w:tcPr>
            <w:tcW w:w="1346"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97</w:t>
            </w:r>
          </w:p>
        </w:tc>
        <w:tc>
          <w:tcPr>
            <w:tcW w:w="118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20.5</w:t>
            </w:r>
          </w:p>
        </w:tc>
        <w:tc>
          <w:tcPr>
            <w:tcW w:w="150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17%</w:t>
            </w:r>
          </w:p>
        </w:tc>
      </w:tr>
    </w:tbl>
    <w:p w:rsidR="00AA5065" w:rsidRPr="00AA5065" w:rsidP="00860D89">
      <w:pPr>
        <w:spacing w:line="269" w:lineRule="auto"/>
        <w:rPr>
          <w:rFonts w:ascii="David" w:eastAsia="Calibri" w:hAnsi="David"/>
          <w:sz w:val="16"/>
          <w:szCs w:val="20"/>
          <w:rtl/>
        </w:rPr>
      </w:pPr>
      <w:r w:rsidRPr="00AA5065">
        <w:rPr>
          <w:rFonts w:ascii="David" w:eastAsia="Calibri" w:hAnsi="David" w:hint="cs"/>
          <w:sz w:val="16"/>
          <w:szCs w:val="20"/>
          <w:rtl/>
        </w:rPr>
        <w:t>לפי</w:t>
      </w:r>
      <w:r w:rsidRPr="00AA5065">
        <w:rPr>
          <w:rFonts w:ascii="David" w:eastAsia="Calibri" w:hAnsi="David"/>
          <w:sz w:val="16"/>
          <w:szCs w:val="20"/>
          <w:rtl/>
        </w:rPr>
        <w:t xml:space="preserve"> </w:t>
      </w:r>
      <w:r w:rsidRPr="00AA5065">
        <w:rPr>
          <w:rFonts w:ascii="David" w:eastAsia="Calibri" w:hAnsi="David" w:hint="cs"/>
          <w:sz w:val="16"/>
          <w:szCs w:val="20"/>
          <w:rtl/>
        </w:rPr>
        <w:t xml:space="preserve">נתוני </w:t>
      </w:r>
      <w:r w:rsidRPr="00AA5065">
        <w:rPr>
          <w:rFonts w:ascii="David" w:eastAsia="Calibri" w:hAnsi="David"/>
          <w:sz w:val="16"/>
          <w:szCs w:val="20"/>
          <w:rtl/>
        </w:rPr>
        <w:t>משטרת ישראל</w:t>
      </w:r>
      <w:r w:rsidRPr="00AA5065">
        <w:rPr>
          <w:rFonts w:ascii="David" w:eastAsia="Calibri" w:hAnsi="David" w:hint="cs"/>
          <w:sz w:val="16"/>
          <w:szCs w:val="20"/>
          <w:rtl/>
        </w:rPr>
        <w:t>,</w:t>
      </w:r>
      <w:r w:rsidRPr="00AA5065">
        <w:rPr>
          <w:rFonts w:ascii="David" w:eastAsia="Calibri" w:hAnsi="David"/>
          <w:sz w:val="16"/>
          <w:szCs w:val="20"/>
          <w:rtl/>
        </w:rPr>
        <w:t xml:space="preserve"> בעיבוד משרד מבקר המדינה</w:t>
      </w:r>
      <w:r w:rsidRPr="00AA5065">
        <w:rPr>
          <w:rFonts w:ascii="David" w:eastAsia="Calibri" w:hAnsi="David" w:hint="cs"/>
          <w:sz w:val="16"/>
          <w:szCs w:val="20"/>
          <w:rtl/>
        </w:rPr>
        <w:t>.</w:t>
      </w:r>
      <w:r w:rsidRPr="00AA5065">
        <w:rPr>
          <w:rFonts w:ascii="David" w:eastAsia="Calibri" w:hAnsi="David"/>
          <w:sz w:val="16"/>
          <w:szCs w:val="20"/>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b/>
          <w:bCs/>
          <w:rtl/>
        </w:rPr>
        <w:t>מ</w:t>
      </w:r>
      <w:r w:rsidRPr="00AA5065">
        <w:rPr>
          <w:rFonts w:ascii="David" w:eastAsia="Calibri" w:hAnsi="David" w:hint="eastAsia"/>
          <w:b/>
          <w:bCs/>
          <w:rtl/>
        </w:rPr>
        <w:t>הלוח</w:t>
      </w:r>
      <w:r w:rsidRPr="00AA5065">
        <w:rPr>
          <w:rFonts w:ascii="David" w:eastAsia="Calibri" w:hAnsi="David"/>
          <w:b/>
          <w:bCs/>
          <w:rtl/>
        </w:rPr>
        <w:t xml:space="preserve"> עולה כי</w:t>
      </w:r>
      <w:r w:rsidRPr="00AA5065">
        <w:rPr>
          <w:rFonts w:ascii="David" w:eastAsia="Calibri" w:hAnsi="David" w:hint="cs"/>
          <w:b/>
          <w:bCs/>
          <w:rtl/>
        </w:rPr>
        <w:t xml:space="preserve"> </w:t>
      </w:r>
      <w:r w:rsidRPr="00AA5065">
        <w:rPr>
          <w:rFonts w:ascii="David" w:eastAsia="Calibri" w:hAnsi="David"/>
          <w:b/>
          <w:bCs/>
          <w:rtl/>
        </w:rPr>
        <w:t>בשנת 2021 התקן עמד על 34 שוטרים בלבד, ובשנת 2022 עלה משמעותית ל-116 תקנים, יחד ‏עם זאת</w:t>
      </w:r>
      <w:r w:rsidRPr="00AA5065">
        <w:rPr>
          <w:rFonts w:ascii="David" w:eastAsia="Calibri" w:hAnsi="David" w:hint="cs"/>
          <w:b/>
          <w:bCs/>
          <w:rtl/>
        </w:rPr>
        <w:t xml:space="preserve">, קיימים פערים במצבה ביחס לתקינה בשיעור של כ-17% עד 28% כך, בעוד שבשנת 2021 היה חוסר של 7 שוטרים, בשנת 2024 החוסר היה למעלה מ-20 שוטרים. </w:t>
      </w:r>
      <w:r w:rsidRPr="00AA5065">
        <w:rPr>
          <w:rFonts w:ascii="David" w:eastAsia="Calibri" w:hAnsi="David"/>
          <w:b/>
          <w:bCs/>
          <w:rtl/>
        </w:rPr>
        <w:t>בין השנים 2020 - 2024 הפער הממוצע עמד על 22%.‏</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 xml:space="preserve">לוח 7 שלהלן </w:t>
      </w:r>
      <w:r w:rsidRPr="00AA5065">
        <w:rPr>
          <w:rFonts w:ascii="David" w:eastAsia="Calibri" w:hAnsi="David"/>
          <w:rtl/>
        </w:rPr>
        <w:t xml:space="preserve">מציג את התקינה (תקן) לעומת מצבת כוח האדם בתחנת ערוער </w:t>
      </w:r>
      <w:r w:rsidRPr="00AA5065">
        <w:rPr>
          <w:rFonts w:ascii="David" w:eastAsia="Calibri" w:hAnsi="David" w:hint="cs"/>
          <w:rtl/>
        </w:rPr>
        <w:t>בשנים</w:t>
      </w:r>
      <w:r w:rsidRPr="00AA5065">
        <w:rPr>
          <w:rFonts w:ascii="David" w:eastAsia="Calibri" w:hAnsi="David"/>
          <w:rtl/>
        </w:rPr>
        <w:t xml:space="preserve"> 2020 </w:t>
      </w:r>
      <w:r w:rsidRPr="00AA5065">
        <w:rPr>
          <w:rFonts w:ascii="David" w:eastAsia="Calibri" w:hAnsi="David" w:hint="cs"/>
          <w:rtl/>
        </w:rPr>
        <w:t>עד</w:t>
      </w:r>
      <w:r w:rsidRPr="00AA5065">
        <w:rPr>
          <w:rFonts w:ascii="David" w:eastAsia="Calibri" w:hAnsi="David"/>
          <w:rtl/>
        </w:rPr>
        <w:t xml:space="preserve"> 2024.</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ascii="David" w:eastAsia="Calibri" w:hAnsi="David"/>
          <w:rtl/>
        </w:rPr>
      </w:pPr>
      <w:r w:rsidRPr="00AA5065">
        <w:rPr>
          <w:rFonts w:ascii="David" w:eastAsia="Calibri" w:hAnsi="David" w:hint="cs"/>
          <w:rtl/>
        </w:rPr>
        <w:t>לוח 7</w:t>
      </w:r>
      <w:r w:rsidRPr="00AA5065">
        <w:rPr>
          <w:rFonts w:ascii="David" w:eastAsia="Calibri" w:hAnsi="David"/>
          <w:rtl/>
        </w:rPr>
        <w:t xml:space="preserve">: </w:t>
      </w:r>
      <w:r w:rsidRPr="00AA5065">
        <w:rPr>
          <w:rFonts w:ascii="David" w:eastAsia="Calibri" w:hAnsi="David" w:hint="cs"/>
          <w:b/>
          <w:bCs/>
          <w:rtl/>
        </w:rPr>
        <w:t>ה</w:t>
      </w:r>
      <w:r w:rsidRPr="00AA5065">
        <w:rPr>
          <w:rFonts w:ascii="David" w:eastAsia="Calibri" w:hAnsi="David"/>
          <w:b/>
          <w:bCs/>
          <w:rtl/>
        </w:rPr>
        <w:t>תקן</w:t>
      </w:r>
      <w:r>
        <w:rPr>
          <w:rFonts w:ascii="David" w:eastAsia="Calibri" w:hAnsi="David"/>
          <w:b/>
          <w:bCs/>
          <w:vertAlign w:val="superscript"/>
          <w:rtl/>
        </w:rPr>
        <w:footnoteReference w:id="86"/>
      </w:r>
      <w:r w:rsidRPr="00AA5065">
        <w:rPr>
          <w:rFonts w:ascii="David" w:eastAsia="Calibri" w:hAnsi="David"/>
          <w:b/>
          <w:bCs/>
          <w:rtl/>
        </w:rPr>
        <w:t xml:space="preserve"> </w:t>
      </w:r>
      <w:r w:rsidRPr="00AA5065">
        <w:rPr>
          <w:rFonts w:ascii="David" w:eastAsia="Calibri" w:hAnsi="David" w:hint="cs"/>
          <w:b/>
          <w:bCs/>
          <w:rtl/>
        </w:rPr>
        <w:t>לעומת</w:t>
      </w:r>
      <w:r w:rsidRPr="00AA5065">
        <w:rPr>
          <w:rFonts w:ascii="David" w:eastAsia="Calibri" w:hAnsi="David"/>
          <w:b/>
          <w:bCs/>
          <w:rtl/>
        </w:rPr>
        <w:t xml:space="preserve"> מצב</w:t>
      </w:r>
      <w:r w:rsidRPr="00AA5065">
        <w:rPr>
          <w:rFonts w:ascii="David" w:eastAsia="Calibri" w:hAnsi="David" w:hint="cs"/>
          <w:b/>
          <w:bCs/>
          <w:rtl/>
        </w:rPr>
        <w:t>ת כוח האדם</w:t>
      </w:r>
      <w:r w:rsidRPr="00AA5065">
        <w:rPr>
          <w:rFonts w:ascii="David" w:eastAsia="Calibri" w:hAnsi="David"/>
          <w:b/>
          <w:bCs/>
          <w:rtl/>
        </w:rPr>
        <w:t xml:space="preserve"> </w:t>
      </w:r>
      <w:r w:rsidRPr="00AA5065">
        <w:rPr>
          <w:rFonts w:ascii="David" w:eastAsia="Calibri" w:hAnsi="David" w:hint="cs"/>
          <w:b/>
          <w:bCs/>
          <w:rtl/>
        </w:rPr>
        <w:t>ב</w:t>
      </w:r>
      <w:r w:rsidRPr="00AA5065">
        <w:rPr>
          <w:rFonts w:ascii="David" w:eastAsia="Calibri" w:hAnsi="David"/>
          <w:b/>
          <w:bCs/>
          <w:rtl/>
        </w:rPr>
        <w:t xml:space="preserve">תחנת ערוער, 2020 </w:t>
      </w:r>
      <w:r w:rsidRPr="00AA5065">
        <w:rPr>
          <w:rFonts w:ascii="David" w:eastAsia="Calibri" w:hAnsi="David" w:hint="cs"/>
          <w:b/>
          <w:bCs/>
          <w:rtl/>
        </w:rPr>
        <w:t>עד</w:t>
      </w:r>
      <w:r w:rsidRPr="00AA5065">
        <w:rPr>
          <w:rFonts w:ascii="David" w:eastAsia="Calibri" w:hAnsi="David"/>
          <w:b/>
          <w:bCs/>
          <w:rtl/>
        </w:rPr>
        <w:t xml:space="preserve"> 2024 </w:t>
      </w:r>
    </w:p>
    <w:tbl>
      <w:tblPr>
        <w:tblStyle w:val="5-11"/>
        <w:bidiVisual/>
        <w:tblW w:w="6531" w:type="dxa"/>
        <w:jc w:val="center"/>
        <w:tblLook w:val="04A0"/>
      </w:tblPr>
      <w:tblGrid>
        <w:gridCol w:w="1120"/>
        <w:gridCol w:w="1179"/>
        <w:gridCol w:w="1354"/>
        <w:gridCol w:w="1041"/>
        <w:gridCol w:w="1837"/>
      </w:tblGrid>
      <w:tr w:rsidTr="00AA5065">
        <w:tblPrEx>
          <w:tblW w:w="6531" w:type="dxa"/>
          <w:jc w:val="center"/>
          <w:tblLook w:val="04A0"/>
        </w:tblPrEx>
        <w:trPr>
          <w:trHeight w:val="390"/>
          <w:jc w:val="center"/>
        </w:trPr>
        <w:tc>
          <w:tcPr>
            <w:tcW w:w="1120" w:type="dxa"/>
            <w:noWrap/>
            <w:hideMark/>
          </w:tcPr>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שנה</w:t>
            </w:r>
          </w:p>
        </w:tc>
        <w:tc>
          <w:tcPr>
            <w:tcW w:w="1179" w:type="dxa"/>
            <w:noWrap/>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תקן</w:t>
            </w:r>
          </w:p>
        </w:tc>
        <w:tc>
          <w:tcPr>
            <w:tcW w:w="1354" w:type="dxa"/>
            <w:noWrap/>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מצבה</w:t>
            </w:r>
          </w:p>
        </w:tc>
        <w:tc>
          <w:tcPr>
            <w:tcW w:w="1041" w:type="dxa"/>
            <w:noWrap/>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 xml:space="preserve">פער </w:t>
            </w:r>
          </w:p>
        </w:tc>
        <w:tc>
          <w:tcPr>
            <w:tcW w:w="1837" w:type="dxa"/>
            <w:noWrap/>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פער באחוזים</w:t>
            </w:r>
          </w:p>
        </w:tc>
      </w:tr>
      <w:tr w:rsidTr="00AA5065">
        <w:tblPrEx>
          <w:tblW w:w="6531" w:type="dxa"/>
          <w:jc w:val="center"/>
          <w:tblLook w:val="04A0"/>
        </w:tblPrEx>
        <w:trPr>
          <w:trHeight w:val="315"/>
          <w:jc w:val="center"/>
        </w:trPr>
        <w:tc>
          <w:tcPr>
            <w:tcW w:w="1120"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color w:val="000000"/>
                <w:sz w:val="22"/>
                <w:szCs w:val="22"/>
              </w:rPr>
              <w:t>2020</w:t>
            </w:r>
          </w:p>
        </w:tc>
        <w:tc>
          <w:tcPr>
            <w:tcW w:w="1179"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113</w:t>
            </w:r>
          </w:p>
        </w:tc>
        <w:tc>
          <w:tcPr>
            <w:tcW w:w="135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99</w:t>
            </w:r>
          </w:p>
        </w:tc>
        <w:tc>
          <w:tcPr>
            <w:tcW w:w="104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14</w:t>
            </w:r>
          </w:p>
        </w:tc>
        <w:tc>
          <w:tcPr>
            <w:tcW w:w="183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12%</w:t>
            </w:r>
          </w:p>
        </w:tc>
      </w:tr>
      <w:tr w:rsidTr="00AA5065">
        <w:tblPrEx>
          <w:tblW w:w="6531" w:type="dxa"/>
          <w:jc w:val="center"/>
          <w:tblLook w:val="04A0"/>
        </w:tblPrEx>
        <w:trPr>
          <w:trHeight w:val="315"/>
          <w:jc w:val="center"/>
        </w:trPr>
        <w:tc>
          <w:tcPr>
            <w:tcW w:w="1120"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2021</w:t>
            </w:r>
          </w:p>
        </w:tc>
        <w:tc>
          <w:tcPr>
            <w:tcW w:w="1179"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113</w:t>
            </w:r>
          </w:p>
        </w:tc>
        <w:tc>
          <w:tcPr>
            <w:tcW w:w="135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99</w:t>
            </w:r>
          </w:p>
        </w:tc>
        <w:tc>
          <w:tcPr>
            <w:tcW w:w="104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14</w:t>
            </w:r>
          </w:p>
        </w:tc>
        <w:tc>
          <w:tcPr>
            <w:tcW w:w="183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12%</w:t>
            </w:r>
          </w:p>
        </w:tc>
      </w:tr>
      <w:tr w:rsidTr="00AA5065">
        <w:tblPrEx>
          <w:tblW w:w="6531" w:type="dxa"/>
          <w:jc w:val="center"/>
          <w:tblLook w:val="04A0"/>
        </w:tblPrEx>
        <w:trPr>
          <w:trHeight w:val="315"/>
          <w:jc w:val="center"/>
        </w:trPr>
        <w:tc>
          <w:tcPr>
            <w:tcW w:w="1120"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2022</w:t>
            </w:r>
          </w:p>
        </w:tc>
        <w:tc>
          <w:tcPr>
            <w:tcW w:w="1179"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105.5</w:t>
            </w:r>
          </w:p>
        </w:tc>
        <w:tc>
          <w:tcPr>
            <w:tcW w:w="135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72</w:t>
            </w:r>
          </w:p>
        </w:tc>
        <w:tc>
          <w:tcPr>
            <w:tcW w:w="104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33.5</w:t>
            </w:r>
          </w:p>
        </w:tc>
        <w:tc>
          <w:tcPr>
            <w:tcW w:w="183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32%</w:t>
            </w:r>
          </w:p>
        </w:tc>
      </w:tr>
      <w:tr w:rsidTr="00AA5065">
        <w:tblPrEx>
          <w:tblW w:w="6531" w:type="dxa"/>
          <w:jc w:val="center"/>
          <w:tblLook w:val="04A0"/>
        </w:tblPrEx>
        <w:trPr>
          <w:trHeight w:val="315"/>
          <w:jc w:val="center"/>
        </w:trPr>
        <w:tc>
          <w:tcPr>
            <w:tcW w:w="1120"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2023</w:t>
            </w:r>
          </w:p>
        </w:tc>
        <w:tc>
          <w:tcPr>
            <w:tcW w:w="1179"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106.5</w:t>
            </w:r>
          </w:p>
        </w:tc>
        <w:tc>
          <w:tcPr>
            <w:tcW w:w="135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73</w:t>
            </w:r>
          </w:p>
        </w:tc>
        <w:tc>
          <w:tcPr>
            <w:tcW w:w="104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33.5</w:t>
            </w:r>
          </w:p>
        </w:tc>
        <w:tc>
          <w:tcPr>
            <w:tcW w:w="183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31%</w:t>
            </w:r>
          </w:p>
        </w:tc>
      </w:tr>
      <w:tr w:rsidTr="00AA5065">
        <w:tblPrEx>
          <w:tblW w:w="6531" w:type="dxa"/>
          <w:jc w:val="center"/>
          <w:tblLook w:val="04A0"/>
        </w:tblPrEx>
        <w:trPr>
          <w:trHeight w:val="330"/>
          <w:jc w:val="center"/>
        </w:trPr>
        <w:tc>
          <w:tcPr>
            <w:tcW w:w="1120"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2024</w:t>
            </w:r>
          </w:p>
        </w:tc>
        <w:tc>
          <w:tcPr>
            <w:tcW w:w="1179"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106.5</w:t>
            </w:r>
          </w:p>
        </w:tc>
        <w:tc>
          <w:tcPr>
            <w:tcW w:w="135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86</w:t>
            </w:r>
          </w:p>
        </w:tc>
        <w:tc>
          <w:tcPr>
            <w:tcW w:w="104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20.5</w:t>
            </w:r>
          </w:p>
        </w:tc>
        <w:tc>
          <w:tcPr>
            <w:tcW w:w="183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19%</w:t>
            </w:r>
          </w:p>
        </w:tc>
      </w:tr>
    </w:tbl>
    <w:p w:rsidR="00AA5065" w:rsidRPr="00AA5065" w:rsidP="00860D89">
      <w:pPr>
        <w:spacing w:line="269" w:lineRule="auto"/>
        <w:rPr>
          <w:rFonts w:ascii="David" w:eastAsia="Calibri" w:hAnsi="David"/>
          <w:sz w:val="16"/>
          <w:szCs w:val="20"/>
          <w:rtl/>
        </w:rPr>
      </w:pPr>
      <w:r w:rsidRPr="00AA5065">
        <w:rPr>
          <w:rFonts w:ascii="David" w:eastAsia="Calibri" w:hAnsi="David" w:hint="cs"/>
          <w:sz w:val="16"/>
          <w:szCs w:val="20"/>
          <w:rtl/>
        </w:rPr>
        <w:t>על פי</w:t>
      </w:r>
      <w:r w:rsidRPr="00AA5065">
        <w:rPr>
          <w:rFonts w:ascii="David" w:eastAsia="Calibri" w:hAnsi="David"/>
          <w:sz w:val="16"/>
          <w:szCs w:val="20"/>
          <w:rtl/>
        </w:rPr>
        <w:t xml:space="preserve"> </w:t>
      </w:r>
      <w:r w:rsidRPr="00AA5065">
        <w:rPr>
          <w:rFonts w:ascii="David" w:eastAsia="Calibri" w:hAnsi="David" w:hint="cs"/>
          <w:sz w:val="16"/>
          <w:szCs w:val="20"/>
          <w:rtl/>
        </w:rPr>
        <w:t xml:space="preserve">נתוני </w:t>
      </w:r>
      <w:r w:rsidRPr="00AA5065">
        <w:rPr>
          <w:rFonts w:ascii="David" w:eastAsia="Calibri" w:hAnsi="David"/>
          <w:sz w:val="16"/>
          <w:szCs w:val="20"/>
          <w:rtl/>
        </w:rPr>
        <w:t>משטרת ישראל</w:t>
      </w:r>
      <w:r w:rsidRPr="00AA5065">
        <w:rPr>
          <w:rFonts w:ascii="David" w:eastAsia="Calibri" w:hAnsi="David" w:hint="cs"/>
          <w:sz w:val="16"/>
          <w:szCs w:val="20"/>
          <w:rtl/>
        </w:rPr>
        <w:t>,</w:t>
      </w:r>
      <w:r w:rsidRPr="00AA5065">
        <w:rPr>
          <w:rFonts w:ascii="David" w:eastAsia="Calibri" w:hAnsi="David"/>
          <w:sz w:val="16"/>
          <w:szCs w:val="20"/>
          <w:rtl/>
        </w:rPr>
        <w:t xml:space="preserve"> בעיבוד משרד מבקר המדינה.</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cs"/>
          <w:b/>
          <w:bCs/>
          <w:rtl/>
        </w:rPr>
        <w:t>מהלוח</w:t>
      </w:r>
      <w:r w:rsidRPr="00AA5065">
        <w:rPr>
          <w:rFonts w:ascii="David" w:eastAsia="Calibri" w:hAnsi="David"/>
          <w:b/>
          <w:bCs/>
          <w:rtl/>
        </w:rPr>
        <w:t xml:space="preserve"> עולה כי </w:t>
      </w:r>
      <w:r w:rsidRPr="00AA5065">
        <w:rPr>
          <w:rFonts w:ascii="David" w:eastAsia="Calibri" w:hAnsi="David" w:hint="cs"/>
          <w:b/>
          <w:bCs/>
          <w:rtl/>
        </w:rPr>
        <w:t xml:space="preserve">בשנים 2021 עד 2024 היו פערים במצבת השוטרים בתחנת ערוער לעומת התקינה בהיקף של כ-12% עד 32%, כך שבשנת 2020 היו חסרים 14 שוטרים, ואילו בשנת 2024 היה חוסר של יותר מ-20 שוטרים.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bookmarkStart w:id="84" w:name="_Hlk206055142"/>
      <w:r w:rsidRPr="00AA5065">
        <w:rPr>
          <w:rFonts w:ascii="David" w:eastAsia="Calibri" w:hAnsi="David" w:hint="eastAsia"/>
          <w:b/>
          <w:bCs/>
          <w:rtl/>
        </w:rPr>
        <w:t>בביקורת</w:t>
      </w:r>
      <w:r w:rsidRPr="00AA5065">
        <w:rPr>
          <w:rFonts w:ascii="David" w:eastAsia="Calibri" w:hAnsi="David"/>
          <w:b/>
          <w:bCs/>
          <w:rtl/>
        </w:rPr>
        <w:t xml:space="preserve"> </w:t>
      </w:r>
      <w:r w:rsidRPr="00AA5065">
        <w:rPr>
          <w:rFonts w:ascii="David" w:eastAsia="Calibri" w:hAnsi="David" w:hint="cs"/>
          <w:b/>
          <w:bCs/>
          <w:rtl/>
        </w:rPr>
        <w:t>ה</w:t>
      </w:r>
      <w:r w:rsidRPr="00AA5065">
        <w:rPr>
          <w:rFonts w:ascii="David" w:eastAsia="Calibri" w:hAnsi="David" w:hint="eastAsia"/>
          <w:b/>
          <w:bCs/>
          <w:rtl/>
        </w:rPr>
        <w:t>קודמת</w:t>
      </w:r>
      <w:r w:rsidRPr="00AA5065">
        <w:rPr>
          <w:rFonts w:ascii="David" w:eastAsia="Calibri" w:hAnsi="David"/>
          <w:b/>
          <w:bCs/>
          <w:rtl/>
        </w:rPr>
        <w:t xml:space="preserve"> </w:t>
      </w:r>
      <w:r w:rsidRPr="00AA5065">
        <w:rPr>
          <w:rFonts w:ascii="David" w:eastAsia="Calibri" w:hAnsi="David" w:hint="eastAsia"/>
          <w:b/>
          <w:bCs/>
          <w:rtl/>
        </w:rPr>
        <w:t>עלה</w:t>
      </w:r>
      <w:r w:rsidRPr="00AA5065">
        <w:rPr>
          <w:rFonts w:ascii="David" w:eastAsia="Calibri" w:hAnsi="David"/>
          <w:b/>
          <w:bCs/>
          <w:rtl/>
        </w:rPr>
        <w:t xml:space="preserve"> </w:t>
      </w:r>
      <w:r w:rsidRPr="00AA5065">
        <w:rPr>
          <w:rFonts w:ascii="David" w:eastAsia="Calibri" w:hAnsi="David" w:hint="cs"/>
          <w:b/>
          <w:bCs/>
          <w:rtl/>
        </w:rPr>
        <w:t xml:space="preserve">פער בין מצבת השוטרים לתקינה </w:t>
      </w:r>
      <w:r w:rsidRPr="00AA5065">
        <w:rPr>
          <w:rFonts w:ascii="David" w:eastAsia="Calibri" w:hAnsi="David"/>
          <w:b/>
          <w:bCs/>
          <w:rtl/>
        </w:rPr>
        <w:t xml:space="preserve">שנקבעה: חוסר של 6% </w:t>
      </w:r>
      <w:r w:rsidRPr="00AA5065">
        <w:rPr>
          <w:rFonts w:ascii="David" w:eastAsia="Calibri" w:hAnsi="David" w:hint="cs"/>
          <w:b/>
          <w:bCs/>
          <w:rtl/>
        </w:rPr>
        <w:t xml:space="preserve">בתחנת שגב שלום </w:t>
      </w:r>
      <w:r w:rsidRPr="00AA5065">
        <w:rPr>
          <w:rFonts w:ascii="David" w:eastAsia="Calibri" w:hAnsi="David"/>
          <w:b/>
          <w:bCs/>
          <w:rtl/>
        </w:rPr>
        <w:t xml:space="preserve">וחוסר של 8% בתחנת </w:t>
      </w:r>
      <w:r w:rsidRPr="00AA5065">
        <w:rPr>
          <w:rFonts w:ascii="David" w:eastAsia="Calibri" w:hAnsi="David" w:hint="cs"/>
          <w:b/>
          <w:bCs/>
          <w:rtl/>
        </w:rPr>
        <w:t xml:space="preserve">ערוער. </w:t>
      </w:r>
      <w:r w:rsidRPr="00AA5065">
        <w:rPr>
          <w:rFonts w:ascii="David" w:eastAsia="Calibri" w:hAnsi="David" w:hint="eastAsia"/>
          <w:b/>
          <w:bCs/>
          <w:rtl/>
        </w:rPr>
        <w:t>בביקורת</w:t>
      </w:r>
      <w:r w:rsidRPr="00AA5065">
        <w:rPr>
          <w:rFonts w:ascii="David" w:eastAsia="Calibri" w:hAnsi="David"/>
          <w:b/>
          <w:bCs/>
          <w:rtl/>
        </w:rPr>
        <w:t xml:space="preserve"> </w:t>
      </w:r>
      <w:r w:rsidRPr="00AA5065">
        <w:rPr>
          <w:rFonts w:ascii="David" w:eastAsia="Calibri" w:hAnsi="David" w:hint="eastAsia"/>
          <w:b/>
          <w:bCs/>
          <w:rtl/>
        </w:rPr>
        <w:t>המעקב</w:t>
      </w:r>
      <w:r w:rsidRPr="00AA5065">
        <w:rPr>
          <w:rFonts w:ascii="David" w:eastAsia="Calibri" w:hAnsi="David"/>
          <w:b/>
          <w:bCs/>
          <w:rtl/>
        </w:rPr>
        <w:t xml:space="preserve"> </w:t>
      </w:r>
      <w:r w:rsidRPr="00AA5065">
        <w:rPr>
          <w:rFonts w:ascii="David" w:eastAsia="Calibri" w:hAnsi="David" w:hint="eastAsia"/>
          <w:b/>
          <w:bCs/>
          <w:rtl/>
        </w:rPr>
        <w:t>נמצא</w:t>
      </w:r>
      <w:r w:rsidRPr="00AA5065">
        <w:rPr>
          <w:rFonts w:ascii="David" w:eastAsia="Calibri" w:hAnsi="David"/>
          <w:b/>
          <w:bCs/>
          <w:rtl/>
        </w:rPr>
        <w:t xml:space="preserve"> </w:t>
      </w:r>
      <w:r w:rsidRPr="00AA5065">
        <w:rPr>
          <w:rFonts w:ascii="David" w:eastAsia="Calibri" w:hAnsi="David" w:hint="eastAsia"/>
          <w:b/>
          <w:bCs/>
          <w:rtl/>
        </w:rPr>
        <w:t>כי</w:t>
      </w:r>
      <w:r w:rsidRPr="00AA5065">
        <w:rPr>
          <w:rFonts w:ascii="David" w:eastAsia="Calibri" w:hAnsi="David"/>
          <w:b/>
          <w:bCs/>
          <w:rtl/>
        </w:rPr>
        <w:t xml:space="preserve"> </w:t>
      </w:r>
      <w:r w:rsidRPr="00AA5065">
        <w:rPr>
          <w:rFonts w:ascii="David" w:eastAsia="Calibri" w:hAnsi="David" w:hint="eastAsia"/>
          <w:b/>
          <w:bCs/>
          <w:rtl/>
        </w:rPr>
        <w:t>הליקוי</w:t>
      </w:r>
      <w:r w:rsidRPr="00AA5065">
        <w:rPr>
          <w:rFonts w:ascii="David" w:eastAsia="Calibri" w:hAnsi="David"/>
          <w:b/>
          <w:bCs/>
          <w:rtl/>
        </w:rPr>
        <w:t xml:space="preserve"> </w:t>
      </w:r>
      <w:r w:rsidRPr="00AA5065">
        <w:rPr>
          <w:rFonts w:ascii="David" w:eastAsia="Calibri" w:hAnsi="David" w:hint="cs"/>
          <w:b/>
          <w:bCs/>
          <w:rtl/>
        </w:rPr>
        <w:t xml:space="preserve">לא </w:t>
      </w:r>
      <w:r w:rsidRPr="00AA5065">
        <w:rPr>
          <w:rFonts w:ascii="David" w:eastAsia="Calibri" w:hAnsi="David" w:hint="eastAsia"/>
          <w:b/>
          <w:bCs/>
          <w:rtl/>
        </w:rPr>
        <w:t>תוקן</w:t>
      </w:r>
      <w:r w:rsidRPr="00AA5065">
        <w:rPr>
          <w:rFonts w:ascii="David" w:eastAsia="Calibri" w:hAnsi="David" w:hint="cs"/>
          <w:b/>
          <w:bCs/>
          <w:rtl/>
        </w:rPr>
        <w:t xml:space="preserve"> ואף החמיר: </w:t>
      </w:r>
      <w:r w:rsidRPr="00AA5065">
        <w:rPr>
          <w:rFonts w:ascii="David" w:eastAsia="Calibri" w:hAnsi="David"/>
          <w:b/>
          <w:bCs/>
          <w:rtl/>
        </w:rPr>
        <w:t xml:space="preserve">החוסר הממוצע בשגב שלום </w:t>
      </w:r>
      <w:r w:rsidRPr="00AA5065">
        <w:rPr>
          <w:rFonts w:ascii="David" w:eastAsia="Calibri" w:hAnsi="David" w:hint="cs"/>
          <w:b/>
          <w:bCs/>
          <w:rtl/>
        </w:rPr>
        <w:t>היה</w:t>
      </w:r>
      <w:r w:rsidRPr="00AA5065">
        <w:rPr>
          <w:rFonts w:ascii="David" w:eastAsia="Calibri" w:hAnsi="David"/>
          <w:b/>
          <w:bCs/>
          <w:rtl/>
        </w:rPr>
        <w:t xml:space="preserve"> 22%, ובערוער 21%.</w:t>
      </w:r>
      <w:r w:rsidRPr="00AA5065">
        <w:rPr>
          <w:rFonts w:ascii="David" w:eastAsia="Calibri" w:hAnsi="David" w:hint="cs"/>
          <w:b/>
          <w:bCs/>
          <w:rtl/>
        </w:rPr>
        <w:t xml:space="preserve"> </w:t>
      </w:r>
      <w:r w:rsidRPr="00AA5065">
        <w:rPr>
          <w:rFonts w:ascii="David" w:eastAsia="Calibri" w:hAnsi="David"/>
          <w:b/>
          <w:bCs/>
          <w:rtl/>
        </w:rPr>
        <w:t xml:space="preserve">‏נכון לסוף שנת 2024 </w:t>
      </w:r>
      <w:r w:rsidRPr="00AA5065">
        <w:rPr>
          <w:rFonts w:ascii="David" w:eastAsia="Calibri" w:hAnsi="David" w:hint="cs"/>
          <w:b/>
          <w:bCs/>
          <w:rtl/>
        </w:rPr>
        <w:t>היו חסרים</w:t>
      </w:r>
      <w:r w:rsidRPr="00AA5065">
        <w:rPr>
          <w:rFonts w:ascii="David" w:eastAsia="Calibri" w:hAnsi="David"/>
          <w:b/>
          <w:bCs/>
          <w:rtl/>
        </w:rPr>
        <w:t xml:space="preserve"> למעלה מ-41 שוטרים בשתי התחנות יחד</w:t>
      </w:r>
      <w:r w:rsidRPr="00AA5065">
        <w:rPr>
          <w:rFonts w:ascii="David" w:eastAsia="Calibri" w:hAnsi="David" w:hint="cs"/>
          <w:b/>
          <w:bCs/>
          <w:rtl/>
        </w:rPr>
        <w:t>:</w:t>
      </w:r>
      <w:r w:rsidRPr="00AA5065">
        <w:rPr>
          <w:rFonts w:ascii="David" w:eastAsia="Calibri" w:hAnsi="David"/>
          <w:b/>
          <w:bCs/>
          <w:rtl/>
        </w:rPr>
        <w:t xml:space="preserve"> בתחנת ערוער אוישו 86 משרות מתוך תקן של 106.5, ובתחנת שגב שלום אוישו 97 משרות מתוך תקן של 117.5.‏</w:t>
      </w:r>
    </w:p>
    <w:bookmarkEnd w:id="84"/>
    <w:p w:rsidR="00AA5065" w:rsidRPr="00AA5065" w:rsidP="00860D89">
      <w:pPr>
        <w:spacing w:line="269" w:lineRule="auto"/>
        <w:ind w:left="-567"/>
        <w:rPr>
          <w:rFonts w:eastAsia="Calibri"/>
          <w:szCs w:val="20"/>
          <w:rtl/>
        </w:rPr>
      </w:pPr>
    </w:p>
    <w:p w:rsidR="00AA5065" w:rsidRPr="00AA5065" w:rsidP="00860D89">
      <w:pPr>
        <w:keepNext/>
        <w:keepLines/>
        <w:spacing w:line="269" w:lineRule="auto"/>
        <w:ind w:left="397"/>
        <w:jc w:val="center"/>
        <w:rPr>
          <w:rFonts w:ascii="David" w:eastAsia="Calibri" w:hAnsi="David"/>
          <w:sz w:val="24"/>
          <w:rtl/>
        </w:rPr>
      </w:pPr>
      <w:r w:rsidRPr="00AA5065">
        <w:rPr>
          <w:rFonts w:ascii="David" w:eastAsia="Calibri" w:hAnsi="David"/>
          <w:b/>
          <w:bCs/>
          <w:color w:val="0D0D0D"/>
          <w:sz w:val="24"/>
          <w:rtl/>
        </w:rPr>
        <w:t>מידת תיקון הליקוי</w:t>
      </w:r>
    </w:p>
    <w:p w:rsidR="00AA5065" w:rsidRPr="00AA5065" w:rsidP="00860D89">
      <w:pPr>
        <w:spacing w:line="269" w:lineRule="auto"/>
        <w:ind w:left="397"/>
        <w:jc w:val="center"/>
        <w:rPr>
          <w:rFonts w:eastAsia="Calibri"/>
          <w:rtl/>
        </w:rPr>
      </w:pPr>
      <w:r w:rsidRPr="00AA5065">
        <w:rPr>
          <w:rFonts w:ascii="David" w:eastAsia="Calibri" w:hAnsi="David"/>
          <w:noProof/>
        </w:rPr>
        <w:drawing>
          <wp:inline distT="0" distB="0" distL="0" distR="0">
            <wp:extent cx="3960000" cy="740487"/>
            <wp:effectExtent l="0" t="0" r="0" b="0"/>
            <wp:docPr id="60" name="תמונה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תמונה 1095261540"/>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0000" cy="740487"/>
                    </a:xfrm>
                    <a:prstGeom prst="rect">
                      <a:avLst/>
                    </a:prstGeom>
                    <a:noFill/>
                    <a:ln>
                      <a:noFill/>
                    </a:ln>
                  </pic:spPr>
                </pic:pic>
              </a:graphicData>
            </a:graphic>
          </wp:inline>
        </w:drawing>
      </w:r>
    </w:p>
    <w:p w:rsidR="00AA5065" w:rsidRPr="00AA5065" w:rsidP="00672D31">
      <w:pPr>
        <w:spacing w:after="120" w:line="269" w:lineRule="auto"/>
        <w:ind w:left="-567"/>
        <w:rPr>
          <w:rFonts w:eastAsia="Calibri"/>
          <w:szCs w:val="20"/>
          <w:rtl/>
        </w:rPr>
      </w:pPr>
    </w:p>
    <w:p w:rsidR="00AA5065" w:rsidRPr="00AA5065" w:rsidP="00860D89">
      <w:pPr>
        <w:keepNext/>
        <w:keepLines/>
        <w:spacing w:line="269" w:lineRule="auto"/>
        <w:outlineLvl w:val="3"/>
        <w:rPr>
          <w:rFonts w:eastAsia="Times New Roman"/>
          <w:bCs/>
          <w:sz w:val="24"/>
          <w:rtl/>
        </w:rPr>
      </w:pPr>
      <w:r w:rsidRPr="00AA5065">
        <w:rPr>
          <w:rFonts w:eastAsia="Times New Roman"/>
          <w:bCs/>
          <w:sz w:val="24"/>
          <w:rtl/>
        </w:rPr>
        <w:t xml:space="preserve">מומלץ כי </w:t>
      </w:r>
      <w:r w:rsidRPr="00AA5065">
        <w:rPr>
          <w:rFonts w:eastAsia="Times New Roman" w:hint="eastAsia"/>
          <w:bCs/>
          <w:sz w:val="24"/>
          <w:rtl/>
        </w:rPr>
        <w:t>המשרד</w:t>
      </w:r>
      <w:r w:rsidRPr="00AA5065">
        <w:rPr>
          <w:rFonts w:eastAsia="Times New Roman"/>
          <w:bCs/>
          <w:sz w:val="24"/>
          <w:rtl/>
        </w:rPr>
        <w:t xml:space="preserve"> לב</w:t>
      </w:r>
      <w:r w:rsidRPr="00AA5065">
        <w:rPr>
          <w:rFonts w:eastAsia="Times New Roman" w:hint="eastAsia"/>
          <w:bCs/>
          <w:sz w:val="24"/>
          <w:rtl/>
        </w:rPr>
        <w:t>י</w:t>
      </w:r>
      <w:r w:rsidRPr="00AA5065">
        <w:rPr>
          <w:rFonts w:eastAsia="Times New Roman"/>
          <w:bCs/>
          <w:sz w:val="24"/>
          <w:rtl/>
        </w:rPr>
        <w:t xml:space="preserve">טחון לאומי בשיתוף משטרת ישראל יפעלו לצמצום הפער במצבת ‏השוטרים בתחנות שגב שלום וערוער, בין היתר </w:t>
      </w:r>
      <w:r w:rsidRPr="00AA5065">
        <w:rPr>
          <w:rFonts w:eastAsia="Times New Roman" w:hint="eastAsia"/>
          <w:bCs/>
          <w:sz w:val="24"/>
          <w:rtl/>
        </w:rPr>
        <w:t>תוך</w:t>
      </w:r>
      <w:r w:rsidRPr="00AA5065">
        <w:rPr>
          <w:rFonts w:eastAsia="Times New Roman"/>
          <w:bCs/>
          <w:sz w:val="24"/>
          <w:rtl/>
        </w:rPr>
        <w:t xml:space="preserve"> בחינת </w:t>
      </w:r>
      <w:r w:rsidRPr="00AA5065">
        <w:rPr>
          <w:rFonts w:eastAsia="Times New Roman" w:hint="eastAsia"/>
          <w:bCs/>
          <w:sz w:val="24"/>
          <w:rtl/>
        </w:rPr>
        <w:t>ש</w:t>
      </w:r>
      <w:r w:rsidRPr="00AA5065">
        <w:rPr>
          <w:rFonts w:eastAsia="Times New Roman"/>
          <w:bCs/>
          <w:sz w:val="24"/>
          <w:rtl/>
        </w:rPr>
        <w:t xml:space="preserve">יפור תנאי השירות, ופעולות </w:t>
      </w:r>
      <w:r w:rsidRPr="00AA5065">
        <w:rPr>
          <w:rFonts w:eastAsia="Times New Roman" w:hint="eastAsia"/>
          <w:bCs/>
          <w:sz w:val="24"/>
          <w:rtl/>
        </w:rPr>
        <w:t>ה</w:t>
      </w:r>
      <w:r w:rsidRPr="00AA5065">
        <w:rPr>
          <w:rFonts w:eastAsia="Times New Roman"/>
          <w:bCs/>
          <w:sz w:val="24"/>
          <w:rtl/>
        </w:rPr>
        <w:t>גיוס, ‏כדי להבטיח את ביטחון הציבור ויכולת המשטרה לתפקד ביעילות.‏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משטרת ישראל מסרה בתשובתה כי נכון ליום 28.9.25 צומצמו פערי האיוש באופן משמעותי. בתחנות שגב שלום ועיירות הפער במצבת השוטרים עמד על 9.5 (8%) ו-8.5 (8%) בהתאמה.</w:t>
      </w:r>
    </w:p>
    <w:p w:rsidR="00AA5065" w:rsidRPr="00AA5065" w:rsidP="00860D89">
      <w:pPr>
        <w:spacing w:line="269" w:lineRule="auto"/>
        <w:rPr>
          <w:rFonts w:eastAsia="Calibri"/>
          <w:rtl/>
        </w:rPr>
      </w:pPr>
    </w:p>
    <w:p w:rsidR="00AA5065" w:rsidRPr="00AA5065" w:rsidP="00860D89">
      <w:pPr>
        <w:keepNext/>
        <w:keepLines/>
        <w:spacing w:line="269" w:lineRule="auto"/>
        <w:outlineLvl w:val="3"/>
        <w:rPr>
          <w:rFonts w:eastAsia="Times New Roman"/>
          <w:bCs/>
          <w:szCs w:val="26"/>
          <w:rtl/>
        </w:rPr>
      </w:pPr>
      <w:bookmarkStart w:id="85" w:name="_Hlk204855165"/>
      <w:r w:rsidRPr="00AA5065">
        <w:rPr>
          <w:rFonts w:eastAsia="Times New Roman"/>
          <w:bCs/>
          <w:szCs w:val="26"/>
          <w:rtl/>
        </w:rPr>
        <w:t>איוש תחנות המשטרה במרחב נגב</w:t>
      </w:r>
    </w:p>
    <w:bookmarkEnd w:id="85"/>
    <w:p w:rsidR="00AA5065" w:rsidRPr="00AA5065" w:rsidP="00860D89">
      <w:pPr>
        <w:spacing w:line="269" w:lineRule="auto"/>
        <w:ind w:left="-567"/>
        <w:rPr>
          <w:rFonts w:eastAsia="Calibri"/>
          <w:szCs w:val="20"/>
          <w:rtl/>
        </w:rPr>
      </w:pPr>
    </w:p>
    <w:bookmarkEnd w:id="82"/>
    <w:p w:rsidR="00AA5065" w:rsidRPr="00AA5065" w:rsidP="00860D89">
      <w:pPr>
        <w:spacing w:line="269" w:lineRule="auto"/>
        <w:rPr>
          <w:rFonts w:ascii="David" w:eastAsia="Calibri" w:hAnsi="David"/>
          <w:rtl/>
        </w:rPr>
      </w:pPr>
      <w:r w:rsidRPr="00AA5065">
        <w:rPr>
          <w:rFonts w:ascii="David" w:eastAsia="Calibri" w:hAnsi="David"/>
          <w:rtl/>
        </w:rPr>
        <w:t>בדוח מבקר המדינה</w:t>
      </w:r>
      <w:bookmarkStart w:id="86" w:name="_Hlk204771253"/>
      <w:bookmarkStart w:id="87" w:name="_Hlk204771273"/>
      <w:r>
        <w:rPr>
          <w:rFonts w:ascii="David" w:eastAsia="Calibri" w:hAnsi="David"/>
          <w:vertAlign w:val="superscript"/>
          <w:rtl/>
        </w:rPr>
        <w:footnoteReference w:id="87"/>
      </w:r>
      <w:bookmarkEnd w:id="86"/>
      <w:bookmarkEnd w:id="87"/>
      <w:r w:rsidRPr="00AA5065">
        <w:rPr>
          <w:rFonts w:ascii="David" w:eastAsia="Calibri" w:hAnsi="David" w:hint="cs"/>
          <w:rtl/>
        </w:rPr>
        <w:t xml:space="preserve"> משנת</w:t>
      </w:r>
      <w:r w:rsidRPr="00AA5065">
        <w:rPr>
          <w:rFonts w:ascii="David" w:eastAsia="Calibri" w:hAnsi="David"/>
          <w:rtl/>
        </w:rPr>
        <w:t xml:space="preserve"> 2021 נ</w:t>
      </w:r>
      <w:r w:rsidRPr="00AA5065">
        <w:rPr>
          <w:rFonts w:ascii="David" w:eastAsia="Calibri" w:hAnsi="David" w:hint="cs"/>
          <w:rtl/>
        </w:rPr>
        <w:t>כתב</w:t>
      </w:r>
      <w:r w:rsidRPr="00AA5065">
        <w:rPr>
          <w:rFonts w:ascii="David" w:eastAsia="Calibri" w:hAnsi="David"/>
          <w:rtl/>
        </w:rPr>
        <w:t xml:space="preserve"> </w:t>
      </w:r>
      <w:r w:rsidRPr="00AA5065">
        <w:rPr>
          <w:rFonts w:ascii="David" w:eastAsia="Calibri" w:hAnsi="David" w:hint="cs"/>
          <w:rtl/>
        </w:rPr>
        <w:t xml:space="preserve">כי </w:t>
      </w:r>
      <w:r w:rsidRPr="00AA5065">
        <w:rPr>
          <w:rFonts w:ascii="David" w:eastAsia="Calibri" w:hAnsi="David"/>
          <w:rtl/>
        </w:rPr>
        <w:t>"הקמת תחנות המשטרה החדשות היא רכיב מרכזי בתוכנית החומש ונועדה להגדיל את ‏היקף הכוחות הנלחמים למיגור הפשיעה בחברה הערבית ומעניקים שירות ‏לאוכלוסייתה. ואולם נמצא כי ארבע משמונה התחנות החדשות שהוקמו לא הביאו ‏לתוספת משמעותית להיקף הכוחות, שכן הן גרעו מהמשרות של התחנות שכבר ‏פועלות באותה גזרה. למעשה בוצע ארגון מחודש של הכוחות הפועלים בגזרות אלה".</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ראש עיריית רהט ציין במכתבו</w:t>
      </w:r>
      <w:r>
        <w:rPr>
          <w:rFonts w:ascii="David" w:eastAsia="Calibri" w:hAnsi="David"/>
          <w:vertAlign w:val="superscript"/>
          <w:rtl/>
        </w:rPr>
        <w:footnoteReference w:id="88"/>
      </w:r>
      <w:r w:rsidRPr="00AA5065">
        <w:rPr>
          <w:rFonts w:ascii="David" w:eastAsia="Calibri" w:hAnsi="David"/>
          <w:rtl/>
        </w:rPr>
        <w:t xml:space="preserve"> מיולי 2024 כי </w:t>
      </w:r>
      <w:r w:rsidRPr="00AA5065">
        <w:rPr>
          <w:rFonts w:ascii="David" w:eastAsia="Calibri" w:hAnsi="David" w:hint="cs"/>
          <w:rtl/>
        </w:rPr>
        <w:t>"</w:t>
      </w:r>
      <w:r w:rsidRPr="00AA5065">
        <w:rPr>
          <w:rFonts w:ascii="David" w:eastAsia="Calibri" w:hAnsi="David"/>
          <w:rtl/>
        </w:rPr>
        <w:t>מצב הביטחון האישי בישובים הבדואים בנגב נמצא בשפל המדרגה, אנו כבר במצב של אנרכיה ואיבוד שליטה זועק לשמיים... התעצמות הפשיעה החמורה הירי הבלתי פוסק בלילות ובימים... זריקת רימונים על סמלי שלטון ומוסדות ציבור ועוד</w:t>
      </w:r>
      <w:r w:rsidRPr="00AA5065">
        <w:rPr>
          <w:rFonts w:ascii="David" w:eastAsia="Calibri" w:hAnsi="David" w:hint="cs"/>
          <w:rtl/>
        </w:rPr>
        <w:t>...</w:t>
      </w:r>
      <w:r w:rsidRPr="00AA5065">
        <w:rPr>
          <w:rFonts w:ascii="David" w:eastAsia="Calibri" w:hAnsi="David"/>
          <w:rtl/>
        </w:rPr>
        <w:t xml:space="preserve"> אנחנו לא רואים שום חיזוק לנוכחות של משטרת ישראל בישובים, נהפוך הוא אנחנו רק רואים העדר נוכחות משווע של משטרת ישראל במרחב העירוני והציבורי בישובים הבדואים בנגב, </w:t>
      </w:r>
      <w:r w:rsidRPr="00AA5065">
        <w:rPr>
          <w:rFonts w:ascii="David" w:eastAsia="Calibri" w:hAnsi="David"/>
          <w:b/>
          <w:bCs/>
          <w:rtl/>
        </w:rPr>
        <w:t>המשטרה לא נוכחת</w:t>
      </w:r>
      <w:r w:rsidRPr="00AA5065">
        <w:rPr>
          <w:rFonts w:ascii="David" w:eastAsia="Calibri" w:hAnsi="David"/>
          <w:rtl/>
        </w:rPr>
        <w:t xml:space="preserve">, בתחנת רהט ובתחנת עיירות ובעוד תחנות איוש התקנים בפועל הנו נמוך יותר מאשר היה לפני קבלת ההחלטות שצוינו לעיל אז איפה הכסף של חיזוק </w:t>
      </w:r>
      <w:r w:rsidRPr="00AA5065">
        <w:rPr>
          <w:rFonts w:ascii="David" w:eastAsia="Calibri" w:hAnsi="David" w:hint="cs"/>
          <w:rtl/>
        </w:rPr>
        <w:t>הביטחו</w:t>
      </w:r>
      <w:r w:rsidRPr="00AA5065">
        <w:rPr>
          <w:rFonts w:ascii="David" w:eastAsia="Calibri" w:hAnsi="David" w:hint="eastAsia"/>
          <w:rtl/>
        </w:rPr>
        <w:t>ן</w:t>
      </w:r>
      <w:r w:rsidRPr="00AA5065">
        <w:rPr>
          <w:rFonts w:ascii="David" w:eastAsia="Calibri" w:hAnsi="David"/>
          <w:rtl/>
        </w:rPr>
        <w:t xml:space="preserve"> האישי?!" (ההדגשה במקור)</w:t>
      </w:r>
      <w:r w:rsidRPr="00AA5065">
        <w:rPr>
          <w:rFonts w:ascii="David" w:eastAsia="Calibri" w:hAnsi="David" w:hint="cs"/>
          <w:rtl/>
        </w:rPr>
        <w:t>.</w:t>
      </w:r>
      <w:r w:rsidRPr="00AA5065">
        <w:rPr>
          <w:rFonts w:ascii="David" w:eastAsia="Calibri" w:hAnsi="David"/>
          <w:rtl/>
        </w:rPr>
        <w:t xml:space="preserve"> ראש העיר </w:t>
      </w:r>
      <w:r w:rsidRPr="00AA5065">
        <w:rPr>
          <w:rFonts w:ascii="David" w:eastAsia="Calibri" w:hAnsi="David" w:hint="cs"/>
          <w:rtl/>
        </w:rPr>
        <w:t>ביקש</w:t>
      </w:r>
      <w:r w:rsidRPr="00AA5065">
        <w:rPr>
          <w:rFonts w:ascii="David" w:eastAsia="Calibri" w:hAnsi="David"/>
          <w:rtl/>
        </w:rPr>
        <w:t xml:space="preserve"> התערבות מי</w:t>
      </w:r>
      <w:r w:rsidRPr="00AA5065">
        <w:rPr>
          <w:rFonts w:ascii="David" w:eastAsia="Calibri" w:hAnsi="David" w:hint="cs"/>
          <w:rtl/>
        </w:rPr>
        <w:t>י</w:t>
      </w:r>
      <w:r w:rsidRPr="00AA5065">
        <w:rPr>
          <w:rFonts w:ascii="David" w:eastAsia="Calibri" w:hAnsi="David"/>
          <w:rtl/>
        </w:rPr>
        <w:t xml:space="preserve">דית ודחופה להצלת המצב ולחיזוק תחושת הביטחון האישי </w:t>
      </w:r>
      <w:r w:rsidRPr="00AA5065">
        <w:rPr>
          <w:rFonts w:ascii="David" w:eastAsia="Calibri" w:hAnsi="David" w:hint="cs"/>
          <w:rtl/>
        </w:rPr>
        <w:t>באמצעות</w:t>
      </w:r>
      <w:r w:rsidRPr="00AA5065">
        <w:rPr>
          <w:rFonts w:ascii="David" w:eastAsia="Calibri" w:hAnsi="David"/>
          <w:rtl/>
        </w:rPr>
        <w:t xml:space="preserve"> הפשרת התקציבים, יישום הת</w:t>
      </w:r>
      <w:r w:rsidRPr="00AA5065">
        <w:rPr>
          <w:rFonts w:ascii="David" w:eastAsia="Calibri" w:hAnsi="David" w:hint="cs"/>
          <w:rtl/>
        </w:rPr>
        <w:t>ו</w:t>
      </w:r>
      <w:r w:rsidRPr="00AA5065">
        <w:rPr>
          <w:rFonts w:ascii="David" w:eastAsia="Calibri" w:hAnsi="David"/>
          <w:rtl/>
        </w:rPr>
        <w:t xml:space="preserve">כניות והאצת ביצוען </w:t>
      </w:r>
      <w:r w:rsidRPr="00AA5065">
        <w:rPr>
          <w:rFonts w:ascii="David" w:eastAsia="Calibri" w:hAnsi="David" w:hint="cs"/>
          <w:rtl/>
        </w:rPr>
        <w:t xml:space="preserve">וכן באמצעות </w:t>
      </w:r>
      <w:r w:rsidRPr="00AA5065">
        <w:rPr>
          <w:rFonts w:ascii="David" w:eastAsia="Calibri" w:hAnsi="David"/>
          <w:rtl/>
        </w:rPr>
        <w:t xml:space="preserve">איוש תקני המשטרה והגברה </w:t>
      </w:r>
      <w:r w:rsidRPr="00AA5065">
        <w:rPr>
          <w:rFonts w:ascii="David" w:eastAsia="Calibri" w:hAnsi="David" w:hint="cs"/>
          <w:rtl/>
        </w:rPr>
        <w:t>ניכרת</w:t>
      </w:r>
      <w:r w:rsidRPr="00AA5065">
        <w:rPr>
          <w:rFonts w:ascii="David" w:eastAsia="Calibri" w:hAnsi="David"/>
          <w:rtl/>
        </w:rPr>
        <w:t xml:space="preserve"> של נוכחות המשטרה במרחב העירוני והציבורי</w:t>
      </w:r>
      <w:r w:rsidRPr="00AA5065">
        <w:rPr>
          <w:rFonts w:ascii="David" w:eastAsia="Calibri" w:hAnsi="David"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 xml:space="preserve">המשטרה מסרה בתשובתה כי </w:t>
      </w:r>
      <w:r w:rsidRPr="00AA5065">
        <w:rPr>
          <w:rFonts w:eastAsia="Calibri" w:hint="cs"/>
          <w:rtl/>
        </w:rPr>
        <w:t>"</w:t>
      </w:r>
      <w:r w:rsidRPr="00AA5065">
        <w:rPr>
          <w:rFonts w:eastAsia="Calibri"/>
          <w:rtl/>
        </w:rPr>
        <w:t>בעקבות אירועי הירי בעיר רהט, ובהמשך לסכסוכי הדמים, תחנת רהט מתוגברת בכמות כוחות בלתי מבוטלת.</w:t>
      </w:r>
      <w:r w:rsidRPr="00AA5065">
        <w:rPr>
          <w:rFonts w:eastAsia="Calibri" w:hint="cs"/>
          <w:rtl/>
        </w:rPr>
        <w:t>..</w:t>
      </w:r>
      <w:r w:rsidRPr="00AA5065">
        <w:rPr>
          <w:rFonts w:eastAsia="Calibri"/>
          <w:rtl/>
        </w:rPr>
        <w:t xml:space="preserve"> בנוסף, בתחנת רהט התקיימו מבצעי פשיעה רבים במהלך ימי השבוע, ובדגש לסופי שבוע, כאשר הבולט בהם הוא מבצע </w:t>
      </w:r>
      <w:r w:rsidRPr="00AA5065">
        <w:rPr>
          <w:rFonts w:eastAsia="Calibri" w:hint="cs"/>
          <w:rtl/>
        </w:rPr>
        <w:t>'</w:t>
      </w:r>
      <w:r w:rsidRPr="00AA5065">
        <w:rPr>
          <w:rFonts w:eastAsia="Calibri"/>
          <w:rtl/>
        </w:rPr>
        <w:t>דרך ערים</w:t>
      </w:r>
      <w:r w:rsidRPr="00AA5065">
        <w:rPr>
          <w:rFonts w:eastAsia="Calibri" w:hint="cs"/>
          <w:rtl/>
        </w:rPr>
        <w:t>'</w:t>
      </w:r>
      <w:r w:rsidRPr="00AA5065">
        <w:rPr>
          <w:rFonts w:eastAsia="Calibri"/>
          <w:rtl/>
        </w:rPr>
        <w:t>, שהניב תוצאות מצוינות.</w:t>
      </w:r>
      <w:r w:rsidRPr="00AA5065">
        <w:rPr>
          <w:rFonts w:eastAsia="Calibri" w:hint="cs"/>
          <w:rtl/>
        </w:rPr>
        <w:t xml:space="preserve"> </w:t>
      </w:r>
      <w:r w:rsidRPr="00AA5065">
        <w:rPr>
          <w:rFonts w:eastAsia="Calibri"/>
          <w:rtl/>
        </w:rPr>
        <w:t>כמות כלי הנשק שנתפסו בעיר רהט, במהלך חיפושים יזומים וחיפושי אד הוק גבוהה מאוד, מכל סוגי הנשקים</w:t>
      </w:r>
      <w:r w:rsidRPr="00AA5065">
        <w:rPr>
          <w:rFonts w:eastAsia="Calibri" w:hint="cs"/>
          <w:rtl/>
        </w:rPr>
        <w:t>"</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עיריית רהט</w:t>
      </w:r>
      <w:r w:rsidRPr="00AA5065">
        <w:rPr>
          <w:rFonts w:ascii="David" w:eastAsia="Calibri" w:hAnsi="David"/>
          <w:rtl/>
        </w:rPr>
        <w:t xml:space="preserve"> </w:t>
      </w:r>
      <w:r w:rsidRPr="00AA5065">
        <w:rPr>
          <w:rFonts w:ascii="David" w:eastAsia="Calibri" w:hAnsi="David" w:hint="cs"/>
          <w:rtl/>
        </w:rPr>
        <w:t>מסרה בתשובתה</w:t>
      </w:r>
      <w:r w:rsidRPr="00AA5065">
        <w:rPr>
          <w:rFonts w:ascii="David" w:eastAsia="Calibri" w:hAnsi="David"/>
          <w:rtl/>
        </w:rPr>
        <w:t xml:space="preserve"> ‏</w:t>
      </w:r>
      <w:r w:rsidRPr="00AA5065">
        <w:rPr>
          <w:rFonts w:ascii="David" w:eastAsia="Calibri" w:hAnsi="David" w:hint="cs"/>
          <w:rtl/>
        </w:rPr>
        <w:t>כי החוסר של 21 שוטרים בתחנת המשטרה רהט מהווה מצב שאינו מיטבי ופוגע בהגברת תחושת הביטחון בקרב הציבור.</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לוח 8 שלהלן מציג את מצבת השוטרים במרחב הנגב בשנים 2020 עד 2024 ואת שיעור הפער לעומת השנה הקודמת.</w:t>
      </w:r>
    </w:p>
    <w:p w:rsidR="00AA5065" w:rsidRPr="00AA5065" w:rsidP="00860D89">
      <w:pPr>
        <w:spacing w:line="269" w:lineRule="auto"/>
        <w:ind w:left="-567"/>
        <w:rPr>
          <w:rFonts w:eastAsia="Calibri"/>
          <w:szCs w:val="20"/>
          <w:rtl/>
        </w:rPr>
      </w:pPr>
    </w:p>
    <w:p w:rsidR="00672D31" w:rsidP="00860D89">
      <w:pPr>
        <w:spacing w:line="269" w:lineRule="auto"/>
        <w:jc w:val="center"/>
        <w:rPr>
          <w:rFonts w:ascii="David" w:eastAsia="Calibri" w:hAnsi="David"/>
          <w:rtl/>
        </w:rPr>
      </w:pPr>
    </w:p>
    <w:p w:rsidR="00AA5065" w:rsidRPr="00AA5065" w:rsidP="00860D89">
      <w:pPr>
        <w:spacing w:line="269" w:lineRule="auto"/>
        <w:jc w:val="center"/>
        <w:rPr>
          <w:rFonts w:ascii="David" w:eastAsia="Calibri" w:hAnsi="David"/>
          <w:rtl/>
        </w:rPr>
      </w:pPr>
      <w:r w:rsidRPr="00AA5065">
        <w:rPr>
          <w:rFonts w:ascii="David" w:eastAsia="Calibri" w:hAnsi="David" w:hint="cs"/>
          <w:rtl/>
        </w:rPr>
        <w:t>לוח 8</w:t>
      </w:r>
      <w:r w:rsidRPr="00AA5065">
        <w:rPr>
          <w:rFonts w:ascii="David" w:eastAsia="Calibri" w:hAnsi="David"/>
          <w:rtl/>
        </w:rPr>
        <w:t xml:space="preserve">: </w:t>
      </w:r>
      <w:r w:rsidRPr="00AA5065">
        <w:rPr>
          <w:rFonts w:ascii="David" w:eastAsia="Calibri" w:hAnsi="David"/>
          <w:b/>
          <w:bCs/>
          <w:rtl/>
        </w:rPr>
        <w:t xml:space="preserve">מצבת </w:t>
      </w:r>
      <w:r w:rsidRPr="00AA5065">
        <w:rPr>
          <w:rFonts w:ascii="David" w:eastAsia="Calibri" w:hAnsi="David" w:hint="cs"/>
          <w:b/>
          <w:bCs/>
          <w:rtl/>
        </w:rPr>
        <w:t>ה</w:t>
      </w:r>
      <w:r w:rsidRPr="00AA5065">
        <w:rPr>
          <w:rFonts w:ascii="David" w:eastAsia="Calibri" w:hAnsi="David"/>
          <w:b/>
          <w:bCs/>
          <w:rtl/>
        </w:rPr>
        <w:t xml:space="preserve">שוטרים </w:t>
      </w:r>
      <w:r w:rsidRPr="00AA5065">
        <w:rPr>
          <w:rFonts w:ascii="David" w:eastAsia="Calibri" w:hAnsi="David" w:hint="cs"/>
          <w:b/>
          <w:bCs/>
          <w:rtl/>
        </w:rPr>
        <w:t>ב</w:t>
      </w:r>
      <w:r w:rsidRPr="00AA5065">
        <w:rPr>
          <w:rFonts w:ascii="David" w:eastAsia="Calibri" w:hAnsi="David"/>
          <w:b/>
          <w:bCs/>
          <w:rtl/>
        </w:rPr>
        <w:t>מחוז דרום</w:t>
      </w:r>
      <w:r w:rsidRPr="00AA5065">
        <w:rPr>
          <w:rFonts w:ascii="David" w:eastAsia="Calibri" w:hAnsi="David" w:hint="cs"/>
          <w:b/>
          <w:bCs/>
          <w:rtl/>
        </w:rPr>
        <w:t>,</w:t>
      </w:r>
      <w:r w:rsidRPr="00AA5065">
        <w:rPr>
          <w:rFonts w:ascii="David" w:eastAsia="Calibri" w:hAnsi="David"/>
          <w:b/>
          <w:bCs/>
          <w:rtl/>
        </w:rPr>
        <w:t xml:space="preserve"> מרחב נגב, 2020 - 2024</w:t>
      </w:r>
    </w:p>
    <w:tbl>
      <w:tblPr>
        <w:tblStyle w:val="5-11"/>
        <w:bidiVisual/>
        <w:tblW w:w="0" w:type="auto"/>
        <w:jc w:val="center"/>
        <w:tblLook w:val="04A0"/>
      </w:tblPr>
      <w:tblGrid>
        <w:gridCol w:w="697"/>
        <w:gridCol w:w="813"/>
        <w:gridCol w:w="807"/>
        <w:gridCol w:w="1802"/>
        <w:gridCol w:w="1852"/>
      </w:tblGrid>
      <w:tr w:rsidTr="008757B8">
        <w:tblPrEx>
          <w:tblW w:w="0" w:type="auto"/>
          <w:jc w:val="center"/>
          <w:tblLook w:val="04A0"/>
        </w:tblPrEx>
        <w:trPr>
          <w:trHeight w:val="784"/>
          <w:jc w:val="center"/>
        </w:trPr>
        <w:tc>
          <w:tcPr>
            <w:tcW w:w="697"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שנה</w:t>
            </w:r>
          </w:p>
        </w:tc>
        <w:tc>
          <w:tcPr>
            <w:tcW w:w="813"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תקן</w:t>
            </w:r>
          </w:p>
        </w:tc>
        <w:tc>
          <w:tcPr>
            <w:tcW w:w="807"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מצבה</w:t>
            </w:r>
          </w:p>
        </w:tc>
        <w:tc>
          <w:tcPr>
            <w:tcW w:w="1802"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 xml:space="preserve">שינוי בתקן לעומת </w:t>
            </w:r>
            <w:r w:rsidRPr="00AA5065">
              <w:rPr>
                <w:rFonts w:ascii="David" w:eastAsia="Calibri" w:hAnsi="David" w:hint="cs"/>
                <w:color w:val="000000"/>
                <w:sz w:val="22"/>
                <w:szCs w:val="22"/>
                <w:rtl/>
              </w:rPr>
              <w:t>ה</w:t>
            </w:r>
            <w:r w:rsidRPr="00AA5065">
              <w:rPr>
                <w:rFonts w:ascii="David" w:eastAsia="Calibri" w:hAnsi="David"/>
                <w:color w:val="000000"/>
                <w:sz w:val="22"/>
                <w:szCs w:val="22"/>
                <w:rtl/>
              </w:rPr>
              <w:t xml:space="preserve">שנה </w:t>
            </w:r>
            <w:r w:rsidRPr="00AA5065">
              <w:rPr>
                <w:rFonts w:ascii="David" w:eastAsia="Calibri" w:hAnsi="David" w:hint="cs"/>
                <w:color w:val="000000"/>
                <w:sz w:val="22"/>
                <w:szCs w:val="22"/>
                <w:rtl/>
              </w:rPr>
              <w:t>ה</w:t>
            </w:r>
            <w:r w:rsidRPr="00AA5065">
              <w:rPr>
                <w:rFonts w:ascii="David" w:eastAsia="Calibri" w:hAnsi="David"/>
                <w:color w:val="000000"/>
                <w:sz w:val="22"/>
                <w:szCs w:val="22"/>
                <w:rtl/>
              </w:rPr>
              <w:t>קודמת (באחוזים)</w:t>
            </w:r>
          </w:p>
        </w:tc>
        <w:tc>
          <w:tcPr>
            <w:tcW w:w="1852"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 xml:space="preserve">שינוי במצבה לעומת </w:t>
            </w:r>
            <w:r w:rsidRPr="00AA5065">
              <w:rPr>
                <w:rFonts w:ascii="David" w:eastAsia="Calibri" w:hAnsi="David" w:hint="cs"/>
                <w:color w:val="000000"/>
                <w:sz w:val="22"/>
                <w:szCs w:val="22"/>
                <w:rtl/>
              </w:rPr>
              <w:t>ה</w:t>
            </w:r>
            <w:r w:rsidRPr="00AA5065">
              <w:rPr>
                <w:rFonts w:ascii="David" w:eastAsia="Calibri" w:hAnsi="David"/>
                <w:color w:val="000000"/>
                <w:sz w:val="22"/>
                <w:szCs w:val="22"/>
                <w:rtl/>
              </w:rPr>
              <w:t xml:space="preserve">שנה </w:t>
            </w:r>
            <w:r w:rsidRPr="00AA5065">
              <w:rPr>
                <w:rFonts w:ascii="David" w:eastAsia="Calibri" w:hAnsi="David" w:hint="cs"/>
                <w:color w:val="000000"/>
                <w:sz w:val="22"/>
                <w:szCs w:val="22"/>
                <w:rtl/>
              </w:rPr>
              <w:t>ה</w:t>
            </w:r>
            <w:r w:rsidRPr="00AA5065">
              <w:rPr>
                <w:rFonts w:ascii="David" w:eastAsia="Calibri" w:hAnsi="David"/>
                <w:color w:val="000000"/>
                <w:sz w:val="22"/>
                <w:szCs w:val="22"/>
                <w:rtl/>
              </w:rPr>
              <w:t>קודמת (באחוזים)</w:t>
            </w:r>
          </w:p>
        </w:tc>
      </w:tr>
      <w:tr w:rsidTr="00401221">
        <w:tblPrEx>
          <w:tblW w:w="0" w:type="auto"/>
          <w:jc w:val="center"/>
          <w:tblLook w:val="04A0"/>
        </w:tblPrEx>
        <w:trPr>
          <w:trHeight w:val="315"/>
          <w:jc w:val="center"/>
        </w:trPr>
        <w:tc>
          <w:tcPr>
            <w:tcW w:w="697"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2020</w:t>
            </w:r>
          </w:p>
        </w:tc>
        <w:tc>
          <w:tcPr>
            <w:tcW w:w="813"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1,035</w:t>
            </w:r>
          </w:p>
        </w:tc>
        <w:tc>
          <w:tcPr>
            <w:tcW w:w="80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878</w:t>
            </w:r>
          </w:p>
        </w:tc>
        <w:tc>
          <w:tcPr>
            <w:tcW w:w="1802" w:type="dxa"/>
            <w:noWrap/>
            <w:hideMark/>
          </w:tcPr>
          <w:p w:rsidR="00AA5065" w:rsidRPr="00AA5065" w:rsidP="00860D89">
            <w:pPr>
              <w:bidi w:val="0"/>
              <w:spacing w:line="269" w:lineRule="auto"/>
              <w:jc w:val="right"/>
              <w:rPr>
                <w:rFonts w:ascii="David" w:eastAsia="Calibri" w:hAnsi="David"/>
                <w:color w:val="000000"/>
                <w:sz w:val="22"/>
                <w:szCs w:val="22"/>
              </w:rPr>
            </w:pPr>
          </w:p>
        </w:tc>
        <w:tc>
          <w:tcPr>
            <w:tcW w:w="1852" w:type="dxa"/>
            <w:noWrap/>
            <w:hideMark/>
          </w:tcPr>
          <w:p w:rsidR="00AA5065" w:rsidRPr="00AA5065" w:rsidP="00860D89">
            <w:pPr>
              <w:bidi w:val="0"/>
              <w:spacing w:line="269" w:lineRule="auto"/>
              <w:jc w:val="right"/>
              <w:rPr>
                <w:rFonts w:ascii="David" w:eastAsia="Calibri" w:hAnsi="David"/>
                <w:color w:val="000000"/>
                <w:sz w:val="22"/>
                <w:szCs w:val="22"/>
              </w:rPr>
            </w:pPr>
          </w:p>
        </w:tc>
      </w:tr>
      <w:tr w:rsidTr="00401221">
        <w:tblPrEx>
          <w:tblW w:w="0" w:type="auto"/>
          <w:jc w:val="center"/>
          <w:tblLook w:val="04A0"/>
        </w:tblPrEx>
        <w:trPr>
          <w:trHeight w:val="315"/>
          <w:jc w:val="center"/>
        </w:trPr>
        <w:tc>
          <w:tcPr>
            <w:tcW w:w="697" w:type="dxa"/>
            <w:shd w:val="clear" w:color="auto" w:fill="DBE5F1"/>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2021</w:t>
            </w:r>
          </w:p>
        </w:tc>
        <w:tc>
          <w:tcPr>
            <w:tcW w:w="813"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1,047</w:t>
            </w:r>
          </w:p>
        </w:tc>
        <w:tc>
          <w:tcPr>
            <w:tcW w:w="80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924</w:t>
            </w:r>
          </w:p>
        </w:tc>
        <w:tc>
          <w:tcPr>
            <w:tcW w:w="18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1.2%</w:t>
            </w:r>
          </w:p>
        </w:tc>
        <w:tc>
          <w:tcPr>
            <w:tcW w:w="185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5.2%</w:t>
            </w:r>
          </w:p>
        </w:tc>
      </w:tr>
      <w:tr w:rsidTr="00401221">
        <w:tblPrEx>
          <w:tblW w:w="0" w:type="auto"/>
          <w:jc w:val="center"/>
          <w:tblLook w:val="04A0"/>
        </w:tblPrEx>
        <w:trPr>
          <w:trHeight w:val="315"/>
          <w:jc w:val="center"/>
        </w:trPr>
        <w:tc>
          <w:tcPr>
            <w:tcW w:w="69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2022</w:t>
            </w:r>
          </w:p>
        </w:tc>
        <w:tc>
          <w:tcPr>
            <w:tcW w:w="813"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1,154</w:t>
            </w:r>
          </w:p>
        </w:tc>
        <w:tc>
          <w:tcPr>
            <w:tcW w:w="80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891.5</w:t>
            </w:r>
          </w:p>
        </w:tc>
        <w:tc>
          <w:tcPr>
            <w:tcW w:w="18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10.2%</w:t>
            </w:r>
          </w:p>
        </w:tc>
        <w:tc>
          <w:tcPr>
            <w:tcW w:w="185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-8.8%</w:t>
            </w:r>
          </w:p>
        </w:tc>
      </w:tr>
      <w:tr w:rsidTr="00401221">
        <w:tblPrEx>
          <w:tblW w:w="0" w:type="auto"/>
          <w:jc w:val="center"/>
          <w:tblLook w:val="04A0"/>
        </w:tblPrEx>
        <w:trPr>
          <w:trHeight w:val="315"/>
          <w:jc w:val="center"/>
        </w:trPr>
        <w:tc>
          <w:tcPr>
            <w:tcW w:w="697" w:type="dxa"/>
            <w:shd w:val="clear" w:color="auto" w:fill="DBE5F1"/>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2023</w:t>
            </w:r>
          </w:p>
        </w:tc>
        <w:tc>
          <w:tcPr>
            <w:tcW w:w="813"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1,161</w:t>
            </w:r>
          </w:p>
        </w:tc>
        <w:tc>
          <w:tcPr>
            <w:tcW w:w="80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889.5</w:t>
            </w:r>
          </w:p>
        </w:tc>
        <w:tc>
          <w:tcPr>
            <w:tcW w:w="18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0.6%</w:t>
            </w:r>
          </w:p>
        </w:tc>
        <w:tc>
          <w:tcPr>
            <w:tcW w:w="185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3.3%</w:t>
            </w:r>
          </w:p>
        </w:tc>
      </w:tr>
      <w:tr w:rsidTr="00401221">
        <w:tblPrEx>
          <w:tblW w:w="0" w:type="auto"/>
          <w:jc w:val="center"/>
          <w:tblLook w:val="04A0"/>
        </w:tblPrEx>
        <w:trPr>
          <w:trHeight w:val="330"/>
          <w:jc w:val="center"/>
        </w:trPr>
        <w:tc>
          <w:tcPr>
            <w:tcW w:w="69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2024</w:t>
            </w:r>
          </w:p>
        </w:tc>
        <w:tc>
          <w:tcPr>
            <w:tcW w:w="813"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1,179.5</w:t>
            </w:r>
          </w:p>
        </w:tc>
        <w:tc>
          <w:tcPr>
            <w:tcW w:w="80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974</w:t>
            </w:r>
          </w:p>
        </w:tc>
        <w:tc>
          <w:tcPr>
            <w:tcW w:w="18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1.6%</w:t>
            </w:r>
          </w:p>
        </w:tc>
        <w:tc>
          <w:tcPr>
            <w:tcW w:w="185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9.7%</w:t>
            </w:r>
          </w:p>
        </w:tc>
      </w:tr>
    </w:tbl>
    <w:p w:rsidR="00AA5065" w:rsidRPr="00AA5065" w:rsidP="00860D89">
      <w:pPr>
        <w:spacing w:line="269" w:lineRule="auto"/>
        <w:rPr>
          <w:rFonts w:ascii="David" w:eastAsia="Calibri" w:hAnsi="David"/>
          <w:sz w:val="16"/>
          <w:szCs w:val="20"/>
          <w:rtl/>
        </w:rPr>
      </w:pPr>
      <w:r w:rsidRPr="00AA5065">
        <w:rPr>
          <w:rFonts w:ascii="David" w:eastAsia="Calibri" w:hAnsi="David" w:hint="cs"/>
          <w:sz w:val="16"/>
          <w:szCs w:val="20"/>
          <w:rtl/>
        </w:rPr>
        <w:t>על פי נתוני</w:t>
      </w:r>
      <w:r w:rsidRPr="00AA5065">
        <w:rPr>
          <w:rFonts w:ascii="David" w:eastAsia="Calibri" w:hAnsi="David"/>
          <w:sz w:val="16"/>
          <w:szCs w:val="20"/>
          <w:rtl/>
        </w:rPr>
        <w:t xml:space="preserve"> משטרת ישראל</w:t>
      </w:r>
      <w:r w:rsidRPr="00AA5065">
        <w:rPr>
          <w:rFonts w:ascii="David" w:eastAsia="Calibri" w:hAnsi="David" w:hint="cs"/>
          <w:sz w:val="16"/>
          <w:szCs w:val="20"/>
          <w:rtl/>
        </w:rPr>
        <w:t>,</w:t>
      </w:r>
      <w:r w:rsidRPr="00AA5065">
        <w:rPr>
          <w:rFonts w:ascii="David" w:eastAsia="Calibri" w:hAnsi="David"/>
          <w:sz w:val="16"/>
          <w:szCs w:val="20"/>
          <w:rtl/>
        </w:rPr>
        <w:t xml:space="preserve"> בעיבוד משרד מבקר המדינה.‏</w:t>
      </w:r>
    </w:p>
    <w:p w:rsidR="00AA5065" w:rsidRPr="001D2962" w:rsidP="00860D89">
      <w:pPr>
        <w:spacing w:line="269" w:lineRule="auto"/>
        <w:ind w:left="-567"/>
        <w:rPr>
          <w:rFonts w:eastAsia="Calibri"/>
          <w:sz w:val="18"/>
          <w:szCs w:val="18"/>
          <w:rtl/>
        </w:rPr>
      </w:pPr>
    </w:p>
    <w:p w:rsidR="00AA5065" w:rsidRPr="00AA5065" w:rsidP="00860D89">
      <w:pPr>
        <w:spacing w:line="269" w:lineRule="auto"/>
        <w:rPr>
          <w:rFonts w:ascii="David" w:eastAsia="Calibri" w:hAnsi="David"/>
          <w:b/>
          <w:bCs/>
          <w:rtl/>
        </w:rPr>
      </w:pPr>
      <w:r w:rsidRPr="00AA5065">
        <w:rPr>
          <w:rFonts w:ascii="David" w:eastAsia="Calibri" w:hAnsi="David" w:hint="cs"/>
          <w:b/>
          <w:bCs/>
          <w:rtl/>
        </w:rPr>
        <w:t>מהלוח עולה כי</w:t>
      </w:r>
      <w:r w:rsidRPr="00AA5065">
        <w:rPr>
          <w:rFonts w:ascii="David" w:eastAsia="Calibri" w:hAnsi="David"/>
          <w:b/>
          <w:bCs/>
          <w:rtl/>
        </w:rPr>
        <w:t xml:space="preserve"> </w:t>
      </w:r>
      <w:r w:rsidRPr="00AA5065">
        <w:rPr>
          <w:rFonts w:ascii="David" w:eastAsia="Calibri" w:hAnsi="David" w:hint="cs"/>
          <w:b/>
          <w:bCs/>
          <w:rtl/>
        </w:rPr>
        <w:t>בשנים 2020 עד 2024 חל גידול מצטבר של 10% במצבת</w:t>
      </w:r>
      <w:r w:rsidRPr="00AA5065">
        <w:rPr>
          <w:rFonts w:ascii="David" w:eastAsia="Calibri" w:hAnsi="David"/>
          <w:b/>
          <w:bCs/>
          <w:rtl/>
        </w:rPr>
        <w:t xml:space="preserve"> </w:t>
      </w:r>
      <w:r w:rsidRPr="00AA5065">
        <w:rPr>
          <w:rFonts w:ascii="David" w:eastAsia="Calibri" w:hAnsi="David" w:hint="cs"/>
          <w:b/>
          <w:bCs/>
          <w:rtl/>
        </w:rPr>
        <w:t>השוטרים</w:t>
      </w:r>
      <w:r w:rsidRPr="00AA5065">
        <w:rPr>
          <w:rFonts w:ascii="David" w:eastAsia="Calibri" w:hAnsi="David"/>
          <w:b/>
          <w:bCs/>
          <w:rtl/>
        </w:rPr>
        <w:t xml:space="preserve"> </w:t>
      </w:r>
      <w:r w:rsidRPr="00AA5065">
        <w:rPr>
          <w:rFonts w:ascii="David" w:eastAsia="Calibri" w:hAnsi="David" w:hint="cs"/>
          <w:b/>
          <w:bCs/>
          <w:rtl/>
        </w:rPr>
        <w:t>במרחב נגב, אך גידול זה אינו יציב, ובשנת 2022 אף חלה ירידה של 9% לעומת השנה הקודמת, ומצבת כוח האדם עמדה על 891.5 שוטרים.</w:t>
      </w:r>
    </w:p>
    <w:p w:rsidR="00AA5065" w:rsidRPr="001D2962" w:rsidP="00860D89">
      <w:pPr>
        <w:spacing w:line="269" w:lineRule="auto"/>
        <w:ind w:left="-567"/>
        <w:rPr>
          <w:rFonts w:eastAsia="Calibri"/>
          <w:sz w:val="18"/>
          <w:szCs w:val="18"/>
          <w:rtl/>
        </w:rPr>
      </w:pPr>
    </w:p>
    <w:p w:rsidR="00AA5065" w:rsidRPr="00AA5065" w:rsidP="00860D89">
      <w:pPr>
        <w:spacing w:line="269" w:lineRule="auto"/>
        <w:rPr>
          <w:rFonts w:ascii="David" w:eastAsia="Calibri" w:hAnsi="David"/>
          <w:b/>
          <w:bCs/>
          <w:rtl/>
        </w:rPr>
      </w:pPr>
      <w:r w:rsidRPr="00AA5065">
        <w:rPr>
          <w:rFonts w:eastAsia="Calibri" w:hint="cs"/>
          <w:rtl/>
        </w:rPr>
        <w:t xml:space="preserve">לוח 9 </w:t>
      </w:r>
      <w:r w:rsidRPr="00AA5065">
        <w:rPr>
          <w:rFonts w:ascii="David" w:eastAsia="Calibri" w:hAnsi="David" w:hint="cs"/>
          <w:rtl/>
        </w:rPr>
        <w:t xml:space="preserve">שלהלן </w:t>
      </w:r>
      <w:r w:rsidRPr="00AA5065">
        <w:rPr>
          <w:rFonts w:ascii="David" w:eastAsia="Calibri" w:hAnsi="David"/>
          <w:rtl/>
        </w:rPr>
        <w:t>מציג את התקינה</w:t>
      </w:r>
      <w:r w:rsidRPr="00AA5065">
        <w:rPr>
          <w:rFonts w:ascii="David" w:eastAsia="Calibri" w:hAnsi="David" w:hint="cs"/>
          <w:rtl/>
        </w:rPr>
        <w:t xml:space="preserve"> </w:t>
      </w:r>
      <w:r w:rsidRPr="00AA5065">
        <w:rPr>
          <w:rFonts w:ascii="David" w:eastAsia="Calibri" w:hAnsi="David"/>
          <w:rtl/>
        </w:rPr>
        <w:t xml:space="preserve">(תקן) לעומת מצבת </w:t>
      </w:r>
      <w:r w:rsidRPr="00AA5065">
        <w:rPr>
          <w:rFonts w:ascii="David" w:eastAsia="Calibri" w:hAnsi="David" w:hint="cs"/>
          <w:rtl/>
        </w:rPr>
        <w:t>השוטרים</w:t>
      </w:r>
      <w:r w:rsidRPr="00AA5065">
        <w:rPr>
          <w:rFonts w:ascii="David" w:eastAsia="Calibri" w:hAnsi="David"/>
          <w:rtl/>
        </w:rPr>
        <w:t xml:space="preserve"> בפועל (מצבה) בתחנת עיירות</w:t>
      </w:r>
      <w:r>
        <w:rPr>
          <w:rFonts w:ascii="David" w:eastAsia="Calibri" w:hAnsi="David"/>
          <w:vertAlign w:val="superscript"/>
          <w:rtl/>
        </w:rPr>
        <w:footnoteReference w:id="89"/>
      </w:r>
      <w:r w:rsidRPr="00AA5065">
        <w:rPr>
          <w:rFonts w:ascii="David" w:eastAsia="Calibri" w:hAnsi="David"/>
          <w:rtl/>
        </w:rPr>
        <w:t xml:space="preserve"> </w:t>
      </w:r>
      <w:r w:rsidRPr="00AA5065">
        <w:rPr>
          <w:rFonts w:ascii="David" w:eastAsia="Calibri" w:hAnsi="David" w:hint="cs"/>
          <w:rtl/>
        </w:rPr>
        <w:t>ב</w:t>
      </w:r>
      <w:r w:rsidRPr="00AA5065">
        <w:rPr>
          <w:rFonts w:ascii="David" w:eastAsia="Calibri" w:hAnsi="David"/>
          <w:rtl/>
        </w:rPr>
        <w:t xml:space="preserve">שנים 2020 </w:t>
      </w:r>
      <w:r w:rsidRPr="00AA5065">
        <w:rPr>
          <w:rFonts w:ascii="David" w:eastAsia="Calibri" w:hAnsi="David" w:hint="cs"/>
          <w:rtl/>
        </w:rPr>
        <w:t>עד</w:t>
      </w:r>
      <w:r w:rsidRPr="00AA5065">
        <w:rPr>
          <w:rFonts w:ascii="David" w:eastAsia="Calibri" w:hAnsi="David"/>
          <w:rtl/>
        </w:rPr>
        <w:t xml:space="preserve"> 2024</w:t>
      </w:r>
      <w:r w:rsidRPr="00AA5065">
        <w:rPr>
          <w:rFonts w:ascii="David" w:eastAsia="Calibri" w:hAnsi="David" w:hint="cs"/>
          <w:rtl/>
        </w:rPr>
        <w:t>.</w:t>
      </w:r>
    </w:p>
    <w:p w:rsidR="00AA5065" w:rsidRPr="001D2962" w:rsidP="00860D89">
      <w:pPr>
        <w:spacing w:line="269" w:lineRule="auto"/>
        <w:ind w:left="-567"/>
        <w:rPr>
          <w:rFonts w:eastAsia="Calibri"/>
          <w:sz w:val="18"/>
          <w:szCs w:val="18"/>
          <w:rtl/>
        </w:rPr>
      </w:pPr>
    </w:p>
    <w:p w:rsidR="00AA5065" w:rsidRPr="00AA5065" w:rsidP="00860D89">
      <w:pPr>
        <w:spacing w:line="269" w:lineRule="auto"/>
        <w:jc w:val="center"/>
        <w:rPr>
          <w:rFonts w:ascii="David" w:eastAsia="Calibri" w:hAnsi="David"/>
          <w:b/>
          <w:bCs/>
          <w:rtl/>
        </w:rPr>
      </w:pPr>
      <w:r w:rsidRPr="00AA5065">
        <w:rPr>
          <w:rFonts w:ascii="David" w:eastAsia="Calibri" w:hAnsi="David" w:hint="cs"/>
          <w:rtl/>
        </w:rPr>
        <w:t>לוח 9</w:t>
      </w:r>
      <w:r w:rsidRPr="00AA5065">
        <w:rPr>
          <w:rFonts w:ascii="David" w:eastAsia="Calibri" w:hAnsi="David"/>
          <w:rtl/>
        </w:rPr>
        <w:t xml:space="preserve">: </w:t>
      </w:r>
      <w:r w:rsidRPr="00AA5065">
        <w:rPr>
          <w:rFonts w:ascii="David" w:eastAsia="Calibri" w:hAnsi="David" w:hint="cs"/>
          <w:b/>
          <w:bCs/>
          <w:rtl/>
        </w:rPr>
        <w:t>ה</w:t>
      </w:r>
      <w:r w:rsidRPr="00AA5065">
        <w:rPr>
          <w:rFonts w:ascii="David" w:eastAsia="Calibri" w:hAnsi="David"/>
          <w:b/>
          <w:bCs/>
          <w:rtl/>
        </w:rPr>
        <w:t>תקן מול מצב</w:t>
      </w:r>
      <w:r w:rsidRPr="00AA5065">
        <w:rPr>
          <w:rFonts w:ascii="David" w:eastAsia="Calibri" w:hAnsi="David" w:hint="cs"/>
          <w:b/>
          <w:bCs/>
          <w:rtl/>
        </w:rPr>
        <w:t>ת כוח האדם</w:t>
      </w:r>
      <w:r w:rsidRPr="00AA5065">
        <w:rPr>
          <w:rFonts w:ascii="David" w:eastAsia="Calibri" w:hAnsi="David"/>
          <w:b/>
          <w:bCs/>
          <w:rtl/>
        </w:rPr>
        <w:t xml:space="preserve"> </w:t>
      </w:r>
      <w:r w:rsidRPr="00AA5065">
        <w:rPr>
          <w:rFonts w:ascii="David" w:eastAsia="Calibri" w:hAnsi="David" w:hint="cs"/>
          <w:b/>
          <w:bCs/>
          <w:rtl/>
        </w:rPr>
        <w:t>ב</w:t>
      </w:r>
      <w:r w:rsidRPr="00AA5065">
        <w:rPr>
          <w:rFonts w:ascii="David" w:eastAsia="Calibri" w:hAnsi="David"/>
          <w:b/>
          <w:bCs/>
          <w:rtl/>
        </w:rPr>
        <w:t xml:space="preserve">תחנת עיירות, </w:t>
      </w:r>
      <w:r w:rsidRPr="00AA5065">
        <w:rPr>
          <w:rFonts w:ascii="David" w:eastAsia="Calibri" w:hAnsi="David" w:hint="cs"/>
          <w:b/>
          <w:bCs/>
          <w:rtl/>
        </w:rPr>
        <w:t>2020 - 2024</w:t>
      </w:r>
      <w:bookmarkStart w:id="88" w:name="_Hlk197441845"/>
      <w:r>
        <w:rPr>
          <w:rFonts w:ascii="David" w:eastAsia="Calibri" w:hAnsi="David"/>
          <w:b/>
          <w:bCs/>
          <w:vertAlign w:val="superscript"/>
          <w:rtl/>
        </w:rPr>
        <w:footnoteReference w:id="90"/>
      </w:r>
      <w:bookmarkEnd w:id="88"/>
      <w:r w:rsidRPr="00AA5065">
        <w:rPr>
          <w:rFonts w:ascii="David" w:eastAsia="Calibri" w:hAnsi="David" w:hint="cs"/>
          <w:b/>
          <w:bCs/>
          <w:rtl/>
        </w:rPr>
        <w:t xml:space="preserve"> </w:t>
      </w:r>
    </w:p>
    <w:tbl>
      <w:tblPr>
        <w:tblStyle w:val="5-11"/>
        <w:bidiVisual/>
        <w:tblW w:w="6111" w:type="dxa"/>
        <w:jc w:val="center"/>
        <w:tblLook w:val="04A0"/>
      </w:tblPr>
      <w:tblGrid>
        <w:gridCol w:w="1128"/>
        <w:gridCol w:w="1069"/>
        <w:gridCol w:w="1305"/>
        <w:gridCol w:w="1147"/>
        <w:gridCol w:w="1462"/>
      </w:tblGrid>
      <w:tr w:rsidTr="008757B8">
        <w:tblPrEx>
          <w:tblW w:w="6111" w:type="dxa"/>
          <w:jc w:val="center"/>
          <w:tblLook w:val="04A0"/>
        </w:tblPrEx>
        <w:trPr>
          <w:trHeight w:val="185"/>
          <w:jc w:val="center"/>
        </w:trPr>
        <w:tc>
          <w:tcPr>
            <w:tcW w:w="1128" w:type="dxa"/>
            <w:noWrap/>
            <w:hideMark/>
          </w:tcPr>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שנה</w:t>
            </w:r>
          </w:p>
        </w:tc>
        <w:tc>
          <w:tcPr>
            <w:tcW w:w="1069" w:type="dxa"/>
            <w:noWrap/>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תקן</w:t>
            </w:r>
          </w:p>
        </w:tc>
        <w:tc>
          <w:tcPr>
            <w:tcW w:w="1305" w:type="dxa"/>
            <w:noWrap/>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מצבה</w:t>
            </w:r>
          </w:p>
        </w:tc>
        <w:tc>
          <w:tcPr>
            <w:tcW w:w="1147" w:type="dxa"/>
            <w:noWrap/>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 xml:space="preserve">פער </w:t>
            </w:r>
          </w:p>
        </w:tc>
        <w:tc>
          <w:tcPr>
            <w:tcW w:w="1462" w:type="dxa"/>
            <w:noWrap/>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פער באחוזים</w:t>
            </w:r>
          </w:p>
        </w:tc>
      </w:tr>
      <w:tr w:rsidTr="00AA5065">
        <w:tblPrEx>
          <w:tblW w:w="6111" w:type="dxa"/>
          <w:jc w:val="center"/>
          <w:tblLook w:val="04A0"/>
        </w:tblPrEx>
        <w:trPr>
          <w:trHeight w:val="315"/>
          <w:jc w:val="center"/>
        </w:trPr>
        <w:tc>
          <w:tcPr>
            <w:tcW w:w="1128" w:type="dxa"/>
            <w:noWrap/>
            <w:hideMark/>
          </w:tcPr>
          <w:p w:rsidR="00AA5065" w:rsidRPr="00AA5065" w:rsidP="001D2962">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2020</w:t>
            </w:r>
          </w:p>
        </w:tc>
        <w:tc>
          <w:tcPr>
            <w:tcW w:w="1069"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152</w:t>
            </w:r>
          </w:p>
        </w:tc>
        <w:tc>
          <w:tcPr>
            <w:tcW w:w="130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124</w:t>
            </w:r>
          </w:p>
        </w:tc>
        <w:tc>
          <w:tcPr>
            <w:tcW w:w="114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28</w:t>
            </w:r>
          </w:p>
        </w:tc>
        <w:tc>
          <w:tcPr>
            <w:tcW w:w="146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18%</w:t>
            </w:r>
          </w:p>
        </w:tc>
      </w:tr>
      <w:tr w:rsidTr="00AA5065">
        <w:tblPrEx>
          <w:tblW w:w="6111" w:type="dxa"/>
          <w:jc w:val="center"/>
          <w:tblLook w:val="04A0"/>
        </w:tblPrEx>
        <w:trPr>
          <w:trHeight w:val="315"/>
          <w:jc w:val="center"/>
        </w:trPr>
        <w:tc>
          <w:tcPr>
            <w:tcW w:w="1128" w:type="dxa"/>
            <w:noWrap/>
            <w:hideMark/>
          </w:tcPr>
          <w:p w:rsidR="00AA5065" w:rsidRPr="00AA5065" w:rsidP="001D2962">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2021</w:t>
            </w:r>
          </w:p>
        </w:tc>
        <w:tc>
          <w:tcPr>
            <w:tcW w:w="1069"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156</w:t>
            </w:r>
          </w:p>
        </w:tc>
        <w:tc>
          <w:tcPr>
            <w:tcW w:w="130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136</w:t>
            </w:r>
          </w:p>
        </w:tc>
        <w:tc>
          <w:tcPr>
            <w:tcW w:w="114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w:t>
            </w:r>
          </w:p>
        </w:tc>
        <w:tc>
          <w:tcPr>
            <w:tcW w:w="146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13%</w:t>
            </w:r>
          </w:p>
        </w:tc>
      </w:tr>
      <w:tr w:rsidTr="00AA5065">
        <w:tblPrEx>
          <w:tblW w:w="6111" w:type="dxa"/>
          <w:jc w:val="center"/>
          <w:tblLook w:val="04A0"/>
        </w:tblPrEx>
        <w:trPr>
          <w:trHeight w:val="315"/>
          <w:jc w:val="center"/>
        </w:trPr>
        <w:tc>
          <w:tcPr>
            <w:tcW w:w="1128" w:type="dxa"/>
            <w:noWrap/>
            <w:hideMark/>
          </w:tcPr>
          <w:p w:rsidR="00AA5065" w:rsidRPr="00AA5065" w:rsidP="001D2962">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2022</w:t>
            </w:r>
          </w:p>
        </w:tc>
        <w:tc>
          <w:tcPr>
            <w:tcW w:w="1069"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179.5</w:t>
            </w:r>
          </w:p>
        </w:tc>
        <w:tc>
          <w:tcPr>
            <w:tcW w:w="130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126.5</w:t>
            </w:r>
          </w:p>
        </w:tc>
        <w:tc>
          <w:tcPr>
            <w:tcW w:w="114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53</w:t>
            </w:r>
          </w:p>
        </w:tc>
        <w:tc>
          <w:tcPr>
            <w:tcW w:w="146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30%</w:t>
            </w:r>
          </w:p>
        </w:tc>
      </w:tr>
      <w:tr w:rsidTr="00AA5065">
        <w:tblPrEx>
          <w:tblW w:w="6111" w:type="dxa"/>
          <w:jc w:val="center"/>
          <w:tblLook w:val="04A0"/>
        </w:tblPrEx>
        <w:trPr>
          <w:trHeight w:val="315"/>
          <w:jc w:val="center"/>
        </w:trPr>
        <w:tc>
          <w:tcPr>
            <w:tcW w:w="1128" w:type="dxa"/>
            <w:noWrap/>
            <w:hideMark/>
          </w:tcPr>
          <w:p w:rsidR="00AA5065" w:rsidRPr="00AA5065" w:rsidP="001D2962">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2023</w:t>
            </w:r>
          </w:p>
        </w:tc>
        <w:tc>
          <w:tcPr>
            <w:tcW w:w="1069"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180.5</w:t>
            </w:r>
          </w:p>
        </w:tc>
        <w:tc>
          <w:tcPr>
            <w:tcW w:w="130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121.5</w:t>
            </w:r>
          </w:p>
        </w:tc>
        <w:tc>
          <w:tcPr>
            <w:tcW w:w="114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59</w:t>
            </w:r>
          </w:p>
        </w:tc>
        <w:tc>
          <w:tcPr>
            <w:tcW w:w="146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33%</w:t>
            </w:r>
          </w:p>
        </w:tc>
      </w:tr>
      <w:tr w:rsidTr="00AA5065">
        <w:tblPrEx>
          <w:tblW w:w="6111" w:type="dxa"/>
          <w:jc w:val="center"/>
          <w:tblLook w:val="04A0"/>
        </w:tblPrEx>
        <w:trPr>
          <w:trHeight w:val="330"/>
          <w:jc w:val="center"/>
        </w:trPr>
        <w:tc>
          <w:tcPr>
            <w:tcW w:w="1128" w:type="dxa"/>
            <w:noWrap/>
            <w:hideMark/>
          </w:tcPr>
          <w:p w:rsidR="00AA5065" w:rsidRPr="00AA5065" w:rsidP="001D2962">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2024</w:t>
            </w:r>
          </w:p>
        </w:tc>
        <w:tc>
          <w:tcPr>
            <w:tcW w:w="1069"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180.5</w:t>
            </w:r>
          </w:p>
        </w:tc>
        <w:tc>
          <w:tcPr>
            <w:tcW w:w="130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127</w:t>
            </w:r>
          </w:p>
        </w:tc>
        <w:tc>
          <w:tcPr>
            <w:tcW w:w="114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53.5</w:t>
            </w:r>
          </w:p>
        </w:tc>
        <w:tc>
          <w:tcPr>
            <w:tcW w:w="146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30%</w:t>
            </w:r>
          </w:p>
        </w:tc>
      </w:tr>
    </w:tbl>
    <w:p w:rsidR="00AA5065" w:rsidRPr="00AA5065" w:rsidP="00860D89">
      <w:pPr>
        <w:spacing w:line="269" w:lineRule="auto"/>
        <w:rPr>
          <w:rFonts w:ascii="David" w:eastAsia="Calibri" w:hAnsi="David"/>
          <w:sz w:val="16"/>
          <w:szCs w:val="20"/>
          <w:rtl/>
        </w:rPr>
      </w:pPr>
      <w:r w:rsidRPr="00AA5065">
        <w:rPr>
          <w:rFonts w:ascii="David" w:eastAsia="Calibri" w:hAnsi="David" w:hint="cs"/>
          <w:sz w:val="16"/>
          <w:szCs w:val="20"/>
          <w:rtl/>
        </w:rPr>
        <w:t xml:space="preserve"> על פי נתוני</w:t>
      </w:r>
      <w:r w:rsidRPr="00AA5065">
        <w:rPr>
          <w:rFonts w:ascii="David" w:eastAsia="Calibri" w:hAnsi="David"/>
          <w:sz w:val="16"/>
          <w:szCs w:val="20"/>
          <w:rtl/>
        </w:rPr>
        <w:t xml:space="preserve"> משטרת ישראל</w:t>
      </w:r>
      <w:r w:rsidRPr="00AA5065">
        <w:rPr>
          <w:rFonts w:ascii="David" w:eastAsia="Calibri" w:hAnsi="David" w:hint="cs"/>
          <w:sz w:val="16"/>
          <w:szCs w:val="20"/>
          <w:rtl/>
        </w:rPr>
        <w:t>,</w:t>
      </w:r>
      <w:r w:rsidRPr="00AA5065">
        <w:rPr>
          <w:rFonts w:ascii="David" w:eastAsia="Calibri" w:hAnsi="David"/>
          <w:sz w:val="16"/>
          <w:szCs w:val="20"/>
          <w:rtl/>
        </w:rPr>
        <w:t xml:space="preserve"> בעיבוד משרד מבקר המדינה</w:t>
      </w:r>
      <w:r w:rsidRPr="00AA5065">
        <w:rPr>
          <w:rFonts w:ascii="David" w:eastAsia="Calibri" w:hAnsi="David" w:hint="cs"/>
          <w:sz w:val="16"/>
          <w:szCs w:val="20"/>
          <w:rtl/>
        </w:rPr>
        <w:t>.</w:t>
      </w:r>
    </w:p>
    <w:p w:rsidR="00AA5065" w:rsidRPr="001D2962" w:rsidP="00860D89">
      <w:pPr>
        <w:spacing w:line="269" w:lineRule="auto"/>
        <w:ind w:left="-567"/>
        <w:rPr>
          <w:rFonts w:eastAsia="Calibri"/>
          <w:sz w:val="18"/>
          <w:szCs w:val="18"/>
          <w:rtl/>
        </w:rPr>
      </w:pPr>
    </w:p>
    <w:p w:rsidR="00AA5065" w:rsidRPr="00AA5065" w:rsidP="00860D89">
      <w:pPr>
        <w:spacing w:line="269" w:lineRule="auto"/>
        <w:rPr>
          <w:rFonts w:ascii="David" w:eastAsia="Calibri" w:hAnsi="David"/>
          <w:b/>
          <w:bCs/>
          <w:rtl/>
        </w:rPr>
      </w:pPr>
      <w:r w:rsidRPr="00AA5065">
        <w:rPr>
          <w:rFonts w:ascii="David" w:eastAsia="Calibri" w:hAnsi="David" w:hint="cs"/>
          <w:b/>
          <w:bCs/>
          <w:rtl/>
        </w:rPr>
        <w:t>מהלוח</w:t>
      </w:r>
      <w:r w:rsidRPr="00AA5065">
        <w:rPr>
          <w:rFonts w:ascii="David" w:eastAsia="Calibri" w:hAnsi="David"/>
          <w:b/>
          <w:bCs/>
          <w:rtl/>
        </w:rPr>
        <w:t xml:space="preserve"> עולה כי בשנת 2020 הפער </w:t>
      </w:r>
      <w:r w:rsidRPr="00AA5065">
        <w:rPr>
          <w:rFonts w:ascii="David" w:eastAsia="Calibri" w:hAnsi="David" w:hint="cs"/>
          <w:b/>
          <w:bCs/>
          <w:rtl/>
        </w:rPr>
        <w:t xml:space="preserve">בין התקינה והמצבה בתחנת עיירות </w:t>
      </w:r>
      <w:r w:rsidRPr="00AA5065">
        <w:rPr>
          <w:rFonts w:ascii="David" w:eastAsia="Calibri" w:hAnsi="David"/>
          <w:b/>
          <w:bCs/>
          <w:rtl/>
        </w:rPr>
        <w:t xml:space="preserve">היה 18%, </w:t>
      </w:r>
      <w:r w:rsidRPr="00AA5065">
        <w:rPr>
          <w:rFonts w:ascii="David" w:eastAsia="Calibri" w:hAnsi="David" w:hint="cs"/>
          <w:b/>
          <w:bCs/>
          <w:rtl/>
        </w:rPr>
        <w:t xml:space="preserve">ובשנת 2021 הוא </w:t>
      </w:r>
      <w:r w:rsidRPr="00AA5065">
        <w:rPr>
          <w:rFonts w:ascii="David" w:eastAsia="Calibri" w:hAnsi="David"/>
          <w:b/>
          <w:bCs/>
          <w:rtl/>
        </w:rPr>
        <w:t xml:space="preserve">הצטמצם ל-13%, אך מאז </w:t>
      </w:r>
      <w:r w:rsidRPr="00AA5065">
        <w:rPr>
          <w:rFonts w:ascii="David" w:eastAsia="Calibri" w:hAnsi="David" w:hint="cs"/>
          <w:b/>
          <w:bCs/>
          <w:rtl/>
        </w:rPr>
        <w:t>הוא הלך וגדל באופן</w:t>
      </w:r>
      <w:r w:rsidRPr="00AA5065">
        <w:rPr>
          <w:rFonts w:ascii="David" w:eastAsia="Calibri" w:hAnsi="David"/>
          <w:b/>
          <w:bCs/>
          <w:rtl/>
        </w:rPr>
        <w:t xml:space="preserve"> </w:t>
      </w:r>
      <w:r w:rsidRPr="00AA5065">
        <w:rPr>
          <w:rFonts w:ascii="David" w:eastAsia="Calibri" w:hAnsi="David" w:hint="cs"/>
          <w:b/>
          <w:bCs/>
          <w:rtl/>
        </w:rPr>
        <w:t>ניכר</w:t>
      </w:r>
      <w:r w:rsidRPr="00AA5065">
        <w:rPr>
          <w:rFonts w:ascii="David" w:eastAsia="Calibri" w:hAnsi="David"/>
          <w:b/>
          <w:bCs/>
          <w:rtl/>
        </w:rPr>
        <w:t xml:space="preserve"> </w:t>
      </w:r>
      <w:r w:rsidRPr="00AA5065">
        <w:rPr>
          <w:rFonts w:ascii="David" w:eastAsia="Calibri" w:hAnsi="David" w:hint="cs"/>
          <w:b/>
          <w:bCs/>
          <w:rtl/>
        </w:rPr>
        <w:t>ל-</w:t>
      </w:r>
      <w:r w:rsidRPr="00AA5065">
        <w:rPr>
          <w:rFonts w:ascii="David" w:eastAsia="Calibri" w:hAnsi="David"/>
          <w:b/>
          <w:bCs/>
          <w:rtl/>
        </w:rPr>
        <w:t>33% ב</w:t>
      </w:r>
      <w:r w:rsidRPr="00AA5065">
        <w:rPr>
          <w:rFonts w:ascii="David" w:eastAsia="Calibri" w:hAnsi="David" w:hint="cs"/>
          <w:b/>
          <w:bCs/>
          <w:rtl/>
        </w:rPr>
        <w:t xml:space="preserve">שנת </w:t>
      </w:r>
      <w:r w:rsidRPr="00AA5065">
        <w:rPr>
          <w:rFonts w:ascii="David" w:eastAsia="Calibri" w:hAnsi="David"/>
          <w:b/>
          <w:bCs/>
          <w:rtl/>
        </w:rPr>
        <w:t>2023 ו</w:t>
      </w:r>
      <w:r w:rsidRPr="00AA5065">
        <w:rPr>
          <w:rFonts w:ascii="David" w:eastAsia="Calibri" w:hAnsi="David" w:hint="cs"/>
          <w:b/>
          <w:bCs/>
          <w:rtl/>
        </w:rPr>
        <w:t>ל</w:t>
      </w:r>
      <w:r w:rsidRPr="00AA5065">
        <w:rPr>
          <w:rFonts w:ascii="David" w:eastAsia="Calibri" w:hAnsi="David"/>
          <w:b/>
          <w:bCs/>
          <w:rtl/>
        </w:rPr>
        <w:t>-30% ב</w:t>
      </w:r>
      <w:r w:rsidRPr="00AA5065">
        <w:rPr>
          <w:rFonts w:ascii="David" w:eastAsia="Calibri" w:hAnsi="David" w:hint="cs"/>
          <w:b/>
          <w:bCs/>
          <w:rtl/>
        </w:rPr>
        <w:t xml:space="preserve">שנת </w:t>
      </w:r>
      <w:r w:rsidRPr="00AA5065">
        <w:rPr>
          <w:rFonts w:ascii="David" w:eastAsia="Calibri" w:hAnsi="David"/>
          <w:b/>
          <w:bCs/>
          <w:rtl/>
        </w:rPr>
        <w:t>2024</w:t>
      </w:r>
      <w:r w:rsidRPr="00AA5065">
        <w:rPr>
          <w:rFonts w:ascii="David" w:eastAsia="Calibri" w:hAnsi="David"/>
          <w:b/>
          <w:bCs/>
        </w:rPr>
        <w:t>.</w:t>
      </w:r>
      <w:r w:rsidRPr="00AA5065">
        <w:rPr>
          <w:rFonts w:ascii="David" w:eastAsia="Calibri" w:hAnsi="David"/>
          <w:b/>
          <w:bCs/>
          <w:rtl/>
        </w:rPr>
        <w:t xml:space="preserve"> התקינה עלתה מ-152</w:t>
      </w:r>
      <w:r w:rsidRPr="00AA5065">
        <w:rPr>
          <w:rFonts w:ascii="David" w:eastAsia="Calibri" w:hAnsi="David" w:hint="cs"/>
          <w:b/>
          <w:bCs/>
          <w:rtl/>
        </w:rPr>
        <w:t xml:space="preserve"> שוטרים</w:t>
      </w:r>
      <w:r w:rsidRPr="00AA5065">
        <w:rPr>
          <w:rFonts w:ascii="David" w:eastAsia="Calibri" w:hAnsi="David"/>
          <w:b/>
          <w:bCs/>
          <w:rtl/>
        </w:rPr>
        <w:t xml:space="preserve"> ב</w:t>
      </w:r>
      <w:r w:rsidRPr="00AA5065">
        <w:rPr>
          <w:rFonts w:ascii="David" w:eastAsia="Calibri" w:hAnsi="David" w:hint="cs"/>
          <w:b/>
          <w:bCs/>
          <w:rtl/>
        </w:rPr>
        <w:t xml:space="preserve">שנת </w:t>
      </w:r>
      <w:r w:rsidRPr="00AA5065">
        <w:rPr>
          <w:rFonts w:ascii="David" w:eastAsia="Calibri" w:hAnsi="David"/>
          <w:b/>
          <w:bCs/>
          <w:rtl/>
        </w:rPr>
        <w:t xml:space="preserve">2020 ל-180.5 </w:t>
      </w:r>
      <w:r w:rsidRPr="00AA5065">
        <w:rPr>
          <w:rFonts w:ascii="David" w:eastAsia="Calibri" w:hAnsi="David" w:hint="cs"/>
          <w:b/>
          <w:bCs/>
          <w:rtl/>
        </w:rPr>
        <w:t xml:space="preserve">שוטרים </w:t>
      </w:r>
      <w:r w:rsidRPr="00AA5065">
        <w:rPr>
          <w:rFonts w:ascii="David" w:eastAsia="Calibri" w:hAnsi="David"/>
          <w:b/>
          <w:bCs/>
          <w:rtl/>
        </w:rPr>
        <w:t>ב</w:t>
      </w:r>
      <w:r w:rsidRPr="00AA5065">
        <w:rPr>
          <w:rFonts w:ascii="David" w:eastAsia="Calibri" w:hAnsi="David" w:hint="cs"/>
          <w:b/>
          <w:bCs/>
          <w:rtl/>
        </w:rPr>
        <w:t xml:space="preserve">שנת </w:t>
      </w:r>
      <w:r w:rsidRPr="00AA5065">
        <w:rPr>
          <w:rFonts w:ascii="David" w:eastAsia="Calibri" w:hAnsi="David"/>
          <w:b/>
          <w:bCs/>
          <w:rtl/>
        </w:rPr>
        <w:t xml:space="preserve">2024, </w:t>
      </w:r>
      <w:r w:rsidRPr="00AA5065">
        <w:rPr>
          <w:rFonts w:ascii="David" w:eastAsia="Calibri" w:hAnsi="David" w:hint="cs"/>
          <w:b/>
          <w:bCs/>
          <w:rtl/>
        </w:rPr>
        <w:t>אך מצבת כוח האדם</w:t>
      </w:r>
      <w:r w:rsidRPr="00AA5065">
        <w:rPr>
          <w:rFonts w:ascii="David" w:eastAsia="Calibri" w:hAnsi="David"/>
          <w:b/>
          <w:bCs/>
          <w:rtl/>
        </w:rPr>
        <w:t xml:space="preserve"> לא גדלה באופן תואם, </w:t>
      </w:r>
      <w:r w:rsidRPr="00AA5065">
        <w:rPr>
          <w:rFonts w:ascii="David" w:eastAsia="Calibri" w:hAnsi="David" w:hint="cs"/>
          <w:b/>
          <w:bCs/>
          <w:rtl/>
        </w:rPr>
        <w:t>ובשנת 2023</w:t>
      </w:r>
      <w:r w:rsidRPr="00AA5065">
        <w:rPr>
          <w:rFonts w:ascii="David" w:eastAsia="Calibri" w:hAnsi="David"/>
          <w:b/>
          <w:bCs/>
          <w:rtl/>
        </w:rPr>
        <w:t xml:space="preserve"> אף </w:t>
      </w:r>
      <w:r w:rsidRPr="00AA5065">
        <w:rPr>
          <w:rFonts w:ascii="David" w:eastAsia="Calibri" w:hAnsi="David" w:hint="cs"/>
          <w:b/>
          <w:bCs/>
          <w:rtl/>
        </w:rPr>
        <w:t>פחתה ומצבת כוח האדם עמדה על 121.5 שוטרים</w:t>
      </w:r>
      <w:r w:rsidRPr="00AA5065">
        <w:rPr>
          <w:rFonts w:ascii="David" w:eastAsia="Calibri" w:hAnsi="David"/>
          <w:b/>
          <w:bCs/>
        </w:rPr>
        <w:t>.</w:t>
      </w:r>
      <w:r w:rsidRPr="00AA5065">
        <w:rPr>
          <w:rFonts w:ascii="David" w:eastAsia="Calibri" w:hAnsi="David" w:hint="cs"/>
          <w:b/>
          <w:bCs/>
          <w:rtl/>
        </w:rPr>
        <w:t xml:space="preserve"> </w:t>
      </w:r>
      <w:r w:rsidRPr="00AA5065">
        <w:rPr>
          <w:rFonts w:ascii="David" w:eastAsia="Calibri" w:hAnsi="David"/>
          <w:b/>
          <w:bCs/>
          <w:rtl/>
        </w:rPr>
        <w:t>הפער הממוצע לשנים 2020 - 2024 עמד על 25%.‏</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cs"/>
          <w:rtl/>
        </w:rPr>
        <w:t>לוח 10</w:t>
      </w:r>
      <w:r w:rsidRPr="00AA5065">
        <w:rPr>
          <w:rFonts w:ascii="David" w:eastAsia="Calibri" w:hAnsi="David"/>
          <w:rtl/>
        </w:rPr>
        <w:t xml:space="preserve"> </w:t>
      </w:r>
      <w:r w:rsidRPr="00AA5065">
        <w:rPr>
          <w:rFonts w:ascii="David" w:eastAsia="Calibri" w:hAnsi="David" w:hint="cs"/>
          <w:rtl/>
        </w:rPr>
        <w:t xml:space="preserve">שלהלן </w:t>
      </w:r>
      <w:r w:rsidRPr="00AA5065">
        <w:rPr>
          <w:rFonts w:ascii="David" w:eastAsia="Calibri" w:hAnsi="David"/>
          <w:rtl/>
        </w:rPr>
        <w:t xml:space="preserve">מציג את התקינה (תקן) לעומת מצבת כוח האדם בפועל (מצבה) בתחנת רהט </w:t>
      </w:r>
      <w:r w:rsidRPr="00AA5065">
        <w:rPr>
          <w:rFonts w:ascii="David" w:eastAsia="Calibri" w:hAnsi="David" w:hint="cs"/>
          <w:rtl/>
        </w:rPr>
        <w:t>ב</w:t>
      </w:r>
      <w:r w:rsidRPr="00AA5065">
        <w:rPr>
          <w:rFonts w:ascii="David" w:eastAsia="Calibri" w:hAnsi="David"/>
          <w:rtl/>
        </w:rPr>
        <w:t xml:space="preserve">שנים </w:t>
      </w:r>
      <w:r w:rsidRPr="00AA5065">
        <w:rPr>
          <w:rFonts w:ascii="David" w:eastAsia="Calibri" w:hAnsi="David" w:hint="cs"/>
          <w:rtl/>
        </w:rPr>
        <w:t>2020 עד 2024.</w:t>
      </w:r>
    </w:p>
    <w:p w:rsidR="00AA5065" w:rsidRPr="001D2962" w:rsidP="00860D89">
      <w:pPr>
        <w:spacing w:line="269" w:lineRule="auto"/>
        <w:rPr>
          <w:rFonts w:ascii="David" w:eastAsia="Calibri" w:hAnsi="David"/>
          <w:b/>
          <w:bCs/>
          <w:sz w:val="18"/>
          <w:szCs w:val="22"/>
          <w:rtl/>
        </w:rPr>
      </w:pPr>
    </w:p>
    <w:p w:rsidR="00AA5065" w:rsidRPr="00AA5065" w:rsidP="00860D89">
      <w:pPr>
        <w:spacing w:line="269" w:lineRule="auto"/>
        <w:jc w:val="center"/>
        <w:rPr>
          <w:rFonts w:ascii="David" w:eastAsia="Calibri" w:hAnsi="David"/>
          <w:rtl/>
        </w:rPr>
      </w:pPr>
      <w:r w:rsidRPr="00AA5065">
        <w:rPr>
          <w:rFonts w:ascii="David" w:eastAsia="Calibri" w:hAnsi="David" w:hint="cs"/>
          <w:rtl/>
        </w:rPr>
        <w:t>לוח 10</w:t>
      </w:r>
      <w:r w:rsidRPr="00AA5065">
        <w:rPr>
          <w:rFonts w:ascii="David" w:eastAsia="Calibri" w:hAnsi="David"/>
          <w:rtl/>
        </w:rPr>
        <w:t xml:space="preserve">: </w:t>
      </w:r>
      <w:r w:rsidRPr="00AA5065">
        <w:rPr>
          <w:rFonts w:ascii="David" w:eastAsia="Calibri" w:hAnsi="David" w:hint="cs"/>
          <w:b/>
          <w:bCs/>
          <w:rtl/>
        </w:rPr>
        <w:t>ה</w:t>
      </w:r>
      <w:r w:rsidRPr="00AA5065">
        <w:rPr>
          <w:rFonts w:ascii="David" w:eastAsia="Calibri" w:hAnsi="David"/>
          <w:b/>
          <w:bCs/>
          <w:rtl/>
        </w:rPr>
        <w:t>תקן מול מצב</w:t>
      </w:r>
      <w:r w:rsidRPr="00AA5065">
        <w:rPr>
          <w:rFonts w:ascii="David" w:eastAsia="Calibri" w:hAnsi="David" w:hint="cs"/>
          <w:b/>
          <w:bCs/>
          <w:rtl/>
        </w:rPr>
        <w:t>ת כוח האדם</w:t>
      </w:r>
      <w:r w:rsidRPr="00AA5065">
        <w:rPr>
          <w:rFonts w:ascii="David" w:eastAsia="Calibri" w:hAnsi="David"/>
          <w:b/>
          <w:bCs/>
          <w:rtl/>
        </w:rPr>
        <w:t xml:space="preserve"> </w:t>
      </w:r>
      <w:r w:rsidRPr="00AA5065">
        <w:rPr>
          <w:rFonts w:ascii="David" w:eastAsia="Calibri" w:hAnsi="David" w:hint="cs"/>
          <w:b/>
          <w:bCs/>
          <w:rtl/>
        </w:rPr>
        <w:t>ב</w:t>
      </w:r>
      <w:r w:rsidRPr="00AA5065">
        <w:rPr>
          <w:rFonts w:ascii="David" w:eastAsia="Calibri" w:hAnsi="David"/>
          <w:b/>
          <w:bCs/>
          <w:rtl/>
        </w:rPr>
        <w:t xml:space="preserve">תחנת רהט, </w:t>
      </w:r>
      <w:r w:rsidRPr="00AA5065">
        <w:rPr>
          <w:rFonts w:ascii="David" w:eastAsia="Calibri" w:hAnsi="David" w:hint="cs"/>
          <w:b/>
          <w:bCs/>
          <w:rtl/>
        </w:rPr>
        <w:t>2020 - 2024</w:t>
      </w:r>
      <w:r>
        <w:rPr>
          <w:rFonts w:ascii="David" w:eastAsia="Calibri" w:hAnsi="David"/>
          <w:b/>
          <w:bCs/>
          <w:vertAlign w:val="superscript"/>
          <w:rtl/>
        </w:rPr>
        <w:footnoteReference w:id="91"/>
      </w:r>
    </w:p>
    <w:tbl>
      <w:tblPr>
        <w:tblStyle w:val="5-11"/>
        <w:bidiVisual/>
        <w:tblW w:w="6300" w:type="dxa"/>
        <w:jc w:val="center"/>
        <w:tblLook w:val="04A0"/>
      </w:tblPr>
      <w:tblGrid>
        <w:gridCol w:w="1163"/>
        <w:gridCol w:w="1102"/>
        <w:gridCol w:w="1346"/>
        <w:gridCol w:w="1182"/>
        <w:gridCol w:w="1507"/>
      </w:tblGrid>
      <w:tr w:rsidTr="008757B8">
        <w:tblPrEx>
          <w:tblW w:w="6300" w:type="dxa"/>
          <w:jc w:val="center"/>
          <w:tblLook w:val="04A0"/>
        </w:tblPrEx>
        <w:trPr>
          <w:trHeight w:val="158"/>
          <w:jc w:val="center"/>
        </w:trPr>
        <w:tc>
          <w:tcPr>
            <w:tcW w:w="1163" w:type="dxa"/>
            <w:noWrap/>
            <w:hideMark/>
          </w:tcPr>
          <w:p w:rsidR="00AA5065" w:rsidRPr="00AA5065" w:rsidP="000E5D43">
            <w:pPr>
              <w:bidi w:val="0"/>
              <w:spacing w:before="60" w:after="60"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שנה</w:t>
            </w:r>
          </w:p>
        </w:tc>
        <w:tc>
          <w:tcPr>
            <w:tcW w:w="1102" w:type="dxa"/>
            <w:noWrap/>
            <w:hideMark/>
          </w:tcPr>
          <w:p w:rsidR="00AA5065" w:rsidRPr="00AA5065" w:rsidP="000E5D43">
            <w:pPr>
              <w:bidi w:val="0"/>
              <w:spacing w:before="60" w:after="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תקן</w:t>
            </w:r>
          </w:p>
        </w:tc>
        <w:tc>
          <w:tcPr>
            <w:tcW w:w="1346" w:type="dxa"/>
            <w:noWrap/>
            <w:hideMark/>
          </w:tcPr>
          <w:p w:rsidR="00AA5065" w:rsidRPr="00AA5065" w:rsidP="000E5D43">
            <w:pPr>
              <w:bidi w:val="0"/>
              <w:spacing w:before="60" w:after="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מצבה</w:t>
            </w:r>
          </w:p>
        </w:tc>
        <w:tc>
          <w:tcPr>
            <w:tcW w:w="1182" w:type="dxa"/>
            <w:noWrap/>
            <w:hideMark/>
          </w:tcPr>
          <w:p w:rsidR="00AA5065" w:rsidRPr="00AA5065" w:rsidP="000E5D43">
            <w:pPr>
              <w:bidi w:val="0"/>
              <w:spacing w:before="60" w:after="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 xml:space="preserve">פער </w:t>
            </w:r>
          </w:p>
        </w:tc>
        <w:tc>
          <w:tcPr>
            <w:tcW w:w="1507" w:type="dxa"/>
            <w:noWrap/>
            <w:hideMark/>
          </w:tcPr>
          <w:p w:rsidR="00AA5065" w:rsidRPr="00AA5065" w:rsidP="000E5D43">
            <w:pPr>
              <w:bidi w:val="0"/>
              <w:spacing w:before="60" w:after="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פער באחוזים</w:t>
            </w:r>
          </w:p>
        </w:tc>
      </w:tr>
      <w:tr w:rsidTr="00AA5065">
        <w:tblPrEx>
          <w:tblW w:w="6300" w:type="dxa"/>
          <w:jc w:val="center"/>
          <w:tblLook w:val="04A0"/>
        </w:tblPrEx>
        <w:trPr>
          <w:trHeight w:val="315"/>
          <w:jc w:val="center"/>
        </w:trPr>
        <w:tc>
          <w:tcPr>
            <w:tcW w:w="1163" w:type="dxa"/>
            <w:noWrap/>
            <w:hideMark/>
          </w:tcPr>
          <w:p w:rsidR="00AA5065" w:rsidRPr="00AA5065" w:rsidP="001D2962">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2020</w:t>
            </w:r>
          </w:p>
        </w:tc>
        <w:tc>
          <w:tcPr>
            <w:tcW w:w="11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123.5</w:t>
            </w:r>
          </w:p>
        </w:tc>
        <w:tc>
          <w:tcPr>
            <w:tcW w:w="1346"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108</w:t>
            </w:r>
          </w:p>
        </w:tc>
        <w:tc>
          <w:tcPr>
            <w:tcW w:w="118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15.5</w:t>
            </w:r>
          </w:p>
        </w:tc>
        <w:tc>
          <w:tcPr>
            <w:tcW w:w="150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13%</w:t>
            </w:r>
          </w:p>
        </w:tc>
      </w:tr>
      <w:tr w:rsidTr="00AA5065">
        <w:tblPrEx>
          <w:tblW w:w="6300" w:type="dxa"/>
          <w:jc w:val="center"/>
          <w:tblLook w:val="04A0"/>
        </w:tblPrEx>
        <w:trPr>
          <w:trHeight w:val="315"/>
          <w:jc w:val="center"/>
        </w:trPr>
        <w:tc>
          <w:tcPr>
            <w:tcW w:w="1163" w:type="dxa"/>
            <w:noWrap/>
            <w:hideMark/>
          </w:tcPr>
          <w:p w:rsidR="00AA5065" w:rsidRPr="00AA5065" w:rsidP="001D2962">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2021</w:t>
            </w:r>
          </w:p>
        </w:tc>
        <w:tc>
          <w:tcPr>
            <w:tcW w:w="11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117.5</w:t>
            </w:r>
          </w:p>
        </w:tc>
        <w:tc>
          <w:tcPr>
            <w:tcW w:w="1346"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106</w:t>
            </w:r>
          </w:p>
        </w:tc>
        <w:tc>
          <w:tcPr>
            <w:tcW w:w="118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11.5</w:t>
            </w:r>
          </w:p>
        </w:tc>
        <w:tc>
          <w:tcPr>
            <w:tcW w:w="150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10%</w:t>
            </w:r>
          </w:p>
        </w:tc>
      </w:tr>
      <w:tr w:rsidTr="00AA5065">
        <w:tblPrEx>
          <w:tblW w:w="6300" w:type="dxa"/>
          <w:jc w:val="center"/>
          <w:tblLook w:val="04A0"/>
        </w:tblPrEx>
        <w:trPr>
          <w:trHeight w:val="315"/>
          <w:jc w:val="center"/>
        </w:trPr>
        <w:tc>
          <w:tcPr>
            <w:tcW w:w="1163" w:type="dxa"/>
            <w:noWrap/>
            <w:hideMark/>
          </w:tcPr>
          <w:p w:rsidR="00AA5065" w:rsidRPr="00AA5065" w:rsidP="001D2962">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2022</w:t>
            </w:r>
          </w:p>
        </w:tc>
        <w:tc>
          <w:tcPr>
            <w:tcW w:w="11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135</w:t>
            </w:r>
          </w:p>
        </w:tc>
        <w:tc>
          <w:tcPr>
            <w:tcW w:w="1346"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93</w:t>
            </w:r>
          </w:p>
        </w:tc>
        <w:tc>
          <w:tcPr>
            <w:tcW w:w="118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42</w:t>
            </w:r>
          </w:p>
        </w:tc>
        <w:tc>
          <w:tcPr>
            <w:tcW w:w="150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31%</w:t>
            </w:r>
          </w:p>
        </w:tc>
      </w:tr>
      <w:tr w:rsidTr="00AA5065">
        <w:tblPrEx>
          <w:tblW w:w="6300" w:type="dxa"/>
          <w:jc w:val="center"/>
          <w:tblLook w:val="04A0"/>
        </w:tblPrEx>
        <w:trPr>
          <w:trHeight w:val="315"/>
          <w:jc w:val="center"/>
        </w:trPr>
        <w:tc>
          <w:tcPr>
            <w:tcW w:w="1163" w:type="dxa"/>
            <w:noWrap/>
            <w:hideMark/>
          </w:tcPr>
          <w:p w:rsidR="00AA5065" w:rsidRPr="00AA5065" w:rsidP="001D2962">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2023</w:t>
            </w:r>
          </w:p>
        </w:tc>
        <w:tc>
          <w:tcPr>
            <w:tcW w:w="11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138</w:t>
            </w:r>
          </w:p>
        </w:tc>
        <w:tc>
          <w:tcPr>
            <w:tcW w:w="1346"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95</w:t>
            </w:r>
          </w:p>
        </w:tc>
        <w:tc>
          <w:tcPr>
            <w:tcW w:w="118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43</w:t>
            </w:r>
          </w:p>
        </w:tc>
        <w:tc>
          <w:tcPr>
            <w:tcW w:w="150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31%</w:t>
            </w:r>
          </w:p>
        </w:tc>
      </w:tr>
      <w:tr w:rsidTr="000E5D43">
        <w:tblPrEx>
          <w:tblW w:w="6300" w:type="dxa"/>
          <w:jc w:val="center"/>
          <w:tblLook w:val="04A0"/>
        </w:tblPrEx>
        <w:trPr>
          <w:trHeight w:val="210"/>
          <w:jc w:val="center"/>
        </w:trPr>
        <w:tc>
          <w:tcPr>
            <w:tcW w:w="1163" w:type="dxa"/>
            <w:noWrap/>
            <w:hideMark/>
          </w:tcPr>
          <w:p w:rsidR="00AA5065" w:rsidRPr="00AA5065" w:rsidP="001D2962">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2024</w:t>
            </w:r>
          </w:p>
        </w:tc>
        <w:tc>
          <w:tcPr>
            <w:tcW w:w="11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138</w:t>
            </w:r>
          </w:p>
        </w:tc>
        <w:tc>
          <w:tcPr>
            <w:tcW w:w="1346"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117</w:t>
            </w:r>
          </w:p>
        </w:tc>
        <w:tc>
          <w:tcPr>
            <w:tcW w:w="118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21</w:t>
            </w:r>
          </w:p>
        </w:tc>
        <w:tc>
          <w:tcPr>
            <w:tcW w:w="1507"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15%</w:t>
            </w:r>
          </w:p>
        </w:tc>
      </w:tr>
    </w:tbl>
    <w:p w:rsidR="00AA5065" w:rsidRPr="00AA5065" w:rsidP="00860D89">
      <w:pPr>
        <w:spacing w:line="269" w:lineRule="auto"/>
        <w:rPr>
          <w:rFonts w:ascii="David" w:eastAsia="Calibri" w:hAnsi="David"/>
          <w:sz w:val="16"/>
          <w:szCs w:val="20"/>
          <w:rtl/>
        </w:rPr>
      </w:pPr>
      <w:r w:rsidRPr="00AA5065">
        <w:rPr>
          <w:rFonts w:ascii="David" w:eastAsia="Calibri" w:hAnsi="David" w:hint="cs"/>
          <w:sz w:val="16"/>
          <w:szCs w:val="20"/>
          <w:rtl/>
        </w:rPr>
        <w:t>על פי נתוני</w:t>
      </w:r>
      <w:r w:rsidRPr="00AA5065">
        <w:rPr>
          <w:rFonts w:ascii="David" w:eastAsia="Calibri" w:hAnsi="David"/>
          <w:sz w:val="16"/>
          <w:szCs w:val="20"/>
          <w:rtl/>
        </w:rPr>
        <w:t xml:space="preserve"> משטרת ישראל</w:t>
      </w:r>
      <w:r w:rsidRPr="00AA5065">
        <w:rPr>
          <w:rFonts w:ascii="David" w:eastAsia="Calibri" w:hAnsi="David" w:hint="cs"/>
          <w:sz w:val="16"/>
          <w:szCs w:val="20"/>
          <w:rtl/>
        </w:rPr>
        <w:t>,</w:t>
      </w:r>
      <w:r w:rsidRPr="00AA5065">
        <w:rPr>
          <w:rFonts w:ascii="David" w:eastAsia="Calibri" w:hAnsi="David"/>
          <w:sz w:val="16"/>
          <w:szCs w:val="20"/>
          <w:rtl/>
        </w:rPr>
        <w:t xml:space="preserve"> בעיבוד משרד מבקר המדינה</w:t>
      </w:r>
      <w:r w:rsidRPr="00AA5065">
        <w:rPr>
          <w:rFonts w:ascii="David" w:eastAsia="Calibri" w:hAnsi="David" w:hint="cs"/>
          <w:sz w:val="16"/>
          <w:szCs w:val="20"/>
          <w:rtl/>
        </w:rPr>
        <w:t>.</w:t>
      </w:r>
    </w:p>
    <w:p w:rsidR="00AA5065" w:rsidRPr="00AA5065" w:rsidP="00860D89">
      <w:pPr>
        <w:spacing w:line="269" w:lineRule="auto"/>
        <w:rPr>
          <w:rFonts w:ascii="David" w:eastAsia="Calibri" w:hAnsi="David"/>
          <w:b/>
          <w:bCs/>
          <w:rtl/>
        </w:rPr>
      </w:pPr>
      <w:r w:rsidRPr="00AA5065">
        <w:rPr>
          <w:rFonts w:ascii="David" w:eastAsia="Calibri" w:hAnsi="David" w:hint="cs"/>
          <w:b/>
          <w:bCs/>
          <w:rtl/>
        </w:rPr>
        <w:t>מהלוח</w:t>
      </w:r>
      <w:r w:rsidRPr="00AA5065">
        <w:rPr>
          <w:rFonts w:ascii="David" w:eastAsia="Calibri" w:hAnsi="David"/>
          <w:b/>
          <w:bCs/>
          <w:rtl/>
        </w:rPr>
        <w:t xml:space="preserve"> עולה כי </w:t>
      </w:r>
      <w:r w:rsidRPr="00AA5065">
        <w:rPr>
          <w:rFonts w:ascii="David" w:eastAsia="Calibri" w:hAnsi="David" w:hint="cs"/>
          <w:b/>
          <w:bCs/>
          <w:rtl/>
        </w:rPr>
        <w:t>בשנים 2020 - 2024 היה</w:t>
      </w:r>
      <w:r w:rsidRPr="00AA5065">
        <w:rPr>
          <w:rFonts w:ascii="David" w:eastAsia="Calibri" w:hAnsi="David"/>
          <w:b/>
          <w:bCs/>
          <w:rtl/>
        </w:rPr>
        <w:t xml:space="preserve"> מחסור בכוח אדם בתחנת רהט </w:t>
      </w:r>
      <w:r w:rsidRPr="00AA5065">
        <w:rPr>
          <w:rFonts w:ascii="David" w:eastAsia="Calibri" w:hAnsi="David" w:hint="cs"/>
          <w:b/>
          <w:bCs/>
          <w:rtl/>
        </w:rPr>
        <w:t>ו</w:t>
      </w:r>
      <w:r w:rsidRPr="00AA5065">
        <w:rPr>
          <w:rFonts w:ascii="David" w:eastAsia="Calibri" w:hAnsi="David"/>
          <w:b/>
          <w:bCs/>
          <w:rtl/>
        </w:rPr>
        <w:t xml:space="preserve">עלייה ניכרת בפער בין התקינה למצבת כוח האדם </w:t>
      </w:r>
      <w:r w:rsidRPr="00AA5065">
        <w:rPr>
          <w:rFonts w:ascii="David" w:eastAsia="Calibri" w:hAnsi="David" w:hint="cs"/>
          <w:b/>
          <w:bCs/>
          <w:rtl/>
        </w:rPr>
        <w:t>ש</w:t>
      </w:r>
      <w:r w:rsidRPr="00AA5065">
        <w:rPr>
          <w:rFonts w:ascii="David" w:eastAsia="Calibri" w:hAnsi="David"/>
          <w:b/>
          <w:bCs/>
          <w:rtl/>
        </w:rPr>
        <w:t>הגיע לכ-31%</w:t>
      </w:r>
      <w:r w:rsidRPr="00AA5065">
        <w:rPr>
          <w:rFonts w:ascii="David" w:eastAsia="Calibri" w:hAnsi="David" w:hint="cs"/>
          <w:b/>
          <w:bCs/>
          <w:rtl/>
        </w:rPr>
        <w:t xml:space="preserve"> בשנת (43 שוטרים)</w:t>
      </w:r>
      <w:r w:rsidRPr="00AA5065">
        <w:rPr>
          <w:rFonts w:ascii="David" w:eastAsia="Calibri" w:hAnsi="David" w:hint="cs"/>
          <w:b/>
          <w:bCs/>
        </w:rPr>
        <w:t xml:space="preserve"> </w:t>
      </w:r>
      <w:r w:rsidRPr="00AA5065">
        <w:rPr>
          <w:rFonts w:ascii="David" w:eastAsia="Calibri" w:hAnsi="David" w:hint="cs"/>
          <w:b/>
          <w:bCs/>
          <w:rtl/>
        </w:rPr>
        <w:t>2023</w:t>
      </w:r>
      <w:r w:rsidRPr="00AA5065">
        <w:rPr>
          <w:rFonts w:ascii="David" w:eastAsia="Calibri" w:hAnsi="David"/>
          <w:b/>
          <w:bCs/>
          <w:rtl/>
        </w:rPr>
        <w:t xml:space="preserve">. בשנת 2024 חל שיפור מסוים </w:t>
      </w:r>
      <w:r w:rsidRPr="00AA5065">
        <w:rPr>
          <w:rFonts w:ascii="David" w:eastAsia="Calibri" w:hAnsi="David" w:hint="cs"/>
          <w:b/>
          <w:bCs/>
          <w:rtl/>
        </w:rPr>
        <w:t>בשל</w:t>
      </w:r>
      <w:r w:rsidRPr="00AA5065">
        <w:rPr>
          <w:rFonts w:ascii="David" w:eastAsia="Calibri" w:hAnsi="David"/>
          <w:b/>
          <w:bCs/>
          <w:rtl/>
        </w:rPr>
        <w:t xml:space="preserve"> </w:t>
      </w:r>
      <w:r w:rsidRPr="00AA5065">
        <w:rPr>
          <w:rFonts w:ascii="David" w:eastAsia="Calibri" w:hAnsi="David" w:hint="cs"/>
          <w:b/>
          <w:bCs/>
          <w:rtl/>
        </w:rPr>
        <w:t>גידול</w:t>
      </w:r>
      <w:r w:rsidRPr="00AA5065">
        <w:rPr>
          <w:rFonts w:ascii="David" w:eastAsia="Calibri" w:hAnsi="David"/>
          <w:b/>
          <w:bCs/>
          <w:rtl/>
        </w:rPr>
        <w:t xml:space="preserve"> במספר השוטרים</w:t>
      </w:r>
      <w:r w:rsidRPr="00AA5065">
        <w:rPr>
          <w:rFonts w:ascii="David" w:eastAsia="Calibri" w:hAnsi="David" w:hint="cs"/>
          <w:b/>
          <w:bCs/>
          <w:rtl/>
        </w:rPr>
        <w:t>,</w:t>
      </w:r>
      <w:r w:rsidRPr="00AA5065">
        <w:rPr>
          <w:rFonts w:ascii="David" w:eastAsia="Calibri" w:hAnsi="David"/>
          <w:b/>
          <w:bCs/>
          <w:rtl/>
        </w:rPr>
        <w:t xml:space="preserve"> </w:t>
      </w:r>
      <w:r w:rsidRPr="00AA5065">
        <w:rPr>
          <w:rFonts w:ascii="David" w:eastAsia="Calibri" w:hAnsi="David" w:hint="cs"/>
          <w:b/>
          <w:bCs/>
          <w:rtl/>
        </w:rPr>
        <w:t>ו</w:t>
      </w:r>
      <w:r w:rsidRPr="00AA5065">
        <w:rPr>
          <w:rFonts w:ascii="David" w:eastAsia="Calibri" w:hAnsi="David"/>
          <w:b/>
          <w:bCs/>
          <w:rtl/>
        </w:rPr>
        <w:t xml:space="preserve">הפער </w:t>
      </w:r>
      <w:r w:rsidRPr="00AA5065">
        <w:rPr>
          <w:rFonts w:ascii="David" w:eastAsia="Calibri" w:hAnsi="David" w:hint="cs"/>
          <w:b/>
          <w:bCs/>
          <w:rtl/>
        </w:rPr>
        <w:t xml:space="preserve">הצטמצם </w:t>
      </w:r>
      <w:r w:rsidRPr="00AA5065">
        <w:rPr>
          <w:rFonts w:ascii="David" w:eastAsia="Calibri" w:hAnsi="David"/>
          <w:b/>
          <w:bCs/>
          <w:rtl/>
        </w:rPr>
        <w:t>לכ-15%</w:t>
      </w:r>
      <w:r w:rsidRPr="00AA5065">
        <w:rPr>
          <w:rFonts w:ascii="David" w:eastAsia="Calibri" w:hAnsi="David" w:hint="cs"/>
          <w:b/>
          <w:bCs/>
          <w:rtl/>
        </w:rPr>
        <w:t xml:space="preserve"> (חוסר של 21 שוטרים)</w:t>
      </w:r>
      <w:r w:rsidRPr="00AA5065">
        <w:rPr>
          <w:rFonts w:ascii="David" w:eastAsia="Calibri" w:hAnsi="David"/>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bookmarkStart w:id="89" w:name="_Hlk204851702"/>
      <w:bookmarkStart w:id="90" w:name="_Hlk204851684"/>
      <w:r w:rsidRPr="00AA5065">
        <w:rPr>
          <w:rFonts w:ascii="David" w:eastAsia="Calibri" w:hAnsi="David"/>
          <w:b/>
          <w:bCs/>
          <w:rtl/>
        </w:rPr>
        <w:t xml:space="preserve">נמצא </w:t>
      </w:r>
      <w:r w:rsidRPr="00AA5065">
        <w:rPr>
          <w:rFonts w:ascii="David" w:eastAsia="Calibri" w:hAnsi="David" w:hint="cs"/>
          <w:b/>
          <w:bCs/>
          <w:rtl/>
        </w:rPr>
        <w:t>כי ב</w:t>
      </w:r>
      <w:r w:rsidRPr="00AA5065">
        <w:rPr>
          <w:rFonts w:ascii="David" w:eastAsia="Calibri" w:hAnsi="David"/>
          <w:b/>
          <w:bCs/>
          <w:rtl/>
        </w:rPr>
        <w:t>תחנ</w:t>
      </w:r>
      <w:r w:rsidRPr="00AA5065">
        <w:rPr>
          <w:rFonts w:ascii="David" w:eastAsia="Calibri" w:hAnsi="David" w:hint="cs"/>
          <w:b/>
          <w:bCs/>
          <w:rtl/>
        </w:rPr>
        <w:t xml:space="preserve">ת עיירות היה </w:t>
      </w:r>
      <w:r w:rsidRPr="00AA5065">
        <w:rPr>
          <w:rFonts w:ascii="David" w:eastAsia="Calibri" w:hAnsi="David"/>
          <w:b/>
          <w:bCs/>
          <w:rtl/>
        </w:rPr>
        <w:t>קיים פער ממוצע של 43 שוטרים (25%)</w:t>
      </w:r>
      <w:r w:rsidRPr="00AA5065">
        <w:rPr>
          <w:rFonts w:ascii="David" w:eastAsia="Calibri" w:hAnsi="David" w:hint="cs"/>
          <w:b/>
          <w:bCs/>
          <w:rtl/>
        </w:rPr>
        <w:t>,</w:t>
      </w:r>
      <w:r w:rsidRPr="00AA5065">
        <w:rPr>
          <w:rFonts w:ascii="David" w:eastAsia="Calibri" w:hAnsi="David"/>
          <w:b/>
          <w:bCs/>
          <w:rtl/>
        </w:rPr>
        <w:t xml:space="preserve"> ובתחנת רהט </w:t>
      </w:r>
      <w:r w:rsidRPr="00AA5065">
        <w:rPr>
          <w:rFonts w:ascii="David" w:eastAsia="Calibri" w:hAnsi="David" w:hint="cs"/>
          <w:b/>
          <w:bCs/>
          <w:rtl/>
        </w:rPr>
        <w:t xml:space="preserve">היה </w:t>
      </w:r>
      <w:r w:rsidRPr="00AA5065">
        <w:rPr>
          <w:rFonts w:ascii="David" w:eastAsia="Calibri" w:hAnsi="David"/>
          <w:b/>
          <w:bCs/>
          <w:rtl/>
        </w:rPr>
        <w:t xml:space="preserve">קיים פער ממוצע של 27 </w:t>
      </w:r>
      <w:r w:rsidRPr="00AA5065">
        <w:rPr>
          <w:rFonts w:ascii="David" w:eastAsia="Calibri" w:hAnsi="David" w:hint="cs"/>
          <w:b/>
          <w:bCs/>
          <w:rtl/>
        </w:rPr>
        <w:t>שוטרים</w:t>
      </w:r>
      <w:r w:rsidRPr="00AA5065">
        <w:rPr>
          <w:rFonts w:ascii="David" w:eastAsia="Calibri" w:hAnsi="David"/>
          <w:b/>
          <w:bCs/>
          <w:rtl/>
        </w:rPr>
        <w:t xml:space="preserve"> (20%)‏</w:t>
      </w:r>
      <w:r w:rsidRPr="00AA5065">
        <w:rPr>
          <w:rFonts w:ascii="David" w:eastAsia="Calibri" w:hAnsi="David" w:hint="cs"/>
          <w:b/>
          <w:bCs/>
          <w:rtl/>
        </w:rPr>
        <w:t xml:space="preserve">. בתחנת עיירות התקינה לשנת 2024 הייתה 180.5 והמצבה 127.5 (חוסר של 53.5 שוטרים), ובמשטרת רהט התקינה לשנת 2024 הייתה 138 שוטרים והמצבה 117 (חוסר של 21 שוטרים). </w:t>
      </w:r>
      <w:r w:rsidRPr="00AA5065">
        <w:rPr>
          <w:rFonts w:eastAsia="Calibri"/>
          <w:b/>
          <w:bCs/>
          <w:rtl/>
        </w:rPr>
        <w:t xml:space="preserve">מחסור זה </w:t>
      </w:r>
      <w:r w:rsidRPr="00AA5065">
        <w:rPr>
          <w:rFonts w:eastAsia="Calibri" w:hint="eastAsia"/>
          <w:b/>
          <w:bCs/>
          <w:rtl/>
        </w:rPr>
        <w:t>של</w:t>
      </w:r>
      <w:r w:rsidRPr="00AA5065">
        <w:rPr>
          <w:rFonts w:eastAsia="Calibri"/>
          <w:b/>
          <w:bCs/>
          <w:rtl/>
        </w:rPr>
        <w:t xml:space="preserve"> שוטרים עלול לפגוע ביכולת המבצעית לאכיפת החוק, ברמת השירות הניתן ל</w:t>
      </w:r>
      <w:r w:rsidRPr="00AA5065">
        <w:rPr>
          <w:rFonts w:eastAsia="Calibri" w:hint="eastAsia"/>
          <w:b/>
          <w:bCs/>
          <w:rtl/>
        </w:rPr>
        <w:t>תושבים</w:t>
      </w:r>
      <w:r w:rsidRPr="00AA5065">
        <w:rPr>
          <w:rFonts w:eastAsia="Calibri"/>
          <w:b/>
          <w:bCs/>
          <w:rtl/>
        </w:rPr>
        <w:t xml:space="preserve"> ובתחושת הביטחון של תושבי הנגב.</w:t>
      </w:r>
    </w:p>
    <w:bookmarkEnd w:id="89"/>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eastAsia="Calibri" w:hint="cs"/>
          <w:rtl/>
        </w:rPr>
        <w:t xml:space="preserve">משטרת ישראל מסרה בתשובתה כי נכון ליום 28.9.25 צומצמו פערי האיוש באופן משמעותי. בתחנות עיירות ורהט הפער במצבת השוטרים עומד כעת על 27 (16%) ו-13 (10%) בהתאמה. </w:t>
      </w:r>
      <w:r w:rsidRPr="00AA5065">
        <w:rPr>
          <w:rFonts w:ascii="David" w:eastAsia="Calibri" w:hAnsi="David" w:hint="cs"/>
          <w:rtl/>
        </w:rPr>
        <w:t>עוד</w:t>
      </w:r>
      <w:r w:rsidRPr="00AA5065">
        <w:rPr>
          <w:rFonts w:ascii="David" w:eastAsia="Calibri" w:hAnsi="David"/>
          <w:rtl/>
        </w:rPr>
        <w:t xml:space="preserve"> מסרה </w:t>
      </w:r>
      <w:r w:rsidRPr="00AA5065">
        <w:rPr>
          <w:rFonts w:ascii="David" w:eastAsia="Calibri" w:hAnsi="David" w:hint="cs"/>
          <w:rtl/>
        </w:rPr>
        <w:t xml:space="preserve">המשטרה </w:t>
      </w:r>
      <w:r w:rsidRPr="00AA5065">
        <w:rPr>
          <w:rFonts w:ascii="David" w:eastAsia="Calibri" w:hAnsi="David"/>
          <w:rtl/>
        </w:rPr>
        <w:t>כי בעת ביצוע הביקורת מחוז דרום</w:t>
      </w:r>
      <w:r w:rsidRPr="00AA5065">
        <w:rPr>
          <w:rFonts w:ascii="David" w:eastAsia="Calibri" w:hAnsi="David" w:hint="cs"/>
          <w:rtl/>
        </w:rPr>
        <w:t xml:space="preserve"> </w:t>
      </w:r>
      <w:r w:rsidRPr="00AA5065">
        <w:rPr>
          <w:rFonts w:ascii="David" w:eastAsia="Calibri" w:hAnsi="David"/>
          <w:rtl/>
        </w:rPr>
        <w:t>היה שרוי בעיצומה של מלחמת חרבות ברזל</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ובתחנות</w:t>
      </w:r>
      <w:r w:rsidRPr="00AA5065">
        <w:rPr>
          <w:rFonts w:ascii="David" w:eastAsia="Calibri" w:hAnsi="David"/>
          <w:rtl/>
        </w:rPr>
        <w:t xml:space="preserve"> שהוזכרו בביקורת</w:t>
      </w:r>
      <w:r w:rsidRPr="00AA5065">
        <w:rPr>
          <w:rFonts w:ascii="David" w:eastAsia="Calibri" w:hAnsi="David" w:hint="cs"/>
          <w:rtl/>
        </w:rPr>
        <w:t xml:space="preserve"> היו </w:t>
      </w:r>
      <w:r w:rsidRPr="00AA5065">
        <w:rPr>
          <w:rFonts w:ascii="David" w:eastAsia="Calibri" w:hAnsi="David"/>
          <w:rtl/>
        </w:rPr>
        <w:t>חללים מאירועי 7 באוקטובר, לרבות מפקדים בכירים</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דבר אשר</w:t>
      </w:r>
      <w:r w:rsidRPr="00AA5065">
        <w:rPr>
          <w:rFonts w:ascii="David" w:eastAsia="Calibri" w:hAnsi="David"/>
          <w:rtl/>
        </w:rPr>
        <w:t xml:space="preserve"> </w:t>
      </w:r>
      <w:r w:rsidRPr="00AA5065">
        <w:rPr>
          <w:rFonts w:ascii="David" w:eastAsia="Calibri" w:hAnsi="David" w:hint="cs"/>
          <w:rtl/>
        </w:rPr>
        <w:t>השפיע על</w:t>
      </w:r>
      <w:r w:rsidRPr="00AA5065">
        <w:rPr>
          <w:rFonts w:ascii="David" w:eastAsia="Calibri" w:hAnsi="David"/>
          <w:rtl/>
        </w:rPr>
        <w:t xml:space="preserve"> </w:t>
      </w:r>
      <w:r w:rsidRPr="00AA5065">
        <w:rPr>
          <w:rFonts w:ascii="David" w:eastAsia="Calibri" w:hAnsi="David" w:hint="cs"/>
          <w:rtl/>
        </w:rPr>
        <w:t>ה</w:t>
      </w:r>
      <w:r w:rsidRPr="00AA5065">
        <w:rPr>
          <w:rFonts w:ascii="David" w:eastAsia="Calibri" w:hAnsi="David"/>
          <w:rtl/>
        </w:rPr>
        <w:t xml:space="preserve">מורל </w:t>
      </w:r>
      <w:r w:rsidRPr="00AA5065">
        <w:rPr>
          <w:rFonts w:ascii="David" w:eastAsia="Calibri" w:hAnsi="David" w:hint="cs"/>
          <w:rtl/>
        </w:rPr>
        <w:t>ב</w:t>
      </w:r>
      <w:r w:rsidRPr="00AA5065">
        <w:rPr>
          <w:rFonts w:ascii="David" w:eastAsia="Calibri" w:hAnsi="David"/>
          <w:rtl/>
        </w:rPr>
        <w:t xml:space="preserve">תחנה </w:t>
      </w:r>
      <w:r w:rsidRPr="00AA5065">
        <w:rPr>
          <w:rFonts w:ascii="David" w:eastAsia="Calibri" w:hAnsi="David" w:hint="cs"/>
          <w:rtl/>
        </w:rPr>
        <w:t>ופגע בין היתר גם</w:t>
      </w:r>
      <w:r w:rsidRPr="00AA5065">
        <w:rPr>
          <w:rFonts w:ascii="David" w:eastAsia="Calibri" w:hAnsi="David"/>
          <w:rtl/>
        </w:rPr>
        <w:t xml:space="preserve"> </w:t>
      </w:r>
      <w:r w:rsidRPr="00AA5065">
        <w:rPr>
          <w:rFonts w:ascii="David" w:eastAsia="Calibri" w:hAnsi="David" w:hint="cs"/>
          <w:rtl/>
        </w:rPr>
        <w:t>ביכולת לגייס ולשמר כוח אדם</w:t>
      </w:r>
      <w:r w:rsidRPr="00AA5065">
        <w:rPr>
          <w:rFonts w:ascii="David" w:eastAsia="Calibri" w:hAnsi="David"/>
          <w:rtl/>
        </w:rPr>
        <w:t xml:space="preserve">. משנת 2024 </w:t>
      </w:r>
      <w:r w:rsidRPr="00AA5065">
        <w:rPr>
          <w:rFonts w:ascii="David" w:eastAsia="Calibri" w:hAnsi="David" w:hint="cs"/>
          <w:rtl/>
        </w:rPr>
        <w:t>יש</w:t>
      </w:r>
      <w:r w:rsidRPr="00AA5065">
        <w:rPr>
          <w:rFonts w:ascii="David" w:eastAsia="Calibri" w:hAnsi="David"/>
          <w:rtl/>
        </w:rPr>
        <w:t xml:space="preserve"> עלי</w:t>
      </w:r>
      <w:r w:rsidRPr="00AA5065">
        <w:rPr>
          <w:rFonts w:ascii="David" w:eastAsia="Calibri" w:hAnsi="David" w:hint="cs"/>
          <w:rtl/>
        </w:rPr>
        <w:t>י</w:t>
      </w:r>
      <w:r w:rsidRPr="00AA5065">
        <w:rPr>
          <w:rFonts w:ascii="David" w:eastAsia="Calibri" w:hAnsi="David"/>
          <w:rtl/>
        </w:rPr>
        <w:t xml:space="preserve">ה משמעותית באיוש בתחנות הללו, </w:t>
      </w:r>
      <w:r w:rsidRPr="00AA5065">
        <w:rPr>
          <w:rFonts w:ascii="David" w:eastAsia="Calibri" w:hAnsi="David" w:hint="cs"/>
          <w:rtl/>
        </w:rPr>
        <w:t>זאת עקב</w:t>
      </w:r>
      <w:r w:rsidRPr="00AA5065">
        <w:rPr>
          <w:rFonts w:ascii="David" w:eastAsia="Calibri" w:hAnsi="David"/>
          <w:rtl/>
        </w:rPr>
        <w:t xml:space="preserve"> גיוס </w:t>
      </w:r>
      <w:r w:rsidRPr="00AA5065">
        <w:rPr>
          <w:rFonts w:ascii="David" w:eastAsia="Calibri" w:hAnsi="David" w:hint="cs"/>
          <w:rtl/>
        </w:rPr>
        <w:t>ומתן</w:t>
      </w:r>
      <w:r w:rsidRPr="00AA5065">
        <w:rPr>
          <w:rFonts w:ascii="David" w:eastAsia="Calibri" w:hAnsi="David"/>
          <w:rtl/>
        </w:rPr>
        <w:t xml:space="preserve"> עדיפות לאיוש תחנות </w:t>
      </w:r>
      <w:r w:rsidRPr="00AA5065">
        <w:rPr>
          <w:rFonts w:ascii="David" w:eastAsia="Calibri" w:hAnsi="David" w:hint="cs"/>
          <w:rtl/>
        </w:rPr>
        <w:t>ב</w:t>
      </w:r>
      <w:r w:rsidRPr="00AA5065">
        <w:rPr>
          <w:rFonts w:ascii="David" w:eastAsia="Calibri" w:hAnsi="David"/>
          <w:rtl/>
        </w:rPr>
        <w:t>מגזר.</w:t>
      </w:r>
      <w:r w:rsidRPr="00AA5065">
        <w:rPr>
          <w:rFonts w:ascii="David" w:eastAsia="Calibri" w:hAnsi="David" w:hint="cs"/>
          <w:rtl/>
        </w:rPr>
        <w:t xml:space="preserve"> למשל, </w:t>
      </w:r>
      <w:r w:rsidRPr="00AA5065">
        <w:rPr>
          <w:rFonts w:ascii="David" w:eastAsia="Calibri" w:hAnsi="David"/>
          <w:rtl/>
        </w:rPr>
        <w:t xml:space="preserve">מענקים ותוספות </w:t>
      </w:r>
      <w:r w:rsidRPr="00AA5065">
        <w:rPr>
          <w:rFonts w:ascii="David" w:eastAsia="Calibri" w:hAnsi="David" w:hint="cs"/>
          <w:rtl/>
        </w:rPr>
        <w:t>שכר</w:t>
      </w:r>
      <w:r w:rsidRPr="00AA5065">
        <w:rPr>
          <w:rFonts w:ascii="David" w:eastAsia="Calibri" w:hAnsi="David"/>
          <w:rtl/>
        </w:rPr>
        <w:t xml:space="preserve"> ייעודיות</w:t>
      </w:r>
      <w:r w:rsidRPr="00AA5065">
        <w:rPr>
          <w:rFonts w:ascii="David" w:eastAsia="Calibri" w:hAnsi="David" w:hint="cs"/>
          <w:rtl/>
        </w:rPr>
        <w:t xml:space="preserve"> שניתנו</w:t>
      </w:r>
      <w:r w:rsidRPr="00AA5065">
        <w:rPr>
          <w:rFonts w:ascii="David" w:eastAsia="Calibri" w:hAnsi="David"/>
          <w:rtl/>
        </w:rPr>
        <w:t xml:space="preserve"> למשרתים </w:t>
      </w:r>
      <w:r w:rsidRPr="00AA5065">
        <w:rPr>
          <w:rFonts w:ascii="David" w:eastAsia="Calibri" w:hAnsi="David" w:hint="cs"/>
          <w:rtl/>
        </w:rPr>
        <w:t>במגזר תרמו להעלאת</w:t>
      </w:r>
      <w:r w:rsidRPr="00AA5065">
        <w:rPr>
          <w:rFonts w:ascii="David" w:eastAsia="Calibri" w:hAnsi="David"/>
          <w:rtl/>
        </w:rPr>
        <w:t xml:space="preserve"> האיוש בתחנות אלו</w:t>
      </w:r>
      <w:r w:rsidRPr="00AA5065">
        <w:rPr>
          <w:rFonts w:ascii="David" w:eastAsia="Calibri" w:hAnsi="David" w:hint="cs"/>
          <w:rtl/>
        </w:rPr>
        <w:t xml:space="preserve">. </w:t>
      </w:r>
    </w:p>
    <w:bookmarkEnd w:id="90"/>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cs"/>
          <w:b/>
          <w:bCs/>
          <w:rtl/>
        </w:rPr>
        <w:t xml:space="preserve">מומלץ כי המשרד לביטחון לאומי בשיתוף המשטרה יבחנו אם נדרשים שינויים באיוש תקנים במחוז דרום </w:t>
      </w:r>
      <w:r w:rsidRPr="00AA5065">
        <w:rPr>
          <w:rFonts w:ascii="David" w:eastAsia="Calibri" w:hAnsi="David"/>
          <w:b/>
          <w:bCs/>
          <w:rtl/>
        </w:rPr>
        <w:t xml:space="preserve">בכלל ובפרט </w:t>
      </w:r>
      <w:r w:rsidRPr="00AA5065">
        <w:rPr>
          <w:rFonts w:ascii="David" w:eastAsia="Calibri" w:hAnsi="David" w:hint="cs"/>
          <w:b/>
          <w:bCs/>
          <w:rtl/>
        </w:rPr>
        <w:t>ב</w:t>
      </w:r>
      <w:r w:rsidRPr="00AA5065">
        <w:rPr>
          <w:rFonts w:ascii="David" w:eastAsia="Calibri" w:hAnsi="David"/>
          <w:b/>
          <w:bCs/>
          <w:rtl/>
        </w:rPr>
        <w:t>ערוער, שגב שלום, עיירות ורהט‏</w:t>
      </w:r>
      <w:r w:rsidRPr="00AA5065">
        <w:rPr>
          <w:rFonts w:ascii="David" w:eastAsia="Calibri" w:hAnsi="David" w:hint="cs"/>
          <w:b/>
          <w:bCs/>
          <w:rtl/>
        </w:rPr>
        <w:t xml:space="preserve">. </w:t>
      </w:r>
      <w:r w:rsidRPr="00AA5065">
        <w:rPr>
          <w:rFonts w:ascii="David" w:eastAsia="Calibri" w:hAnsi="David" w:hint="eastAsia"/>
          <w:b/>
          <w:bCs/>
          <w:rtl/>
        </w:rPr>
        <w:t>עוד</w:t>
      </w:r>
      <w:r w:rsidRPr="00AA5065">
        <w:rPr>
          <w:rFonts w:ascii="David" w:eastAsia="Calibri" w:hAnsi="David"/>
          <w:b/>
          <w:bCs/>
          <w:rtl/>
        </w:rPr>
        <w:t xml:space="preserve"> </w:t>
      </w:r>
      <w:r w:rsidRPr="00AA5065">
        <w:rPr>
          <w:rFonts w:ascii="David" w:eastAsia="Calibri" w:hAnsi="David" w:hint="eastAsia"/>
          <w:b/>
          <w:bCs/>
          <w:rtl/>
        </w:rPr>
        <w:t>מוצע</w:t>
      </w:r>
      <w:r w:rsidRPr="00AA5065">
        <w:rPr>
          <w:rFonts w:ascii="David" w:eastAsia="Calibri" w:hAnsi="David"/>
          <w:b/>
          <w:bCs/>
          <w:rtl/>
        </w:rPr>
        <w:t xml:space="preserve"> </w:t>
      </w:r>
      <w:r w:rsidRPr="00AA5065">
        <w:rPr>
          <w:rFonts w:ascii="David" w:eastAsia="Calibri" w:hAnsi="David" w:hint="eastAsia"/>
          <w:b/>
          <w:bCs/>
          <w:rtl/>
        </w:rPr>
        <w:t>לבחון</w:t>
      </w:r>
      <w:r w:rsidRPr="00AA5065">
        <w:rPr>
          <w:rFonts w:ascii="David" w:eastAsia="Calibri" w:hAnsi="David"/>
          <w:b/>
          <w:bCs/>
          <w:rtl/>
        </w:rPr>
        <w:t xml:space="preserve"> </w:t>
      </w:r>
      <w:r w:rsidRPr="00AA5065">
        <w:rPr>
          <w:rFonts w:ascii="David" w:eastAsia="Calibri" w:hAnsi="David" w:hint="eastAsia"/>
          <w:b/>
          <w:bCs/>
          <w:rtl/>
        </w:rPr>
        <w:t>את</w:t>
      </w:r>
      <w:r w:rsidRPr="00AA5065">
        <w:rPr>
          <w:rFonts w:ascii="David" w:eastAsia="Calibri" w:hAnsi="David"/>
          <w:b/>
          <w:bCs/>
          <w:rtl/>
        </w:rPr>
        <w:t xml:space="preserve"> </w:t>
      </w:r>
      <w:r w:rsidRPr="00AA5065">
        <w:rPr>
          <w:rFonts w:ascii="David" w:eastAsia="Calibri" w:hAnsi="David" w:hint="eastAsia"/>
          <w:b/>
          <w:bCs/>
          <w:rtl/>
        </w:rPr>
        <w:t>היקף</w:t>
      </w:r>
      <w:r w:rsidRPr="00AA5065">
        <w:rPr>
          <w:rFonts w:ascii="David" w:eastAsia="Calibri" w:hAnsi="David"/>
          <w:b/>
          <w:bCs/>
          <w:rtl/>
        </w:rPr>
        <w:t xml:space="preserve"> </w:t>
      </w:r>
      <w:r w:rsidRPr="00AA5065">
        <w:rPr>
          <w:rFonts w:ascii="David" w:eastAsia="Calibri" w:hAnsi="David" w:hint="eastAsia"/>
          <w:b/>
          <w:bCs/>
          <w:rtl/>
        </w:rPr>
        <w:t>נוכחות</w:t>
      </w:r>
      <w:r w:rsidRPr="00AA5065">
        <w:rPr>
          <w:rFonts w:ascii="David" w:eastAsia="Calibri" w:hAnsi="David" w:hint="cs"/>
          <w:b/>
          <w:bCs/>
          <w:rtl/>
        </w:rPr>
        <w:t xml:space="preserve"> השוטרים</w:t>
      </w:r>
      <w:r w:rsidRPr="00AA5065">
        <w:rPr>
          <w:rFonts w:ascii="David" w:eastAsia="Calibri" w:hAnsi="David"/>
          <w:b/>
          <w:bCs/>
          <w:rtl/>
        </w:rPr>
        <w:t xml:space="preserve"> </w:t>
      </w:r>
      <w:r w:rsidRPr="00AA5065">
        <w:rPr>
          <w:rFonts w:ascii="David" w:eastAsia="Calibri" w:hAnsi="David" w:hint="eastAsia"/>
          <w:b/>
          <w:bCs/>
          <w:rtl/>
        </w:rPr>
        <w:t>במרחבים</w:t>
      </w:r>
      <w:r w:rsidRPr="00AA5065">
        <w:rPr>
          <w:rFonts w:ascii="David" w:eastAsia="Calibri" w:hAnsi="David"/>
          <w:b/>
          <w:bCs/>
          <w:rtl/>
        </w:rPr>
        <w:t xml:space="preserve"> </w:t>
      </w:r>
      <w:r w:rsidRPr="00AA5065">
        <w:rPr>
          <w:rFonts w:ascii="David" w:eastAsia="Calibri" w:hAnsi="David" w:hint="cs"/>
          <w:b/>
          <w:bCs/>
          <w:rtl/>
        </w:rPr>
        <w:t>העירוניים ולבחון את פוטנציאל השימוש</w:t>
      </w:r>
      <w:r w:rsidRPr="00AA5065">
        <w:rPr>
          <w:rFonts w:ascii="David" w:eastAsia="Calibri" w:hAnsi="David"/>
          <w:b/>
          <w:bCs/>
          <w:rtl/>
        </w:rPr>
        <w:t xml:space="preserve"> </w:t>
      </w:r>
      <w:r w:rsidRPr="00AA5065">
        <w:rPr>
          <w:rFonts w:ascii="David" w:eastAsia="Calibri" w:hAnsi="David" w:hint="cs"/>
          <w:b/>
          <w:bCs/>
          <w:rtl/>
        </w:rPr>
        <w:t>ב</w:t>
      </w:r>
      <w:r w:rsidRPr="00AA5065">
        <w:rPr>
          <w:rFonts w:ascii="David" w:eastAsia="Calibri" w:hAnsi="David"/>
          <w:b/>
          <w:bCs/>
          <w:rtl/>
        </w:rPr>
        <w:t>אמצעים הטכנולוגיים</w:t>
      </w:r>
      <w:r w:rsidRPr="00AA5065">
        <w:rPr>
          <w:rFonts w:ascii="David" w:eastAsia="Calibri" w:hAnsi="David" w:hint="cs"/>
          <w:b/>
          <w:bCs/>
          <w:rtl/>
        </w:rPr>
        <w:t xml:space="preserve"> לחיזוק תחושת הביטחון </w:t>
      </w:r>
      <w:r w:rsidRPr="00AA5065">
        <w:rPr>
          <w:rFonts w:ascii="David" w:eastAsia="Calibri" w:hAnsi="David"/>
          <w:b/>
          <w:bCs/>
          <w:rtl/>
        </w:rPr>
        <w:t>ו</w:t>
      </w:r>
      <w:r w:rsidRPr="00AA5065">
        <w:rPr>
          <w:rFonts w:ascii="David" w:eastAsia="Calibri" w:hAnsi="David" w:hint="cs"/>
          <w:b/>
          <w:bCs/>
          <w:rtl/>
        </w:rPr>
        <w:t>ל</w:t>
      </w:r>
      <w:r w:rsidRPr="00AA5065">
        <w:rPr>
          <w:rFonts w:ascii="David" w:eastAsia="Calibri" w:hAnsi="David"/>
          <w:b/>
          <w:bCs/>
          <w:rtl/>
        </w:rPr>
        <w:t>הבטחת שלום הציבור.</w:t>
      </w:r>
    </w:p>
    <w:p w:rsidR="00AA5065" w:rsidRPr="00AA5065" w:rsidP="00860D89">
      <w:pPr>
        <w:spacing w:line="269" w:lineRule="auto"/>
        <w:ind w:left="-567"/>
        <w:rPr>
          <w:rFonts w:eastAsia="Calibri"/>
          <w:szCs w:val="20"/>
          <w:rtl/>
        </w:rPr>
      </w:pPr>
    </w:p>
    <w:p w:rsidR="00AA5065" w:rsidRPr="00AA5065" w:rsidP="00672D31">
      <w:pPr>
        <w:keepNext/>
        <w:keepLines/>
        <w:spacing w:before="120" w:line="269" w:lineRule="auto"/>
        <w:outlineLvl w:val="3"/>
        <w:rPr>
          <w:rFonts w:eastAsia="Times New Roman"/>
          <w:bCs/>
          <w:szCs w:val="26"/>
          <w:rtl/>
        </w:rPr>
      </w:pPr>
      <w:bookmarkStart w:id="91" w:name="_Hlk204855201"/>
      <w:bookmarkEnd w:id="74"/>
      <w:r w:rsidRPr="00AA5065">
        <w:rPr>
          <w:rFonts w:eastAsia="Times New Roman"/>
          <w:bCs/>
          <w:szCs w:val="26"/>
          <w:rtl/>
        </w:rPr>
        <w:t>סחיטת דמי חסות מתושבי הנגב</w:t>
      </w:r>
      <w:bookmarkEnd w:id="91"/>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 xml:space="preserve">סחיטת </w:t>
      </w:r>
      <w:r w:rsidRPr="00AA5065">
        <w:rPr>
          <w:rFonts w:ascii="David" w:eastAsia="Calibri" w:hAnsi="David"/>
          <w:rtl/>
        </w:rPr>
        <w:t>דמי חסות (להלן</w:t>
      </w:r>
      <w:r w:rsidRPr="00AA5065">
        <w:rPr>
          <w:rFonts w:ascii="David" w:eastAsia="Calibri" w:hAnsi="David" w:hint="cs"/>
          <w:rtl/>
        </w:rPr>
        <w:t xml:space="preserve"> - </w:t>
      </w:r>
      <w:r w:rsidRPr="00AA5065">
        <w:rPr>
          <w:rFonts w:ascii="David" w:eastAsia="Calibri" w:hAnsi="David"/>
          <w:rtl/>
        </w:rPr>
        <w:t>סד"ח)</w:t>
      </w:r>
      <w:r>
        <w:rPr>
          <w:rFonts w:ascii="David" w:eastAsia="Calibri" w:hAnsi="David"/>
          <w:vertAlign w:val="superscript"/>
          <w:rtl/>
        </w:rPr>
        <w:footnoteReference w:id="92"/>
      </w:r>
      <w:r w:rsidRPr="00AA5065">
        <w:rPr>
          <w:rFonts w:ascii="David" w:eastAsia="Calibri" w:hAnsi="David"/>
          <w:rtl/>
        </w:rPr>
        <w:t xml:space="preserve">, המוכרים גם בשם </w:t>
      </w:r>
      <w:r w:rsidRPr="00AA5065">
        <w:rPr>
          <w:rFonts w:ascii="David" w:eastAsia="Calibri" w:hAnsi="David" w:hint="cs"/>
          <w:rtl/>
        </w:rPr>
        <w:t>"</w:t>
      </w:r>
      <w:r w:rsidRPr="00AA5065">
        <w:rPr>
          <w:rFonts w:ascii="David" w:eastAsia="Calibri" w:hAnsi="David"/>
          <w:rtl/>
        </w:rPr>
        <w:t>פרוטקשן</w:t>
      </w:r>
      <w:r w:rsidRPr="00AA5065">
        <w:rPr>
          <w:rFonts w:ascii="David" w:eastAsia="Calibri" w:hAnsi="David" w:hint="cs"/>
          <w:rtl/>
        </w:rPr>
        <w:t>"</w:t>
      </w:r>
      <w:r w:rsidRPr="00AA5065">
        <w:rPr>
          <w:rFonts w:ascii="David" w:eastAsia="Calibri" w:hAnsi="David"/>
          <w:rtl/>
        </w:rPr>
        <w:t xml:space="preserve">, הם שיטה </w:t>
      </w:r>
      <w:r w:rsidRPr="00AA5065">
        <w:rPr>
          <w:rFonts w:ascii="David" w:eastAsia="Calibri" w:hAnsi="David" w:hint="cs"/>
          <w:rtl/>
        </w:rPr>
        <w:t xml:space="preserve">של </w:t>
      </w:r>
      <w:r w:rsidRPr="00AA5065">
        <w:rPr>
          <w:rFonts w:ascii="David" w:eastAsia="Calibri" w:hAnsi="David"/>
          <w:rtl/>
        </w:rPr>
        <w:t>סחיטת כס</w:t>
      </w:r>
      <w:r w:rsidRPr="00AA5065">
        <w:rPr>
          <w:rFonts w:ascii="David" w:eastAsia="Calibri" w:hAnsi="David" w:hint="cs"/>
          <w:rtl/>
        </w:rPr>
        <w:t>פים</w:t>
      </w:r>
      <w:r w:rsidRPr="00AA5065">
        <w:rPr>
          <w:rFonts w:ascii="David" w:eastAsia="Calibri" w:hAnsi="David"/>
          <w:rtl/>
        </w:rPr>
        <w:t xml:space="preserve"> </w:t>
      </w:r>
      <w:r w:rsidRPr="00AA5065">
        <w:rPr>
          <w:rFonts w:ascii="David" w:eastAsia="Calibri" w:hAnsi="David" w:hint="cs"/>
          <w:rtl/>
        </w:rPr>
        <w:t>שבה</w:t>
      </w:r>
      <w:r w:rsidRPr="00AA5065">
        <w:rPr>
          <w:rFonts w:ascii="David" w:eastAsia="Calibri" w:hAnsi="David"/>
          <w:rtl/>
        </w:rPr>
        <w:t xml:space="preserve"> </w:t>
      </w:r>
      <w:r w:rsidRPr="00AA5065">
        <w:rPr>
          <w:rFonts w:ascii="David" w:eastAsia="Calibri" w:hAnsi="David" w:hint="cs"/>
          <w:rtl/>
        </w:rPr>
        <w:t>עבריינים, לרוב מארגוני פשיעה,</w:t>
      </w:r>
      <w:r w:rsidRPr="00AA5065">
        <w:rPr>
          <w:rFonts w:ascii="David" w:eastAsia="Calibri" w:hAnsi="David"/>
          <w:rtl/>
        </w:rPr>
        <w:t xml:space="preserve"> </w:t>
      </w:r>
      <w:r w:rsidRPr="00AA5065">
        <w:rPr>
          <w:rFonts w:ascii="David" w:eastAsia="Calibri" w:hAnsi="David" w:hint="cs"/>
          <w:rtl/>
        </w:rPr>
        <w:t>דורשים תשלום קבוע מ</w:t>
      </w:r>
      <w:r w:rsidRPr="00AA5065">
        <w:rPr>
          <w:rFonts w:ascii="David" w:eastAsia="Calibri" w:hAnsi="David"/>
          <w:rtl/>
        </w:rPr>
        <w:t xml:space="preserve">בית עסק </w:t>
      </w:r>
      <w:r w:rsidRPr="00AA5065">
        <w:rPr>
          <w:rFonts w:ascii="David" w:eastAsia="Calibri" w:hAnsi="David" w:hint="cs"/>
          <w:rtl/>
        </w:rPr>
        <w:t>בתמורה ל</w:t>
      </w:r>
      <w:r w:rsidRPr="00AA5065">
        <w:rPr>
          <w:rFonts w:ascii="David" w:eastAsia="Calibri" w:hAnsi="David"/>
          <w:rtl/>
        </w:rPr>
        <w:t xml:space="preserve">הגנה </w:t>
      </w:r>
      <w:r w:rsidRPr="00AA5065">
        <w:rPr>
          <w:rFonts w:ascii="David" w:eastAsia="Calibri" w:hAnsi="David" w:hint="cs"/>
          <w:rtl/>
        </w:rPr>
        <w:t xml:space="preserve">מפניהם או </w:t>
      </w:r>
      <w:r w:rsidRPr="00AA5065">
        <w:rPr>
          <w:rFonts w:ascii="David" w:eastAsia="Calibri" w:hAnsi="David"/>
          <w:rtl/>
        </w:rPr>
        <w:t xml:space="preserve">מפני פשיעה אחרת. דמי החסות </w:t>
      </w:r>
      <w:r w:rsidRPr="00AA5065">
        <w:rPr>
          <w:rFonts w:ascii="David" w:eastAsia="Calibri" w:hAnsi="David" w:hint="cs"/>
          <w:rtl/>
        </w:rPr>
        <w:t>הם</w:t>
      </w:r>
      <w:r w:rsidRPr="00AA5065">
        <w:rPr>
          <w:rFonts w:ascii="David" w:eastAsia="Calibri" w:hAnsi="David"/>
          <w:rtl/>
        </w:rPr>
        <w:t xml:space="preserve"> </w:t>
      </w:r>
      <w:r w:rsidRPr="00AA5065">
        <w:rPr>
          <w:rFonts w:ascii="David" w:eastAsia="Calibri" w:hAnsi="David" w:hint="cs"/>
          <w:rtl/>
        </w:rPr>
        <w:t>ה</w:t>
      </w:r>
      <w:r w:rsidRPr="00AA5065">
        <w:rPr>
          <w:rFonts w:ascii="David" w:eastAsia="Calibri" w:hAnsi="David"/>
          <w:rtl/>
        </w:rPr>
        <w:t xml:space="preserve">אמצעי </w:t>
      </w:r>
      <w:r w:rsidRPr="00AA5065">
        <w:rPr>
          <w:rFonts w:ascii="David" w:eastAsia="Calibri" w:hAnsi="David" w:hint="cs"/>
          <w:rtl/>
        </w:rPr>
        <w:t>ה</w:t>
      </w:r>
      <w:r w:rsidRPr="00AA5065">
        <w:rPr>
          <w:rFonts w:ascii="David" w:eastAsia="Calibri" w:hAnsi="David"/>
          <w:rtl/>
        </w:rPr>
        <w:t>מרכזי בפעילות ארגוני פשיעה ברחבי העולם</w:t>
      </w:r>
      <w:r>
        <w:rPr>
          <w:rFonts w:ascii="David" w:eastAsia="Calibri" w:hAnsi="David"/>
          <w:vertAlign w:val="superscript"/>
          <w:rtl/>
        </w:rPr>
        <w:footnoteReference w:id="93"/>
      </w:r>
      <w:r w:rsidRPr="00AA5065">
        <w:rPr>
          <w:rFonts w:ascii="David" w:eastAsia="Calibri" w:hAnsi="David"/>
          <w:rtl/>
        </w:rPr>
        <w:t xml:space="preserve">. בעלי עסקים רבים נדרשים לשלם סכומים ניכרים כדי לשמור על רכושם, </w:t>
      </w:r>
      <w:r w:rsidRPr="00AA5065">
        <w:rPr>
          <w:rFonts w:ascii="David" w:eastAsia="Calibri" w:hAnsi="David" w:hint="cs"/>
          <w:rtl/>
        </w:rPr>
        <w:t xml:space="preserve">על </w:t>
      </w:r>
      <w:r w:rsidRPr="00AA5065">
        <w:rPr>
          <w:rFonts w:ascii="David" w:eastAsia="Calibri" w:hAnsi="David"/>
          <w:rtl/>
        </w:rPr>
        <w:t xml:space="preserve">המשך הפעילות העסקית </w:t>
      </w:r>
      <w:r w:rsidRPr="00AA5065">
        <w:rPr>
          <w:rFonts w:ascii="David" w:eastAsia="Calibri" w:hAnsi="David" w:hint="cs"/>
          <w:rtl/>
        </w:rPr>
        <w:t xml:space="preserve">שלהם </w:t>
      </w:r>
      <w:r w:rsidRPr="00AA5065">
        <w:rPr>
          <w:rFonts w:ascii="David" w:eastAsia="Calibri" w:hAnsi="David"/>
          <w:rtl/>
        </w:rPr>
        <w:t>ואף על גופם.</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 xml:space="preserve">עד חודש אוגוסט 2023 כלל </w:t>
      </w:r>
      <w:r w:rsidRPr="00AA5065">
        <w:rPr>
          <w:rFonts w:ascii="David" w:eastAsia="Calibri" w:hAnsi="David"/>
          <w:rtl/>
        </w:rPr>
        <w:t>חוק העונשין שלושה סעיפים של עבירות סחיטה: סחיטה בכוח (סעיף 427 לחוק העונשין), סחיטה באיומים (סעיף 428 לחוק העונשין), נטילת נכסים לשם סחיטה (סעיף 430 לחוק העונשין</w:t>
      </w:r>
      <w:r w:rsidRPr="00AA5065">
        <w:rPr>
          <w:rFonts w:ascii="David" w:eastAsia="Calibri" w:hAnsi="David"/>
        </w:rPr>
        <w:t>(</w:t>
      </w:r>
      <w:r w:rsidRPr="00AA5065">
        <w:rPr>
          <w:rFonts w:ascii="David" w:eastAsia="Calibri" w:hAnsi="David" w:hint="cs"/>
          <w:rtl/>
        </w:rPr>
        <w:t>.</w:t>
      </w:r>
      <w:r w:rsidRPr="00AA5065">
        <w:rPr>
          <w:rFonts w:ascii="David" w:eastAsia="Calibri" w:hAnsi="David"/>
          <w:rtl/>
        </w:rPr>
        <w:t xml:space="preserve"> שלוש העבירות שצוינו לעיל הן "עבירות מקור" המנויות בתוספת הראשונה לחוק איסור הלבנת הון</w:t>
      </w:r>
      <w:r>
        <w:rPr>
          <w:rFonts w:ascii="David" w:eastAsia="Calibri" w:hAnsi="David"/>
          <w:vertAlign w:val="superscript"/>
          <w:rtl/>
        </w:rPr>
        <w:footnoteReference w:id="94"/>
      </w:r>
      <w:r w:rsidRPr="00AA5065">
        <w:rPr>
          <w:rFonts w:ascii="David" w:eastAsia="Calibri" w:hAnsi="David" w:hint="cs"/>
          <w:rtl/>
        </w:rPr>
        <w:t>.</w:t>
      </w:r>
      <w:r w:rsidRPr="00AA5065">
        <w:rPr>
          <w:rFonts w:eastAsia="Calibri"/>
          <w:rtl/>
        </w:rPr>
        <w:t xml:space="preserve"> </w:t>
      </w:r>
      <w:r w:rsidRPr="00AA5065">
        <w:rPr>
          <w:rFonts w:ascii="David" w:eastAsia="Calibri" w:hAnsi="David"/>
          <w:rtl/>
        </w:rPr>
        <w:t>פעולה ברכוש שמקורו ב"עבירת מקור" יכולה במצבים מסוימים לה</w:t>
      </w:r>
      <w:r w:rsidRPr="00AA5065">
        <w:rPr>
          <w:rFonts w:ascii="David" w:eastAsia="Calibri" w:hAnsi="David" w:hint="cs"/>
          <w:rtl/>
        </w:rPr>
        <w:t>י</w:t>
      </w:r>
      <w:r w:rsidRPr="00AA5065">
        <w:rPr>
          <w:rFonts w:ascii="David" w:eastAsia="Calibri" w:hAnsi="David"/>
          <w:rtl/>
        </w:rPr>
        <w:t>חשב גם כעבירה על חוק איסור הלבנת הון</w:t>
      </w:r>
      <w:r w:rsidRPr="00AA5065">
        <w:rPr>
          <w:rFonts w:ascii="David" w:eastAsia="Calibri" w:hAnsi="David"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עבירת סחיטה באיומים מוגדרת בחוק כדלקמן</w:t>
      </w:r>
      <w:r>
        <w:rPr>
          <w:rFonts w:ascii="David" w:eastAsia="Calibri" w:hAnsi="David"/>
          <w:vertAlign w:val="superscript"/>
          <w:rtl/>
        </w:rPr>
        <w:footnoteReference w:id="95"/>
      </w:r>
      <w:r w:rsidRPr="00AA5065">
        <w:rPr>
          <w:rFonts w:ascii="David" w:eastAsia="Calibri" w:hAnsi="David"/>
          <w:rtl/>
        </w:rPr>
        <w:t xml:space="preserve">: "המאיים על אדם בכתב, בעל פה או בהתנהגות, בפגיעה שלא כדין בגופו או בגוף אדם אחר, בחירותם, ברכושם, בפרנסתם, בשמם הטוב או בצנעת הפרט שלהם, או מאיים על אדם לפרסם או להימנע מפרסם דבר הנוגע לו או לאדם אחר, או מטיל אימה על אדם בדרך אחרת, הכל כדי להניע את האדם לעשות מעשה או להימנע ממעשה שהוא רשאי לעשותו, דינו </w:t>
      </w:r>
      <w:r w:rsidRPr="00AA5065">
        <w:rPr>
          <w:rFonts w:ascii="David" w:eastAsia="Calibri" w:hAnsi="David" w:hint="cs"/>
          <w:rtl/>
        </w:rPr>
        <w:t>-</w:t>
      </w:r>
      <w:r w:rsidRPr="00AA5065">
        <w:rPr>
          <w:rFonts w:ascii="David" w:eastAsia="Calibri" w:hAnsi="David"/>
          <w:rtl/>
        </w:rPr>
        <w:t xml:space="preserve"> מאסר שבע שנים; נעשו המעשה או המחדל מפני איום או הטלת אימה כאמור או במהלכם, דינו </w:t>
      </w:r>
      <w:r w:rsidRPr="00AA5065">
        <w:rPr>
          <w:rFonts w:ascii="David" w:eastAsia="Calibri" w:hAnsi="David" w:hint="cs"/>
          <w:rtl/>
        </w:rPr>
        <w:t>-</w:t>
      </w:r>
      <w:r w:rsidRPr="00AA5065">
        <w:rPr>
          <w:rFonts w:ascii="David" w:eastAsia="Calibri" w:hAnsi="David"/>
          <w:rtl/>
        </w:rPr>
        <w:t xml:space="preserve"> מאסר תשע שנים"</w:t>
      </w:r>
      <w:r w:rsidRPr="00AA5065">
        <w:rPr>
          <w:rFonts w:ascii="David" w:eastAsia="Calibri" w:hAnsi="David" w:hint="cs"/>
          <w:rtl/>
        </w:rPr>
        <w:t>.</w:t>
      </w:r>
      <w:r w:rsidRPr="00AA5065">
        <w:rPr>
          <w:rFonts w:ascii="David" w:eastAsia="Calibri" w:hAnsi="David"/>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בטרם תוקן חוק העונשין ונוסף סעיף 428א העוסק בגביית דמי חסות (גד"ח), התנהגויות העולות כדי </w:t>
      </w:r>
      <w:r w:rsidRPr="00AA5065">
        <w:rPr>
          <w:rFonts w:ascii="David" w:eastAsia="Calibri" w:hAnsi="David" w:hint="cs"/>
          <w:rtl/>
        </w:rPr>
        <w:t>סחיטת דמי חסות</w:t>
      </w:r>
      <w:r w:rsidRPr="00AA5065">
        <w:rPr>
          <w:rFonts w:ascii="David" w:eastAsia="Calibri" w:hAnsi="David"/>
          <w:rtl/>
        </w:rPr>
        <w:t xml:space="preserve"> נחקרו תחת סעיף העבירה של סחיטה באיומים</w:t>
      </w:r>
      <w:r w:rsidRPr="00AA5065">
        <w:rPr>
          <w:rFonts w:ascii="David" w:eastAsia="Calibri" w:hAnsi="David" w:hint="cs"/>
          <w:rtl/>
        </w:rPr>
        <w:t xml:space="preserve"> או סחיטה בכוח</w:t>
      </w:r>
      <w:r w:rsidRPr="00AA5065">
        <w:rPr>
          <w:rFonts w:ascii="David" w:eastAsia="Calibri" w:hAnsi="David"/>
          <w:rtl/>
        </w:rPr>
        <w:t xml:space="preserve">. תחת </w:t>
      </w:r>
      <w:r w:rsidRPr="00AA5065">
        <w:rPr>
          <w:rFonts w:ascii="David" w:eastAsia="Calibri" w:hAnsi="David" w:hint="cs"/>
          <w:rtl/>
        </w:rPr>
        <w:t>סעיפים</w:t>
      </w:r>
      <w:r w:rsidRPr="00AA5065">
        <w:rPr>
          <w:rFonts w:ascii="David" w:eastAsia="Calibri" w:hAnsi="David"/>
          <w:rtl/>
        </w:rPr>
        <w:t xml:space="preserve"> </w:t>
      </w:r>
      <w:r w:rsidRPr="00AA5065">
        <w:rPr>
          <w:rFonts w:ascii="David" w:eastAsia="Calibri" w:hAnsi="David" w:hint="cs"/>
          <w:rtl/>
        </w:rPr>
        <w:t>אלו</w:t>
      </w:r>
      <w:r w:rsidRPr="00AA5065">
        <w:rPr>
          <w:rFonts w:ascii="David" w:eastAsia="Calibri" w:hAnsi="David"/>
          <w:rtl/>
        </w:rPr>
        <w:t xml:space="preserve">, נחקרו אירועים נוספים וביניהם, סחיטה על רקע איומים להפצת תמונות אינטימיות, </w:t>
      </w:r>
      <w:r w:rsidRPr="00AA5065">
        <w:rPr>
          <w:rFonts w:ascii="David" w:eastAsia="Calibri" w:hAnsi="David" w:hint="cs"/>
          <w:rtl/>
        </w:rPr>
        <w:t xml:space="preserve">או </w:t>
      </w:r>
      <w:r w:rsidRPr="00AA5065">
        <w:rPr>
          <w:rFonts w:ascii="David" w:eastAsia="Calibri" w:hAnsi="David"/>
          <w:rtl/>
        </w:rPr>
        <w:t xml:space="preserve">סחיטה בין עבריינים על רקע אי תשלום </w:t>
      </w:r>
      <w:r w:rsidRPr="00AA5065">
        <w:rPr>
          <w:rFonts w:ascii="David" w:eastAsia="Calibri" w:hAnsi="David" w:hint="cs"/>
          <w:rtl/>
        </w:rPr>
        <w:t>חובות</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בהיעדר עבירה ספציפית של סחיטת דמי חסות, </w:t>
      </w:r>
      <w:r w:rsidRPr="00AA5065">
        <w:rPr>
          <w:rFonts w:ascii="David" w:eastAsia="Calibri" w:hAnsi="David" w:hint="cs"/>
          <w:rtl/>
        </w:rPr>
        <w:t>לא ניתן היה</w:t>
      </w:r>
      <w:r w:rsidRPr="00AA5065">
        <w:rPr>
          <w:rFonts w:ascii="David" w:eastAsia="Calibri" w:hAnsi="David"/>
          <w:rtl/>
        </w:rPr>
        <w:t xml:space="preserve"> לבצע במערכות </w:t>
      </w:r>
      <w:r w:rsidRPr="00AA5065">
        <w:rPr>
          <w:rFonts w:ascii="David" w:eastAsia="Calibri" w:hAnsi="David" w:hint="cs"/>
          <w:rtl/>
        </w:rPr>
        <w:t xml:space="preserve">המידע </w:t>
      </w:r>
      <w:r w:rsidRPr="00AA5065">
        <w:rPr>
          <w:rFonts w:ascii="David" w:eastAsia="Calibri" w:hAnsi="David"/>
          <w:rtl/>
        </w:rPr>
        <w:t xml:space="preserve">המשטרתיות פילוח ישיר לתופעה אלא באמצעות בחינת כל </w:t>
      </w:r>
      <w:r w:rsidRPr="00AA5065">
        <w:rPr>
          <w:rFonts w:ascii="David" w:eastAsia="Calibri" w:hAnsi="David" w:hint="cs"/>
          <w:rtl/>
        </w:rPr>
        <w:t>ה</w:t>
      </w:r>
      <w:r w:rsidRPr="00AA5065">
        <w:rPr>
          <w:rFonts w:ascii="David" w:eastAsia="Calibri" w:hAnsi="David"/>
          <w:rtl/>
        </w:rPr>
        <w:t>תיקי</w:t>
      </w:r>
      <w:r w:rsidRPr="00AA5065">
        <w:rPr>
          <w:rFonts w:ascii="David" w:eastAsia="Calibri" w:hAnsi="David" w:hint="cs"/>
          <w:rtl/>
        </w:rPr>
        <w:t>ם שבהם נעברה עבירה של</w:t>
      </w:r>
      <w:r w:rsidRPr="00AA5065">
        <w:rPr>
          <w:rFonts w:ascii="David" w:eastAsia="Calibri" w:hAnsi="David"/>
          <w:rtl/>
        </w:rPr>
        <w:t xml:space="preserve"> </w:t>
      </w:r>
      <w:r w:rsidRPr="00AA5065">
        <w:rPr>
          <w:rFonts w:ascii="David" w:eastAsia="Calibri" w:hAnsi="David" w:hint="cs"/>
          <w:rtl/>
        </w:rPr>
        <w:t xml:space="preserve">סחיטה באיומים (סעיף 428).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הרשות לאיסור הלבנת הון ציינה במסמך</w:t>
      </w:r>
      <w:r>
        <w:rPr>
          <w:rFonts w:ascii="David" w:eastAsia="Calibri" w:hAnsi="David"/>
          <w:vertAlign w:val="superscript"/>
          <w:rtl/>
        </w:rPr>
        <w:footnoteReference w:id="96"/>
      </w:r>
      <w:r w:rsidRPr="00AA5065">
        <w:rPr>
          <w:rFonts w:ascii="David" w:eastAsia="Calibri" w:hAnsi="David"/>
          <w:rtl/>
        </w:rPr>
        <w:t xml:space="preserve"> שפרסמה במרץ 2022</w:t>
      </w:r>
      <w:r w:rsidRPr="00AA5065">
        <w:rPr>
          <w:rFonts w:ascii="David" w:eastAsia="Calibri" w:hAnsi="David" w:hint="cs"/>
          <w:rtl/>
        </w:rPr>
        <w:t>,</w:t>
      </w:r>
      <w:r w:rsidRPr="00AA5065">
        <w:rPr>
          <w:rFonts w:ascii="David" w:eastAsia="Calibri" w:hAnsi="David"/>
          <w:rtl/>
        </w:rPr>
        <w:t xml:space="preserve"> אשר מתאר הלבנת הון שמקור</w:t>
      </w:r>
      <w:r w:rsidRPr="00AA5065">
        <w:rPr>
          <w:rFonts w:ascii="David" w:eastAsia="Calibri" w:hAnsi="David" w:hint="cs"/>
          <w:rtl/>
        </w:rPr>
        <w:t>ה</w:t>
      </w:r>
      <w:r w:rsidRPr="00AA5065">
        <w:rPr>
          <w:rFonts w:ascii="David" w:eastAsia="Calibri" w:hAnsi="David"/>
          <w:rtl/>
        </w:rPr>
        <w:t xml:space="preserve"> </w:t>
      </w:r>
      <w:r w:rsidRPr="00AA5065">
        <w:rPr>
          <w:rFonts w:ascii="David" w:eastAsia="Calibri" w:hAnsi="David" w:hint="cs"/>
          <w:rtl/>
        </w:rPr>
        <w:t>ב</w:t>
      </w:r>
      <w:r w:rsidRPr="00AA5065">
        <w:rPr>
          <w:rFonts w:ascii="David" w:eastAsia="Calibri" w:hAnsi="David"/>
          <w:rtl/>
        </w:rPr>
        <w:t>דמי חסות</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כי</w:t>
      </w:r>
      <w:r w:rsidRPr="00AA5065">
        <w:rPr>
          <w:rFonts w:ascii="David" w:eastAsia="Calibri" w:hAnsi="David"/>
          <w:rtl/>
        </w:rPr>
        <w:t xml:space="preserve"> "תופעת סחיטת דמי החסות גברה בשנים האחרונות והיא מעצימה כלכלית את העבריינים העוסקים בתחום, מגבירה את אחיזת כוחם של ארגוני הפשיעה ומשליכה רבות על תחושת הביטחון של הציבור</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עוד צוין במסמך כי "</w:t>
      </w:r>
      <w:r w:rsidRPr="00AA5065">
        <w:rPr>
          <w:rFonts w:ascii="David" w:eastAsia="Calibri" w:hAnsi="David"/>
          <w:rtl/>
        </w:rPr>
        <w:t>סחיטת דמי חסות באה לידי ביטוי ביצירת שליטה טריטוריאלית באמצעים של סחיטה המתבצעת על ידי יחידים או קבוצות פשיעה מאורגנות. התופעה מביאה לעלייה באירועי האלימות, לפגיעה כלכלית בקורבנות וכן פוגעת בתחרות ובצמיחה הכלכלית עקב קריסת עסקים או לחלופין הדרת משקיעים מפעילות עסקית במקום בו סחיטת דמי חסות הפכה לתופעה נפוצה</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 xml:space="preserve">כמו כן צוין במסמך כי על פי הערכות גופי האכיפה, סחיטת דמי חסות מסתכמת באלפי ש"ח עד עשרות אלפי ש"ח בכל חודש מכל קורבן ובלפחות מאות מיליוני ש"ח בשנה.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במסגרת </w:t>
      </w:r>
      <w:r w:rsidRPr="00AA5065">
        <w:rPr>
          <w:rFonts w:ascii="David" w:eastAsia="Calibri" w:hAnsi="David" w:hint="cs"/>
          <w:rtl/>
        </w:rPr>
        <w:t xml:space="preserve">תיקוף </w:t>
      </w:r>
      <w:r w:rsidRPr="00AA5065">
        <w:rPr>
          <w:rFonts w:ascii="David" w:eastAsia="Calibri" w:hAnsi="David"/>
          <w:rtl/>
        </w:rPr>
        <w:t>הערכת סיכונים לאומית של רשויות האכיפה בישראל שפורסמה בנובמבר 2021</w:t>
      </w:r>
      <w:r>
        <w:rPr>
          <w:rFonts w:ascii="David" w:eastAsia="Calibri" w:hAnsi="David"/>
          <w:vertAlign w:val="superscript"/>
          <w:rtl/>
        </w:rPr>
        <w:footnoteReference w:id="97"/>
      </w:r>
      <w:r w:rsidRPr="00AA5065">
        <w:rPr>
          <w:rFonts w:ascii="David" w:eastAsia="Calibri" w:hAnsi="David"/>
          <w:rtl/>
        </w:rPr>
        <w:t xml:space="preserve"> </w:t>
      </w:r>
      <w:r w:rsidRPr="00AA5065">
        <w:rPr>
          <w:rFonts w:ascii="David" w:eastAsia="Calibri" w:hAnsi="David" w:hint="cs"/>
          <w:rtl/>
        </w:rPr>
        <w:t>(להלן - הערכת הסיכונים) ו</w:t>
      </w:r>
      <w:r w:rsidRPr="00AA5065">
        <w:rPr>
          <w:rFonts w:ascii="David" w:eastAsia="Calibri" w:hAnsi="David"/>
          <w:rtl/>
        </w:rPr>
        <w:t>בהתאם לעקרונות הנדרשים בסטנדרט הבי</w:t>
      </w:r>
      <w:r w:rsidRPr="00AA5065">
        <w:rPr>
          <w:rFonts w:ascii="David" w:eastAsia="Calibri" w:hAnsi="David" w:hint="cs"/>
          <w:rtl/>
        </w:rPr>
        <w:t>ן-</w:t>
      </w:r>
      <w:r w:rsidRPr="00AA5065">
        <w:rPr>
          <w:rFonts w:ascii="David" w:eastAsia="Calibri" w:hAnsi="David"/>
          <w:rtl/>
        </w:rPr>
        <w:t>לאומי של ארגון</w:t>
      </w:r>
      <w:r>
        <w:rPr>
          <w:rFonts w:ascii="David" w:eastAsia="Calibri" w:hAnsi="David"/>
          <w:vertAlign w:val="superscript"/>
          <w:rtl/>
        </w:rPr>
        <w:footnoteReference w:id="98"/>
      </w:r>
      <w:r w:rsidRPr="00AA5065">
        <w:rPr>
          <w:rFonts w:ascii="David" w:eastAsia="Calibri" w:hAnsi="David"/>
          <w:rtl/>
        </w:rPr>
        <w:t xml:space="preserve"> </w:t>
      </w:r>
      <w:r w:rsidRPr="00AA5065">
        <w:rPr>
          <w:rFonts w:ascii="David" w:eastAsia="Calibri" w:hAnsi="David"/>
        </w:rPr>
        <w:t>FATF</w:t>
      </w:r>
      <w:r w:rsidRPr="00AA5065">
        <w:rPr>
          <w:rFonts w:ascii="David" w:eastAsia="Calibri" w:hAnsi="David" w:hint="cs"/>
          <w:rtl/>
        </w:rPr>
        <w:t xml:space="preserve"> </w:t>
      </w:r>
      <w:r w:rsidRPr="00AA5065">
        <w:rPr>
          <w:rFonts w:ascii="David" w:eastAsia="Calibri" w:hAnsi="David"/>
          <w:rtl/>
        </w:rPr>
        <w:t>הוצג מסמך</w:t>
      </w:r>
      <w:r w:rsidRPr="00AA5065">
        <w:rPr>
          <w:rFonts w:ascii="David" w:eastAsia="Calibri" w:hAnsi="David" w:hint="cs"/>
          <w:rtl/>
        </w:rPr>
        <w:t xml:space="preserve"> </w:t>
      </w:r>
      <w:r w:rsidRPr="00AA5065">
        <w:rPr>
          <w:rFonts w:ascii="David" w:eastAsia="Calibri" w:hAnsi="David"/>
          <w:rtl/>
        </w:rPr>
        <w:t>התיקוף להערכת הסיכונים הלאומית</w:t>
      </w:r>
      <w:r>
        <w:rPr>
          <w:rFonts w:ascii="David" w:eastAsia="Calibri" w:hAnsi="David"/>
          <w:vertAlign w:val="superscript"/>
          <w:rtl/>
        </w:rPr>
        <w:footnoteReference w:id="99"/>
      </w:r>
      <w:r w:rsidRPr="00AA5065">
        <w:rPr>
          <w:rFonts w:ascii="David" w:eastAsia="Calibri" w:hAnsi="David" w:hint="cs"/>
          <w:rtl/>
        </w:rPr>
        <w:t xml:space="preserve"> ה</w:t>
      </w:r>
      <w:r w:rsidRPr="00AA5065">
        <w:rPr>
          <w:rFonts w:ascii="David" w:eastAsia="Calibri" w:hAnsi="David"/>
          <w:rtl/>
        </w:rPr>
        <w:t>כולל ניתוח של סיכוני הלבנת הון הנובעים משני היבטים: (א) עבירות מקור</w:t>
      </w:r>
      <w:r w:rsidRPr="00AA5065">
        <w:rPr>
          <w:rFonts w:ascii="David" w:eastAsia="Calibri" w:hAnsi="David" w:hint="cs"/>
          <w:rtl/>
        </w:rPr>
        <w:t>;</w:t>
      </w:r>
      <w:r w:rsidRPr="00AA5065">
        <w:rPr>
          <w:rFonts w:ascii="David" w:eastAsia="Calibri" w:hAnsi="David"/>
          <w:rtl/>
        </w:rPr>
        <w:t xml:space="preserve"> (ב) דפוסים, שיטות ואמצעי הלבנת הון</w:t>
      </w:r>
      <w:r w:rsidRPr="00AA5065">
        <w:rPr>
          <w:rFonts w:ascii="David" w:eastAsia="Calibri" w:hAnsi="David" w:hint="cs"/>
          <w:rtl/>
        </w:rPr>
        <w:t>. הסיכון מחושב נוכח האיום הנשקף מהתופעה וההתמודדות עימה</w:t>
      </w:r>
      <w:r w:rsidRPr="00AA5065">
        <w:rPr>
          <w:rFonts w:ascii="David" w:eastAsia="Calibri" w:hAnsi="David"/>
        </w:rPr>
        <w:t>.</w:t>
      </w:r>
      <w:r w:rsidRPr="00AA5065">
        <w:rPr>
          <w:rFonts w:ascii="David" w:eastAsia="Calibri" w:hAnsi="David" w:hint="cs"/>
          <w:rtl/>
        </w:rPr>
        <w:t xml:space="preserve"> עבירת דמי החסות הוגדרה ברמת סיכון 4.7: רמת האיום היא 5 (הגבוהה ביותר) ורמת ההתמודדות היא 3. רמת סיכון זו נחשבת לשנייה בגובהה מתוך עבירות המקור, וקודמת לה רק עבירת ההונאה. עבירת הסד"ח הוגדרה באותה רמת סיכון כמו עבירות חשבוניות פיקטיביות וסחר בסמים.</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eastAsia"/>
          <w:rtl/>
        </w:rPr>
        <w:t>בהערכת</w:t>
      </w:r>
      <w:r w:rsidRPr="00AA5065">
        <w:rPr>
          <w:rFonts w:ascii="David" w:eastAsia="Calibri" w:hAnsi="David"/>
          <w:rtl/>
        </w:rPr>
        <w:t xml:space="preserve"> הסיכונים צוין כי להערכת גופי האכיפה היקף </w:t>
      </w:r>
      <w:r w:rsidRPr="00AA5065">
        <w:rPr>
          <w:rFonts w:ascii="David" w:eastAsia="Calibri" w:hAnsi="David" w:hint="eastAsia"/>
          <w:rtl/>
        </w:rPr>
        <w:t>תופעת</w:t>
      </w:r>
      <w:r w:rsidRPr="00AA5065">
        <w:rPr>
          <w:rFonts w:ascii="David" w:eastAsia="Calibri" w:hAnsi="David"/>
          <w:rtl/>
        </w:rPr>
        <w:t xml:space="preserve"> </w:t>
      </w:r>
      <w:r w:rsidRPr="00AA5065">
        <w:rPr>
          <w:rFonts w:ascii="David" w:eastAsia="Calibri" w:hAnsi="David" w:hint="eastAsia"/>
          <w:rtl/>
        </w:rPr>
        <w:t>דמי</w:t>
      </w:r>
      <w:r w:rsidRPr="00AA5065">
        <w:rPr>
          <w:rFonts w:ascii="David" w:eastAsia="Calibri" w:hAnsi="David"/>
          <w:rtl/>
        </w:rPr>
        <w:t xml:space="preserve"> </w:t>
      </w:r>
      <w:r w:rsidRPr="00AA5065">
        <w:rPr>
          <w:rFonts w:ascii="David" w:eastAsia="Calibri" w:hAnsi="David" w:hint="eastAsia"/>
          <w:rtl/>
        </w:rPr>
        <w:t>החסות</w:t>
      </w:r>
      <w:r w:rsidRPr="00AA5065">
        <w:rPr>
          <w:rFonts w:ascii="David" w:eastAsia="Calibri" w:hAnsi="David"/>
          <w:rtl/>
        </w:rPr>
        <w:t xml:space="preserve"> גבר בשנים האחרונות, </w:t>
      </w:r>
      <w:r w:rsidRPr="00AA5065">
        <w:rPr>
          <w:rFonts w:ascii="David" w:eastAsia="Calibri" w:hAnsi="David" w:hint="eastAsia"/>
          <w:rtl/>
        </w:rPr>
        <w:t>ולה</w:t>
      </w:r>
      <w:r w:rsidRPr="00AA5065">
        <w:rPr>
          <w:rFonts w:ascii="David" w:eastAsia="Calibri" w:hAnsi="David"/>
          <w:rtl/>
        </w:rPr>
        <w:t xml:space="preserve"> השלכות חברתיות וכלכליות כבדות</w:t>
      </w:r>
      <w:r w:rsidRPr="00AA5065">
        <w:rPr>
          <w:rFonts w:ascii="David" w:eastAsia="Calibri" w:hAnsi="David" w:hint="cs"/>
          <w:rtl/>
        </w:rPr>
        <w:t>,</w:t>
      </w:r>
      <w:r w:rsidRPr="00AA5065">
        <w:rPr>
          <w:rFonts w:ascii="David" w:eastAsia="Calibri" w:hAnsi="David"/>
          <w:rtl/>
        </w:rPr>
        <w:t xml:space="preserve"> ומבצעיה קשורים קשר הדוק לארגוני פשיעה. </w:t>
      </w:r>
      <w:r w:rsidRPr="00AA5065">
        <w:rPr>
          <w:rFonts w:ascii="David" w:eastAsia="Calibri" w:hAnsi="David" w:hint="eastAsia"/>
          <w:rtl/>
        </w:rPr>
        <w:t>בין</w:t>
      </w:r>
      <w:r w:rsidRPr="00AA5065">
        <w:rPr>
          <w:rFonts w:ascii="David" w:eastAsia="Calibri" w:hAnsi="David"/>
          <w:rtl/>
        </w:rPr>
        <w:t xml:space="preserve"> היתר צוינו במסמך הקשיים בהתמודדות עם התופעה ובהם: חוסר מענה חקיקתי למקרים של סד"ח ללא אלימות, מיעוט מתלוננים עקב פחד מהתוקפים </w:t>
      </w:r>
      <w:r w:rsidRPr="00AA5065">
        <w:rPr>
          <w:rFonts w:ascii="David" w:eastAsia="Calibri" w:hAnsi="David" w:hint="cs"/>
          <w:rtl/>
        </w:rPr>
        <w:t>ו</w:t>
      </w:r>
      <w:r w:rsidRPr="00AA5065">
        <w:rPr>
          <w:rFonts w:ascii="David" w:eastAsia="Calibri" w:hAnsi="David"/>
          <w:rtl/>
        </w:rPr>
        <w:t>ה</w:t>
      </w:r>
      <w:r w:rsidRPr="00AA5065">
        <w:rPr>
          <w:rFonts w:ascii="David" w:eastAsia="Calibri" w:hAnsi="David" w:hint="cs"/>
          <w:rtl/>
        </w:rPr>
        <w:t>י</w:t>
      </w:r>
      <w:r w:rsidRPr="00AA5065">
        <w:rPr>
          <w:rFonts w:ascii="David" w:eastAsia="Calibri" w:hAnsi="David"/>
          <w:rtl/>
        </w:rPr>
        <w:t>עדר מנגנונים אפקטיביים להגנה על המתלוננים או לפיצוי.</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הטיפול של המשטרה והפרקליטות בתיקי דמי חסות</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outlineLvl w:val="5"/>
        <w:rPr>
          <w:rFonts w:ascii="David" w:eastAsia="Calibri" w:hAnsi="David"/>
          <w:rtl/>
        </w:rPr>
      </w:pPr>
      <w:r w:rsidRPr="00AA5065">
        <w:rPr>
          <w:rFonts w:ascii="David" w:eastAsia="Calibri" w:hAnsi="David" w:hint="cs"/>
          <w:rtl/>
        </w:rPr>
        <w:t>המשטרה</w:t>
      </w:r>
      <w:r w:rsidRPr="00AA5065">
        <w:rPr>
          <w:rFonts w:ascii="David" w:eastAsia="Calibri" w:hAnsi="David"/>
          <w:rtl/>
        </w:rPr>
        <w:t xml:space="preserve"> </w:t>
      </w:r>
      <w:r w:rsidRPr="00AA5065">
        <w:rPr>
          <w:rFonts w:ascii="David" w:eastAsia="Calibri" w:hAnsi="David" w:hint="eastAsia"/>
          <w:rtl/>
        </w:rPr>
        <w:t>חוקרת</w:t>
      </w:r>
      <w:r w:rsidRPr="00AA5065">
        <w:rPr>
          <w:rFonts w:ascii="David" w:eastAsia="Calibri" w:hAnsi="David"/>
          <w:rtl/>
        </w:rPr>
        <w:t xml:space="preserve"> </w:t>
      </w:r>
      <w:r w:rsidRPr="00AA5065">
        <w:rPr>
          <w:rFonts w:ascii="David" w:eastAsia="Calibri" w:hAnsi="David" w:hint="eastAsia"/>
          <w:rtl/>
        </w:rPr>
        <w:t>עבירות</w:t>
      </w:r>
      <w:r w:rsidRPr="00AA5065">
        <w:rPr>
          <w:rFonts w:ascii="David" w:eastAsia="Calibri" w:hAnsi="David"/>
          <w:rtl/>
        </w:rPr>
        <w:t xml:space="preserve"> </w:t>
      </w:r>
      <w:r w:rsidRPr="00AA5065">
        <w:rPr>
          <w:rFonts w:ascii="David" w:eastAsia="Calibri" w:hAnsi="David" w:hint="eastAsia"/>
          <w:rtl/>
        </w:rPr>
        <w:t>סד</w:t>
      </w:r>
      <w:r w:rsidRPr="00AA5065">
        <w:rPr>
          <w:rFonts w:ascii="David" w:eastAsia="Calibri" w:hAnsi="David"/>
          <w:rtl/>
        </w:rPr>
        <w:t>"</w:t>
      </w:r>
      <w:r w:rsidRPr="00AA5065">
        <w:rPr>
          <w:rFonts w:ascii="David" w:eastAsia="Calibri" w:hAnsi="David" w:hint="eastAsia"/>
          <w:rtl/>
        </w:rPr>
        <w:t>ח</w:t>
      </w:r>
      <w:r w:rsidRPr="00AA5065">
        <w:rPr>
          <w:rFonts w:ascii="David" w:eastAsia="Calibri" w:hAnsi="David" w:hint="cs"/>
          <w:rtl/>
        </w:rPr>
        <w:t xml:space="preserve">. בסיום החקירה היא מעבירה לפרקליטות את תיק החקירה בצירוף המלצתה (להלן - תיקים שטופלו): המלצה להעמדה לדין (להלן - תיקים בהמשך טיפול בפרקליטות) או המלצה לסגירת התיק בשל מגוון עילות כגון היעדר חשוד, חוסר ראיות, או כאשר </w:t>
      </w:r>
      <w:r w:rsidRPr="00AA5065">
        <w:rPr>
          <w:rFonts w:ascii="David" w:eastAsia="Calibri" w:hAnsi="David"/>
          <w:rtl/>
        </w:rPr>
        <w:t>"נסיבות העניין בכללותן אינן מתאימות להעמדה לדין"</w:t>
      </w:r>
      <w:r w:rsidRPr="00AA5065">
        <w:rPr>
          <w:rFonts w:ascii="David" w:eastAsia="Calibri" w:hAnsi="David" w:hint="cs"/>
          <w:rtl/>
        </w:rPr>
        <w:t xml:space="preserve"> (להלן - תיקים בהליך סגירה). תיקים שהפרקליטות החליטה לסגור, בעקבות המלצת המשטרה, נגנזים (להלן - תיקים שנגנזו)</w:t>
      </w:r>
      <w:r>
        <w:rPr>
          <w:rFonts w:ascii="David" w:eastAsia="Calibri" w:hAnsi="David"/>
          <w:vertAlign w:val="superscript"/>
          <w:rtl/>
        </w:rPr>
        <w:footnoteReference w:id="100"/>
      </w:r>
      <w:r w:rsidRPr="00AA5065">
        <w:rPr>
          <w:rFonts w:ascii="David" w:eastAsia="Calibri" w:hAnsi="David" w:hint="cs"/>
          <w:rtl/>
        </w:rPr>
        <w:t>.</w:t>
      </w:r>
    </w:p>
    <w:p w:rsidR="00AA5065" w:rsidRPr="00AA5065" w:rsidP="00860D89">
      <w:pPr>
        <w:spacing w:line="269" w:lineRule="auto"/>
        <w:rPr>
          <w:rFonts w:eastAsia="Calibri"/>
          <w:rtl/>
        </w:rPr>
      </w:pPr>
    </w:p>
    <w:p w:rsidR="00AA5065" w:rsidRPr="00AA5065" w:rsidP="00860D89">
      <w:pPr>
        <w:keepNext/>
        <w:keepLines/>
        <w:spacing w:line="269" w:lineRule="auto"/>
        <w:outlineLvl w:val="5"/>
        <w:rPr>
          <w:rFonts w:eastAsia="Times New Roman"/>
          <w:spacing w:val="40"/>
          <w:rtl/>
        </w:rPr>
      </w:pPr>
      <w:r w:rsidRPr="00AA5065">
        <w:rPr>
          <w:rFonts w:eastAsia="Times New Roman" w:hint="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בביקורת הקודמת</w:t>
      </w:r>
      <w:r w:rsidRPr="00AA5065">
        <w:rPr>
          <w:rFonts w:ascii="David" w:eastAsia="Calibri" w:hAnsi="David"/>
          <w:rtl/>
        </w:rPr>
        <w:t xml:space="preserve"> הוצג </w:t>
      </w:r>
      <w:r w:rsidRPr="00AA5065">
        <w:rPr>
          <w:rFonts w:ascii="David" w:eastAsia="Calibri" w:hAnsi="David" w:hint="cs"/>
          <w:rtl/>
        </w:rPr>
        <w:t>ה</w:t>
      </w:r>
      <w:r w:rsidRPr="00AA5065">
        <w:rPr>
          <w:rFonts w:ascii="David" w:eastAsia="Calibri" w:hAnsi="David"/>
          <w:rtl/>
        </w:rPr>
        <w:t>סטטוס</w:t>
      </w:r>
      <w:r w:rsidRPr="00AA5065">
        <w:rPr>
          <w:rFonts w:ascii="David" w:eastAsia="Calibri" w:hAnsi="David" w:hint="cs"/>
          <w:rtl/>
        </w:rPr>
        <w:t xml:space="preserve"> של </w:t>
      </w:r>
      <w:r w:rsidRPr="00AA5065">
        <w:rPr>
          <w:rFonts w:ascii="David" w:eastAsia="Calibri" w:hAnsi="David"/>
          <w:rtl/>
        </w:rPr>
        <w:t>264 תיקי</w:t>
      </w:r>
      <w:r w:rsidRPr="00AA5065">
        <w:rPr>
          <w:rFonts w:ascii="David" w:eastAsia="Calibri" w:hAnsi="David" w:hint="cs"/>
          <w:rtl/>
        </w:rPr>
        <w:t xml:space="preserve"> </w:t>
      </w:r>
      <w:r w:rsidRPr="00AA5065">
        <w:rPr>
          <w:rFonts w:ascii="David" w:eastAsia="Calibri" w:hAnsi="David"/>
          <w:rtl/>
        </w:rPr>
        <w:t xml:space="preserve">סחיטת דמי חסות בנגב </w:t>
      </w:r>
      <w:r w:rsidRPr="00AA5065">
        <w:rPr>
          <w:rFonts w:ascii="David" w:eastAsia="Calibri" w:hAnsi="David" w:hint="cs"/>
          <w:rtl/>
        </w:rPr>
        <w:t>שטופלו על ידי המשטרה מ</w:t>
      </w:r>
      <w:r w:rsidRPr="00AA5065">
        <w:rPr>
          <w:rFonts w:ascii="David" w:eastAsia="Calibri" w:hAnsi="David"/>
          <w:rtl/>
        </w:rPr>
        <w:t xml:space="preserve">ינואר 2015 </w:t>
      </w:r>
      <w:r w:rsidRPr="00AA5065">
        <w:rPr>
          <w:rFonts w:ascii="David" w:eastAsia="Calibri" w:hAnsi="David" w:hint="cs"/>
          <w:rtl/>
        </w:rPr>
        <w:t xml:space="preserve">עד </w:t>
      </w:r>
      <w:r w:rsidRPr="00AA5065">
        <w:rPr>
          <w:rFonts w:ascii="David" w:eastAsia="Calibri" w:hAnsi="David"/>
          <w:rtl/>
        </w:rPr>
        <w:t>מרץ 2020</w:t>
      </w:r>
      <w:r w:rsidRPr="00AA5065">
        <w:rPr>
          <w:rFonts w:ascii="David" w:eastAsia="Calibri" w:hAnsi="David" w:hint="cs"/>
          <w:rtl/>
        </w:rPr>
        <w:t>.</w:t>
      </w:r>
      <w:r w:rsidRPr="00AA5065">
        <w:rPr>
          <w:rFonts w:ascii="David" w:eastAsia="Calibri" w:hAnsi="David"/>
          <w:rtl/>
        </w:rPr>
        <w:t xml:space="preserve"> </w:t>
      </w:r>
      <w:bookmarkStart w:id="92" w:name="_Hlk204001318"/>
      <w:r w:rsidRPr="00AA5065">
        <w:rPr>
          <w:rFonts w:ascii="David" w:eastAsia="Calibri" w:hAnsi="David"/>
          <w:rtl/>
        </w:rPr>
        <w:t xml:space="preserve">נמצא כי </w:t>
      </w:r>
      <w:r w:rsidRPr="00AA5065">
        <w:rPr>
          <w:rFonts w:ascii="David" w:eastAsia="Calibri" w:hAnsi="David" w:hint="cs"/>
          <w:rtl/>
        </w:rPr>
        <w:t>מכלל תיקים אלו,</w:t>
      </w:r>
      <w:r w:rsidRPr="00AA5065">
        <w:rPr>
          <w:rFonts w:ascii="David" w:eastAsia="Calibri" w:hAnsi="David"/>
          <w:rtl/>
        </w:rPr>
        <w:t xml:space="preserve"> </w:t>
      </w:r>
      <w:r w:rsidRPr="00AA5065">
        <w:rPr>
          <w:rFonts w:ascii="David" w:eastAsia="Calibri" w:hAnsi="David" w:hint="cs"/>
          <w:rtl/>
        </w:rPr>
        <w:t xml:space="preserve">177 תיקים (67%) </w:t>
      </w:r>
      <w:r w:rsidRPr="00AA5065">
        <w:rPr>
          <w:rFonts w:ascii="David" w:eastAsia="Calibri" w:hAnsi="David"/>
          <w:rtl/>
        </w:rPr>
        <w:t xml:space="preserve">נגנזו או </w:t>
      </w:r>
      <w:r w:rsidRPr="00AA5065">
        <w:rPr>
          <w:rFonts w:ascii="David" w:eastAsia="Calibri" w:hAnsi="David" w:hint="cs"/>
          <w:rtl/>
        </w:rPr>
        <w:t>שהם היו ב</w:t>
      </w:r>
      <w:r w:rsidRPr="00AA5065">
        <w:rPr>
          <w:rFonts w:ascii="David" w:eastAsia="Calibri" w:hAnsi="David"/>
          <w:rtl/>
        </w:rPr>
        <w:t>הליך סגירה</w:t>
      </w:r>
      <w:r>
        <w:rPr>
          <w:rFonts w:ascii="David" w:eastAsia="Calibri" w:hAnsi="David"/>
          <w:vertAlign w:val="superscript"/>
          <w:rtl/>
        </w:rPr>
        <w:footnoteReference w:id="101"/>
      </w:r>
      <w:r w:rsidRPr="00AA5065">
        <w:rPr>
          <w:rFonts w:ascii="David" w:eastAsia="Calibri" w:hAnsi="David" w:hint="cs"/>
          <w:rtl/>
        </w:rPr>
        <w:t>.</w:t>
      </w:r>
      <w:r w:rsidRPr="00AA5065">
        <w:rPr>
          <w:rFonts w:ascii="David" w:eastAsia="Calibri" w:hAnsi="David"/>
          <w:rtl/>
        </w:rPr>
        <w:t xml:space="preserve"> 87 תיקים</w:t>
      </w:r>
      <w:r w:rsidRPr="00AA5065">
        <w:rPr>
          <w:rFonts w:ascii="David" w:eastAsia="Calibri" w:hAnsi="David" w:hint="cs"/>
          <w:rtl/>
        </w:rPr>
        <w:t xml:space="preserve"> בסטטוס </w:t>
      </w:r>
      <w:r w:rsidRPr="00AA5065">
        <w:rPr>
          <w:rFonts w:ascii="David" w:eastAsia="Calibri" w:hAnsi="David"/>
          <w:rtl/>
        </w:rPr>
        <w:t>המשך טיפול בפרקליטות מחוז דרום</w:t>
      </w:r>
      <w:r w:rsidRPr="00AA5065">
        <w:rPr>
          <w:rFonts w:ascii="David" w:eastAsia="Calibri" w:hAnsi="David" w:hint="cs"/>
          <w:rtl/>
        </w:rPr>
        <w:t xml:space="preserve"> (</w:t>
      </w:r>
      <w:r w:rsidRPr="00AA5065">
        <w:rPr>
          <w:rFonts w:ascii="David" w:eastAsia="Calibri" w:hAnsi="David"/>
          <w:rtl/>
        </w:rPr>
        <w:t>33%</w:t>
      </w:r>
      <w:r w:rsidRPr="00AA5065">
        <w:rPr>
          <w:rFonts w:ascii="David" w:eastAsia="Calibri" w:hAnsi="David" w:hint="cs"/>
          <w:rtl/>
        </w:rPr>
        <w:t>).</w:t>
      </w:r>
      <w:r w:rsidRPr="00AA5065">
        <w:rPr>
          <w:rFonts w:eastAsia="Calibri"/>
          <w:rtl/>
        </w:rPr>
        <w:t xml:space="preserve"> </w:t>
      </w:r>
      <w:r w:rsidRPr="00AA5065">
        <w:rPr>
          <w:rFonts w:ascii="David" w:eastAsia="Calibri" w:hAnsi="David" w:hint="cs"/>
          <w:rtl/>
        </w:rPr>
        <w:t>ה</w:t>
      </w:r>
      <w:r w:rsidRPr="00AA5065">
        <w:rPr>
          <w:rFonts w:ascii="David" w:eastAsia="Calibri" w:hAnsi="David"/>
          <w:rtl/>
        </w:rPr>
        <w:t xml:space="preserve">ומלץ </w:t>
      </w:r>
      <w:bookmarkEnd w:id="92"/>
      <w:r w:rsidRPr="00AA5065">
        <w:rPr>
          <w:rFonts w:ascii="David" w:eastAsia="Calibri" w:hAnsi="David"/>
          <w:rtl/>
        </w:rPr>
        <w:t xml:space="preserve">כי הפרקליטות והמשטרה יבחנו דרכים למיגור תופעת </w:t>
      </w:r>
      <w:r w:rsidRPr="00AA5065">
        <w:rPr>
          <w:rFonts w:ascii="David" w:eastAsia="Calibri" w:hAnsi="David" w:hint="cs"/>
          <w:rtl/>
        </w:rPr>
        <w:t xml:space="preserve">סחיטת </w:t>
      </w:r>
      <w:r w:rsidRPr="00AA5065">
        <w:rPr>
          <w:rFonts w:ascii="David" w:eastAsia="Calibri" w:hAnsi="David"/>
          <w:rtl/>
        </w:rPr>
        <w:t>דמי החסות, בפרט נוכח היקף התופעה</w:t>
      </w:r>
      <w:r w:rsidRPr="00AA5065">
        <w:rPr>
          <w:rFonts w:ascii="David" w:eastAsia="Calibri" w:hAnsi="David" w:hint="cs"/>
          <w:rtl/>
        </w:rPr>
        <w:t>.</w:t>
      </w:r>
    </w:p>
    <w:p w:rsidR="00AA5065" w:rsidRPr="00AA5065" w:rsidP="00860D89">
      <w:pPr>
        <w:spacing w:line="269" w:lineRule="auto"/>
        <w:rPr>
          <w:rFonts w:eastAsia="Calibri"/>
          <w:rtl/>
        </w:rPr>
      </w:pPr>
    </w:p>
    <w:p w:rsidR="00AA5065" w:rsidRPr="00AA5065" w:rsidP="00860D89">
      <w:pPr>
        <w:keepNext/>
        <w:keepLines/>
        <w:spacing w:line="269" w:lineRule="auto"/>
        <w:outlineLvl w:val="5"/>
        <w:rPr>
          <w:rFonts w:eastAsia="Times New Roman"/>
          <w:spacing w:val="40"/>
          <w:rtl/>
        </w:rPr>
      </w:pPr>
      <w:r w:rsidRPr="00AA5065">
        <w:rPr>
          <w:rFonts w:eastAsia="Times New Roman" w:hint="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בביקורת </w:t>
      </w:r>
      <w:r w:rsidRPr="00AA5065">
        <w:rPr>
          <w:rFonts w:ascii="David" w:eastAsia="Calibri" w:hAnsi="David" w:hint="cs"/>
          <w:rtl/>
        </w:rPr>
        <w:t xml:space="preserve">המעקב </w:t>
      </w:r>
      <w:r w:rsidRPr="00AA5065">
        <w:rPr>
          <w:rFonts w:ascii="David" w:eastAsia="Calibri" w:hAnsi="David"/>
          <w:rtl/>
        </w:rPr>
        <w:t xml:space="preserve">נמצא </w:t>
      </w:r>
      <w:r w:rsidRPr="00AA5065">
        <w:rPr>
          <w:rFonts w:ascii="David" w:eastAsia="Calibri" w:hAnsi="David" w:hint="cs"/>
          <w:rtl/>
        </w:rPr>
        <w:t>כי</w:t>
      </w:r>
      <w:r w:rsidRPr="00AA5065">
        <w:rPr>
          <w:rFonts w:ascii="David" w:eastAsia="Calibri" w:hAnsi="David"/>
          <w:rtl/>
        </w:rPr>
        <w:t xml:space="preserve"> </w:t>
      </w:r>
      <w:r w:rsidRPr="00AA5065">
        <w:rPr>
          <w:rFonts w:ascii="David" w:eastAsia="Calibri" w:hAnsi="David" w:hint="cs"/>
          <w:rtl/>
        </w:rPr>
        <w:t>חל גידול ב</w:t>
      </w:r>
      <w:r w:rsidRPr="00AA5065">
        <w:rPr>
          <w:rFonts w:ascii="David" w:eastAsia="Calibri" w:hAnsi="David"/>
          <w:rtl/>
        </w:rPr>
        <w:t xml:space="preserve">מספר תיקי דמי </w:t>
      </w:r>
      <w:r w:rsidRPr="00AA5065">
        <w:rPr>
          <w:rFonts w:ascii="David" w:eastAsia="Calibri" w:hAnsi="David" w:hint="cs"/>
          <w:rtl/>
        </w:rPr>
        <w:t>ה</w:t>
      </w:r>
      <w:r w:rsidRPr="00AA5065">
        <w:rPr>
          <w:rFonts w:ascii="David" w:eastAsia="Calibri" w:hAnsi="David"/>
          <w:rtl/>
        </w:rPr>
        <w:t xml:space="preserve">חסות במרחב נגב </w:t>
      </w:r>
      <w:r w:rsidRPr="00AA5065">
        <w:rPr>
          <w:rFonts w:ascii="David" w:eastAsia="Calibri" w:hAnsi="David" w:hint="cs"/>
          <w:rtl/>
        </w:rPr>
        <w:t xml:space="preserve">שטופלו על ידי המשטרה והוא עמד על </w:t>
      </w:r>
      <w:r w:rsidRPr="00AA5065">
        <w:rPr>
          <w:rFonts w:ascii="David" w:eastAsia="Calibri" w:hAnsi="David"/>
          <w:rtl/>
        </w:rPr>
        <w:t xml:space="preserve">-1,743 </w:t>
      </w:r>
      <w:r w:rsidRPr="00AA5065">
        <w:rPr>
          <w:rFonts w:ascii="David" w:eastAsia="Calibri" w:hAnsi="David" w:hint="eastAsia"/>
          <w:rtl/>
        </w:rPr>
        <w:t>תיקים</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בלוח </w:t>
      </w:r>
      <w:r w:rsidRPr="00AA5065">
        <w:rPr>
          <w:rFonts w:ascii="David" w:eastAsia="Calibri" w:hAnsi="David" w:hint="cs"/>
          <w:rtl/>
        </w:rPr>
        <w:t>11 ש</w:t>
      </w:r>
      <w:r w:rsidRPr="00AA5065">
        <w:rPr>
          <w:rFonts w:ascii="David" w:eastAsia="Calibri" w:hAnsi="David"/>
          <w:rtl/>
        </w:rPr>
        <w:t>להלן</w:t>
      </w:r>
      <w:r w:rsidRPr="00AA5065">
        <w:rPr>
          <w:rFonts w:ascii="David" w:eastAsia="Calibri" w:hAnsi="David" w:hint="cs"/>
          <w:rtl/>
        </w:rPr>
        <w:t xml:space="preserve"> </w:t>
      </w:r>
      <w:r w:rsidRPr="00AA5065">
        <w:rPr>
          <w:rFonts w:ascii="David" w:eastAsia="Calibri" w:hAnsi="David"/>
          <w:rtl/>
        </w:rPr>
        <w:t>מוצגים נתונים על סטטוס הטיפול ב-1</w:t>
      </w:r>
      <w:r w:rsidRPr="00AA5065">
        <w:rPr>
          <w:rFonts w:ascii="David" w:eastAsia="Calibri" w:hAnsi="David" w:hint="cs"/>
          <w:rtl/>
        </w:rPr>
        <w:t>,</w:t>
      </w:r>
      <w:r w:rsidRPr="00AA5065">
        <w:rPr>
          <w:rFonts w:ascii="David" w:eastAsia="Calibri" w:hAnsi="David"/>
          <w:rtl/>
        </w:rPr>
        <w:t xml:space="preserve">743 תיקי סחיטת דמי חסות </w:t>
      </w:r>
      <w:r w:rsidRPr="00AA5065">
        <w:rPr>
          <w:rFonts w:ascii="David" w:eastAsia="Calibri" w:hAnsi="David" w:hint="cs"/>
          <w:rtl/>
        </w:rPr>
        <w:t>במרחב הנגב אשר טופלו על ידי המשטרה והועברו לפרקליטות מחוז דרום</w:t>
      </w:r>
      <w:r w:rsidRPr="00AA5065">
        <w:rPr>
          <w:rFonts w:ascii="David" w:eastAsia="Calibri" w:hAnsi="David"/>
          <w:rtl/>
        </w:rPr>
        <w:t xml:space="preserve"> </w:t>
      </w:r>
      <w:r w:rsidRPr="00AA5065">
        <w:rPr>
          <w:rFonts w:ascii="David" w:eastAsia="Calibri" w:hAnsi="David" w:hint="cs"/>
          <w:rtl/>
        </w:rPr>
        <w:t>מ</w:t>
      </w:r>
      <w:r w:rsidRPr="00AA5065">
        <w:rPr>
          <w:rFonts w:ascii="David" w:eastAsia="Calibri" w:hAnsi="David"/>
          <w:rtl/>
        </w:rPr>
        <w:t xml:space="preserve">ינואר 2020 </w:t>
      </w:r>
      <w:r w:rsidRPr="00AA5065">
        <w:rPr>
          <w:rFonts w:ascii="David" w:eastAsia="Calibri" w:hAnsi="David" w:hint="cs"/>
          <w:rtl/>
        </w:rPr>
        <w:t xml:space="preserve">עד </w:t>
      </w:r>
      <w:r w:rsidRPr="00AA5065">
        <w:rPr>
          <w:rFonts w:ascii="David" w:eastAsia="Calibri" w:hAnsi="David"/>
          <w:rtl/>
        </w:rPr>
        <w:t>דצמבר 2024.</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ascii="David" w:eastAsia="Calibri" w:hAnsi="David"/>
          <w:rtl/>
        </w:rPr>
      </w:pPr>
      <w:r w:rsidRPr="00AA5065">
        <w:rPr>
          <w:rFonts w:ascii="David" w:eastAsia="Calibri" w:hAnsi="David"/>
          <w:rtl/>
        </w:rPr>
        <w:t>לוח</w:t>
      </w:r>
      <w:r w:rsidRPr="00AA5065">
        <w:rPr>
          <w:rFonts w:ascii="David" w:eastAsia="Calibri" w:hAnsi="David" w:hint="cs"/>
          <w:rtl/>
        </w:rPr>
        <w:t xml:space="preserve"> 11:</w:t>
      </w:r>
      <w:r w:rsidRPr="00AA5065">
        <w:rPr>
          <w:rFonts w:ascii="David" w:eastAsia="Calibri" w:hAnsi="David"/>
          <w:rtl/>
        </w:rPr>
        <w:t xml:space="preserve"> </w:t>
      </w:r>
      <w:r w:rsidRPr="00AA5065">
        <w:rPr>
          <w:rFonts w:ascii="David" w:eastAsia="Calibri" w:hAnsi="David"/>
          <w:b/>
          <w:bCs/>
          <w:rtl/>
        </w:rPr>
        <w:t>סטטוס הטיפול ב</w:t>
      </w:r>
      <w:r w:rsidRPr="00AA5065">
        <w:rPr>
          <w:rFonts w:ascii="David" w:eastAsia="Calibri" w:hAnsi="David" w:hint="cs"/>
          <w:b/>
          <w:bCs/>
          <w:rtl/>
        </w:rPr>
        <w:t>-</w:t>
      </w:r>
      <w:r w:rsidRPr="00AA5065">
        <w:rPr>
          <w:rFonts w:ascii="David" w:eastAsia="Calibri" w:hAnsi="David"/>
          <w:b/>
          <w:bCs/>
          <w:rtl/>
        </w:rPr>
        <w:t>1</w:t>
      </w:r>
      <w:r w:rsidRPr="00AA5065">
        <w:rPr>
          <w:rFonts w:ascii="David" w:eastAsia="Calibri" w:hAnsi="David" w:hint="cs"/>
          <w:b/>
          <w:bCs/>
          <w:rtl/>
        </w:rPr>
        <w:t>,</w:t>
      </w:r>
      <w:r w:rsidRPr="00AA5065">
        <w:rPr>
          <w:rFonts w:ascii="David" w:eastAsia="Calibri" w:hAnsi="David"/>
          <w:b/>
          <w:bCs/>
          <w:rtl/>
        </w:rPr>
        <w:t xml:space="preserve">743 תיקי </w:t>
      </w:r>
      <w:r w:rsidRPr="00AA5065">
        <w:rPr>
          <w:rFonts w:ascii="David" w:eastAsia="Calibri" w:hAnsi="David" w:hint="cs"/>
          <w:b/>
          <w:bCs/>
          <w:rtl/>
        </w:rPr>
        <w:t xml:space="preserve">סחיטת </w:t>
      </w:r>
      <w:r w:rsidRPr="00AA5065">
        <w:rPr>
          <w:rFonts w:ascii="David" w:eastAsia="Calibri" w:hAnsi="David"/>
          <w:b/>
          <w:bCs/>
          <w:rtl/>
        </w:rPr>
        <w:t>דמי חסות במרחב נגב</w:t>
      </w:r>
      <w:r w:rsidRPr="00AA5065">
        <w:rPr>
          <w:rFonts w:eastAsia="Calibri"/>
          <w:rtl/>
        </w:rPr>
        <w:t xml:space="preserve"> </w:t>
      </w:r>
      <w:r w:rsidRPr="00AA5065">
        <w:rPr>
          <w:rFonts w:ascii="David" w:eastAsia="Calibri" w:hAnsi="David"/>
          <w:b/>
          <w:bCs/>
          <w:rtl/>
        </w:rPr>
        <w:t>אשר טופלו על ידי המשטרה והועברו לפרקליטות מחוז דרום, ינואר 2020 - דצמבר 2024</w:t>
      </w:r>
    </w:p>
    <w:tbl>
      <w:tblPr>
        <w:tblStyle w:val="5-11"/>
        <w:bidiVisual/>
        <w:tblW w:w="4934" w:type="dxa"/>
        <w:jc w:val="center"/>
        <w:tblLook w:val="04A0"/>
      </w:tblPr>
      <w:tblGrid>
        <w:gridCol w:w="3110"/>
        <w:gridCol w:w="944"/>
        <w:gridCol w:w="880"/>
      </w:tblGrid>
      <w:tr w:rsidTr="00AA5065">
        <w:tblPrEx>
          <w:tblW w:w="4934" w:type="dxa"/>
          <w:jc w:val="center"/>
          <w:tblLook w:val="04A0"/>
        </w:tblPrEx>
        <w:trPr>
          <w:trHeight w:val="285"/>
          <w:jc w:val="center"/>
        </w:trPr>
        <w:tc>
          <w:tcPr>
            <w:tcW w:w="3110" w:type="dxa"/>
            <w:shd w:val="clear" w:color="auto" w:fill="DBE5F1"/>
          </w:tcPr>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color w:val="000000"/>
                <w:sz w:val="22"/>
                <w:szCs w:val="22"/>
                <w:rtl/>
              </w:rPr>
              <w:t>סטטוס הטיפול בתיק</w:t>
            </w:r>
          </w:p>
        </w:tc>
        <w:tc>
          <w:tcPr>
            <w:tcW w:w="944" w:type="dxa"/>
            <w:shd w:val="clear" w:color="auto" w:fill="DBE5F1"/>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מספר התיקים</w:t>
            </w:r>
          </w:p>
        </w:tc>
        <w:tc>
          <w:tcPr>
            <w:tcW w:w="880" w:type="dxa"/>
            <w:shd w:val="clear" w:color="auto" w:fill="DBE5F1"/>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שיעור</w:t>
            </w:r>
          </w:p>
        </w:tc>
      </w:tr>
      <w:tr w:rsidTr="00AA5065">
        <w:tblPrEx>
          <w:tblW w:w="4934" w:type="dxa"/>
          <w:jc w:val="center"/>
          <w:tblLook w:val="04A0"/>
        </w:tblPrEx>
        <w:trPr>
          <w:trHeight w:val="285"/>
          <w:jc w:val="center"/>
        </w:trPr>
        <w:tc>
          <w:tcPr>
            <w:tcW w:w="3110" w:type="dxa"/>
            <w:shd w:val="clear" w:color="auto" w:fill="DBE5F1"/>
          </w:tcPr>
          <w:p w:rsidR="00AA5065" w:rsidRPr="00AA5065" w:rsidP="00306A17">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 xml:space="preserve">מספר התיקים </w:t>
            </w:r>
            <w:r w:rsidRPr="00AA5065">
              <w:rPr>
                <w:rFonts w:ascii="David" w:eastAsia="Calibri" w:hAnsi="David"/>
                <w:color w:val="000000"/>
                <w:sz w:val="22"/>
                <w:szCs w:val="22"/>
                <w:rtl/>
              </w:rPr>
              <w:t>שנגנזו</w:t>
            </w:r>
          </w:p>
        </w:tc>
        <w:tc>
          <w:tcPr>
            <w:tcW w:w="944" w:type="dxa"/>
            <w:shd w:val="clear" w:color="auto" w:fill="DBE5F1"/>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1,330</w:t>
            </w:r>
          </w:p>
        </w:tc>
        <w:tc>
          <w:tcPr>
            <w:tcW w:w="880" w:type="dxa"/>
            <w:shd w:val="clear" w:color="auto" w:fill="DBE5F1"/>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76.3%</w:t>
            </w:r>
          </w:p>
        </w:tc>
      </w:tr>
      <w:tr w:rsidTr="00AA5065">
        <w:tblPrEx>
          <w:tblW w:w="4934" w:type="dxa"/>
          <w:jc w:val="center"/>
          <w:tblLook w:val="04A0"/>
        </w:tblPrEx>
        <w:trPr>
          <w:trHeight w:val="285"/>
          <w:jc w:val="center"/>
        </w:trPr>
        <w:tc>
          <w:tcPr>
            <w:tcW w:w="3110" w:type="dxa"/>
            <w:shd w:val="clear" w:color="auto" w:fill="DBE5F1"/>
          </w:tcPr>
          <w:p w:rsidR="00AA5065" w:rsidRPr="00AA5065" w:rsidP="00306A17">
            <w:pPr>
              <w:bidi w:val="0"/>
              <w:spacing w:line="269" w:lineRule="auto"/>
              <w:jc w:val="right"/>
              <w:rPr>
                <w:rFonts w:ascii="David" w:eastAsia="Calibri" w:hAnsi="David"/>
                <w:color w:val="000000"/>
                <w:sz w:val="22"/>
                <w:szCs w:val="22"/>
              </w:rPr>
            </w:pPr>
            <w:r w:rsidRPr="00AA5065">
              <w:rPr>
                <w:rFonts w:ascii="David" w:eastAsia="Calibri" w:hAnsi="David" w:hint="cs"/>
                <w:color w:val="000000"/>
                <w:sz w:val="22"/>
                <w:szCs w:val="22"/>
                <w:rtl/>
              </w:rPr>
              <w:t>מספר ה</w:t>
            </w:r>
            <w:r w:rsidRPr="00AA5065">
              <w:rPr>
                <w:rFonts w:ascii="David" w:eastAsia="Calibri" w:hAnsi="David"/>
                <w:color w:val="000000"/>
                <w:sz w:val="22"/>
                <w:szCs w:val="22"/>
                <w:rtl/>
              </w:rPr>
              <w:t xml:space="preserve">תיקים </w:t>
            </w:r>
            <w:r w:rsidRPr="00AA5065">
              <w:rPr>
                <w:rFonts w:ascii="David" w:eastAsia="Calibri" w:hAnsi="David" w:hint="cs"/>
                <w:color w:val="000000"/>
                <w:sz w:val="22"/>
                <w:szCs w:val="22"/>
                <w:rtl/>
              </w:rPr>
              <w:t>בהמשך טיפול בפרקליטות</w:t>
            </w:r>
          </w:p>
        </w:tc>
        <w:tc>
          <w:tcPr>
            <w:tcW w:w="944" w:type="dxa"/>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319</w:t>
            </w:r>
          </w:p>
        </w:tc>
        <w:tc>
          <w:tcPr>
            <w:tcW w:w="880" w:type="dxa"/>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18.3%</w:t>
            </w:r>
          </w:p>
        </w:tc>
      </w:tr>
      <w:tr w:rsidTr="00AA5065">
        <w:tblPrEx>
          <w:tblW w:w="4934" w:type="dxa"/>
          <w:jc w:val="center"/>
          <w:tblLook w:val="04A0"/>
        </w:tblPrEx>
        <w:trPr>
          <w:trHeight w:val="285"/>
          <w:jc w:val="center"/>
        </w:trPr>
        <w:tc>
          <w:tcPr>
            <w:tcW w:w="3110" w:type="dxa"/>
            <w:shd w:val="clear" w:color="auto" w:fill="DBE5F1"/>
          </w:tcPr>
          <w:p w:rsidR="00AA5065" w:rsidRPr="00AA5065" w:rsidP="00306A17">
            <w:pPr>
              <w:bidi w:val="0"/>
              <w:spacing w:line="269" w:lineRule="auto"/>
              <w:jc w:val="right"/>
              <w:rPr>
                <w:rFonts w:ascii="David" w:eastAsia="Calibri" w:hAnsi="David"/>
                <w:color w:val="000000"/>
                <w:sz w:val="22"/>
                <w:szCs w:val="22"/>
              </w:rPr>
            </w:pPr>
            <w:r w:rsidRPr="00AA5065">
              <w:rPr>
                <w:rFonts w:ascii="David" w:eastAsia="Calibri" w:hAnsi="David" w:hint="cs"/>
                <w:color w:val="000000"/>
                <w:sz w:val="22"/>
                <w:szCs w:val="22"/>
                <w:rtl/>
              </w:rPr>
              <w:t>מספר ה</w:t>
            </w:r>
            <w:r w:rsidRPr="00AA5065">
              <w:rPr>
                <w:rFonts w:ascii="David" w:eastAsia="Calibri" w:hAnsi="David"/>
                <w:color w:val="000000"/>
                <w:sz w:val="22"/>
                <w:szCs w:val="22"/>
                <w:rtl/>
              </w:rPr>
              <w:t>תיקי</w:t>
            </w:r>
            <w:r w:rsidRPr="00AA5065">
              <w:rPr>
                <w:rFonts w:ascii="David" w:eastAsia="Calibri" w:hAnsi="David" w:hint="cs"/>
                <w:color w:val="000000"/>
                <w:sz w:val="22"/>
                <w:szCs w:val="22"/>
                <w:rtl/>
              </w:rPr>
              <w:t>ם</w:t>
            </w:r>
            <w:r w:rsidRPr="00AA5065">
              <w:rPr>
                <w:rFonts w:ascii="David" w:eastAsia="Calibri" w:hAnsi="David"/>
                <w:color w:val="000000"/>
                <w:sz w:val="22"/>
                <w:szCs w:val="22"/>
                <w:rtl/>
              </w:rPr>
              <w:t xml:space="preserve"> בהליך סגירה</w:t>
            </w:r>
          </w:p>
        </w:tc>
        <w:tc>
          <w:tcPr>
            <w:tcW w:w="944" w:type="dxa"/>
            <w:shd w:val="clear" w:color="auto" w:fill="DBE5F1"/>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94</w:t>
            </w:r>
          </w:p>
        </w:tc>
        <w:tc>
          <w:tcPr>
            <w:tcW w:w="880" w:type="dxa"/>
            <w:shd w:val="clear" w:color="auto" w:fill="DBE5F1"/>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5.4%</w:t>
            </w:r>
          </w:p>
        </w:tc>
      </w:tr>
      <w:tr w:rsidTr="00AA5065">
        <w:tblPrEx>
          <w:tblW w:w="4934" w:type="dxa"/>
          <w:jc w:val="center"/>
          <w:tblLook w:val="04A0"/>
        </w:tblPrEx>
        <w:trPr>
          <w:trHeight w:val="300"/>
          <w:jc w:val="center"/>
        </w:trPr>
        <w:tc>
          <w:tcPr>
            <w:tcW w:w="3110" w:type="dxa"/>
            <w:shd w:val="clear" w:color="auto" w:fill="DBE5F1"/>
            <w:noWrap/>
          </w:tcPr>
          <w:p w:rsidR="00AA5065" w:rsidRPr="00AA5065" w:rsidP="00306A17">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סה"כ</w:t>
            </w:r>
          </w:p>
        </w:tc>
        <w:tc>
          <w:tcPr>
            <w:tcW w:w="944" w:type="dxa"/>
            <w:noWrap/>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1,743</w:t>
            </w:r>
          </w:p>
        </w:tc>
        <w:tc>
          <w:tcPr>
            <w:tcW w:w="880" w:type="dxa"/>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100%</w:t>
            </w:r>
          </w:p>
        </w:tc>
      </w:tr>
    </w:tbl>
    <w:p w:rsidR="00AA5065" w:rsidRPr="00AA5065" w:rsidP="00860D89">
      <w:pPr>
        <w:spacing w:line="269" w:lineRule="auto"/>
        <w:rPr>
          <w:rFonts w:ascii="David" w:eastAsia="Calibri" w:hAnsi="David"/>
          <w:sz w:val="16"/>
          <w:szCs w:val="20"/>
          <w:rtl/>
        </w:rPr>
      </w:pPr>
      <w:bookmarkStart w:id="93" w:name="_Hlk191834636"/>
      <w:r w:rsidRPr="00AA5065">
        <w:rPr>
          <w:rFonts w:ascii="David" w:eastAsia="Calibri" w:hAnsi="David"/>
          <w:sz w:val="16"/>
          <w:szCs w:val="20"/>
          <w:rtl/>
        </w:rPr>
        <w:t>המקור: משטרת ישראל.‏</w:t>
      </w:r>
    </w:p>
    <w:bookmarkEnd w:id="93"/>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b/>
          <w:bCs/>
          <w:rtl/>
        </w:rPr>
        <w:t xml:space="preserve">מהלוח עולה כי </w:t>
      </w:r>
      <w:r w:rsidRPr="00AA5065">
        <w:rPr>
          <w:rFonts w:ascii="David" w:eastAsia="Calibri" w:hAnsi="David" w:hint="cs"/>
          <w:b/>
          <w:bCs/>
          <w:rtl/>
        </w:rPr>
        <w:t>מ</w:t>
      </w:r>
      <w:r w:rsidRPr="00AA5065">
        <w:rPr>
          <w:rFonts w:ascii="David" w:eastAsia="Calibri" w:hAnsi="David"/>
          <w:b/>
          <w:bCs/>
          <w:rtl/>
        </w:rPr>
        <w:t xml:space="preserve">ינואר 2020 </w:t>
      </w:r>
      <w:r w:rsidRPr="00AA5065">
        <w:rPr>
          <w:rFonts w:ascii="David" w:eastAsia="Calibri" w:hAnsi="David" w:hint="cs"/>
          <w:b/>
          <w:bCs/>
          <w:rtl/>
        </w:rPr>
        <w:t>עד</w:t>
      </w:r>
      <w:r w:rsidRPr="00AA5065">
        <w:rPr>
          <w:rFonts w:ascii="David" w:eastAsia="Calibri" w:hAnsi="David"/>
          <w:b/>
          <w:bCs/>
          <w:rtl/>
        </w:rPr>
        <w:t xml:space="preserve"> דצמבר 2024 נגנזו או </w:t>
      </w:r>
      <w:r w:rsidRPr="00AA5065">
        <w:rPr>
          <w:rFonts w:ascii="David" w:eastAsia="Calibri" w:hAnsi="David" w:hint="cs"/>
          <w:b/>
          <w:bCs/>
          <w:rtl/>
        </w:rPr>
        <w:t>שהיו ב</w:t>
      </w:r>
      <w:r w:rsidRPr="00AA5065">
        <w:rPr>
          <w:rFonts w:ascii="David" w:eastAsia="Calibri" w:hAnsi="David"/>
          <w:b/>
          <w:bCs/>
          <w:rtl/>
        </w:rPr>
        <w:t xml:space="preserve">הליך סגירה 1,424 (82%) תיקי סחיטת דמי חסות במרחב נגב, ו-319 תיקים </w:t>
      </w:r>
      <w:r w:rsidRPr="00AA5065">
        <w:rPr>
          <w:rFonts w:ascii="David" w:eastAsia="Calibri" w:hAnsi="David" w:hint="cs"/>
          <w:b/>
          <w:bCs/>
          <w:rtl/>
        </w:rPr>
        <w:t>(18%) בלבד מצויים ב</w:t>
      </w:r>
      <w:r w:rsidRPr="00AA5065">
        <w:rPr>
          <w:rFonts w:ascii="David" w:eastAsia="Calibri" w:hAnsi="David"/>
          <w:b/>
          <w:bCs/>
          <w:rtl/>
        </w:rPr>
        <w:t>המשך טיפול בפרקליטות.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eastAsia"/>
          <w:b/>
          <w:bCs/>
          <w:rtl/>
        </w:rPr>
        <w:t>בביקורת</w:t>
      </w:r>
      <w:r w:rsidRPr="00AA5065">
        <w:rPr>
          <w:rFonts w:ascii="David" w:eastAsia="Calibri" w:hAnsi="David"/>
          <w:b/>
          <w:bCs/>
          <w:rtl/>
        </w:rPr>
        <w:t xml:space="preserve"> הקודמת עלה כי </w:t>
      </w:r>
      <w:r w:rsidRPr="00AA5065">
        <w:rPr>
          <w:rFonts w:ascii="David" w:eastAsia="Calibri" w:hAnsi="David" w:hint="cs"/>
          <w:b/>
          <w:bCs/>
          <w:rtl/>
        </w:rPr>
        <w:t>מתוך</w:t>
      </w:r>
      <w:r w:rsidRPr="00AA5065">
        <w:rPr>
          <w:rFonts w:ascii="David" w:eastAsia="Calibri" w:hAnsi="David"/>
          <w:b/>
          <w:bCs/>
          <w:rtl/>
        </w:rPr>
        <w:t xml:space="preserve"> 264 תיקי סחיטת דמי חסות בנגב </w:t>
      </w:r>
      <w:r w:rsidRPr="00AA5065">
        <w:rPr>
          <w:rFonts w:ascii="David" w:eastAsia="Calibri" w:hAnsi="David" w:hint="cs"/>
          <w:b/>
          <w:bCs/>
          <w:rtl/>
        </w:rPr>
        <w:t>שטופלו על ידי המשטרה</w:t>
      </w:r>
      <w:r w:rsidRPr="00AA5065">
        <w:rPr>
          <w:rFonts w:ascii="David" w:eastAsia="Calibri" w:hAnsi="David"/>
          <w:b/>
          <w:bCs/>
          <w:rtl/>
        </w:rPr>
        <w:t xml:space="preserve"> </w:t>
      </w:r>
      <w:r w:rsidRPr="00AA5065">
        <w:rPr>
          <w:rFonts w:ascii="David" w:eastAsia="Calibri" w:hAnsi="David" w:hint="cs"/>
          <w:b/>
          <w:bCs/>
          <w:rtl/>
        </w:rPr>
        <w:t>מ</w:t>
      </w:r>
      <w:r w:rsidRPr="00AA5065">
        <w:rPr>
          <w:rFonts w:ascii="David" w:eastAsia="Calibri" w:hAnsi="David"/>
          <w:b/>
          <w:bCs/>
          <w:rtl/>
        </w:rPr>
        <w:t xml:space="preserve">ינואר 2015 </w:t>
      </w:r>
      <w:r w:rsidRPr="00AA5065">
        <w:rPr>
          <w:rFonts w:ascii="David" w:eastAsia="Calibri" w:hAnsi="David" w:hint="cs"/>
          <w:b/>
          <w:bCs/>
          <w:rtl/>
        </w:rPr>
        <w:t xml:space="preserve">עד </w:t>
      </w:r>
      <w:r w:rsidRPr="00AA5065">
        <w:rPr>
          <w:rFonts w:ascii="David" w:eastAsia="Calibri" w:hAnsi="David"/>
          <w:b/>
          <w:bCs/>
          <w:rtl/>
        </w:rPr>
        <w:t xml:space="preserve">מרץ 2020, נגנזו או הועברו להליך סגירה 177 </w:t>
      </w:r>
      <w:r w:rsidRPr="00AA5065">
        <w:rPr>
          <w:rFonts w:ascii="David" w:eastAsia="Calibri" w:hAnsi="David" w:hint="eastAsia"/>
          <w:b/>
          <w:bCs/>
          <w:rtl/>
        </w:rPr>
        <w:t>תיקים</w:t>
      </w:r>
      <w:r w:rsidRPr="00AA5065">
        <w:rPr>
          <w:rFonts w:ascii="David" w:eastAsia="Calibri" w:hAnsi="David"/>
          <w:b/>
          <w:bCs/>
          <w:rtl/>
        </w:rPr>
        <w:t xml:space="preserve"> (67%), ו-87 תיקים (33%) </w:t>
      </w:r>
      <w:r w:rsidRPr="00AA5065">
        <w:rPr>
          <w:rFonts w:ascii="David" w:eastAsia="Calibri" w:hAnsi="David" w:hint="cs"/>
          <w:b/>
          <w:bCs/>
          <w:rtl/>
        </w:rPr>
        <w:t xml:space="preserve">היו בסטטוס </w:t>
      </w:r>
      <w:r w:rsidRPr="00AA5065">
        <w:rPr>
          <w:rFonts w:ascii="David" w:eastAsia="Calibri" w:hAnsi="David"/>
          <w:b/>
          <w:bCs/>
          <w:rtl/>
        </w:rPr>
        <w:t>המשך טיפול בפרקליטות מחוז דרום. בביקורת המעקב נמצא</w:t>
      </w:r>
      <w:r w:rsidRPr="00AA5065">
        <w:rPr>
          <w:rFonts w:ascii="David" w:eastAsia="Calibri" w:hAnsi="David" w:hint="cs"/>
          <w:b/>
          <w:bCs/>
          <w:rtl/>
        </w:rPr>
        <w:t xml:space="preserve"> כי הליקוי תוקן במידה חלקית</w:t>
      </w:r>
      <w:r w:rsidRPr="00AA5065">
        <w:rPr>
          <w:rFonts w:ascii="David" w:eastAsia="Calibri" w:hAnsi="David"/>
          <w:b/>
          <w:bCs/>
          <w:rtl/>
        </w:rPr>
        <w:t xml:space="preserve">; </w:t>
      </w:r>
      <w:r w:rsidRPr="00AA5065">
        <w:rPr>
          <w:rFonts w:ascii="David" w:eastAsia="Calibri" w:hAnsi="David" w:hint="eastAsia"/>
          <w:b/>
          <w:bCs/>
          <w:rtl/>
        </w:rPr>
        <w:t>קיים</w:t>
      </w:r>
      <w:r w:rsidRPr="00AA5065">
        <w:rPr>
          <w:rFonts w:ascii="David" w:eastAsia="Calibri" w:hAnsi="David"/>
          <w:b/>
          <w:bCs/>
          <w:rtl/>
        </w:rPr>
        <w:t xml:space="preserve"> גידול במספר </w:t>
      </w:r>
      <w:r w:rsidRPr="00AA5065">
        <w:rPr>
          <w:rFonts w:ascii="David" w:eastAsia="Calibri" w:hAnsi="David" w:hint="eastAsia"/>
          <w:b/>
          <w:bCs/>
          <w:rtl/>
        </w:rPr>
        <w:t>תיקי</w:t>
      </w:r>
      <w:r w:rsidRPr="00AA5065">
        <w:rPr>
          <w:rFonts w:ascii="David" w:eastAsia="Calibri" w:hAnsi="David"/>
          <w:b/>
          <w:bCs/>
          <w:rtl/>
        </w:rPr>
        <w:t xml:space="preserve"> </w:t>
      </w:r>
      <w:r w:rsidRPr="00AA5065">
        <w:rPr>
          <w:rFonts w:ascii="David" w:eastAsia="Calibri" w:hAnsi="David" w:hint="eastAsia"/>
          <w:b/>
          <w:bCs/>
          <w:rtl/>
        </w:rPr>
        <w:t>דמי</w:t>
      </w:r>
      <w:r w:rsidRPr="00AA5065">
        <w:rPr>
          <w:rFonts w:ascii="David" w:eastAsia="Calibri" w:hAnsi="David"/>
          <w:b/>
          <w:bCs/>
          <w:rtl/>
        </w:rPr>
        <w:t xml:space="preserve"> </w:t>
      </w:r>
      <w:r w:rsidRPr="00AA5065">
        <w:rPr>
          <w:rFonts w:ascii="David" w:eastAsia="Calibri" w:hAnsi="David" w:hint="eastAsia"/>
          <w:b/>
          <w:bCs/>
          <w:rtl/>
        </w:rPr>
        <w:t>החסות</w:t>
      </w:r>
      <w:r w:rsidRPr="00AA5065">
        <w:rPr>
          <w:rFonts w:ascii="David" w:eastAsia="Calibri" w:hAnsi="David"/>
          <w:b/>
          <w:bCs/>
          <w:rtl/>
        </w:rPr>
        <w:t xml:space="preserve"> </w:t>
      </w:r>
      <w:r w:rsidRPr="00AA5065">
        <w:rPr>
          <w:rFonts w:ascii="David" w:eastAsia="Calibri" w:hAnsi="David" w:hint="eastAsia"/>
          <w:b/>
          <w:bCs/>
          <w:rtl/>
        </w:rPr>
        <w:t>שהועברו</w:t>
      </w:r>
      <w:r w:rsidRPr="00AA5065">
        <w:rPr>
          <w:rFonts w:ascii="David" w:eastAsia="Calibri" w:hAnsi="David"/>
          <w:b/>
          <w:bCs/>
          <w:rtl/>
        </w:rPr>
        <w:t xml:space="preserve"> </w:t>
      </w:r>
      <w:r w:rsidRPr="00AA5065">
        <w:rPr>
          <w:rFonts w:ascii="David" w:eastAsia="Calibri" w:hAnsi="David" w:hint="eastAsia"/>
          <w:b/>
          <w:bCs/>
          <w:rtl/>
        </w:rPr>
        <w:t>לפרקליטות</w:t>
      </w:r>
      <w:r w:rsidRPr="00AA5065">
        <w:rPr>
          <w:rFonts w:ascii="David" w:eastAsia="Calibri" w:hAnsi="David"/>
          <w:b/>
          <w:bCs/>
          <w:rtl/>
        </w:rPr>
        <w:t xml:space="preserve"> </w:t>
      </w:r>
      <w:r w:rsidRPr="00AA5065">
        <w:rPr>
          <w:rFonts w:ascii="David" w:eastAsia="Calibri" w:hAnsi="David" w:hint="eastAsia"/>
          <w:b/>
          <w:bCs/>
          <w:rtl/>
        </w:rPr>
        <w:t>בשנים</w:t>
      </w:r>
      <w:r w:rsidRPr="00AA5065">
        <w:rPr>
          <w:rFonts w:ascii="David" w:eastAsia="Calibri" w:hAnsi="David"/>
          <w:b/>
          <w:bCs/>
          <w:rtl/>
        </w:rPr>
        <w:t xml:space="preserve"> 2020 </w:t>
      </w:r>
      <w:r w:rsidRPr="00AA5065">
        <w:rPr>
          <w:rFonts w:ascii="David" w:eastAsia="Calibri" w:hAnsi="David" w:hint="eastAsia"/>
          <w:b/>
          <w:bCs/>
          <w:rtl/>
        </w:rPr>
        <w:t>עד</w:t>
      </w:r>
      <w:r w:rsidRPr="00AA5065">
        <w:rPr>
          <w:rFonts w:ascii="David" w:eastAsia="Calibri" w:hAnsi="David"/>
          <w:b/>
          <w:bCs/>
          <w:rtl/>
        </w:rPr>
        <w:t xml:space="preserve"> 2024. </w:t>
      </w:r>
      <w:r w:rsidRPr="00AA5065">
        <w:rPr>
          <w:rFonts w:ascii="David" w:eastAsia="Calibri" w:hAnsi="David" w:hint="eastAsia"/>
          <w:b/>
          <w:bCs/>
          <w:rtl/>
        </w:rPr>
        <w:t>עם</w:t>
      </w:r>
      <w:r w:rsidRPr="00AA5065">
        <w:rPr>
          <w:rFonts w:ascii="David" w:eastAsia="Calibri" w:hAnsi="David"/>
          <w:b/>
          <w:bCs/>
          <w:rtl/>
        </w:rPr>
        <w:t xml:space="preserve"> זאת </w:t>
      </w:r>
      <w:r w:rsidRPr="00AA5065">
        <w:rPr>
          <w:rFonts w:ascii="David" w:eastAsia="Calibri" w:hAnsi="David" w:hint="eastAsia"/>
          <w:b/>
          <w:bCs/>
          <w:rtl/>
        </w:rPr>
        <w:t>מסתמן</w:t>
      </w:r>
      <w:r w:rsidRPr="00AA5065">
        <w:rPr>
          <w:rFonts w:ascii="David" w:eastAsia="Calibri" w:hAnsi="David"/>
          <w:b/>
          <w:bCs/>
          <w:rtl/>
        </w:rPr>
        <w:t xml:space="preserve"> </w:t>
      </w:r>
      <w:r w:rsidRPr="00AA5065">
        <w:rPr>
          <w:rFonts w:ascii="David" w:eastAsia="Calibri" w:hAnsi="David" w:hint="eastAsia"/>
          <w:b/>
          <w:bCs/>
          <w:rtl/>
        </w:rPr>
        <w:t>גידול</w:t>
      </w:r>
      <w:r w:rsidRPr="00AA5065">
        <w:rPr>
          <w:rFonts w:ascii="David" w:eastAsia="Calibri" w:hAnsi="David"/>
          <w:b/>
          <w:bCs/>
          <w:rtl/>
        </w:rPr>
        <w:t xml:space="preserve"> </w:t>
      </w:r>
      <w:r w:rsidRPr="00AA5065">
        <w:rPr>
          <w:rFonts w:ascii="David" w:eastAsia="Calibri" w:hAnsi="David" w:hint="eastAsia"/>
          <w:b/>
          <w:bCs/>
          <w:rtl/>
        </w:rPr>
        <w:t>ניכר</w:t>
      </w:r>
      <w:r w:rsidRPr="00AA5065">
        <w:rPr>
          <w:rFonts w:ascii="David" w:eastAsia="Calibri" w:hAnsi="David"/>
          <w:b/>
          <w:bCs/>
          <w:rtl/>
        </w:rPr>
        <w:t xml:space="preserve"> בשיעור התיקים שנסגרו או </w:t>
      </w:r>
      <w:r w:rsidRPr="00AA5065">
        <w:rPr>
          <w:rFonts w:ascii="David" w:eastAsia="Calibri" w:hAnsi="David" w:hint="cs"/>
          <w:b/>
          <w:bCs/>
          <w:rtl/>
        </w:rPr>
        <w:t>ש</w:t>
      </w:r>
      <w:r w:rsidRPr="00AA5065">
        <w:rPr>
          <w:rFonts w:ascii="David" w:eastAsia="Calibri" w:hAnsi="David"/>
          <w:b/>
          <w:bCs/>
          <w:rtl/>
        </w:rPr>
        <w:t>נגנזו</w:t>
      </w:r>
      <w:r w:rsidRPr="00AA5065">
        <w:rPr>
          <w:rFonts w:ascii="David" w:eastAsia="Calibri" w:hAnsi="David" w:hint="cs"/>
          <w:b/>
          <w:bCs/>
          <w:rtl/>
        </w:rPr>
        <w:t>: כ-</w:t>
      </w:r>
      <w:r w:rsidRPr="00AA5065">
        <w:rPr>
          <w:rFonts w:ascii="David" w:eastAsia="Calibri" w:hAnsi="David"/>
          <w:b/>
          <w:bCs/>
          <w:rtl/>
        </w:rPr>
        <w:t xml:space="preserve">82% מתוך 1,743 תיקים </w:t>
      </w:r>
      <w:r w:rsidRPr="00AA5065">
        <w:rPr>
          <w:rFonts w:ascii="David" w:eastAsia="Calibri" w:hAnsi="David" w:hint="cs"/>
          <w:b/>
          <w:bCs/>
          <w:rtl/>
        </w:rPr>
        <w:t>שטופלו על ידי המשטרה נסגרו או נגנזו,</w:t>
      </w:r>
      <w:r w:rsidRPr="00AA5065">
        <w:rPr>
          <w:rFonts w:ascii="David" w:eastAsia="Calibri" w:hAnsi="David"/>
          <w:b/>
          <w:bCs/>
          <w:rtl/>
        </w:rPr>
        <w:t xml:space="preserve"> ורק כ-18% מהתיקים </w:t>
      </w:r>
      <w:r w:rsidRPr="00AA5065">
        <w:rPr>
          <w:rFonts w:ascii="David" w:eastAsia="Calibri" w:hAnsi="David" w:hint="cs"/>
          <w:b/>
          <w:bCs/>
          <w:rtl/>
        </w:rPr>
        <w:t>נמצאים בסטטוס</w:t>
      </w:r>
      <w:r w:rsidRPr="00AA5065">
        <w:rPr>
          <w:rFonts w:ascii="David" w:eastAsia="Calibri" w:hAnsi="David"/>
          <w:b/>
          <w:bCs/>
          <w:rtl/>
        </w:rPr>
        <w:t xml:space="preserve"> </w:t>
      </w:r>
      <w:r w:rsidRPr="00AA5065">
        <w:rPr>
          <w:rFonts w:ascii="David" w:eastAsia="Calibri" w:hAnsi="David" w:hint="cs"/>
          <w:b/>
          <w:bCs/>
          <w:rtl/>
        </w:rPr>
        <w:t>"</w:t>
      </w:r>
      <w:r w:rsidRPr="00AA5065">
        <w:rPr>
          <w:rFonts w:ascii="David" w:eastAsia="Calibri" w:hAnsi="David"/>
          <w:b/>
          <w:bCs/>
          <w:rtl/>
        </w:rPr>
        <w:t>המשך טיפול</w:t>
      </w:r>
      <w:r w:rsidRPr="00AA5065">
        <w:rPr>
          <w:rFonts w:ascii="David" w:eastAsia="Calibri" w:hAnsi="David" w:hint="cs"/>
          <w:b/>
          <w:bCs/>
          <w:rtl/>
        </w:rPr>
        <w:t>" בפרקליטות</w:t>
      </w:r>
      <w:r w:rsidRPr="00AA5065">
        <w:rPr>
          <w:rFonts w:ascii="David" w:eastAsia="Calibri" w:hAnsi="David"/>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eastAsia="Calibri"/>
          <w:b/>
          <w:bCs/>
          <w:rtl/>
        </w:rPr>
      </w:pPr>
      <w:r w:rsidRPr="00AA5065">
        <w:rPr>
          <w:rFonts w:eastAsia="Calibri" w:hint="cs"/>
          <w:b/>
          <w:bCs/>
          <w:rtl/>
        </w:rPr>
        <w:t>מידת תיקון הליקוי</w:t>
      </w:r>
    </w:p>
    <w:p w:rsidR="00AA5065" w:rsidRPr="00AA5065" w:rsidP="00860D89">
      <w:pPr>
        <w:spacing w:line="269" w:lineRule="auto"/>
        <w:ind w:left="-1"/>
        <w:jc w:val="center"/>
        <w:rPr>
          <w:rFonts w:eastAsia="Calibri"/>
          <w:szCs w:val="20"/>
          <w:rtl/>
        </w:rPr>
      </w:pPr>
      <w:r w:rsidRPr="00A80B8F">
        <w:rPr>
          <w:rFonts w:eastAsia="Calibri"/>
          <w:noProof/>
          <w:sz w:val="24"/>
        </w:rPr>
        <w:drawing>
          <wp:inline distT="0" distB="0" distL="0" distR="0">
            <wp:extent cx="4324350" cy="933450"/>
            <wp:effectExtent l="0" t="0" r="0" b="0"/>
            <wp:docPr id="16"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1"/>
                    <pic:cNvPicPr>
                      <a:picLocks noChangeAspect="1" noChangeArrowheads="1"/>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324350" cy="933450"/>
                    </a:xfrm>
                    <a:prstGeom prst="rect">
                      <a:avLst/>
                    </a:prstGeom>
                    <a:noFill/>
                    <a:ln>
                      <a:noFill/>
                    </a:ln>
                  </pic:spPr>
                </pic:pic>
              </a:graphicData>
            </a:graphic>
          </wp:inline>
        </w:drawing>
      </w:r>
    </w:p>
    <w:p w:rsidR="00AA5065" w:rsidRPr="00AA5065" w:rsidP="00860D89">
      <w:pPr>
        <w:tabs>
          <w:tab w:val="left" w:pos="1441"/>
        </w:tabs>
        <w:spacing w:line="269" w:lineRule="auto"/>
        <w:ind w:left="-567"/>
        <w:jc w:val="center"/>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cs"/>
          <w:b/>
          <w:bCs/>
          <w:rtl/>
        </w:rPr>
        <w:t>על משטרת ישראל והפרקליטות, לחדד את הממשקים ביניהם ולבצע תהליכי הפקת לקחים כדי להגביר את אפקטיביות האכיפה.</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eastAsia="Calibri" w:hint="eastAsia"/>
          <w:rtl/>
        </w:rPr>
        <w:t>ממשרד</w:t>
      </w:r>
      <w:r w:rsidRPr="00AA5065">
        <w:rPr>
          <w:rFonts w:eastAsia="Calibri"/>
          <w:rtl/>
        </w:rPr>
        <w:t xml:space="preserve"> המשפטים נמסר כי מספר התיקים שנפתחו בפרקליטות </w:t>
      </w:r>
      <w:r w:rsidRPr="00AA5065">
        <w:rPr>
          <w:rFonts w:eastAsia="Calibri" w:hint="cs"/>
          <w:rtl/>
        </w:rPr>
        <w:t>משנת 2020 ועד 26.6.23</w:t>
      </w:r>
      <w:r w:rsidRPr="00AA5065">
        <w:rPr>
          <w:rFonts w:eastAsia="Calibri"/>
          <w:rtl/>
        </w:rPr>
        <w:t xml:space="preserve"> עומד על 499 תיקים</w:t>
      </w:r>
      <w:r w:rsidRPr="00AA5065">
        <w:rPr>
          <w:rFonts w:eastAsia="Calibri" w:hint="cs"/>
          <w:rtl/>
        </w:rPr>
        <w:t>,</w:t>
      </w:r>
      <w:r w:rsidRPr="00AA5065">
        <w:rPr>
          <w:rFonts w:eastAsia="Calibri"/>
          <w:rtl/>
        </w:rPr>
        <w:t xml:space="preserve"> מ</w:t>
      </w:r>
      <w:r w:rsidRPr="00AA5065">
        <w:rPr>
          <w:rFonts w:eastAsia="Calibri" w:hint="cs"/>
          <w:rtl/>
        </w:rPr>
        <w:t>הם</w:t>
      </w:r>
      <w:r w:rsidRPr="00AA5065">
        <w:rPr>
          <w:rFonts w:eastAsia="Calibri"/>
          <w:rtl/>
        </w:rPr>
        <w:t xml:space="preserve"> 242 תיקים (כ-48%) נגנזו בעילות שונות, ובכ-127 תיקים הוגש כתב אישום (או ש</w:t>
      </w:r>
      <w:r w:rsidRPr="00AA5065">
        <w:rPr>
          <w:rFonts w:eastAsia="Calibri" w:hint="cs"/>
          <w:rtl/>
        </w:rPr>
        <w:t xml:space="preserve">הם </w:t>
      </w:r>
      <w:r w:rsidRPr="00AA5065">
        <w:rPr>
          <w:rFonts w:eastAsia="Calibri"/>
          <w:rtl/>
        </w:rPr>
        <w:t>צורפו להליך משפטי אחר)</w:t>
      </w:r>
      <w:r w:rsidRPr="00AA5065">
        <w:rPr>
          <w:rFonts w:eastAsia="Calibri" w:hint="cs"/>
          <w:rtl/>
        </w:rPr>
        <w:t xml:space="preserve"> שיעור של כ-25%</w:t>
      </w:r>
      <w:r w:rsidRPr="00AA5065">
        <w:rPr>
          <w:rFonts w:eastAsia="Calibri"/>
          <w:rtl/>
        </w:rPr>
        <w:t xml:space="preserve"> </w:t>
      </w:r>
      <w:r w:rsidRPr="00AA5065">
        <w:rPr>
          <w:rFonts w:eastAsia="Calibri" w:hint="eastAsia"/>
          <w:rtl/>
        </w:rPr>
        <w:t>מכלל</w:t>
      </w:r>
      <w:r w:rsidRPr="00AA5065">
        <w:rPr>
          <w:rFonts w:eastAsia="Calibri"/>
          <w:rtl/>
        </w:rPr>
        <w:t xml:space="preserve"> </w:t>
      </w:r>
      <w:r w:rsidRPr="00AA5065">
        <w:rPr>
          <w:rFonts w:eastAsia="Calibri" w:hint="eastAsia"/>
          <w:rtl/>
        </w:rPr>
        <w:t>התיקים</w:t>
      </w:r>
      <w:r w:rsidRPr="00AA5065">
        <w:rPr>
          <w:rFonts w:eastAsia="Calibri"/>
          <w:rtl/>
        </w:rPr>
        <w:t xml:space="preserve"> </w:t>
      </w:r>
      <w:r w:rsidRPr="00AA5065">
        <w:rPr>
          <w:rFonts w:eastAsia="Calibri" w:hint="eastAsia"/>
          <w:rtl/>
        </w:rPr>
        <w:t>שנפתחו</w:t>
      </w:r>
      <w:r w:rsidRPr="00AA5065">
        <w:rPr>
          <w:rFonts w:eastAsia="Calibri"/>
          <w:rtl/>
        </w:rPr>
        <w:t xml:space="preserve"> </w:t>
      </w:r>
      <w:r w:rsidRPr="00AA5065">
        <w:rPr>
          <w:rFonts w:eastAsia="Calibri" w:hint="eastAsia"/>
          <w:rtl/>
        </w:rPr>
        <w:t>בפרקליטות</w:t>
      </w:r>
      <w:r w:rsidRPr="00AA5065">
        <w:rPr>
          <w:rFonts w:eastAsia="Calibri"/>
          <w:rtl/>
        </w:rPr>
        <w:t xml:space="preserve">. </w:t>
      </w:r>
      <w:r w:rsidRPr="00AA5065">
        <w:rPr>
          <w:rFonts w:eastAsia="Calibri" w:hint="eastAsia"/>
          <w:rtl/>
        </w:rPr>
        <w:t>עוד</w:t>
      </w:r>
      <w:r w:rsidRPr="00AA5065">
        <w:rPr>
          <w:rFonts w:eastAsia="Calibri"/>
          <w:rtl/>
        </w:rPr>
        <w:t xml:space="preserve"> </w:t>
      </w:r>
      <w:r w:rsidRPr="00AA5065">
        <w:rPr>
          <w:rFonts w:eastAsia="Calibri" w:hint="cs"/>
          <w:rtl/>
        </w:rPr>
        <w:t>נמסר</w:t>
      </w:r>
      <w:r w:rsidRPr="00AA5065">
        <w:rPr>
          <w:rFonts w:eastAsia="Calibri"/>
          <w:rtl/>
        </w:rPr>
        <w:t xml:space="preserve"> </w:t>
      </w:r>
      <w:r w:rsidRPr="00AA5065">
        <w:rPr>
          <w:rFonts w:eastAsia="Calibri" w:hint="eastAsia"/>
          <w:rtl/>
        </w:rPr>
        <w:t>כי</w:t>
      </w:r>
      <w:r w:rsidRPr="00AA5065">
        <w:rPr>
          <w:rFonts w:eastAsia="Calibri"/>
          <w:rtl/>
        </w:rPr>
        <w:t xml:space="preserve"> 120 </w:t>
      </w:r>
      <w:r w:rsidRPr="00AA5065">
        <w:rPr>
          <w:rFonts w:eastAsia="Calibri" w:hint="eastAsia"/>
          <w:rtl/>
        </w:rPr>
        <w:t>תיקים</w:t>
      </w:r>
      <w:r w:rsidRPr="00AA5065">
        <w:rPr>
          <w:rFonts w:eastAsia="Calibri"/>
          <w:rtl/>
        </w:rPr>
        <w:t xml:space="preserve"> (כ-24%)</w:t>
      </w:r>
      <w:r w:rsidRPr="00AA5065">
        <w:rPr>
          <w:rFonts w:eastAsia="Calibri"/>
        </w:rPr>
        <w:t xml:space="preserve"> </w:t>
      </w:r>
      <w:r w:rsidRPr="00AA5065">
        <w:rPr>
          <w:rFonts w:eastAsia="Calibri" w:hint="eastAsia"/>
          <w:rtl/>
        </w:rPr>
        <w:t>הועברו</w:t>
      </w:r>
      <w:r w:rsidRPr="00AA5065">
        <w:rPr>
          <w:rFonts w:eastAsia="Calibri"/>
          <w:rtl/>
        </w:rPr>
        <w:t xml:space="preserve"> </w:t>
      </w:r>
      <w:r w:rsidRPr="00AA5065">
        <w:rPr>
          <w:rFonts w:eastAsia="Calibri" w:hint="eastAsia"/>
          <w:rtl/>
        </w:rPr>
        <w:t>לטיפול</w:t>
      </w:r>
      <w:r w:rsidRPr="00AA5065">
        <w:rPr>
          <w:rFonts w:eastAsia="Calibri"/>
          <w:rtl/>
        </w:rPr>
        <w:t xml:space="preserve"> </w:t>
      </w:r>
      <w:r w:rsidRPr="00AA5065">
        <w:rPr>
          <w:rFonts w:eastAsia="Calibri" w:hint="eastAsia"/>
          <w:rtl/>
        </w:rPr>
        <w:t>יחידת</w:t>
      </w:r>
      <w:r w:rsidRPr="00AA5065">
        <w:rPr>
          <w:rFonts w:eastAsia="Calibri"/>
          <w:rtl/>
        </w:rPr>
        <w:t xml:space="preserve"> </w:t>
      </w:r>
      <w:r w:rsidRPr="00AA5065">
        <w:rPr>
          <w:rFonts w:eastAsia="Calibri" w:hint="eastAsia"/>
          <w:rtl/>
        </w:rPr>
        <w:t>התביעות</w:t>
      </w:r>
      <w:r w:rsidRPr="00AA5065">
        <w:rPr>
          <w:rFonts w:eastAsia="Calibri"/>
          <w:rtl/>
        </w:rPr>
        <w:t>.</w:t>
      </w:r>
      <w:r w:rsidRPr="00AA5065">
        <w:rPr>
          <w:rFonts w:eastAsia="Calibri" w:hint="cs"/>
          <w:rtl/>
        </w:rPr>
        <w:t xml:space="preserve"> מדובר בכלל תיקי הסחיטה באיומים, לרבות תיקים שאינם קשורים לתופעת גביית דמי חסות. כמו כן נמסר כי ייתכן שהפער מול נתוני המשטרה נובע מכך שתיק פרקליטות יכול לכלול כמה תיקי משטרה.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eastAsia"/>
          <w:rtl/>
        </w:rPr>
        <w:t>המשטרה</w:t>
      </w:r>
      <w:r w:rsidRPr="00AA5065">
        <w:rPr>
          <w:rFonts w:ascii="David" w:eastAsia="Calibri" w:hAnsi="David"/>
          <w:rtl/>
        </w:rPr>
        <w:t xml:space="preserve"> מסרה בתשובתה כי </w:t>
      </w:r>
      <w:r w:rsidRPr="00AA5065">
        <w:rPr>
          <w:rFonts w:ascii="David" w:eastAsia="Calibri" w:hAnsi="David" w:hint="eastAsia"/>
          <w:rtl/>
        </w:rPr>
        <w:t>בשנת</w:t>
      </w:r>
      <w:r w:rsidRPr="00AA5065">
        <w:rPr>
          <w:rFonts w:ascii="David" w:eastAsia="Calibri" w:hAnsi="David"/>
          <w:rtl/>
        </w:rPr>
        <w:t xml:space="preserve"> 2025 נעשתה פעילות משמעותית </w:t>
      </w:r>
      <w:r w:rsidRPr="00AA5065">
        <w:rPr>
          <w:rFonts w:ascii="David" w:eastAsia="Calibri" w:hAnsi="David" w:hint="cs"/>
          <w:rtl/>
        </w:rPr>
        <w:t xml:space="preserve">בתחום </w:t>
      </w:r>
      <w:r w:rsidRPr="00AA5065">
        <w:rPr>
          <w:rFonts w:ascii="David" w:eastAsia="Calibri" w:hAnsi="David"/>
          <w:rtl/>
        </w:rPr>
        <w:t xml:space="preserve">עבירות גביית </w:t>
      </w:r>
      <w:r w:rsidRPr="00AA5065">
        <w:rPr>
          <w:rFonts w:ascii="David" w:eastAsia="Calibri" w:hAnsi="David" w:hint="cs"/>
          <w:rtl/>
        </w:rPr>
        <w:t>דמי</w:t>
      </w:r>
      <w:r w:rsidRPr="00AA5065">
        <w:rPr>
          <w:rFonts w:ascii="David" w:eastAsia="Calibri" w:hAnsi="David"/>
          <w:rtl/>
        </w:rPr>
        <w:t xml:space="preserve"> חסות (בפרט וללא עבירות נוספות). על פי נתוני המשטרה בשנת 2024 נפתחו 4 תיקים בגין עבירת גביית דמי חסות ובוצעו 2 מעצרים. בשנת 2025 נפתחו 79 תיקים, הוגשו 43 כתבי אישום ובוצעו 51 מעצרים. 17 תיקים הגיעו לשלב תום הליכים.</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המשרד לביטחון לאומי מסר בתשובתו כי "</w:t>
      </w:r>
      <w:r w:rsidRPr="00AA5065">
        <w:rPr>
          <w:rFonts w:ascii="David" w:eastAsia="Calibri" w:hAnsi="David"/>
          <w:rtl/>
        </w:rPr>
        <w:t>בשנים האחרונות הוקמו שני מפלגי פרוטקשן בדרום ובצפון שכל עיסוקם טיפול בגביית דמי החסות לטובת הגברת הלחימה בתופעה. עבודת המפלגים הובילה לעלייה משמעותית בהיקף האכיפה והאפקטיביות באחוזי העמדה לדין.</w:t>
      </w:r>
      <w:r w:rsidRPr="00AA5065">
        <w:rPr>
          <w:rFonts w:eastAsia="Calibri" w:hint="cs"/>
          <w:rtl/>
        </w:rPr>
        <w:t xml:space="preserve"> </w:t>
      </w:r>
      <w:r w:rsidRPr="00AA5065">
        <w:rPr>
          <w:rFonts w:ascii="David" w:eastAsia="Calibri" w:hAnsi="David"/>
          <w:rtl/>
        </w:rPr>
        <w:t>מפלגי הפרוטקשן הגישו מספר כתבי אישום בפרשיות רחבות היקף באזורי תעשייה, באתרי בנייה וכנגד מתן הלוואות וגבייתן בניגוד לחוק. זאת, בהתאם לנוסח תיקון 146 לחוק העונשין ועל מנת להילחם בתופעה בצורה רוחבית ולא נקודתית</w:t>
      </w:r>
      <w:r w:rsidRPr="00AA5065">
        <w:rPr>
          <w:rFonts w:ascii="David" w:eastAsia="Calibri" w:hAnsi="David" w:hint="cs"/>
          <w:rtl/>
        </w:rPr>
        <w:t>"</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לוח 12 שלהלן מציג</w:t>
      </w:r>
      <w:r w:rsidRPr="00AA5065">
        <w:rPr>
          <w:rFonts w:ascii="David" w:eastAsia="Calibri" w:hAnsi="David"/>
          <w:rtl/>
        </w:rPr>
        <w:t xml:space="preserve"> נתונים </w:t>
      </w:r>
      <w:bookmarkStart w:id="94" w:name="_Hlk197605093"/>
      <w:r w:rsidRPr="00AA5065">
        <w:rPr>
          <w:rFonts w:ascii="David" w:eastAsia="Calibri" w:hAnsi="David" w:hint="cs"/>
          <w:rtl/>
        </w:rPr>
        <w:t>בדבר</w:t>
      </w:r>
      <w:r w:rsidRPr="00AA5065">
        <w:rPr>
          <w:rFonts w:ascii="David" w:eastAsia="Calibri" w:hAnsi="David"/>
          <w:rtl/>
        </w:rPr>
        <w:t xml:space="preserve"> </w:t>
      </w:r>
      <w:r w:rsidRPr="00AA5065">
        <w:rPr>
          <w:rFonts w:ascii="David" w:eastAsia="Calibri" w:hAnsi="David" w:hint="cs"/>
          <w:rtl/>
        </w:rPr>
        <w:t>הגשת כתבי אישום ותום הליכים</w:t>
      </w:r>
      <w:r>
        <w:rPr>
          <w:rFonts w:ascii="David" w:eastAsia="Calibri" w:hAnsi="David"/>
          <w:vertAlign w:val="superscript"/>
          <w:rtl/>
        </w:rPr>
        <w:footnoteReference w:id="102"/>
      </w:r>
      <w:r w:rsidRPr="00AA5065">
        <w:rPr>
          <w:rFonts w:ascii="David" w:eastAsia="Calibri" w:hAnsi="David" w:hint="cs"/>
          <w:rtl/>
        </w:rPr>
        <w:t xml:space="preserve"> בתיקים שהועברו לפרקליטות</w:t>
      </w:r>
      <w:r w:rsidRPr="00AA5065">
        <w:rPr>
          <w:rFonts w:ascii="David" w:eastAsia="Calibri" w:hAnsi="David"/>
          <w:rtl/>
        </w:rPr>
        <w:t xml:space="preserve"> </w:t>
      </w:r>
      <w:r w:rsidRPr="00AA5065">
        <w:rPr>
          <w:rFonts w:ascii="David" w:eastAsia="Calibri" w:hAnsi="David" w:hint="cs"/>
          <w:rtl/>
        </w:rPr>
        <w:t>ב</w:t>
      </w:r>
      <w:r w:rsidRPr="00AA5065">
        <w:rPr>
          <w:rFonts w:ascii="David" w:eastAsia="Calibri" w:hAnsi="David"/>
          <w:rtl/>
        </w:rPr>
        <w:t>שנים</w:t>
      </w:r>
      <w:r w:rsidRPr="00AA5065">
        <w:rPr>
          <w:rFonts w:ascii="David" w:eastAsia="Calibri" w:hAnsi="David" w:hint="cs"/>
          <w:rtl/>
        </w:rPr>
        <w:t xml:space="preserve"> 2020 עד 2024</w:t>
      </w:r>
      <w:r w:rsidRPr="00AA5065">
        <w:rPr>
          <w:rFonts w:ascii="David" w:eastAsia="Calibri" w:hAnsi="David"/>
          <w:rtl/>
        </w:rPr>
        <w:t>.</w:t>
      </w:r>
    </w:p>
    <w:bookmarkEnd w:id="94"/>
    <w:p w:rsidR="00AA5065" w:rsidRPr="00AA5065" w:rsidP="00860D89">
      <w:pPr>
        <w:spacing w:line="269" w:lineRule="auto"/>
        <w:ind w:left="-567"/>
        <w:rPr>
          <w:rFonts w:eastAsia="Calibri"/>
          <w:szCs w:val="20"/>
          <w:rtl/>
        </w:rPr>
      </w:pPr>
    </w:p>
    <w:p w:rsidR="00AA5065" w:rsidRPr="00AA5065" w:rsidP="00860D89">
      <w:pPr>
        <w:spacing w:line="269" w:lineRule="auto"/>
        <w:jc w:val="center"/>
        <w:rPr>
          <w:rFonts w:ascii="David" w:eastAsia="Calibri" w:hAnsi="David"/>
          <w:b/>
          <w:bCs/>
          <w:rtl/>
        </w:rPr>
      </w:pPr>
      <w:r w:rsidRPr="00AA5065">
        <w:rPr>
          <w:rFonts w:ascii="David" w:eastAsia="Calibri" w:hAnsi="David"/>
          <w:rtl/>
        </w:rPr>
        <w:t>לוח</w:t>
      </w:r>
      <w:r w:rsidRPr="00AA5065">
        <w:rPr>
          <w:rFonts w:ascii="David" w:eastAsia="Calibri" w:hAnsi="David" w:hint="cs"/>
          <w:rtl/>
        </w:rPr>
        <w:t xml:space="preserve"> 12:</w:t>
      </w:r>
      <w:r w:rsidRPr="00AA5065">
        <w:rPr>
          <w:rFonts w:ascii="David" w:eastAsia="Calibri" w:hAnsi="David"/>
          <w:b/>
          <w:bCs/>
          <w:rtl/>
        </w:rPr>
        <w:t xml:space="preserve"> הגשת כתבי אישום ותום הליכים</w:t>
      </w:r>
      <w:r w:rsidRPr="00AA5065">
        <w:rPr>
          <w:rFonts w:eastAsia="Calibri"/>
          <w:rtl/>
        </w:rPr>
        <w:t xml:space="preserve"> </w:t>
      </w:r>
      <w:r w:rsidRPr="00AA5065">
        <w:rPr>
          <w:rFonts w:ascii="David" w:eastAsia="Calibri" w:hAnsi="David"/>
          <w:b/>
          <w:bCs/>
          <w:rtl/>
        </w:rPr>
        <w:t>בתיקים שהועברו לפרקליטות</w:t>
      </w:r>
      <w:r w:rsidRPr="00AA5065">
        <w:rPr>
          <w:rFonts w:ascii="David" w:eastAsia="Calibri" w:hAnsi="David" w:hint="cs"/>
          <w:b/>
          <w:bCs/>
          <w:rtl/>
        </w:rPr>
        <w:t>,</w:t>
      </w:r>
      <w:r w:rsidRPr="00AA5065">
        <w:rPr>
          <w:rFonts w:ascii="David" w:eastAsia="Calibri" w:hAnsi="David"/>
          <w:b/>
          <w:bCs/>
          <w:rtl/>
        </w:rPr>
        <w:t xml:space="preserve"> 2020 - 2024</w:t>
      </w:r>
    </w:p>
    <w:tbl>
      <w:tblPr>
        <w:tblStyle w:val="5-11"/>
        <w:bidiVisual/>
        <w:tblW w:w="3681" w:type="dxa"/>
        <w:jc w:val="center"/>
        <w:tblLook w:val="04A0"/>
      </w:tblPr>
      <w:tblGrid>
        <w:gridCol w:w="1989"/>
        <w:gridCol w:w="1692"/>
      </w:tblGrid>
      <w:tr w:rsidTr="00306A17">
        <w:tblPrEx>
          <w:tblW w:w="3681" w:type="dxa"/>
          <w:jc w:val="center"/>
          <w:tblLook w:val="04A0"/>
        </w:tblPrEx>
        <w:trPr>
          <w:trHeight w:val="330"/>
          <w:jc w:val="center"/>
        </w:trPr>
        <w:tc>
          <w:tcPr>
            <w:tcW w:w="1989" w:type="dxa"/>
            <w:shd w:val="clear" w:color="auto" w:fill="DBE5F1"/>
            <w:hideMark/>
          </w:tcPr>
          <w:p w:rsidR="00AA5065" w:rsidRPr="00AA5065" w:rsidP="00A80B8F">
            <w:pPr>
              <w:bidi w:val="0"/>
              <w:spacing w:before="60" w:line="269" w:lineRule="auto"/>
              <w:jc w:val="right"/>
              <w:rPr>
                <w:rFonts w:ascii="David" w:eastAsia="Calibri" w:hAnsi="David"/>
                <w:color w:val="000000"/>
                <w:sz w:val="22"/>
                <w:szCs w:val="22"/>
              </w:rPr>
            </w:pPr>
            <w:r w:rsidRPr="00AA5065">
              <w:rPr>
                <w:rFonts w:ascii="David" w:eastAsia="Calibri" w:hAnsi="David"/>
                <w:color w:val="000000"/>
                <w:sz w:val="22"/>
                <w:szCs w:val="22"/>
                <w:rtl/>
              </w:rPr>
              <w:t>סטטוס הטיפול בתיק</w:t>
            </w:r>
          </w:p>
        </w:tc>
        <w:tc>
          <w:tcPr>
            <w:tcW w:w="1692" w:type="dxa"/>
            <w:shd w:val="clear" w:color="auto" w:fill="DBE5F1"/>
            <w:hideMark/>
          </w:tcPr>
          <w:p w:rsidR="00AA5065" w:rsidRPr="00AA5065" w:rsidP="00A80B8F">
            <w:pPr>
              <w:bidi w:val="0"/>
              <w:spacing w:before="60" w:line="269" w:lineRule="auto"/>
              <w:jc w:val="right"/>
              <w:rPr>
                <w:rFonts w:ascii="David" w:eastAsia="Calibri" w:hAnsi="David"/>
                <w:color w:val="000000"/>
                <w:sz w:val="22"/>
                <w:szCs w:val="22"/>
                <w:rtl/>
              </w:rPr>
            </w:pPr>
            <w:r>
              <w:rPr>
                <w:rFonts w:ascii="David" w:eastAsia="Calibri" w:hAnsi="David" w:hint="cs"/>
                <w:color w:val="000000"/>
                <w:sz w:val="22"/>
                <w:szCs w:val="22"/>
                <w:rtl/>
              </w:rPr>
              <w:t>המספר</w:t>
            </w:r>
          </w:p>
        </w:tc>
      </w:tr>
      <w:tr w:rsidTr="00306A17">
        <w:tblPrEx>
          <w:tblW w:w="3681" w:type="dxa"/>
          <w:jc w:val="center"/>
          <w:tblLook w:val="04A0"/>
        </w:tblPrEx>
        <w:trPr>
          <w:trHeight w:val="315"/>
          <w:jc w:val="center"/>
        </w:trPr>
        <w:tc>
          <w:tcPr>
            <w:tcW w:w="1989" w:type="dxa"/>
            <w:shd w:val="clear" w:color="auto" w:fill="DBE5F1"/>
            <w:noWrap/>
            <w:hideMark/>
          </w:tcPr>
          <w:p w:rsidR="00AA5065" w:rsidRPr="00AA5065" w:rsidP="00306A17">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כתב אישום</w:t>
            </w:r>
          </w:p>
        </w:tc>
        <w:tc>
          <w:tcPr>
            <w:tcW w:w="1692" w:type="dxa"/>
            <w:shd w:val="clear" w:color="auto" w:fill="DBE5F1"/>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 xml:space="preserve">263 </w:t>
            </w:r>
          </w:p>
        </w:tc>
      </w:tr>
      <w:tr w:rsidTr="00306A17">
        <w:tblPrEx>
          <w:tblW w:w="3681" w:type="dxa"/>
          <w:jc w:val="center"/>
          <w:tblLook w:val="04A0"/>
        </w:tblPrEx>
        <w:trPr>
          <w:trHeight w:val="315"/>
          <w:jc w:val="center"/>
        </w:trPr>
        <w:tc>
          <w:tcPr>
            <w:tcW w:w="1989" w:type="dxa"/>
            <w:shd w:val="clear" w:color="auto" w:fill="DBE5F1"/>
            <w:noWrap/>
            <w:hideMark/>
          </w:tcPr>
          <w:p w:rsidR="00AA5065" w:rsidRPr="00AA5065" w:rsidP="00306A17">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תום הליכים</w:t>
            </w:r>
          </w:p>
        </w:tc>
        <w:tc>
          <w:tcPr>
            <w:tcW w:w="169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 xml:space="preserve">231 </w:t>
            </w:r>
          </w:p>
        </w:tc>
      </w:tr>
    </w:tbl>
    <w:p w:rsidR="00AA5065" w:rsidRPr="00AA5065" w:rsidP="00860D89">
      <w:pPr>
        <w:spacing w:line="269" w:lineRule="auto"/>
        <w:rPr>
          <w:rFonts w:ascii="David" w:eastAsia="Calibri" w:hAnsi="David"/>
          <w:szCs w:val="20"/>
          <w:rtl/>
        </w:rPr>
      </w:pPr>
      <w:r w:rsidRPr="00AA5065">
        <w:rPr>
          <w:rFonts w:ascii="David" w:eastAsia="Calibri" w:hAnsi="David"/>
          <w:szCs w:val="20"/>
          <w:rtl/>
        </w:rPr>
        <w:t xml:space="preserve"> המקור: משטרת ישראל.‏</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b/>
          <w:bCs/>
          <w:rtl/>
        </w:rPr>
        <w:t xml:space="preserve">מהלוח עולה כי </w:t>
      </w:r>
      <w:r w:rsidRPr="00AA5065">
        <w:rPr>
          <w:rFonts w:ascii="David" w:eastAsia="Calibri" w:hAnsi="David" w:hint="cs"/>
          <w:b/>
          <w:bCs/>
          <w:rtl/>
        </w:rPr>
        <w:t>בשנים 2020 עד 2024</w:t>
      </w:r>
      <w:r w:rsidRPr="00AA5065">
        <w:rPr>
          <w:rFonts w:ascii="David" w:eastAsia="Calibri" w:hAnsi="David"/>
          <w:b/>
          <w:bCs/>
          <w:rtl/>
        </w:rPr>
        <w:t xml:space="preserve"> </w:t>
      </w:r>
      <w:r w:rsidRPr="00AA5065">
        <w:rPr>
          <w:rFonts w:ascii="David" w:eastAsia="Calibri" w:hAnsi="David" w:hint="cs"/>
          <w:b/>
          <w:bCs/>
          <w:rtl/>
        </w:rPr>
        <w:t>הוגשו 263</w:t>
      </w:r>
      <w:r w:rsidRPr="00AA5065">
        <w:rPr>
          <w:rFonts w:ascii="David" w:eastAsia="Calibri" w:hAnsi="David"/>
          <w:b/>
          <w:bCs/>
          <w:rtl/>
        </w:rPr>
        <w:t xml:space="preserve"> כתב</w:t>
      </w:r>
      <w:r w:rsidRPr="00AA5065">
        <w:rPr>
          <w:rFonts w:ascii="David" w:eastAsia="Calibri" w:hAnsi="David" w:hint="cs"/>
          <w:b/>
          <w:bCs/>
          <w:rtl/>
        </w:rPr>
        <w:t>י</w:t>
      </w:r>
      <w:r w:rsidRPr="00AA5065">
        <w:rPr>
          <w:rFonts w:ascii="David" w:eastAsia="Calibri" w:hAnsi="David"/>
          <w:b/>
          <w:bCs/>
          <w:rtl/>
        </w:rPr>
        <w:t xml:space="preserve"> אישום</w:t>
      </w:r>
      <w:r w:rsidRPr="00AA5065">
        <w:rPr>
          <w:rFonts w:ascii="David" w:eastAsia="Calibri" w:hAnsi="David" w:hint="cs"/>
          <w:b/>
          <w:bCs/>
          <w:rtl/>
        </w:rPr>
        <w:t xml:space="preserve"> </w:t>
      </w:r>
      <w:r w:rsidRPr="00AA5065">
        <w:rPr>
          <w:rFonts w:ascii="David" w:eastAsia="Calibri" w:hAnsi="David" w:hint="eastAsia"/>
          <w:b/>
          <w:bCs/>
          <w:rtl/>
        </w:rPr>
        <w:t>בלבד</w:t>
      </w:r>
      <w:r w:rsidRPr="00AA5065">
        <w:rPr>
          <w:rFonts w:ascii="David" w:eastAsia="Calibri" w:hAnsi="David" w:hint="cs"/>
          <w:b/>
          <w:bCs/>
          <w:rtl/>
        </w:rPr>
        <w:t xml:space="preserve"> בגין סחיטת דמי חסות</w:t>
      </w:r>
      <w:r w:rsidRPr="00AA5065">
        <w:rPr>
          <w:rFonts w:ascii="David" w:eastAsia="Calibri" w:hAnsi="David"/>
          <w:b/>
          <w:bCs/>
          <w:rtl/>
        </w:rPr>
        <w:t xml:space="preserve">, </w:t>
      </w:r>
      <w:r w:rsidRPr="00AA5065">
        <w:rPr>
          <w:rFonts w:ascii="David" w:eastAsia="Calibri" w:hAnsi="David" w:hint="cs"/>
          <w:b/>
          <w:bCs/>
          <w:rtl/>
        </w:rPr>
        <w:t>ו-231 תיקים הגיעו</w:t>
      </w:r>
      <w:r w:rsidRPr="00AA5065">
        <w:rPr>
          <w:rFonts w:ascii="David" w:eastAsia="Calibri" w:hAnsi="David"/>
          <w:b/>
          <w:bCs/>
          <w:rtl/>
        </w:rPr>
        <w:t xml:space="preserve"> לכדי תום </w:t>
      </w:r>
      <w:r w:rsidRPr="00AA5065">
        <w:rPr>
          <w:rFonts w:ascii="David" w:eastAsia="Calibri" w:hAnsi="David" w:hint="cs"/>
          <w:b/>
          <w:bCs/>
          <w:rtl/>
        </w:rPr>
        <w:t>ה</w:t>
      </w:r>
      <w:r w:rsidRPr="00AA5065">
        <w:rPr>
          <w:rFonts w:ascii="David" w:eastAsia="Calibri" w:hAnsi="David"/>
          <w:b/>
          <w:bCs/>
          <w:rtl/>
        </w:rPr>
        <w:t xml:space="preserve">הליכים </w:t>
      </w:r>
      <w:r w:rsidRPr="00AA5065">
        <w:rPr>
          <w:rFonts w:ascii="David" w:eastAsia="Calibri" w:hAnsi="David" w:hint="cs"/>
          <w:b/>
          <w:bCs/>
          <w:rtl/>
        </w:rPr>
        <w:t>ה</w:t>
      </w:r>
      <w:r w:rsidRPr="00AA5065">
        <w:rPr>
          <w:rFonts w:ascii="David" w:eastAsia="Calibri" w:hAnsi="David"/>
          <w:b/>
          <w:bCs/>
          <w:rtl/>
        </w:rPr>
        <w:t>משפטיים.</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יצוין כי הפער בין נתוני משרד המשפטים ובין נתוני המשטרה כנראה נובע מכך שתיק פרקליטות יכול לכלול מספר תיקי משטרה.</w:t>
      </w:r>
    </w:p>
    <w:p w:rsidR="00AA5065" w:rsidRPr="00AA5065" w:rsidP="00860D89">
      <w:pPr>
        <w:spacing w:line="269" w:lineRule="auto"/>
        <w:rPr>
          <w:rFonts w:eastAsia="Calibri"/>
          <w:rtl/>
        </w:rPr>
      </w:pPr>
    </w:p>
    <w:p w:rsidR="00AA5065" w:rsidRPr="00AA5065" w:rsidP="00A80B8F">
      <w:pPr>
        <w:keepNext/>
        <w:keepLines/>
        <w:spacing w:before="120" w:line="269" w:lineRule="auto"/>
        <w:outlineLvl w:val="4"/>
        <w:rPr>
          <w:rFonts w:eastAsia="Times New Roman"/>
          <w:bCs/>
          <w:spacing w:val="40"/>
          <w:rtl/>
        </w:rPr>
      </w:pPr>
      <w:r w:rsidRPr="00AA5065">
        <w:rPr>
          <w:rFonts w:eastAsia="Times New Roman" w:hint="cs"/>
          <w:bCs/>
          <w:spacing w:val="40"/>
          <w:rtl/>
        </w:rPr>
        <w:t xml:space="preserve">טיפול משפטי </w:t>
      </w:r>
    </w:p>
    <w:p w:rsidR="00AA5065" w:rsidRPr="00AA5065" w:rsidP="00860D89">
      <w:pPr>
        <w:spacing w:line="269" w:lineRule="auto"/>
        <w:rPr>
          <w:rFonts w:eastAsia="Calibri"/>
          <w:rtl/>
        </w:rPr>
      </w:pPr>
    </w:p>
    <w:p w:rsidR="00AA5065" w:rsidRPr="00AA5065" w:rsidP="008A45FE">
      <w:pPr>
        <w:pStyle w:val="Heading6"/>
        <w:rPr>
          <w:rFonts w:eastAsia="Times New Roman"/>
          <w:rtl/>
        </w:rPr>
      </w:pPr>
      <w:r w:rsidRPr="00AA5065">
        <w:rPr>
          <w:rFonts w:eastAsia="Times New Roman"/>
          <w:rtl/>
        </w:rPr>
        <w:t xml:space="preserve">הנושא המפורט להלן נבדק לראשונה במסגרת ביקורת זו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bookmarkStart w:id="95" w:name="_Hlk199847445"/>
      <w:r w:rsidRPr="00AA5065">
        <w:rPr>
          <w:rFonts w:ascii="David" w:eastAsia="Calibri" w:hAnsi="David" w:hint="cs"/>
          <w:rtl/>
        </w:rPr>
        <w:t>באוגוסט</w:t>
      </w:r>
      <w:r w:rsidRPr="00AA5065">
        <w:rPr>
          <w:rFonts w:ascii="David" w:eastAsia="Calibri" w:hAnsi="David"/>
          <w:rtl/>
        </w:rPr>
        <w:t xml:space="preserve"> 2023 </w:t>
      </w:r>
      <w:r w:rsidRPr="00AA5065">
        <w:rPr>
          <w:rFonts w:ascii="David" w:eastAsia="Calibri" w:hAnsi="David" w:hint="cs"/>
          <w:rtl/>
        </w:rPr>
        <w:t>פורסם</w:t>
      </w:r>
      <w:r w:rsidRPr="00AA5065">
        <w:rPr>
          <w:rFonts w:ascii="David" w:eastAsia="Calibri" w:hAnsi="David"/>
          <w:rtl/>
        </w:rPr>
        <w:t xml:space="preserve"> תיקון 146 לחוק העונשין</w:t>
      </w:r>
      <w:r>
        <w:rPr>
          <w:rFonts w:ascii="David" w:eastAsia="Calibri" w:hAnsi="David"/>
          <w:vertAlign w:val="superscript"/>
          <w:rtl/>
        </w:rPr>
        <w:footnoteReference w:id="103"/>
      </w:r>
      <w:r w:rsidRPr="00AA5065">
        <w:rPr>
          <w:rFonts w:ascii="David" w:eastAsia="Calibri" w:hAnsi="David" w:hint="cs"/>
          <w:rtl/>
        </w:rPr>
        <w:t xml:space="preserve">, שבמסגרתו נוספו לחוק </w:t>
      </w:r>
      <w:r w:rsidRPr="00AA5065">
        <w:rPr>
          <w:rFonts w:ascii="David" w:eastAsia="Calibri" w:hAnsi="David"/>
          <w:rtl/>
        </w:rPr>
        <w:t xml:space="preserve">סעיף 428א וסעיף </w:t>
      </w:r>
      <w:r w:rsidRPr="00AA5065">
        <w:rPr>
          <w:rFonts w:ascii="David" w:eastAsia="Calibri" w:hAnsi="David" w:hint="cs"/>
          <w:rtl/>
        </w:rPr>
        <w:t>428ב.</w:t>
      </w:r>
      <w:bookmarkEnd w:id="95"/>
      <w:r w:rsidRPr="00AA5065">
        <w:rPr>
          <w:rFonts w:ascii="David" w:eastAsia="Calibri" w:hAnsi="David" w:hint="cs"/>
          <w:rtl/>
        </w:rPr>
        <w:t xml:space="preserve"> תיקון זה </w:t>
      </w:r>
      <w:r w:rsidRPr="00AA5065">
        <w:rPr>
          <w:rFonts w:ascii="David" w:eastAsia="Calibri" w:hAnsi="David"/>
          <w:rtl/>
        </w:rPr>
        <w:t>נועד להתמודד עם תופעת גביית דמי חסות</w:t>
      </w:r>
      <w:r>
        <w:rPr>
          <w:rFonts w:ascii="David" w:eastAsia="Calibri" w:hAnsi="David"/>
          <w:vertAlign w:val="superscript"/>
          <w:rtl/>
        </w:rPr>
        <w:footnoteReference w:id="104"/>
      </w:r>
      <w:r w:rsidRPr="00AA5065">
        <w:rPr>
          <w:rFonts w:ascii="David" w:eastAsia="Calibri" w:hAnsi="David"/>
          <w:rtl/>
        </w:rPr>
        <w:t xml:space="preserve"> מבעלי עסקים או מכל אדם על ידי גורמים עבריינים. בדברי ההסבר</w:t>
      </w:r>
      <w:r w:rsidRPr="00AA5065">
        <w:rPr>
          <w:rFonts w:ascii="David" w:eastAsia="Calibri" w:hAnsi="David" w:hint="cs"/>
          <w:rtl/>
        </w:rPr>
        <w:t xml:space="preserve"> להצעת החוק לתיקון חוק העונשין</w:t>
      </w:r>
      <w:r>
        <w:rPr>
          <w:rFonts w:ascii="David" w:eastAsia="Calibri" w:hAnsi="David"/>
          <w:vertAlign w:val="superscript"/>
          <w:rtl/>
        </w:rPr>
        <w:footnoteReference w:id="105"/>
      </w:r>
      <w:r w:rsidRPr="00AA5065">
        <w:rPr>
          <w:rFonts w:ascii="David" w:eastAsia="Calibri" w:hAnsi="David" w:hint="cs"/>
          <w:rtl/>
        </w:rPr>
        <w:t xml:space="preserve"> בנושא גביית דמי חסות </w:t>
      </w:r>
      <w:r w:rsidRPr="00AA5065">
        <w:rPr>
          <w:rFonts w:ascii="David" w:eastAsia="Calibri" w:hAnsi="David"/>
          <w:rtl/>
        </w:rPr>
        <w:t>נכתב</w:t>
      </w:r>
      <w:r w:rsidRPr="00AA5065">
        <w:rPr>
          <w:rFonts w:ascii="David" w:eastAsia="Calibri" w:hAnsi="David" w:hint="cs"/>
          <w:rtl/>
        </w:rPr>
        <w:t>:</w:t>
      </w:r>
      <w:r w:rsidRPr="00AA5065">
        <w:rPr>
          <w:rFonts w:ascii="David" w:eastAsia="Calibri" w:hAnsi="David"/>
          <w:rtl/>
        </w:rPr>
        <w:t xml:space="preserve"> "גביית דמי חסות מצד גורמים עברייניים הולכת ופושה בחברה, ולא אחת אנשים ועסקים נדרשים לשלם סכומים ניכרים כדי לשמור על שגרת חייהם, על שלומם הגופני ועל רכושם שלהם ושל קרוביהם</w:t>
      </w:r>
      <w:r w:rsidRPr="00AA5065">
        <w:rPr>
          <w:rFonts w:ascii="David" w:eastAsia="Calibri" w:hAnsi="David" w:hint="cs"/>
          <w:rtl/>
        </w:rPr>
        <w:t xml:space="preserve">. </w:t>
      </w:r>
      <w:r w:rsidRPr="00AA5065">
        <w:rPr>
          <w:rFonts w:ascii="David" w:eastAsia="Calibri" w:hAnsi="David"/>
          <w:rtl/>
        </w:rPr>
        <w:t>עם התפשטות פעילות עבריינית זו היא שינתה א</w:t>
      </w:r>
      <w:r w:rsidRPr="00AA5065">
        <w:rPr>
          <w:rFonts w:ascii="David" w:eastAsia="Calibri" w:hAnsi="David" w:hint="cs"/>
          <w:rtl/>
        </w:rPr>
        <w:t>ת פניה, ואינה</w:t>
      </w:r>
      <w:r w:rsidRPr="00AA5065">
        <w:rPr>
          <w:rFonts w:ascii="David" w:eastAsia="Calibri" w:hAnsi="David"/>
          <w:rtl/>
        </w:rPr>
        <w:t xml:space="preserve"> כוללת בהכרח איומים או איומים המופנים לקורבן העבירה, אלא מעבירה מסר באמצעות מעשי </w:t>
      </w:r>
      <w:r w:rsidRPr="00AA5065">
        <w:rPr>
          <w:rFonts w:ascii="David" w:eastAsia="Calibri" w:hAnsi="David" w:hint="cs"/>
          <w:rtl/>
        </w:rPr>
        <w:t>אלימות, הצתה</w:t>
      </w:r>
      <w:r w:rsidRPr="00AA5065">
        <w:rPr>
          <w:rFonts w:ascii="David" w:eastAsia="Calibri" w:hAnsi="David"/>
          <w:rtl/>
        </w:rPr>
        <w:t xml:space="preserve"> או נזק בסביבתו. התנהגות זו מקשה על הוכחת הקשר הסיבתי בין האימה שמטיל העבריין ובין הדרישה או הקבלה של דמי החסות מקורבנות העבירה</w:t>
      </w:r>
      <w:r w:rsidRPr="00AA5065">
        <w:rPr>
          <w:rFonts w:ascii="David" w:eastAsia="Calibri" w:hAnsi="David"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התיקון האמור לחוק העונשין הוגש כהצעת חוק פרטית שבדברי ההסבר שלה נכתב: "</w:t>
      </w:r>
      <w:r w:rsidRPr="00AA5065">
        <w:rPr>
          <w:rFonts w:ascii="David" w:eastAsia="Calibri" w:hAnsi="David"/>
          <w:rtl/>
        </w:rPr>
        <w:t xml:space="preserve">המציאות בשטח מוכיחה כי איום לשם סחיטת אדם או בעל עסק לא תמיד נעשה בצורה מפורשת וגלויה אלא באופן מרומז, בהסתמך על זהות המאיים, על זהות שולחו או על </w:t>
      </w:r>
      <w:r w:rsidRPr="00AA5065">
        <w:rPr>
          <w:rFonts w:ascii="David" w:eastAsia="Calibri" w:hAnsi="David" w:hint="cs"/>
          <w:rtl/>
        </w:rPr>
        <w:t>'</w:t>
      </w:r>
      <w:r w:rsidRPr="00AA5065">
        <w:rPr>
          <w:rFonts w:ascii="David" w:eastAsia="Calibri" w:hAnsi="David"/>
          <w:rtl/>
        </w:rPr>
        <w:t>השם</w:t>
      </w:r>
      <w:r w:rsidRPr="00AA5065">
        <w:rPr>
          <w:rFonts w:ascii="David" w:eastAsia="Calibri" w:hAnsi="David" w:hint="cs"/>
          <w:rtl/>
        </w:rPr>
        <w:t>'</w:t>
      </w:r>
      <w:r w:rsidRPr="00AA5065">
        <w:rPr>
          <w:rFonts w:ascii="David" w:eastAsia="Calibri" w:hAnsi="David"/>
          <w:rtl/>
        </w:rPr>
        <w:t xml:space="preserve"> שיצא לו באזור. בנוסף, המשטרה נתקלת במצבים בהם ארגוני פשע המתחזים לחברות שמירה גובות מבעלי עסקים כסף עבור </w:t>
      </w:r>
      <w:r w:rsidRPr="00AA5065">
        <w:rPr>
          <w:rFonts w:ascii="David" w:eastAsia="Calibri" w:hAnsi="David" w:hint="cs"/>
          <w:rtl/>
        </w:rPr>
        <w:t>'</w:t>
      </w:r>
      <w:r w:rsidRPr="00AA5065">
        <w:rPr>
          <w:rFonts w:ascii="David" w:eastAsia="Calibri" w:hAnsi="David"/>
          <w:rtl/>
        </w:rPr>
        <w:t>שירותי שמירה</w:t>
      </w:r>
      <w:r w:rsidRPr="00AA5065">
        <w:rPr>
          <w:rFonts w:ascii="David" w:eastAsia="Calibri" w:hAnsi="David" w:hint="cs"/>
          <w:rtl/>
        </w:rPr>
        <w:t>'</w:t>
      </w:r>
      <w:r w:rsidRPr="00AA5065">
        <w:rPr>
          <w:rFonts w:ascii="David" w:eastAsia="Calibri" w:hAnsi="David"/>
          <w:rtl/>
        </w:rPr>
        <w:t xml:space="preserve"> לכאורה, כאשר בפועל לא מסופק שירות כלשהו</w:t>
      </w:r>
      <w:r w:rsidRPr="00AA5065">
        <w:rPr>
          <w:rFonts w:ascii="David" w:eastAsia="Calibri" w:hAnsi="David" w:hint="cs"/>
          <w:rtl/>
        </w:rPr>
        <w:t>"</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סעיף 428א </w:t>
      </w:r>
      <w:r w:rsidRPr="00AA5065">
        <w:rPr>
          <w:rFonts w:ascii="David" w:eastAsia="Calibri" w:hAnsi="David" w:hint="cs"/>
          <w:rtl/>
        </w:rPr>
        <w:t>לחוק קובע כי בנוגע ל</w:t>
      </w:r>
      <w:r w:rsidRPr="00AA5065">
        <w:rPr>
          <w:rFonts w:ascii="David" w:eastAsia="Calibri" w:hAnsi="David"/>
          <w:rtl/>
        </w:rPr>
        <w:t>עביר</w:t>
      </w:r>
      <w:r w:rsidRPr="00AA5065">
        <w:rPr>
          <w:rFonts w:ascii="David" w:eastAsia="Calibri" w:hAnsi="David" w:hint="cs"/>
          <w:rtl/>
        </w:rPr>
        <w:t>ת</w:t>
      </w:r>
      <w:r w:rsidRPr="00AA5065">
        <w:rPr>
          <w:rFonts w:ascii="David" w:eastAsia="Calibri" w:hAnsi="David"/>
          <w:rtl/>
        </w:rPr>
        <w:t xml:space="preserve"> גביית דמי חסות </w:t>
      </w:r>
      <w:r w:rsidRPr="00AA5065">
        <w:rPr>
          <w:rFonts w:ascii="David" w:eastAsia="Calibri" w:hAnsi="David" w:hint="cs"/>
          <w:rtl/>
        </w:rPr>
        <w:t xml:space="preserve">קיימות </w:t>
      </w:r>
      <w:r w:rsidRPr="00AA5065">
        <w:rPr>
          <w:rFonts w:ascii="David" w:eastAsia="Calibri" w:hAnsi="David"/>
          <w:rtl/>
        </w:rPr>
        <w:t>שתי דרגות</w:t>
      </w:r>
      <w:r w:rsidRPr="00AA5065">
        <w:rPr>
          <w:rFonts w:ascii="David" w:eastAsia="Calibri" w:hAnsi="David" w:hint="cs"/>
          <w:rtl/>
        </w:rPr>
        <w:t xml:space="preserve"> </w:t>
      </w:r>
      <w:r w:rsidRPr="00AA5065">
        <w:rPr>
          <w:rFonts w:ascii="David" w:eastAsia="Calibri" w:hAnsi="David"/>
          <w:rtl/>
        </w:rPr>
        <w:t>לעבירה של גביית דמי חסות:‏</w:t>
      </w:r>
      <w:r w:rsidRPr="00AA5065">
        <w:rPr>
          <w:rFonts w:ascii="David" w:eastAsia="Calibri" w:hAnsi="David" w:hint="cs"/>
          <w:rtl/>
        </w:rPr>
        <w:t xml:space="preserve"> (</w:t>
      </w:r>
      <w:r w:rsidRPr="00AA5065">
        <w:rPr>
          <w:rFonts w:ascii="David" w:eastAsia="Calibri" w:hAnsi="David"/>
          <w:rtl/>
        </w:rPr>
        <w:t>א</w:t>
      </w:r>
      <w:r w:rsidRPr="00AA5065">
        <w:rPr>
          <w:rFonts w:ascii="David" w:eastAsia="Calibri" w:hAnsi="David" w:hint="cs"/>
          <w:rtl/>
        </w:rPr>
        <w:t>)</w:t>
      </w:r>
      <w:r w:rsidRPr="00AA5065">
        <w:rPr>
          <w:rFonts w:ascii="David" w:eastAsia="Calibri" w:hAnsi="David"/>
          <w:rtl/>
        </w:rPr>
        <w:t xml:space="preserve"> גביית דמי חסות </w:t>
      </w:r>
      <w:r w:rsidRPr="00AA5065">
        <w:rPr>
          <w:rFonts w:ascii="David" w:eastAsia="Calibri" w:hAnsi="David" w:hint="cs"/>
          <w:rtl/>
        </w:rPr>
        <w:t>בדרך של</w:t>
      </w:r>
      <w:r w:rsidRPr="00AA5065">
        <w:rPr>
          <w:rFonts w:ascii="David" w:eastAsia="Calibri" w:hAnsi="David"/>
          <w:rtl/>
        </w:rPr>
        <w:t xml:space="preserve"> ניצול מצוק</w:t>
      </w:r>
      <w:r w:rsidRPr="00AA5065">
        <w:rPr>
          <w:rFonts w:ascii="David" w:eastAsia="Calibri" w:hAnsi="David" w:hint="cs"/>
          <w:rtl/>
        </w:rPr>
        <w:t>ה</w:t>
      </w:r>
      <w:r w:rsidRPr="00AA5065">
        <w:rPr>
          <w:rFonts w:ascii="David" w:eastAsia="Calibri" w:hAnsi="David"/>
          <w:rtl/>
        </w:rPr>
        <w:t xml:space="preserve"> </w:t>
      </w:r>
      <w:r w:rsidRPr="00AA5065">
        <w:rPr>
          <w:rFonts w:ascii="David" w:eastAsia="Calibri" w:hAnsi="David" w:hint="cs"/>
          <w:rtl/>
        </w:rPr>
        <w:t xml:space="preserve">של אדם שאין בה יסוד של איומים. נקבעה </w:t>
      </w:r>
      <w:r w:rsidRPr="00AA5065">
        <w:rPr>
          <w:rFonts w:ascii="David" w:eastAsia="Calibri" w:hAnsi="David"/>
          <w:rtl/>
        </w:rPr>
        <w:t xml:space="preserve">חזקה, </w:t>
      </w:r>
      <w:r w:rsidRPr="00AA5065">
        <w:rPr>
          <w:rFonts w:ascii="David" w:eastAsia="Calibri" w:hAnsi="David" w:hint="cs"/>
          <w:rtl/>
        </w:rPr>
        <w:t>ו</w:t>
      </w:r>
      <w:r w:rsidRPr="00AA5065">
        <w:rPr>
          <w:rFonts w:ascii="David" w:eastAsia="Calibri" w:hAnsi="David"/>
          <w:rtl/>
        </w:rPr>
        <w:t xml:space="preserve">לפיה אם התבצעו עבירות </w:t>
      </w:r>
      <w:r w:rsidRPr="00AA5065">
        <w:rPr>
          <w:rFonts w:ascii="David" w:eastAsia="Calibri" w:hAnsi="David" w:hint="cs"/>
          <w:rtl/>
        </w:rPr>
        <w:t>נגד ה</w:t>
      </w:r>
      <w:r w:rsidRPr="00AA5065">
        <w:rPr>
          <w:rFonts w:ascii="David" w:eastAsia="Calibri" w:hAnsi="David"/>
          <w:rtl/>
        </w:rPr>
        <w:t xml:space="preserve">גוף או </w:t>
      </w:r>
      <w:r w:rsidRPr="00AA5065">
        <w:rPr>
          <w:rFonts w:ascii="David" w:eastAsia="Calibri" w:hAnsi="David" w:hint="cs"/>
          <w:rtl/>
        </w:rPr>
        <w:t>ה</w:t>
      </w:r>
      <w:r w:rsidRPr="00AA5065">
        <w:rPr>
          <w:rFonts w:ascii="David" w:eastAsia="Calibri" w:hAnsi="David"/>
          <w:rtl/>
        </w:rPr>
        <w:t>רכוש בסביבת מגוריו או עסקיו של אדם, ש</w:t>
      </w:r>
      <w:r w:rsidRPr="00AA5065">
        <w:rPr>
          <w:rFonts w:ascii="David" w:eastAsia="Calibri" w:hAnsi="David" w:hint="cs"/>
          <w:rtl/>
        </w:rPr>
        <w:t xml:space="preserve">עלולות </w:t>
      </w:r>
      <w:r w:rsidRPr="00AA5065">
        <w:rPr>
          <w:rFonts w:ascii="David" w:eastAsia="Calibri" w:hAnsi="David"/>
          <w:rtl/>
        </w:rPr>
        <w:t xml:space="preserve">מעצם טיבן לגרום לחשש לפגיעה בגוף או ברכוש של האדם או </w:t>
      </w:r>
      <w:r w:rsidRPr="00AA5065">
        <w:rPr>
          <w:rFonts w:ascii="David" w:eastAsia="Calibri" w:hAnsi="David" w:hint="cs"/>
          <w:rtl/>
        </w:rPr>
        <w:t xml:space="preserve">של בני </w:t>
      </w:r>
      <w:r w:rsidRPr="00AA5065">
        <w:rPr>
          <w:rFonts w:ascii="David" w:eastAsia="Calibri" w:hAnsi="David"/>
          <w:rtl/>
        </w:rPr>
        <w:t>משפחתו</w:t>
      </w:r>
      <w:r w:rsidRPr="00AA5065">
        <w:rPr>
          <w:rFonts w:ascii="David" w:eastAsia="Calibri" w:hAnsi="David" w:hint="cs"/>
          <w:rtl/>
        </w:rPr>
        <w:t xml:space="preserve">, והאדם </w:t>
      </w:r>
      <w:r w:rsidRPr="00AA5065">
        <w:rPr>
          <w:rFonts w:ascii="David" w:eastAsia="Calibri" w:hAnsi="David"/>
          <w:rtl/>
        </w:rPr>
        <w:t xml:space="preserve">נדרש </w:t>
      </w:r>
      <w:r w:rsidRPr="00AA5065">
        <w:rPr>
          <w:rFonts w:ascii="David" w:eastAsia="Calibri" w:hAnsi="David" w:hint="cs"/>
          <w:rtl/>
        </w:rPr>
        <w:t>לשלם</w:t>
      </w:r>
      <w:r w:rsidRPr="00AA5065">
        <w:rPr>
          <w:rFonts w:ascii="David" w:eastAsia="Calibri" w:hAnsi="David"/>
          <w:rtl/>
        </w:rPr>
        <w:t xml:space="preserve"> תמורה באופן שיטתי או מתמשך, חזקה </w:t>
      </w:r>
      <w:r w:rsidRPr="00AA5065">
        <w:rPr>
          <w:rFonts w:ascii="David" w:eastAsia="Calibri" w:hAnsi="David" w:hint="cs"/>
          <w:rtl/>
        </w:rPr>
        <w:t xml:space="preserve">היא </w:t>
      </w:r>
      <w:r w:rsidRPr="00AA5065">
        <w:rPr>
          <w:rFonts w:ascii="David" w:eastAsia="Calibri" w:hAnsi="David"/>
          <w:rtl/>
        </w:rPr>
        <w:t>כי גוב</w:t>
      </w:r>
      <w:r w:rsidRPr="00AA5065">
        <w:rPr>
          <w:rFonts w:ascii="David" w:eastAsia="Calibri" w:hAnsi="David" w:hint="cs"/>
          <w:rtl/>
        </w:rPr>
        <w:t>ֶ</w:t>
      </w:r>
      <w:r w:rsidRPr="00AA5065">
        <w:rPr>
          <w:rFonts w:ascii="David" w:eastAsia="Calibri" w:hAnsi="David"/>
          <w:rtl/>
        </w:rPr>
        <w:t xml:space="preserve">ה דמי החסות ידע </w:t>
      </w:r>
      <w:r w:rsidRPr="00AA5065">
        <w:rPr>
          <w:rFonts w:ascii="David" w:eastAsia="Calibri" w:hAnsi="David" w:hint="cs"/>
          <w:rtl/>
        </w:rPr>
        <w:t>ש</w:t>
      </w:r>
      <w:r w:rsidRPr="00AA5065">
        <w:rPr>
          <w:rFonts w:ascii="David" w:eastAsia="Calibri" w:hAnsi="David"/>
          <w:rtl/>
        </w:rPr>
        <w:t>התמורה ניתנה עקב מצוקה של האדם, אלא אם כן הוכיח אחרת</w:t>
      </w:r>
      <w:r w:rsidRPr="00AA5065">
        <w:rPr>
          <w:rFonts w:ascii="David" w:eastAsia="Calibri" w:hAnsi="David" w:hint="cs"/>
          <w:rtl/>
        </w:rPr>
        <w:t xml:space="preserve">. </w:t>
      </w:r>
      <w:r w:rsidRPr="00AA5065">
        <w:rPr>
          <w:rFonts w:ascii="David" w:eastAsia="Calibri" w:hAnsi="David"/>
          <w:rtl/>
        </w:rPr>
        <w:t>העונש בגין עבירה זו ה</w:t>
      </w:r>
      <w:r w:rsidRPr="00AA5065">
        <w:rPr>
          <w:rFonts w:ascii="David" w:eastAsia="Calibri" w:hAnsi="David" w:hint="cs"/>
          <w:rtl/>
        </w:rPr>
        <w:t>וא</w:t>
      </w:r>
      <w:r w:rsidRPr="00AA5065">
        <w:rPr>
          <w:rFonts w:ascii="David" w:eastAsia="Calibri" w:hAnsi="David"/>
          <w:rtl/>
        </w:rPr>
        <w:t xml:space="preserve"> שש שנות מאסר</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w:t>
      </w:r>
      <w:r w:rsidRPr="00AA5065">
        <w:rPr>
          <w:rFonts w:ascii="David" w:eastAsia="Calibri" w:hAnsi="David"/>
          <w:rtl/>
        </w:rPr>
        <w:t>ב</w:t>
      </w:r>
      <w:r w:rsidRPr="00AA5065">
        <w:rPr>
          <w:rFonts w:ascii="David" w:eastAsia="Calibri" w:hAnsi="David" w:hint="cs"/>
          <w:rtl/>
        </w:rPr>
        <w:t>)</w:t>
      </w:r>
      <w:r w:rsidRPr="00AA5065">
        <w:rPr>
          <w:rFonts w:ascii="David" w:eastAsia="Calibri" w:hAnsi="David"/>
          <w:rtl/>
        </w:rPr>
        <w:t xml:space="preserve"> גביית דמי חסות תוך כדי איום</w:t>
      </w:r>
      <w:r w:rsidRPr="00AA5065">
        <w:rPr>
          <w:rFonts w:ascii="David" w:eastAsia="Calibri" w:hAnsi="David" w:hint="cs"/>
          <w:rtl/>
        </w:rPr>
        <w:t xml:space="preserve"> על אדם בכתב, בעל פה או בהתנהגות.</w:t>
      </w:r>
      <w:r w:rsidRPr="00AA5065">
        <w:rPr>
          <w:rFonts w:ascii="David" w:eastAsia="Calibri" w:hAnsi="David"/>
          <w:rtl/>
        </w:rPr>
        <w:t xml:space="preserve"> העונש בגין עבירה זו ה</w:t>
      </w:r>
      <w:r w:rsidRPr="00AA5065">
        <w:rPr>
          <w:rFonts w:ascii="David" w:eastAsia="Calibri" w:hAnsi="David" w:hint="cs"/>
          <w:rtl/>
        </w:rPr>
        <w:t>וא</w:t>
      </w:r>
      <w:r w:rsidRPr="00AA5065">
        <w:rPr>
          <w:rFonts w:ascii="David" w:eastAsia="Calibri" w:hAnsi="David"/>
          <w:rtl/>
        </w:rPr>
        <w:t xml:space="preserve"> שבע שנות מאסר</w:t>
      </w:r>
      <w:r w:rsidRPr="00AA5065">
        <w:rPr>
          <w:rFonts w:ascii="David" w:eastAsia="Calibri" w:hAnsi="David" w:hint="cs"/>
          <w:rtl/>
        </w:rPr>
        <w:t xml:space="preserve">, ואם נעתר האדם ונתן דבר או תמורה מפני איום או הטלת אימה כאמור - תשע שנות מאסר.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סעיף 428ב </w:t>
      </w:r>
      <w:r w:rsidRPr="00AA5065">
        <w:rPr>
          <w:rFonts w:ascii="David" w:eastAsia="Calibri" w:hAnsi="David" w:hint="cs"/>
          <w:rtl/>
        </w:rPr>
        <w:t>נקבע</w:t>
      </w:r>
      <w:r w:rsidRPr="00AA5065">
        <w:rPr>
          <w:rFonts w:ascii="David" w:eastAsia="Calibri" w:hAnsi="David"/>
          <w:rtl/>
        </w:rPr>
        <w:t xml:space="preserve"> כהוראת שעה</w:t>
      </w:r>
      <w:r>
        <w:rPr>
          <w:rFonts w:ascii="David" w:eastAsia="Calibri" w:hAnsi="David"/>
          <w:vertAlign w:val="superscript"/>
          <w:rtl/>
        </w:rPr>
        <w:footnoteReference w:id="106"/>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 xml:space="preserve">וקובע כי </w:t>
      </w:r>
      <w:r w:rsidRPr="00AA5065">
        <w:rPr>
          <w:rFonts w:ascii="David" w:eastAsia="Calibri" w:hAnsi="David"/>
          <w:rtl/>
        </w:rPr>
        <w:t xml:space="preserve">עונש </w:t>
      </w:r>
      <w:r w:rsidRPr="00AA5065">
        <w:rPr>
          <w:rFonts w:ascii="David" w:eastAsia="Calibri" w:hAnsi="David" w:hint="cs"/>
          <w:rtl/>
        </w:rPr>
        <w:t>ה</w:t>
      </w:r>
      <w:r w:rsidRPr="00AA5065">
        <w:rPr>
          <w:rFonts w:ascii="David" w:eastAsia="Calibri" w:hAnsi="David"/>
          <w:rtl/>
        </w:rPr>
        <w:t xml:space="preserve">מאסר </w:t>
      </w:r>
      <w:r w:rsidRPr="00AA5065">
        <w:rPr>
          <w:rFonts w:ascii="David" w:eastAsia="Calibri" w:hAnsi="David" w:hint="cs"/>
          <w:rtl/>
        </w:rPr>
        <w:t>המזערי בגין הרשעה בעבירה של גביית דמי חסות</w:t>
      </w:r>
      <w:r w:rsidRPr="00AA5065">
        <w:rPr>
          <w:rFonts w:ascii="David" w:eastAsia="Calibri" w:hAnsi="David"/>
          <w:rtl/>
        </w:rPr>
        <w:t xml:space="preserve">, אלא אם </w:t>
      </w:r>
      <w:r w:rsidRPr="00AA5065">
        <w:rPr>
          <w:rFonts w:ascii="David" w:eastAsia="Calibri" w:hAnsi="David" w:hint="cs"/>
          <w:rtl/>
        </w:rPr>
        <w:t xml:space="preserve">כן </w:t>
      </w:r>
      <w:r w:rsidRPr="00AA5065">
        <w:rPr>
          <w:rFonts w:ascii="David" w:eastAsia="Calibri" w:hAnsi="David"/>
          <w:rtl/>
        </w:rPr>
        <w:t xml:space="preserve">החליט בית המשפט, מטעמים מיוחדים שיירשמו, להקל בעונשו של העבריין. נוסף </w:t>
      </w:r>
      <w:r w:rsidRPr="00AA5065">
        <w:rPr>
          <w:rFonts w:ascii="David" w:eastAsia="Calibri" w:hAnsi="David" w:hint="cs"/>
          <w:rtl/>
        </w:rPr>
        <w:t>ע</w:t>
      </w:r>
      <w:r w:rsidRPr="00AA5065">
        <w:rPr>
          <w:rFonts w:ascii="David" w:eastAsia="Calibri" w:hAnsi="David"/>
          <w:rtl/>
        </w:rPr>
        <w:t>ל</w:t>
      </w:r>
      <w:r w:rsidRPr="00AA5065">
        <w:rPr>
          <w:rFonts w:ascii="David" w:eastAsia="Calibri" w:hAnsi="David" w:hint="cs"/>
          <w:rtl/>
        </w:rPr>
        <w:t xml:space="preserve"> </w:t>
      </w:r>
      <w:r w:rsidRPr="00AA5065">
        <w:rPr>
          <w:rFonts w:ascii="David" w:eastAsia="Calibri" w:hAnsi="David"/>
          <w:rtl/>
        </w:rPr>
        <w:t xml:space="preserve">כל עונש </w:t>
      </w:r>
      <w:r w:rsidRPr="00AA5065">
        <w:rPr>
          <w:rFonts w:ascii="David" w:eastAsia="Calibri" w:hAnsi="David" w:hint="cs"/>
          <w:rtl/>
        </w:rPr>
        <w:t>שנקבע</w:t>
      </w:r>
      <w:r w:rsidRPr="00AA5065">
        <w:rPr>
          <w:rFonts w:ascii="David" w:eastAsia="Calibri" w:hAnsi="David"/>
          <w:rtl/>
        </w:rPr>
        <w:t xml:space="preserve"> </w:t>
      </w:r>
      <w:r w:rsidRPr="00AA5065">
        <w:rPr>
          <w:rFonts w:ascii="David" w:eastAsia="Calibri" w:hAnsi="David" w:hint="cs"/>
          <w:rtl/>
        </w:rPr>
        <w:t>ב</w:t>
      </w:r>
      <w:r w:rsidRPr="00AA5065">
        <w:rPr>
          <w:rFonts w:ascii="David" w:eastAsia="Calibri" w:hAnsi="David"/>
          <w:rtl/>
        </w:rPr>
        <w:t>גזר הדין</w:t>
      </w:r>
      <w:r w:rsidRPr="00AA5065">
        <w:rPr>
          <w:rFonts w:ascii="David" w:eastAsia="Calibri" w:hAnsi="David" w:hint="cs"/>
          <w:rtl/>
        </w:rPr>
        <w:t xml:space="preserve"> יורה בית המשפט על חילוט לאוצר המדינה של כל רכוש שהושג כתוצאה מביצוע העבירה, אלא אם כן סבר שלא לעשות כן מנימוקים מיוחדים שיפרט. הסעיף גם קובע הסדר של</w:t>
      </w:r>
      <w:r w:rsidRPr="00AA5065">
        <w:rPr>
          <w:rFonts w:ascii="David" w:eastAsia="Calibri" w:hAnsi="David"/>
          <w:rtl/>
        </w:rPr>
        <w:t xml:space="preserve"> חילוט בהליך אזרחי, גם אם לא הואשם או לא הורש</w:t>
      </w:r>
      <w:r w:rsidRPr="00AA5065">
        <w:rPr>
          <w:rFonts w:ascii="David" w:eastAsia="Calibri" w:hAnsi="David" w:hint="cs"/>
          <w:rtl/>
        </w:rPr>
        <w:t>ע</w:t>
      </w:r>
      <w:r w:rsidRPr="00AA5065">
        <w:rPr>
          <w:rFonts w:ascii="David" w:eastAsia="Calibri" w:hAnsi="David"/>
          <w:rtl/>
        </w:rPr>
        <w:t xml:space="preserve"> אדם בעבירה, בהתקיימות התנאים הקבועים בסעיף</w:t>
      </w:r>
      <w:r w:rsidRPr="00AA5065">
        <w:rPr>
          <w:rFonts w:ascii="David" w:eastAsia="Calibri" w:hAnsi="David"/>
        </w:rPr>
        <w:t>.</w:t>
      </w:r>
      <w:r w:rsidRPr="00AA5065">
        <w:rPr>
          <w:rFonts w:ascii="David" w:eastAsia="Calibri" w:hAnsi="David" w:hint="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b/>
          <w:bCs/>
          <w:rtl/>
        </w:rPr>
        <w:t>מפרקליטות מחוז דרום (פלילי)</w:t>
      </w:r>
      <w:r w:rsidRPr="00AA5065">
        <w:rPr>
          <w:rFonts w:ascii="David" w:eastAsia="Calibri" w:hAnsi="David"/>
          <w:rtl/>
        </w:rPr>
        <w:t xml:space="preserve"> </w:t>
      </w:r>
      <w:r w:rsidRPr="00AA5065">
        <w:rPr>
          <w:rFonts w:ascii="David" w:eastAsia="Calibri" w:hAnsi="David"/>
          <w:b/>
          <w:bCs/>
          <w:rtl/>
        </w:rPr>
        <w:t>נמסר</w:t>
      </w:r>
      <w:r w:rsidRPr="00AA5065">
        <w:rPr>
          <w:rFonts w:eastAsia="Calibri" w:hint="cs"/>
          <w:rtl/>
        </w:rPr>
        <w:t xml:space="preserve"> </w:t>
      </w:r>
      <w:r w:rsidRPr="00AA5065">
        <w:rPr>
          <w:rFonts w:ascii="David" w:eastAsia="Calibri" w:hAnsi="David" w:hint="eastAsia"/>
          <w:b/>
          <w:bCs/>
          <w:rtl/>
        </w:rPr>
        <w:t>כי</w:t>
      </w:r>
      <w:r w:rsidRPr="00AA5065">
        <w:rPr>
          <w:rFonts w:ascii="David" w:eastAsia="Calibri" w:hAnsi="David"/>
          <w:b/>
          <w:bCs/>
          <w:rtl/>
        </w:rPr>
        <w:t xml:space="preserve"> "</w:t>
      </w:r>
      <w:r w:rsidRPr="00AA5065">
        <w:rPr>
          <w:rFonts w:ascii="David" w:eastAsia="Calibri" w:hAnsi="David" w:hint="eastAsia"/>
          <w:b/>
          <w:bCs/>
          <w:rtl/>
        </w:rPr>
        <w:t>עד</w:t>
      </w:r>
      <w:r w:rsidRPr="00AA5065">
        <w:rPr>
          <w:rFonts w:ascii="David" w:eastAsia="Calibri" w:hAnsi="David"/>
          <w:b/>
          <w:bCs/>
          <w:rtl/>
        </w:rPr>
        <w:t xml:space="preserve"> כה הוגשו במחוז הדרום ארבעה כתבי אישום בעבירות מכוח סעיפים אלה, </w:t>
      </w:r>
      <w:r w:rsidRPr="00AA5065">
        <w:rPr>
          <w:rFonts w:ascii="David" w:eastAsia="Calibri" w:hAnsi="David" w:hint="eastAsia"/>
          <w:b/>
          <w:bCs/>
          <w:rtl/>
        </w:rPr>
        <w:t>ו</w:t>
      </w:r>
      <w:r w:rsidRPr="00AA5065">
        <w:rPr>
          <w:rFonts w:ascii="David" w:eastAsia="Calibri" w:hAnsi="David"/>
          <w:b/>
          <w:bCs/>
          <w:rtl/>
        </w:rPr>
        <w:t xml:space="preserve">תיק נוסף נמצא בשלבים מתקדמים של הכנה. הסיבה לשיטתנו לשימוש המצומצם יחסית בסעיף היא שמדובר בהוראת חוק חדשה, שדורשת הטמעה הן בקרב היחידות החוקרות והן בקרב הפרקליטים (ובהמשך בידי ביהמ"ש). טעם נוסף הוא שהגם שסעיף 428א אינו דורש השמעת איום כנגד הקורבן, הרי שעדיין נדרשת הוכחת מחשבה פלילית, הכוללת מודעות לכך שהקורבן משלם מתוך מצוקה או לחילופין להוכיח את תנאי החזקה הראייתית שאינה קלה להוכחה ברמה הנדרשת בפלילים. עוד יש לציין כי החזקה חלה רק בשתיים משלושת החלופות של הסעיף". </w:t>
      </w:r>
      <w:r w:rsidRPr="00AA5065">
        <w:rPr>
          <w:rFonts w:ascii="David" w:eastAsia="Calibri" w:hAnsi="David" w:hint="eastAsia"/>
          <w:b/>
          <w:bCs/>
          <w:rtl/>
        </w:rPr>
        <w:t>פרקליט</w:t>
      </w:r>
      <w:r w:rsidRPr="00AA5065">
        <w:rPr>
          <w:rFonts w:ascii="David" w:eastAsia="Calibri" w:hAnsi="David"/>
          <w:b/>
          <w:bCs/>
          <w:rtl/>
        </w:rPr>
        <w:t xml:space="preserve"> </w:t>
      </w:r>
      <w:r w:rsidRPr="00AA5065">
        <w:rPr>
          <w:rFonts w:ascii="David" w:eastAsia="Calibri" w:hAnsi="David" w:hint="eastAsia"/>
          <w:b/>
          <w:bCs/>
          <w:rtl/>
        </w:rPr>
        <w:t>המחוז</w:t>
      </w:r>
      <w:r w:rsidRPr="00AA5065">
        <w:rPr>
          <w:rFonts w:ascii="David" w:eastAsia="Calibri" w:hAnsi="David"/>
          <w:b/>
          <w:bCs/>
          <w:rtl/>
        </w:rPr>
        <w:t xml:space="preserve"> </w:t>
      </w:r>
      <w:r w:rsidRPr="00AA5065">
        <w:rPr>
          <w:rFonts w:ascii="David" w:eastAsia="Calibri" w:hAnsi="David" w:hint="eastAsia"/>
          <w:b/>
          <w:bCs/>
          <w:rtl/>
        </w:rPr>
        <w:t>מסר</w:t>
      </w:r>
      <w:r w:rsidRPr="00AA5065">
        <w:rPr>
          <w:rFonts w:ascii="David" w:eastAsia="Calibri" w:hAnsi="David"/>
          <w:b/>
          <w:bCs/>
          <w:rtl/>
        </w:rPr>
        <w:t xml:space="preserve"> </w:t>
      </w:r>
      <w:r w:rsidRPr="00AA5065">
        <w:rPr>
          <w:rFonts w:ascii="David" w:eastAsia="Calibri" w:hAnsi="David" w:hint="eastAsia"/>
          <w:b/>
          <w:bCs/>
          <w:rtl/>
        </w:rPr>
        <w:t>לצוות</w:t>
      </w:r>
      <w:r w:rsidRPr="00AA5065">
        <w:rPr>
          <w:rFonts w:ascii="David" w:eastAsia="Calibri" w:hAnsi="David"/>
          <w:b/>
          <w:bCs/>
          <w:rtl/>
        </w:rPr>
        <w:t xml:space="preserve"> </w:t>
      </w:r>
      <w:r w:rsidRPr="00AA5065">
        <w:rPr>
          <w:rFonts w:ascii="David" w:eastAsia="Calibri" w:hAnsi="David" w:hint="eastAsia"/>
          <w:b/>
          <w:bCs/>
          <w:rtl/>
        </w:rPr>
        <w:t>הביקורת</w:t>
      </w:r>
      <w:r w:rsidRPr="00AA5065">
        <w:rPr>
          <w:rFonts w:ascii="David" w:eastAsia="Calibri" w:hAnsi="David"/>
          <w:b/>
          <w:bCs/>
          <w:rtl/>
        </w:rPr>
        <w:t xml:space="preserve"> </w:t>
      </w:r>
      <w:r w:rsidRPr="00AA5065">
        <w:rPr>
          <w:rFonts w:ascii="David" w:eastAsia="Calibri" w:hAnsi="David" w:hint="eastAsia"/>
          <w:b/>
          <w:bCs/>
          <w:rtl/>
        </w:rPr>
        <w:t>בנובמבר</w:t>
      </w:r>
      <w:r w:rsidRPr="00AA5065">
        <w:rPr>
          <w:rFonts w:ascii="David" w:eastAsia="Calibri" w:hAnsi="David"/>
          <w:b/>
          <w:bCs/>
          <w:rtl/>
        </w:rPr>
        <w:t xml:space="preserve"> 2024 </w:t>
      </w:r>
      <w:r w:rsidRPr="00AA5065">
        <w:rPr>
          <w:rFonts w:ascii="David" w:eastAsia="Calibri" w:hAnsi="David" w:hint="eastAsia"/>
          <w:b/>
          <w:bCs/>
          <w:rtl/>
        </w:rPr>
        <w:t>כי</w:t>
      </w:r>
      <w:r w:rsidRPr="00AA5065">
        <w:rPr>
          <w:rFonts w:ascii="David" w:eastAsia="Calibri" w:hAnsi="David"/>
          <w:b/>
          <w:bCs/>
          <w:rtl/>
        </w:rPr>
        <w:t xml:space="preserve"> </w:t>
      </w:r>
      <w:r w:rsidRPr="00AA5065">
        <w:rPr>
          <w:rFonts w:ascii="David" w:eastAsia="Calibri" w:hAnsi="David" w:hint="eastAsia"/>
          <w:b/>
          <w:bCs/>
          <w:rtl/>
        </w:rPr>
        <w:t>יש</w:t>
      </w:r>
      <w:r w:rsidRPr="00AA5065">
        <w:rPr>
          <w:rFonts w:ascii="David" w:eastAsia="Calibri" w:hAnsi="David"/>
          <w:b/>
          <w:bCs/>
          <w:rtl/>
        </w:rPr>
        <w:t xml:space="preserve"> </w:t>
      </w:r>
      <w:r w:rsidRPr="00AA5065">
        <w:rPr>
          <w:rFonts w:ascii="David" w:eastAsia="Calibri" w:hAnsi="David" w:hint="eastAsia"/>
          <w:b/>
          <w:bCs/>
          <w:rtl/>
        </w:rPr>
        <w:t>מעט</w:t>
      </w:r>
      <w:r w:rsidRPr="00AA5065">
        <w:rPr>
          <w:rFonts w:ascii="David" w:eastAsia="Calibri" w:hAnsi="David"/>
          <w:b/>
          <w:bCs/>
          <w:rtl/>
        </w:rPr>
        <w:t xml:space="preserve"> </w:t>
      </w:r>
      <w:r w:rsidRPr="00AA5065">
        <w:rPr>
          <w:rFonts w:ascii="David" w:eastAsia="Calibri" w:hAnsi="David" w:hint="eastAsia"/>
          <w:b/>
          <w:bCs/>
          <w:rtl/>
        </w:rPr>
        <w:t>מאוד</w:t>
      </w:r>
      <w:r w:rsidRPr="00AA5065">
        <w:rPr>
          <w:rFonts w:ascii="David" w:eastAsia="Calibri" w:hAnsi="David"/>
          <w:b/>
          <w:bCs/>
          <w:rtl/>
        </w:rPr>
        <w:t xml:space="preserve"> </w:t>
      </w:r>
      <w:r w:rsidRPr="00AA5065">
        <w:rPr>
          <w:rFonts w:ascii="David" w:eastAsia="Calibri" w:hAnsi="David" w:hint="eastAsia"/>
          <w:b/>
          <w:bCs/>
          <w:rtl/>
        </w:rPr>
        <w:t>סיטואציות</w:t>
      </w:r>
      <w:r w:rsidRPr="00AA5065">
        <w:rPr>
          <w:rFonts w:ascii="David" w:eastAsia="Calibri" w:hAnsi="David"/>
          <w:b/>
          <w:bCs/>
          <w:rtl/>
        </w:rPr>
        <w:t xml:space="preserve"> </w:t>
      </w:r>
      <w:r w:rsidRPr="00AA5065">
        <w:rPr>
          <w:rFonts w:ascii="David" w:eastAsia="Calibri" w:hAnsi="David" w:hint="eastAsia"/>
          <w:b/>
          <w:bCs/>
          <w:rtl/>
        </w:rPr>
        <w:t>שבהן</w:t>
      </w:r>
      <w:r w:rsidRPr="00AA5065">
        <w:rPr>
          <w:rFonts w:ascii="David" w:eastAsia="Calibri" w:hAnsi="David"/>
          <w:b/>
          <w:bCs/>
          <w:rtl/>
        </w:rPr>
        <w:t xml:space="preserve"> </w:t>
      </w:r>
      <w:r w:rsidRPr="00AA5065">
        <w:rPr>
          <w:rFonts w:ascii="David" w:eastAsia="Calibri" w:hAnsi="David" w:hint="eastAsia"/>
          <w:b/>
          <w:bCs/>
          <w:rtl/>
        </w:rPr>
        <w:t>התיקון</w:t>
      </w:r>
      <w:r w:rsidRPr="00AA5065">
        <w:rPr>
          <w:rFonts w:ascii="David" w:eastAsia="Calibri" w:hAnsi="David"/>
          <w:b/>
          <w:bCs/>
          <w:rtl/>
        </w:rPr>
        <w:t xml:space="preserve"> </w:t>
      </w:r>
      <w:r w:rsidRPr="00AA5065">
        <w:rPr>
          <w:rFonts w:ascii="David" w:eastAsia="Calibri" w:hAnsi="David" w:hint="cs"/>
          <w:b/>
          <w:bCs/>
          <w:rtl/>
        </w:rPr>
        <w:t xml:space="preserve">לחוק </w:t>
      </w:r>
      <w:r w:rsidRPr="00AA5065">
        <w:rPr>
          <w:rFonts w:ascii="David" w:eastAsia="Calibri" w:hAnsi="David" w:hint="eastAsia"/>
          <w:b/>
          <w:bCs/>
          <w:rtl/>
        </w:rPr>
        <w:t>יכול</w:t>
      </w:r>
      <w:r w:rsidRPr="00AA5065">
        <w:rPr>
          <w:rFonts w:ascii="David" w:eastAsia="Calibri" w:hAnsi="David"/>
          <w:b/>
          <w:bCs/>
          <w:rtl/>
        </w:rPr>
        <w:t xml:space="preserve"> </w:t>
      </w:r>
      <w:r w:rsidRPr="00AA5065">
        <w:rPr>
          <w:rFonts w:ascii="David" w:eastAsia="Calibri" w:hAnsi="David" w:hint="eastAsia"/>
          <w:b/>
          <w:bCs/>
          <w:rtl/>
        </w:rPr>
        <w:t>לסייע</w:t>
      </w:r>
      <w:r w:rsidRPr="00AA5065">
        <w:rPr>
          <w:rFonts w:ascii="David" w:eastAsia="Calibri" w:hAnsi="David"/>
          <w:b/>
          <w:bCs/>
          <w:rtl/>
        </w:rPr>
        <w:t xml:space="preserve"> בפועל.</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Pr>
      </w:pPr>
      <w:bookmarkStart w:id="96" w:name="_Hlk205811340"/>
      <w:bookmarkStart w:id="97" w:name="_Hlk205720110"/>
      <w:r w:rsidRPr="00AA5065">
        <w:rPr>
          <w:rFonts w:ascii="David" w:eastAsia="Calibri" w:hAnsi="David" w:hint="cs"/>
          <w:b/>
          <w:bCs/>
          <w:rtl/>
        </w:rPr>
        <w:t>כאמור, תיקון 146 לחוק העונשין (אוגוסט 2023) נועד להתמודד עם פעילות עבריינית של גביית דמי חסות שאינה כוללת בהכרח ‏איומים ישירים על הקורבן, דבר ‏המקשה על הוכחת קשר סיבתי בין האימה שמטיל העבריין לבין דרישת דמי ‏החסות או קבלתם. בביקורת זו נמצא כי ממועד תיקון 146‏ נפתחו בפרקליטות מחוז דרום חמישה תיקים בלבד שכללו את סעיף 428א לחוק העונשין. בארבעה מהם הוגש כתב אישום, ותיק נוסף נמצא בשלבים מתקדמים של הכנה</w:t>
      </w:r>
      <w:bookmarkEnd w:id="96"/>
      <w:r w:rsidRPr="00AA5065">
        <w:rPr>
          <w:rFonts w:ascii="David" w:eastAsia="Calibri" w:hAnsi="David"/>
          <w:b/>
          <w:b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b/>
          <w:bCs/>
          <w:rtl/>
        </w:rPr>
        <w:t>מומלץ כי הפרקליטות ו</w:t>
      </w:r>
      <w:r w:rsidRPr="00AA5065">
        <w:rPr>
          <w:rFonts w:ascii="David" w:eastAsia="Calibri" w:hAnsi="David" w:hint="cs"/>
          <w:b/>
          <w:bCs/>
          <w:rtl/>
        </w:rPr>
        <w:t>ה</w:t>
      </w:r>
      <w:r w:rsidRPr="00AA5065">
        <w:rPr>
          <w:rFonts w:ascii="David" w:eastAsia="Calibri" w:hAnsi="David"/>
          <w:b/>
          <w:bCs/>
          <w:rtl/>
        </w:rPr>
        <w:t>משטר</w:t>
      </w:r>
      <w:r w:rsidRPr="00AA5065">
        <w:rPr>
          <w:rFonts w:ascii="David" w:eastAsia="Calibri" w:hAnsi="David" w:hint="cs"/>
          <w:b/>
          <w:bCs/>
          <w:rtl/>
        </w:rPr>
        <w:t>ה יגבירו את</w:t>
      </w:r>
      <w:r w:rsidRPr="00AA5065">
        <w:rPr>
          <w:rFonts w:ascii="David" w:eastAsia="Calibri" w:hAnsi="David"/>
          <w:b/>
          <w:bCs/>
          <w:rtl/>
        </w:rPr>
        <w:t xml:space="preserve"> יישום </w:t>
      </w:r>
      <w:r w:rsidRPr="00AA5065">
        <w:rPr>
          <w:rFonts w:ascii="David" w:eastAsia="Calibri" w:hAnsi="David" w:hint="cs"/>
          <w:b/>
          <w:bCs/>
          <w:rtl/>
        </w:rPr>
        <w:t>הסעיפים הייעודיים לעבירת סחיטת דמי חסות</w:t>
      </w:r>
      <w:r w:rsidRPr="00AA5065">
        <w:rPr>
          <w:rFonts w:ascii="David" w:eastAsia="Calibri" w:hAnsi="David"/>
          <w:b/>
          <w:bCs/>
          <w:rtl/>
        </w:rPr>
        <w:t xml:space="preserve">, </w:t>
      </w:r>
      <w:r w:rsidRPr="00AA5065">
        <w:rPr>
          <w:rFonts w:ascii="David" w:eastAsia="Calibri" w:hAnsi="David" w:hint="cs"/>
          <w:b/>
          <w:bCs/>
          <w:rtl/>
        </w:rPr>
        <w:t xml:space="preserve">בשילוב אכיפה כלכלית וחילוט רכוש, וזאת תוך חיזוק </w:t>
      </w:r>
      <w:r w:rsidRPr="00AA5065">
        <w:rPr>
          <w:rFonts w:ascii="David" w:eastAsia="Calibri" w:hAnsi="David"/>
          <w:b/>
          <w:bCs/>
          <w:rtl/>
        </w:rPr>
        <w:t xml:space="preserve">שיתוף </w:t>
      </w:r>
      <w:r w:rsidRPr="00AA5065">
        <w:rPr>
          <w:rFonts w:ascii="David" w:eastAsia="Calibri" w:hAnsi="David" w:hint="cs"/>
          <w:b/>
          <w:bCs/>
          <w:rtl/>
        </w:rPr>
        <w:t>ה</w:t>
      </w:r>
      <w:r w:rsidRPr="00AA5065">
        <w:rPr>
          <w:rFonts w:ascii="David" w:eastAsia="Calibri" w:hAnsi="David"/>
          <w:b/>
          <w:bCs/>
          <w:rtl/>
        </w:rPr>
        <w:t>פעולה</w:t>
      </w:r>
      <w:r w:rsidRPr="00AA5065">
        <w:rPr>
          <w:rFonts w:ascii="David" w:eastAsia="Calibri" w:hAnsi="David" w:hint="cs"/>
          <w:b/>
          <w:bCs/>
          <w:rtl/>
        </w:rPr>
        <w:t xml:space="preserve"> ביניהם</w:t>
      </w:r>
      <w:r w:rsidRPr="00AA5065">
        <w:rPr>
          <w:rFonts w:ascii="David" w:eastAsia="Calibri" w:hAnsi="David"/>
          <w:b/>
          <w:bCs/>
          <w:rtl/>
        </w:rPr>
        <w:t xml:space="preserve">, </w:t>
      </w:r>
      <w:r w:rsidRPr="00AA5065">
        <w:rPr>
          <w:rFonts w:ascii="David" w:eastAsia="Calibri" w:hAnsi="David" w:hint="cs"/>
          <w:b/>
          <w:bCs/>
          <w:rtl/>
        </w:rPr>
        <w:t>כדי</w:t>
      </w:r>
      <w:r w:rsidRPr="00AA5065">
        <w:rPr>
          <w:rFonts w:ascii="David" w:eastAsia="Calibri" w:hAnsi="David"/>
          <w:b/>
          <w:bCs/>
          <w:rtl/>
        </w:rPr>
        <w:t xml:space="preserve"> לסייע למיגור </w:t>
      </w:r>
      <w:r w:rsidRPr="00AA5065">
        <w:rPr>
          <w:rFonts w:ascii="David" w:eastAsia="Calibri" w:hAnsi="David" w:hint="cs"/>
          <w:b/>
          <w:bCs/>
          <w:rtl/>
        </w:rPr>
        <w:t>ה</w:t>
      </w:r>
      <w:r w:rsidRPr="00AA5065">
        <w:rPr>
          <w:rFonts w:ascii="David" w:eastAsia="Calibri" w:hAnsi="David"/>
          <w:b/>
          <w:bCs/>
          <w:rtl/>
        </w:rPr>
        <w:t>תופע</w:t>
      </w:r>
      <w:r w:rsidRPr="00AA5065">
        <w:rPr>
          <w:rFonts w:ascii="David" w:eastAsia="Calibri" w:hAnsi="David" w:hint="cs"/>
          <w:b/>
          <w:bCs/>
          <w:rtl/>
        </w:rPr>
        <w:t>ה</w:t>
      </w:r>
      <w:bookmarkEnd w:id="97"/>
      <w:r w:rsidRPr="00AA5065">
        <w:rPr>
          <w:rFonts w:ascii="David" w:eastAsia="Calibri" w:hAnsi="David" w:hint="cs"/>
          <w:b/>
          <w:bCs/>
          <w:rtl/>
        </w:rPr>
        <w:t>.</w:t>
      </w:r>
    </w:p>
    <w:p w:rsidR="00AA5065" w:rsidRPr="00AA5065" w:rsidP="00860D89">
      <w:pPr>
        <w:spacing w:line="269" w:lineRule="auto"/>
        <w:rPr>
          <w:rFonts w:eastAsia="Calibri"/>
          <w:rtl/>
        </w:rPr>
      </w:pPr>
    </w:p>
    <w:p w:rsidR="00306A17" w:rsidP="00860D89">
      <w:pPr>
        <w:keepNext/>
        <w:keepLines/>
        <w:spacing w:line="269" w:lineRule="auto"/>
        <w:outlineLvl w:val="4"/>
        <w:rPr>
          <w:rFonts w:eastAsia="Times New Roman"/>
          <w:bCs/>
          <w:spacing w:val="40"/>
          <w:rtl/>
        </w:rPr>
      </w:pPr>
    </w:p>
    <w:p w:rsidR="00306A17">
      <w:pPr>
        <w:bidi w:val="0"/>
        <w:spacing w:after="200" w:line="276" w:lineRule="auto"/>
        <w:rPr>
          <w:rFonts w:eastAsia="Times New Roman"/>
          <w:bCs/>
          <w:spacing w:val="40"/>
          <w:rtl/>
        </w:rPr>
      </w:pPr>
      <w:r>
        <w:rPr>
          <w:rFonts w:eastAsia="Times New Roman"/>
          <w:bCs/>
          <w:spacing w:val="40"/>
          <w:rtl/>
        </w:rPr>
        <w:br w:type="page"/>
      </w: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נרמול תופעת תשלום דמי חסות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cs"/>
          <w:rtl/>
        </w:rPr>
        <w:t>מספר התלונות המוגשות למשטרה בגין אירועים עברייניים, ובכלל זה בהקשר של תו</w:t>
      </w:r>
      <w:r w:rsidRPr="00AA5065">
        <w:rPr>
          <w:rFonts w:ascii="David" w:eastAsia="Calibri" w:hAnsi="David"/>
          <w:rtl/>
        </w:rPr>
        <w:t xml:space="preserve">פעת </w:t>
      </w:r>
      <w:r w:rsidRPr="00AA5065">
        <w:rPr>
          <w:rFonts w:ascii="David" w:eastAsia="Calibri" w:hAnsi="David" w:hint="cs"/>
          <w:rtl/>
        </w:rPr>
        <w:t xml:space="preserve">סחיטת </w:t>
      </w:r>
      <w:r w:rsidRPr="00AA5065">
        <w:rPr>
          <w:rFonts w:ascii="David" w:eastAsia="Calibri" w:hAnsi="David"/>
          <w:rtl/>
        </w:rPr>
        <w:t xml:space="preserve">דמי </w:t>
      </w:r>
      <w:r w:rsidRPr="00AA5065">
        <w:rPr>
          <w:rFonts w:ascii="David" w:eastAsia="Calibri" w:hAnsi="David" w:hint="cs"/>
          <w:rtl/>
        </w:rPr>
        <w:t>ה</w:t>
      </w:r>
      <w:r w:rsidRPr="00AA5065">
        <w:rPr>
          <w:rFonts w:ascii="David" w:eastAsia="Calibri" w:hAnsi="David"/>
          <w:rtl/>
        </w:rPr>
        <w:t>חסות בנגב</w:t>
      </w:r>
      <w:r w:rsidRPr="00AA5065">
        <w:rPr>
          <w:rFonts w:ascii="David" w:eastAsia="Calibri" w:hAnsi="David" w:hint="cs"/>
          <w:rtl/>
        </w:rPr>
        <w:t xml:space="preserve">, </w:t>
      </w:r>
      <w:r w:rsidRPr="00AA5065">
        <w:rPr>
          <w:rFonts w:ascii="David" w:eastAsia="Calibri" w:hAnsi="David"/>
          <w:rtl/>
        </w:rPr>
        <w:t>אינ</w:t>
      </w:r>
      <w:r w:rsidRPr="00AA5065">
        <w:rPr>
          <w:rFonts w:ascii="David" w:eastAsia="Calibri" w:hAnsi="David" w:hint="cs"/>
          <w:rtl/>
        </w:rPr>
        <w:t>ו משקף</w:t>
      </w:r>
      <w:r w:rsidRPr="00AA5065">
        <w:rPr>
          <w:rFonts w:ascii="David" w:eastAsia="Calibri" w:hAnsi="David"/>
          <w:rtl/>
        </w:rPr>
        <w:t xml:space="preserve"> את </w:t>
      </w:r>
      <w:r w:rsidRPr="00AA5065">
        <w:rPr>
          <w:rFonts w:ascii="David" w:eastAsia="Calibri" w:hAnsi="David" w:hint="cs"/>
          <w:rtl/>
        </w:rPr>
        <w:t>היקף התופעה במלואה,</w:t>
      </w:r>
      <w:r w:rsidRPr="00AA5065">
        <w:rPr>
          <w:rFonts w:ascii="David" w:eastAsia="Calibri" w:hAnsi="David"/>
          <w:rtl/>
        </w:rPr>
        <w:t xml:space="preserve"> שכן </w:t>
      </w:r>
      <w:r w:rsidRPr="00AA5065">
        <w:rPr>
          <w:rFonts w:ascii="David" w:eastAsia="Calibri" w:hAnsi="David" w:hint="cs"/>
          <w:rtl/>
        </w:rPr>
        <w:t xml:space="preserve">לעיתים </w:t>
      </w:r>
      <w:r w:rsidRPr="00AA5065">
        <w:rPr>
          <w:rFonts w:ascii="David" w:eastAsia="Calibri" w:hAnsi="David"/>
          <w:rtl/>
        </w:rPr>
        <w:t xml:space="preserve">רבים </w:t>
      </w:r>
      <w:r w:rsidRPr="00AA5065">
        <w:rPr>
          <w:rFonts w:ascii="David" w:eastAsia="Calibri" w:hAnsi="David" w:hint="cs"/>
          <w:rtl/>
        </w:rPr>
        <w:t>מנפגעי העבירה</w:t>
      </w:r>
      <w:r w:rsidRPr="00AA5065">
        <w:rPr>
          <w:rFonts w:ascii="David" w:eastAsia="Calibri" w:hAnsi="David"/>
          <w:rtl/>
        </w:rPr>
        <w:t xml:space="preserve"> נמנעים מלפנות למשטרה מחשש שהדיווח יסכן את ביטחונם האישי ואת ביטחון בני משפחתם. נוסף</w:t>
      </w:r>
      <w:r w:rsidRPr="00AA5065">
        <w:rPr>
          <w:rFonts w:ascii="David" w:eastAsia="Calibri" w:hAnsi="David" w:hint="cs"/>
          <w:rtl/>
        </w:rPr>
        <w:t xml:space="preserve"> על כך</w:t>
      </w:r>
      <w:r w:rsidRPr="00AA5065">
        <w:rPr>
          <w:rFonts w:ascii="David" w:eastAsia="Calibri" w:hAnsi="David"/>
          <w:rtl/>
        </w:rPr>
        <w:t>, חוסר האמון ביכולתה של המשטרה לטפל ביעילות במקרים אלו מגביר את ההימנעות מדיווח.</w:t>
      </w:r>
    </w:p>
    <w:p w:rsidR="00AA5065" w:rsidRPr="00AA5065" w:rsidP="00860D89">
      <w:pPr>
        <w:spacing w:line="269" w:lineRule="auto"/>
        <w:rPr>
          <w:rFonts w:eastAsia="Calibri"/>
          <w:rtl/>
        </w:rPr>
      </w:pPr>
    </w:p>
    <w:p w:rsidR="00AA5065" w:rsidRPr="00AA5065" w:rsidP="00860D89">
      <w:pPr>
        <w:keepNext/>
        <w:keepLines/>
        <w:spacing w:line="269" w:lineRule="auto"/>
        <w:outlineLvl w:val="5"/>
        <w:rPr>
          <w:rFonts w:eastAsia="Times New Roman"/>
          <w:spacing w:val="40"/>
          <w:rtl/>
        </w:rPr>
      </w:pPr>
      <w:r w:rsidRPr="00AA5065">
        <w:rPr>
          <w:rFonts w:eastAsia="Times New Roman" w:hint="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eastAsia"/>
          <w:rtl/>
        </w:rPr>
        <w:t>בביקורת</w:t>
      </w:r>
      <w:r w:rsidRPr="00AA5065">
        <w:rPr>
          <w:rFonts w:ascii="David" w:eastAsia="Calibri" w:hAnsi="David"/>
          <w:rtl/>
        </w:rPr>
        <w:t xml:space="preserve"> הקודמת עלה כי נתוני המשטרה לגבי היקף תופעת סחיטת דמי החסות בנגב אינם משקפים את היקף התופעה במלואה</w:t>
      </w:r>
      <w:r w:rsidRPr="00AA5065">
        <w:rPr>
          <w:rFonts w:ascii="David" w:eastAsia="Calibri" w:hAnsi="David" w:hint="cs"/>
          <w:rtl/>
        </w:rPr>
        <w:t>,</w:t>
      </w:r>
      <w:r w:rsidRPr="00AA5065">
        <w:rPr>
          <w:rFonts w:ascii="David" w:eastAsia="Calibri" w:hAnsi="David"/>
          <w:rtl/>
        </w:rPr>
        <w:t xml:space="preserve"> ובפועל מקרים רבים אינם מדווחים. </w:t>
      </w:r>
    </w:p>
    <w:p w:rsidR="00AA5065" w:rsidRPr="00AA5065" w:rsidP="00860D89">
      <w:pPr>
        <w:spacing w:line="269" w:lineRule="auto"/>
        <w:rPr>
          <w:rFonts w:eastAsia="Calibri"/>
          <w:rtl/>
        </w:rPr>
      </w:pPr>
    </w:p>
    <w:p w:rsidR="00AA5065" w:rsidRPr="00AA5065" w:rsidP="00860D89">
      <w:pPr>
        <w:keepNext/>
        <w:keepLines/>
        <w:spacing w:line="269" w:lineRule="auto"/>
        <w:outlineLvl w:val="5"/>
        <w:rPr>
          <w:rFonts w:eastAsia="Times New Roman"/>
          <w:spacing w:val="40"/>
          <w:rtl/>
        </w:rPr>
      </w:pPr>
      <w:r w:rsidRPr="00AA5065">
        <w:rPr>
          <w:rFonts w:eastAsia="Times New Roman" w:hint="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eastAsia"/>
          <w:rtl/>
        </w:rPr>
        <w:t>בביקורת</w:t>
      </w:r>
      <w:r w:rsidRPr="00AA5065">
        <w:rPr>
          <w:rFonts w:ascii="David" w:eastAsia="Calibri" w:hAnsi="David"/>
          <w:rtl/>
        </w:rPr>
        <w:t xml:space="preserve"> המעקב </w:t>
      </w:r>
      <w:r w:rsidRPr="00AA5065">
        <w:rPr>
          <w:rFonts w:ascii="David" w:eastAsia="Calibri" w:hAnsi="David" w:hint="cs"/>
          <w:rtl/>
        </w:rPr>
        <w:t>עלה</w:t>
      </w:r>
      <w:r w:rsidRPr="00AA5065">
        <w:rPr>
          <w:rFonts w:ascii="David" w:eastAsia="Calibri" w:hAnsi="David"/>
          <w:rtl/>
        </w:rPr>
        <w:t xml:space="preserve"> </w:t>
      </w:r>
      <w:r w:rsidRPr="00AA5065">
        <w:rPr>
          <w:rFonts w:ascii="David" w:eastAsia="Calibri" w:hAnsi="David" w:hint="cs"/>
          <w:rtl/>
        </w:rPr>
        <w:t>כי</w:t>
      </w:r>
      <w:r w:rsidRPr="00AA5065">
        <w:rPr>
          <w:rFonts w:ascii="David" w:eastAsia="Calibri" w:hAnsi="David"/>
          <w:rtl/>
        </w:rPr>
        <w:t xml:space="preserve"> תופעת </w:t>
      </w:r>
      <w:r w:rsidRPr="00AA5065">
        <w:rPr>
          <w:rFonts w:ascii="David" w:eastAsia="Calibri" w:hAnsi="David" w:hint="cs"/>
          <w:rtl/>
        </w:rPr>
        <w:t>סחיטת דמי החסות</w:t>
      </w:r>
      <w:r w:rsidRPr="00AA5065">
        <w:rPr>
          <w:rFonts w:ascii="David" w:eastAsia="Calibri" w:hAnsi="David"/>
          <w:rtl/>
        </w:rPr>
        <w:t xml:space="preserve"> נפוצה כנורמה בקרב בעלי עסקים</w:t>
      </w:r>
      <w:r w:rsidRPr="00AA5065">
        <w:rPr>
          <w:rFonts w:ascii="David" w:eastAsia="Calibri" w:hAnsi="David" w:hint="cs"/>
          <w:rtl/>
        </w:rPr>
        <w:t xml:space="preserve"> ובפרט בקרב קבלנים וחקלאים,</w:t>
      </w:r>
      <w:r w:rsidRPr="00AA5065">
        <w:rPr>
          <w:rFonts w:ascii="David" w:eastAsia="Calibri" w:hAnsi="David"/>
          <w:rtl/>
        </w:rPr>
        <w:t xml:space="preserve"> ‏המתמודדים כמעט לבדם עם </w:t>
      </w:r>
      <w:r w:rsidRPr="00AA5065">
        <w:rPr>
          <w:rFonts w:ascii="David" w:eastAsia="Calibri" w:hAnsi="David" w:hint="cs"/>
          <w:rtl/>
        </w:rPr>
        <w:t>הפגיעה ברכושם</w:t>
      </w:r>
      <w:r w:rsidRPr="00AA5065">
        <w:rPr>
          <w:rFonts w:ascii="David" w:eastAsia="Calibri" w:hAnsi="David"/>
          <w:rtl/>
        </w:rPr>
        <w:t xml:space="preserve"> ונאלצים להיכנע ל</w:t>
      </w:r>
      <w:r w:rsidRPr="00AA5065">
        <w:rPr>
          <w:rFonts w:ascii="David" w:eastAsia="Calibri" w:hAnsi="David" w:hint="cs"/>
          <w:rtl/>
        </w:rPr>
        <w:t>דרישות העבריינים.</w:t>
      </w:r>
      <w:r w:rsidRPr="00AA5065">
        <w:rPr>
          <w:rFonts w:ascii="David" w:eastAsia="Calibri" w:hAnsi="David"/>
          <w:rtl/>
        </w:rPr>
        <w:t xml:space="preserve"> </w:t>
      </w:r>
      <w:r w:rsidRPr="00AA5065">
        <w:rPr>
          <w:rFonts w:ascii="David" w:eastAsia="Calibri" w:hAnsi="David" w:hint="cs"/>
          <w:rtl/>
        </w:rPr>
        <w:t xml:space="preserve">כמו כן עלה </w:t>
      </w:r>
      <w:r w:rsidRPr="00AA5065">
        <w:rPr>
          <w:rFonts w:ascii="David" w:eastAsia="Calibri" w:hAnsi="David"/>
          <w:rtl/>
        </w:rPr>
        <w:t xml:space="preserve">כי </w:t>
      </w:r>
      <w:r w:rsidRPr="00AA5065">
        <w:rPr>
          <w:rFonts w:ascii="David" w:eastAsia="Calibri" w:hAnsi="David" w:hint="cs"/>
          <w:rtl/>
        </w:rPr>
        <w:t xml:space="preserve">תושבי הנגב חווים </w:t>
      </w:r>
      <w:r w:rsidRPr="00AA5065">
        <w:rPr>
          <w:rFonts w:ascii="David" w:eastAsia="Calibri" w:hAnsi="David"/>
          <w:rtl/>
        </w:rPr>
        <w:t>חוסר ביטחון ‏אישי בסיסי</w:t>
      </w:r>
      <w:r w:rsidRPr="00AA5065">
        <w:rPr>
          <w:rFonts w:ascii="David" w:eastAsia="Calibri" w:hAnsi="David" w:hint="cs"/>
          <w:rtl/>
        </w:rPr>
        <w:t xml:space="preserve"> ואובדן אמון במערכות האכיפה, </w:t>
      </w:r>
      <w:r w:rsidRPr="00AA5065">
        <w:rPr>
          <w:rFonts w:ascii="David" w:eastAsia="Calibri" w:hAnsi="David" w:hint="eastAsia"/>
          <w:rtl/>
        </w:rPr>
        <w:t>הדבר</w:t>
      </w:r>
      <w:r w:rsidRPr="00AA5065">
        <w:rPr>
          <w:rFonts w:ascii="David" w:eastAsia="Calibri" w:hAnsi="David"/>
          <w:rtl/>
        </w:rPr>
        <w:t xml:space="preserve"> </w:t>
      </w:r>
      <w:r w:rsidRPr="00AA5065">
        <w:rPr>
          <w:rFonts w:ascii="David" w:eastAsia="Calibri" w:hAnsi="David" w:hint="cs"/>
          <w:rtl/>
        </w:rPr>
        <w:t>בא לידי ביטוי גם באי-הגשת תלונות למשטרה</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 xml:space="preserve">בפגישה של צוות הביקורת </w:t>
      </w:r>
      <w:r w:rsidRPr="00AA5065">
        <w:rPr>
          <w:rFonts w:ascii="David" w:eastAsia="Calibri" w:hAnsi="David"/>
          <w:rtl/>
        </w:rPr>
        <w:t>עם</w:t>
      </w:r>
      <w:r w:rsidRPr="00AA5065">
        <w:rPr>
          <w:rFonts w:ascii="David" w:eastAsia="Calibri" w:hAnsi="David" w:hint="cs"/>
          <w:rtl/>
        </w:rPr>
        <w:t xml:space="preserve"> נציגי</w:t>
      </w:r>
      <w:r w:rsidRPr="00AA5065">
        <w:rPr>
          <w:rFonts w:ascii="David" w:eastAsia="Calibri" w:hAnsi="David"/>
          <w:rtl/>
        </w:rPr>
        <w:t xml:space="preserve"> ארגון הקבלנים בנגב</w:t>
      </w:r>
      <w:r>
        <w:rPr>
          <w:rFonts w:ascii="David" w:eastAsia="Calibri" w:hAnsi="David"/>
          <w:vertAlign w:val="superscript"/>
          <w:rtl/>
        </w:rPr>
        <w:footnoteReference w:id="107"/>
      </w:r>
      <w:r w:rsidRPr="00AA5065">
        <w:rPr>
          <w:rFonts w:ascii="David" w:eastAsia="Calibri" w:hAnsi="David"/>
          <w:rtl/>
        </w:rPr>
        <w:t xml:space="preserve"> ‏</w:t>
      </w:r>
      <w:r w:rsidRPr="00AA5065">
        <w:rPr>
          <w:rFonts w:ascii="David" w:eastAsia="Calibri" w:hAnsi="David" w:hint="cs"/>
          <w:rtl/>
        </w:rPr>
        <w:t>ציינו נציגי הארגון</w:t>
      </w:r>
      <w:r w:rsidRPr="00AA5065">
        <w:rPr>
          <w:rFonts w:ascii="David" w:eastAsia="Calibri" w:hAnsi="David"/>
          <w:rtl/>
        </w:rPr>
        <w:t xml:space="preserve"> כי תופעת </w:t>
      </w:r>
      <w:r w:rsidRPr="00AA5065">
        <w:rPr>
          <w:rFonts w:ascii="David" w:eastAsia="Calibri" w:hAnsi="David" w:hint="cs"/>
          <w:rtl/>
        </w:rPr>
        <w:t>סחיטת דמי החסות</w:t>
      </w:r>
      <w:r w:rsidRPr="00AA5065">
        <w:rPr>
          <w:rFonts w:ascii="David" w:eastAsia="Calibri" w:hAnsi="David"/>
          <w:rtl/>
        </w:rPr>
        <w:t xml:space="preserve"> בענף הבנייה בנגב הפכה לנורמה</w:t>
      </w:r>
      <w:r w:rsidRPr="00AA5065">
        <w:rPr>
          <w:rFonts w:ascii="David" w:eastAsia="Calibri" w:hAnsi="David" w:hint="cs"/>
          <w:rtl/>
        </w:rPr>
        <w:t xml:space="preserve">. לדבריהם </w:t>
      </w:r>
      <w:r w:rsidRPr="00AA5065">
        <w:rPr>
          <w:rFonts w:ascii="David" w:eastAsia="Calibri" w:hAnsi="David"/>
          <w:rtl/>
        </w:rPr>
        <w:t xml:space="preserve">קבלנים נאלצים לשלם סכומי עתק עבור "שמירה" שלמעשה אינה מתקיימת בפועל. דרישות התשלום מגיעות פעמים רבות מגורמים הקשורים לתאגידי שמירה עם חשבוניות תקינות, מה שמקשה </w:t>
      </w:r>
      <w:r w:rsidRPr="00AA5065">
        <w:rPr>
          <w:rFonts w:ascii="David" w:eastAsia="Calibri" w:hAnsi="David" w:hint="cs"/>
          <w:rtl/>
        </w:rPr>
        <w:t>ל</w:t>
      </w:r>
      <w:r w:rsidRPr="00AA5065">
        <w:rPr>
          <w:rFonts w:ascii="David" w:eastAsia="Calibri" w:hAnsi="David"/>
          <w:rtl/>
        </w:rPr>
        <w:t xml:space="preserve">התמודד משפטית עם התופעה. במקרים </w:t>
      </w:r>
      <w:r w:rsidRPr="00AA5065">
        <w:rPr>
          <w:rFonts w:ascii="David" w:eastAsia="Calibri" w:hAnsi="David" w:hint="cs"/>
          <w:rtl/>
        </w:rPr>
        <w:t>ש</w:t>
      </w:r>
      <w:r w:rsidRPr="00AA5065">
        <w:rPr>
          <w:rFonts w:ascii="David" w:eastAsia="Calibri" w:hAnsi="David"/>
          <w:rtl/>
        </w:rPr>
        <w:t>בהם הקבלן מסרב לשלם, הוא סופג נזקים משמעותיים לרכושו. נוסף על כך, קיימות תופעות של השתלטות בכוח על עבודות</w:t>
      </w:r>
      <w:r w:rsidRPr="00AA5065">
        <w:rPr>
          <w:rFonts w:ascii="David" w:eastAsia="Calibri" w:hAnsi="David" w:hint="cs"/>
          <w:rtl/>
        </w:rPr>
        <w:t xml:space="preserve"> שבמסגרתה</w:t>
      </w:r>
      <w:r w:rsidRPr="00AA5065">
        <w:rPr>
          <w:rFonts w:ascii="David" w:eastAsia="Calibri" w:hAnsi="David"/>
          <w:rtl/>
        </w:rPr>
        <w:t xml:space="preserve"> קבלנים ללא רישיון כופים את עצמם על אתרי בנייה, משתלטים על פרויקטים ומכריחים את הקבלנים החוקיים לשתף איתם פעולה או לשלם "דמי ויתור". התנהלות זו יוצרת עיוות בשוק, פוגעת בתחרות הוגנת ומבי</w:t>
      </w:r>
      <w:r w:rsidRPr="00AA5065">
        <w:rPr>
          <w:rFonts w:ascii="David" w:eastAsia="Calibri" w:hAnsi="David" w:hint="cs"/>
          <w:rtl/>
        </w:rPr>
        <w:t>א</w:t>
      </w:r>
      <w:r w:rsidRPr="00AA5065">
        <w:rPr>
          <w:rFonts w:ascii="David" w:eastAsia="Calibri" w:hAnsi="David"/>
          <w:rtl/>
        </w:rPr>
        <w:t>ה לעלויות נוספות שמגולגלות על הלקוחות.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 xml:space="preserve">לדברי נציגי ארגון הקבלנים, </w:t>
      </w:r>
      <w:r w:rsidRPr="00AA5065">
        <w:rPr>
          <w:rFonts w:ascii="David" w:eastAsia="Calibri" w:hAnsi="David"/>
          <w:rtl/>
        </w:rPr>
        <w:t xml:space="preserve">נוסף </w:t>
      </w:r>
      <w:r w:rsidRPr="00AA5065">
        <w:rPr>
          <w:rFonts w:ascii="David" w:eastAsia="Calibri" w:hAnsi="David" w:hint="cs"/>
          <w:rtl/>
        </w:rPr>
        <w:t>ע</w:t>
      </w:r>
      <w:r w:rsidRPr="00AA5065">
        <w:rPr>
          <w:rFonts w:ascii="David" w:eastAsia="Calibri" w:hAnsi="David"/>
          <w:rtl/>
        </w:rPr>
        <w:t>ל</w:t>
      </w:r>
      <w:r w:rsidRPr="00AA5065">
        <w:rPr>
          <w:rFonts w:ascii="David" w:eastAsia="Calibri" w:hAnsi="David" w:hint="cs"/>
          <w:rtl/>
        </w:rPr>
        <w:t xml:space="preserve"> סחיטת דמי החסות</w:t>
      </w:r>
      <w:r w:rsidRPr="00AA5065">
        <w:rPr>
          <w:rFonts w:ascii="David" w:eastAsia="Calibri" w:hAnsi="David"/>
          <w:rtl/>
        </w:rPr>
        <w:t xml:space="preserve"> ולהשתלטות על עבודות, קבלנים רבים סובלים מסחיטה באיומים, </w:t>
      </w:r>
      <w:r w:rsidRPr="00AA5065">
        <w:rPr>
          <w:rFonts w:ascii="David" w:eastAsia="Calibri" w:hAnsi="David" w:hint="cs"/>
          <w:rtl/>
        </w:rPr>
        <w:t>מ</w:t>
      </w:r>
      <w:r w:rsidRPr="00AA5065">
        <w:rPr>
          <w:rFonts w:ascii="David" w:eastAsia="Calibri" w:hAnsi="David"/>
          <w:rtl/>
        </w:rPr>
        <w:t xml:space="preserve">גניבת ציוד ומלאי מאתרי הבנייה וכן </w:t>
      </w:r>
      <w:r w:rsidRPr="00AA5065">
        <w:rPr>
          <w:rFonts w:ascii="David" w:eastAsia="Calibri" w:hAnsi="David" w:hint="cs"/>
          <w:rtl/>
        </w:rPr>
        <w:t>מ</w:t>
      </w:r>
      <w:r w:rsidRPr="00AA5065">
        <w:rPr>
          <w:rFonts w:ascii="David" w:eastAsia="Calibri" w:hAnsi="David"/>
          <w:rtl/>
        </w:rPr>
        <w:t>העסקת שב"חים</w:t>
      </w:r>
      <w:r>
        <w:rPr>
          <w:rFonts w:ascii="David" w:eastAsia="Calibri" w:hAnsi="David"/>
          <w:vertAlign w:val="superscript"/>
          <w:rtl/>
        </w:rPr>
        <w:footnoteReference w:id="108"/>
      </w:r>
      <w:r w:rsidRPr="00AA5065">
        <w:rPr>
          <w:rFonts w:ascii="David" w:eastAsia="Calibri" w:hAnsi="David"/>
          <w:rtl/>
        </w:rPr>
        <w:t xml:space="preserve"> הפוגעת בקבלנים הפועלים כחוק. בתחום המכרזים הציבוריים, </w:t>
      </w:r>
      <w:r w:rsidRPr="00AA5065">
        <w:rPr>
          <w:rFonts w:ascii="David" w:eastAsia="Calibri" w:hAnsi="David" w:hint="cs"/>
          <w:rtl/>
        </w:rPr>
        <w:t>ובפרט</w:t>
      </w:r>
      <w:r w:rsidRPr="00AA5065">
        <w:rPr>
          <w:rFonts w:ascii="David" w:eastAsia="Calibri" w:hAnsi="David"/>
          <w:rtl/>
        </w:rPr>
        <w:t xml:space="preserve"> אלו של חברות ממשלתיות ו</w:t>
      </w:r>
      <w:r w:rsidRPr="00AA5065">
        <w:rPr>
          <w:rFonts w:ascii="David" w:eastAsia="Calibri" w:hAnsi="David" w:hint="cs"/>
          <w:rtl/>
        </w:rPr>
        <w:t xml:space="preserve">של </w:t>
      </w:r>
      <w:r w:rsidRPr="00AA5065">
        <w:rPr>
          <w:rFonts w:ascii="David" w:eastAsia="Calibri" w:hAnsi="David"/>
          <w:rtl/>
        </w:rPr>
        <w:t>משרד הביטחון, נפוצה תופעה שבה קבלנים מאוכלוסיות מסוימות מאיימים על מתחרים כדי להבטיח את זכייתם, ובפועל העבודה מ</w:t>
      </w:r>
      <w:r w:rsidRPr="00AA5065">
        <w:rPr>
          <w:rFonts w:ascii="David" w:eastAsia="Calibri" w:hAnsi="David" w:hint="cs"/>
          <w:rtl/>
        </w:rPr>
        <w:t>ת</w:t>
      </w:r>
      <w:r w:rsidRPr="00AA5065">
        <w:rPr>
          <w:rFonts w:ascii="David" w:eastAsia="Calibri" w:hAnsi="David"/>
          <w:rtl/>
        </w:rPr>
        <w:t xml:space="preserve">בצעת על ידי קבלנים אחרים תוך גביית רווחים משמעותיים. </w:t>
      </w:r>
      <w:r w:rsidRPr="00AA5065">
        <w:rPr>
          <w:rFonts w:ascii="David" w:eastAsia="Calibri" w:hAnsi="David" w:hint="cs"/>
          <w:rtl/>
        </w:rPr>
        <w:t xml:space="preserve">כמו כן עלה בפגישה כי רשות ההסדרה </w:t>
      </w:r>
      <w:r w:rsidRPr="00AA5065">
        <w:rPr>
          <w:rFonts w:ascii="David" w:eastAsia="Calibri" w:hAnsi="David"/>
          <w:rtl/>
        </w:rPr>
        <w:t xml:space="preserve">מודעים לבעיות אלה אך נמנעים מהתערבות, </w:t>
      </w:r>
      <w:r w:rsidRPr="00AA5065">
        <w:rPr>
          <w:rFonts w:ascii="David" w:eastAsia="Calibri" w:hAnsi="David" w:hint="cs"/>
          <w:rtl/>
        </w:rPr>
        <w:t xml:space="preserve">חוזי העבודה בין הקבלנים לרשות ההסדרה </w:t>
      </w:r>
      <w:r w:rsidRPr="00AA5065">
        <w:rPr>
          <w:rFonts w:ascii="David" w:eastAsia="Calibri" w:hAnsi="David"/>
          <w:rtl/>
        </w:rPr>
        <w:t xml:space="preserve">אף כוללים סעיפים בחוזים </w:t>
      </w:r>
      <w:r w:rsidRPr="00AA5065">
        <w:rPr>
          <w:rFonts w:ascii="David" w:eastAsia="Calibri" w:hAnsi="David" w:hint="cs"/>
          <w:rtl/>
        </w:rPr>
        <w:t xml:space="preserve">המשיתים את העלויות הנובעות מנזקים מפעולות של עבריינים על </w:t>
      </w:r>
      <w:r w:rsidRPr="00AA5065">
        <w:rPr>
          <w:rFonts w:ascii="David" w:eastAsia="Calibri" w:hAnsi="David"/>
          <w:rtl/>
        </w:rPr>
        <w:t>הקבלנים. כלל התופעות הללו מערערות את הסדר הציבורי, פוגעות באיכות הבנייה ומייקרות את עלויות</w:t>
      </w:r>
      <w:r w:rsidRPr="00AA5065">
        <w:rPr>
          <w:rFonts w:ascii="David" w:eastAsia="Calibri" w:hAnsi="David" w:hint="cs"/>
          <w:rtl/>
        </w:rPr>
        <w:t xml:space="preserve"> הבנייה</w:t>
      </w:r>
      <w:r w:rsidRPr="00AA5065">
        <w:rPr>
          <w:rFonts w:ascii="David" w:eastAsia="Calibri" w:hAnsi="David"/>
          <w:rtl/>
        </w:rPr>
        <w:t xml:space="preserve"> למדינה ולאזרחים.</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עוד ציינו נציגי ארגון הקבלנים בשיחה עם צוות הביקורת</w:t>
      </w:r>
      <w:r w:rsidRPr="00AA5065">
        <w:rPr>
          <w:rFonts w:ascii="David" w:eastAsia="Calibri" w:hAnsi="David"/>
          <w:rtl/>
        </w:rPr>
        <w:t xml:space="preserve"> כי קבלנים המעוניינים להגיש תלונה למשטרה על </w:t>
      </w:r>
      <w:r w:rsidRPr="00AA5065">
        <w:rPr>
          <w:rFonts w:ascii="David" w:eastAsia="Calibri" w:hAnsi="David" w:hint="cs"/>
          <w:rtl/>
        </w:rPr>
        <w:t>סחיטת</w:t>
      </w:r>
      <w:r w:rsidRPr="00AA5065">
        <w:rPr>
          <w:rFonts w:ascii="David" w:eastAsia="Calibri" w:hAnsi="David"/>
          <w:rtl/>
        </w:rPr>
        <w:t xml:space="preserve"> דמי חסות נדרשים להזדהות ולהעיד, מה שמעמיד אותם בסיכון מול גורמי </w:t>
      </w:r>
      <w:r w:rsidRPr="00AA5065">
        <w:rPr>
          <w:rFonts w:ascii="David" w:eastAsia="Calibri" w:hAnsi="David" w:hint="cs"/>
          <w:rtl/>
        </w:rPr>
        <w:t>הסחיטה</w:t>
      </w:r>
      <w:r w:rsidRPr="00AA5065">
        <w:rPr>
          <w:rFonts w:ascii="David" w:eastAsia="Calibri" w:hAnsi="David"/>
          <w:rtl/>
        </w:rPr>
        <w:t xml:space="preserve">. </w:t>
      </w:r>
      <w:r w:rsidRPr="00AA5065">
        <w:rPr>
          <w:rFonts w:ascii="David" w:eastAsia="Calibri" w:hAnsi="David" w:hint="cs"/>
          <w:rtl/>
        </w:rPr>
        <w:t xml:space="preserve">לדבריהם </w:t>
      </w:r>
      <w:r w:rsidRPr="00AA5065">
        <w:rPr>
          <w:rFonts w:ascii="David" w:eastAsia="Calibri" w:hAnsi="David"/>
          <w:rtl/>
        </w:rPr>
        <w:t xml:space="preserve">במקרים רבים תלונות אלה נסגרות </w:t>
      </w:r>
      <w:r w:rsidRPr="00AA5065">
        <w:rPr>
          <w:rFonts w:ascii="David" w:eastAsia="Calibri" w:hAnsi="David" w:hint="cs"/>
          <w:rtl/>
        </w:rPr>
        <w:t xml:space="preserve">במשטרה </w:t>
      </w:r>
      <w:r w:rsidRPr="00AA5065">
        <w:rPr>
          <w:rFonts w:ascii="David" w:eastAsia="Calibri" w:hAnsi="David"/>
          <w:rtl/>
        </w:rPr>
        <w:t>תחת ההגדרה "סכסוך עסקי"</w:t>
      </w:r>
      <w:r w:rsidRPr="00AA5065">
        <w:rPr>
          <w:rFonts w:ascii="David" w:eastAsia="Calibri" w:hAnsi="David" w:hint="cs"/>
          <w:rtl/>
        </w:rPr>
        <w:t>,</w:t>
      </w:r>
      <w:r w:rsidRPr="00AA5065">
        <w:rPr>
          <w:rFonts w:ascii="David" w:eastAsia="Calibri" w:hAnsi="David"/>
          <w:rtl/>
        </w:rPr>
        <w:t xml:space="preserve"> ללא נקיטת סנקציות נגד העבריינים, </w:t>
      </w:r>
      <w:r w:rsidRPr="00AA5065">
        <w:rPr>
          <w:rFonts w:ascii="David" w:eastAsia="Calibri" w:hAnsi="David" w:hint="cs"/>
          <w:rtl/>
        </w:rPr>
        <w:t>והדבר</w:t>
      </w:r>
      <w:r w:rsidRPr="00AA5065">
        <w:rPr>
          <w:rFonts w:ascii="David" w:eastAsia="Calibri" w:hAnsi="David"/>
          <w:rtl/>
        </w:rPr>
        <w:t xml:space="preserve"> </w:t>
      </w:r>
      <w:r w:rsidRPr="00AA5065">
        <w:rPr>
          <w:rFonts w:ascii="David" w:eastAsia="Calibri" w:hAnsi="David" w:hint="cs"/>
          <w:rtl/>
        </w:rPr>
        <w:t>גורם למתלוננים ל</w:t>
      </w:r>
      <w:r w:rsidRPr="00AA5065">
        <w:rPr>
          <w:rFonts w:ascii="David" w:eastAsia="Calibri" w:hAnsi="David"/>
          <w:rtl/>
        </w:rPr>
        <w:t>הימנע מ</w:t>
      </w:r>
      <w:r w:rsidRPr="00AA5065">
        <w:rPr>
          <w:rFonts w:ascii="David" w:eastAsia="Calibri" w:hAnsi="David" w:hint="cs"/>
          <w:rtl/>
        </w:rPr>
        <w:t>הגשת</w:t>
      </w:r>
      <w:r w:rsidRPr="00AA5065">
        <w:rPr>
          <w:rFonts w:ascii="David" w:eastAsia="Calibri" w:hAnsi="David"/>
          <w:rtl/>
        </w:rPr>
        <w:t xml:space="preserve"> </w:t>
      </w:r>
      <w:r w:rsidRPr="00AA5065">
        <w:rPr>
          <w:rFonts w:ascii="David" w:eastAsia="Calibri" w:hAnsi="David" w:hint="cs"/>
          <w:rtl/>
        </w:rPr>
        <w:t xml:space="preserve">תלונות נוספות </w:t>
      </w:r>
      <w:r w:rsidRPr="00AA5065">
        <w:rPr>
          <w:rFonts w:ascii="David" w:eastAsia="Calibri" w:hAnsi="David"/>
          <w:rtl/>
        </w:rPr>
        <w:t xml:space="preserve">למשטרה. יתרה מכך, כאשר קבלנים פונים למשטרה, הם עשויים להיחקר בעצמם על תשלום דמי החסות, שכן החוק מחייב אותם לשכור שירותי שמירה מחברות מורשות בלבד. </w:t>
      </w:r>
      <w:r w:rsidRPr="00AA5065">
        <w:rPr>
          <w:rFonts w:ascii="David" w:eastAsia="Calibri" w:hAnsi="David" w:hint="cs"/>
          <w:rtl/>
        </w:rPr>
        <w:t>נציגי ארגון הקבלנים קבלו על כך ש</w:t>
      </w:r>
      <w:r w:rsidRPr="00AA5065">
        <w:rPr>
          <w:rFonts w:ascii="David" w:eastAsia="Calibri" w:hAnsi="David"/>
          <w:rtl/>
        </w:rPr>
        <w:t xml:space="preserve">כוח </w:t>
      </w:r>
      <w:r w:rsidRPr="00AA5065">
        <w:rPr>
          <w:rFonts w:ascii="David" w:eastAsia="Calibri" w:hAnsi="David" w:hint="cs"/>
          <w:rtl/>
        </w:rPr>
        <w:t>ה</w:t>
      </w:r>
      <w:r w:rsidRPr="00AA5065">
        <w:rPr>
          <w:rFonts w:ascii="David" w:eastAsia="Calibri" w:hAnsi="David"/>
          <w:rtl/>
        </w:rPr>
        <w:t xml:space="preserve">שיטור </w:t>
      </w:r>
      <w:r w:rsidRPr="00AA5065">
        <w:rPr>
          <w:rFonts w:ascii="David" w:eastAsia="Calibri" w:hAnsi="David" w:hint="cs"/>
          <w:rtl/>
        </w:rPr>
        <w:t>אינו</w:t>
      </w:r>
      <w:r w:rsidRPr="00AA5065">
        <w:rPr>
          <w:rFonts w:ascii="David" w:eastAsia="Calibri" w:hAnsi="David"/>
          <w:rtl/>
        </w:rPr>
        <w:t xml:space="preserve"> מספק</w:t>
      </w:r>
      <w:r w:rsidRPr="00AA5065">
        <w:rPr>
          <w:rFonts w:ascii="David" w:eastAsia="Calibri" w:hAnsi="David" w:hint="cs"/>
          <w:rtl/>
        </w:rPr>
        <w:t xml:space="preserve">, </w:t>
      </w:r>
      <w:r w:rsidRPr="00AA5065">
        <w:rPr>
          <w:rFonts w:ascii="David" w:eastAsia="Calibri" w:hAnsi="David"/>
          <w:rtl/>
        </w:rPr>
        <w:t>שהמשטרה להערכתם אינה נוקטת יוזמה לחשיפת העבירות ושקיים חוסר</w:t>
      </w:r>
      <w:r w:rsidRPr="00AA5065">
        <w:rPr>
          <w:rFonts w:ascii="David" w:eastAsia="Calibri" w:hAnsi="David" w:hint="cs"/>
          <w:rtl/>
        </w:rPr>
        <w:t xml:space="preserve"> </w:t>
      </w:r>
      <w:r w:rsidRPr="00AA5065">
        <w:rPr>
          <w:rFonts w:ascii="David" w:eastAsia="Calibri" w:hAnsi="David"/>
          <w:rtl/>
        </w:rPr>
        <w:t>אמון ציבורי במערכת האכיפה</w:t>
      </w:r>
      <w:r w:rsidRPr="00AA5065">
        <w:rPr>
          <w:rFonts w:ascii="David" w:eastAsia="Calibri" w:hAnsi="David"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bookmarkStart w:id="98" w:name="_Hlk204693648"/>
      <w:r w:rsidRPr="00AA5065">
        <w:rPr>
          <w:rFonts w:ascii="David" w:eastAsia="Calibri" w:hAnsi="David" w:hint="cs"/>
          <w:rtl/>
        </w:rPr>
        <w:t xml:space="preserve">ביום 3.6.25 התכנסה בכנסת </w:t>
      </w:r>
      <w:r w:rsidRPr="00AA5065">
        <w:rPr>
          <w:rFonts w:ascii="David" w:eastAsia="Calibri" w:hAnsi="David"/>
          <w:rtl/>
        </w:rPr>
        <w:t>הוועדה המיוחדת לחיזוק ופיתוח הנגב והגליל</w:t>
      </w:r>
      <w:r>
        <w:rPr>
          <w:rFonts w:ascii="David" w:eastAsia="Calibri" w:hAnsi="David"/>
          <w:vertAlign w:val="superscript"/>
          <w:rtl/>
        </w:rPr>
        <w:footnoteReference w:id="109"/>
      </w:r>
      <w:r w:rsidRPr="00AA5065">
        <w:rPr>
          <w:rFonts w:ascii="David" w:eastAsia="Calibri" w:hAnsi="David" w:hint="cs"/>
          <w:rtl/>
        </w:rPr>
        <w:t xml:space="preserve"> לדיון ובו ציין יו"ר הוועדה כי "תופעת גביית דמי חסות </w:t>
      </w:r>
      <w:r w:rsidRPr="00AA5065">
        <w:rPr>
          <w:rFonts w:ascii="David" w:eastAsia="Calibri" w:hAnsi="David"/>
          <w:rtl/>
        </w:rPr>
        <w:t>אינה מוגבלת עוד לנגב ולגליל בלבד</w:t>
      </w:r>
      <w:r w:rsidRPr="00AA5065">
        <w:rPr>
          <w:rFonts w:ascii="David" w:eastAsia="Calibri" w:hAnsi="David" w:hint="cs"/>
          <w:rtl/>
        </w:rPr>
        <w:t xml:space="preserve">", עוד מסר יו"ר הוועדה כי התופעה מתפשטת תוך </w:t>
      </w:r>
      <w:r w:rsidRPr="00AA5065">
        <w:rPr>
          <w:rFonts w:ascii="David" w:eastAsia="Calibri" w:hAnsi="David"/>
          <w:rtl/>
        </w:rPr>
        <w:t>אי</w:t>
      </w:r>
      <w:r w:rsidRPr="00AA5065">
        <w:rPr>
          <w:rFonts w:ascii="David" w:eastAsia="Calibri" w:hAnsi="David" w:hint="cs"/>
          <w:rtl/>
        </w:rPr>
        <w:t>בוד</w:t>
      </w:r>
      <w:r w:rsidRPr="00AA5065">
        <w:rPr>
          <w:rFonts w:ascii="David" w:eastAsia="Calibri" w:hAnsi="David"/>
          <w:rtl/>
        </w:rPr>
        <w:t xml:space="preserve"> שליטה וזולגת גם למרכז הארץ</w:t>
      </w:r>
      <w:r w:rsidRPr="00AA5065">
        <w:rPr>
          <w:rFonts w:ascii="David" w:eastAsia="Calibri" w:hAnsi="David" w:hint="cs"/>
          <w:rtl/>
        </w:rPr>
        <w:t>.</w:t>
      </w:r>
      <w:bookmarkEnd w:id="98"/>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בפברואר 2025 ביצע ארגון הקבלנים והבונים במחוז תל אביב והמרכז סקר</w:t>
      </w:r>
      <w:r>
        <w:rPr>
          <w:rFonts w:ascii="David" w:eastAsia="Calibri" w:hAnsi="David"/>
          <w:vertAlign w:val="superscript"/>
          <w:rtl/>
        </w:rPr>
        <w:footnoteReference w:id="110"/>
      </w:r>
      <w:r w:rsidRPr="00AA5065">
        <w:rPr>
          <w:rFonts w:ascii="David" w:eastAsia="Calibri" w:hAnsi="David" w:hint="cs"/>
          <w:rtl/>
        </w:rPr>
        <w:t xml:space="preserve"> </w:t>
      </w:r>
      <w:r w:rsidRPr="00AA5065">
        <w:rPr>
          <w:rFonts w:ascii="David" w:eastAsia="Calibri" w:hAnsi="David"/>
          <w:rtl/>
        </w:rPr>
        <w:t xml:space="preserve">כדי לבחון עד כמה </w:t>
      </w:r>
      <w:r w:rsidRPr="00AA5065">
        <w:rPr>
          <w:rFonts w:ascii="David" w:eastAsia="Calibri" w:hAnsi="David" w:hint="cs"/>
          <w:rtl/>
        </w:rPr>
        <w:t>תופעת דמי החסות</w:t>
      </w:r>
      <w:r w:rsidRPr="00AA5065">
        <w:rPr>
          <w:rFonts w:ascii="David" w:eastAsia="Calibri" w:hAnsi="David"/>
          <w:rtl/>
        </w:rPr>
        <w:t xml:space="preserve"> רחבה ומה השפעת</w:t>
      </w:r>
      <w:r w:rsidRPr="00AA5065">
        <w:rPr>
          <w:rFonts w:ascii="David" w:eastAsia="Calibri" w:hAnsi="David" w:hint="cs"/>
          <w:rtl/>
        </w:rPr>
        <w:t>ה</w:t>
      </w:r>
      <w:r w:rsidRPr="00AA5065">
        <w:rPr>
          <w:rFonts w:ascii="David" w:eastAsia="Calibri" w:hAnsi="David"/>
          <w:rtl/>
        </w:rPr>
        <w:t xml:space="preserve"> על</w:t>
      </w:r>
      <w:r w:rsidRPr="00AA5065">
        <w:rPr>
          <w:rFonts w:ascii="David" w:eastAsia="Calibri" w:hAnsi="David" w:hint="cs"/>
          <w:rtl/>
        </w:rPr>
        <w:t xml:space="preserve"> </w:t>
      </w:r>
      <w:r w:rsidRPr="00AA5065">
        <w:rPr>
          <w:rFonts w:ascii="David" w:eastAsia="Calibri" w:hAnsi="David"/>
          <w:rtl/>
        </w:rPr>
        <w:t>ענף הנדל"ן.</w:t>
      </w:r>
      <w:r w:rsidRPr="00AA5065">
        <w:rPr>
          <w:rFonts w:ascii="David" w:eastAsia="Calibri" w:hAnsi="David" w:hint="cs"/>
          <w:rtl/>
        </w:rPr>
        <w:t xml:space="preserve"> בסקר נמצא כי 87%</w:t>
      </w:r>
      <w:r w:rsidRPr="00AA5065">
        <w:rPr>
          <w:rFonts w:ascii="David" w:eastAsia="Calibri" w:hAnsi="David" w:hint="cs"/>
        </w:rPr>
        <w:t xml:space="preserve"> </w:t>
      </w:r>
      <w:r w:rsidRPr="00AA5065">
        <w:rPr>
          <w:rFonts w:ascii="David" w:eastAsia="Calibri" w:hAnsi="David" w:hint="cs"/>
          <w:rtl/>
        </w:rPr>
        <w:t>מהקבלנים והיזמים</w:t>
      </w:r>
      <w:r>
        <w:rPr>
          <w:rFonts w:ascii="David" w:eastAsia="Calibri" w:hAnsi="David"/>
          <w:vertAlign w:val="superscript"/>
          <w:rtl/>
        </w:rPr>
        <w:footnoteReference w:id="111"/>
      </w:r>
      <w:r w:rsidRPr="00AA5065">
        <w:rPr>
          <w:rFonts w:ascii="David" w:eastAsia="Calibri" w:hAnsi="David" w:hint="cs"/>
          <w:rtl/>
        </w:rPr>
        <w:t xml:space="preserve"> התבקשו לשלם דמי חסות, ושתופעת סחיטת דמי החסות היא כלל-ארצית. עוד נמצא בסקר כי 47%</w:t>
      </w:r>
      <w:r w:rsidRPr="00AA5065">
        <w:rPr>
          <w:rFonts w:ascii="David" w:eastAsia="Calibri" w:hAnsi="David" w:hint="cs"/>
        </w:rPr>
        <w:t xml:space="preserve"> </w:t>
      </w:r>
      <w:r w:rsidRPr="00AA5065">
        <w:rPr>
          <w:rFonts w:ascii="David" w:eastAsia="Calibri" w:hAnsi="David" w:hint="cs"/>
          <w:rtl/>
        </w:rPr>
        <w:t>מהקבלנים והיזמים נמנעים מלגשת למכרזי בנייה ותשתיות אם ידוע להם שאחד המתמודדים במכרז הוא גורם עברייני.</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Pr>
      </w:pPr>
      <w:r w:rsidRPr="00AA5065">
        <w:rPr>
          <w:rFonts w:ascii="David" w:eastAsia="Calibri" w:hAnsi="David" w:hint="cs"/>
          <w:rtl/>
        </w:rPr>
        <w:t xml:space="preserve">כמו כן, </w:t>
      </w:r>
      <w:r w:rsidRPr="00AA5065">
        <w:rPr>
          <w:rFonts w:ascii="David" w:eastAsia="Calibri" w:hAnsi="David"/>
          <w:rtl/>
        </w:rPr>
        <w:t xml:space="preserve">50% </w:t>
      </w:r>
      <w:r w:rsidRPr="00AA5065">
        <w:rPr>
          <w:rFonts w:ascii="David" w:eastAsia="Calibri" w:hAnsi="David" w:hint="eastAsia"/>
          <w:rtl/>
        </w:rPr>
        <w:t>מהקבלנים</w:t>
      </w:r>
      <w:r w:rsidRPr="00AA5065">
        <w:rPr>
          <w:rFonts w:ascii="David" w:eastAsia="Calibri" w:hAnsi="David"/>
          <w:rtl/>
        </w:rPr>
        <w:t xml:space="preserve"> </w:t>
      </w:r>
      <w:r w:rsidRPr="00AA5065">
        <w:rPr>
          <w:rFonts w:ascii="David" w:eastAsia="Calibri" w:hAnsi="David" w:hint="eastAsia"/>
          <w:rtl/>
        </w:rPr>
        <w:t>והיזמים</w:t>
      </w:r>
      <w:r w:rsidRPr="00AA5065">
        <w:rPr>
          <w:rFonts w:ascii="David" w:eastAsia="Calibri" w:hAnsi="David"/>
          <w:rtl/>
        </w:rPr>
        <w:t xml:space="preserve"> </w:t>
      </w:r>
      <w:r w:rsidRPr="00AA5065">
        <w:rPr>
          <w:rFonts w:ascii="David" w:eastAsia="Calibri" w:hAnsi="David" w:hint="eastAsia"/>
          <w:rtl/>
        </w:rPr>
        <w:t>ציינו</w:t>
      </w:r>
      <w:r w:rsidRPr="00AA5065">
        <w:rPr>
          <w:rFonts w:ascii="David" w:eastAsia="Calibri" w:hAnsi="David"/>
          <w:rtl/>
        </w:rPr>
        <w:t xml:space="preserve"> </w:t>
      </w:r>
      <w:r w:rsidRPr="00AA5065">
        <w:rPr>
          <w:rFonts w:ascii="David" w:eastAsia="Calibri" w:hAnsi="David" w:hint="cs"/>
          <w:rtl/>
        </w:rPr>
        <w:t>בסקר כי תשלום דמי החסות</w:t>
      </w:r>
      <w:r w:rsidRPr="00AA5065">
        <w:rPr>
          <w:rFonts w:ascii="David" w:eastAsia="Calibri" w:hAnsi="David"/>
          <w:rtl/>
        </w:rPr>
        <w:t xml:space="preserve"> </w:t>
      </w:r>
      <w:r w:rsidRPr="00AA5065">
        <w:rPr>
          <w:rFonts w:ascii="David" w:eastAsia="Calibri" w:hAnsi="David" w:hint="eastAsia"/>
          <w:rtl/>
        </w:rPr>
        <w:t>מייקר</w:t>
      </w:r>
      <w:r w:rsidRPr="00AA5065">
        <w:rPr>
          <w:rFonts w:ascii="David" w:eastAsia="Calibri" w:hAnsi="David"/>
          <w:rtl/>
        </w:rPr>
        <w:t xml:space="preserve"> </w:t>
      </w:r>
      <w:r w:rsidRPr="00AA5065">
        <w:rPr>
          <w:rFonts w:ascii="David" w:eastAsia="Calibri" w:hAnsi="David" w:hint="eastAsia"/>
          <w:rtl/>
        </w:rPr>
        <w:t>את</w:t>
      </w:r>
      <w:r w:rsidRPr="00AA5065">
        <w:rPr>
          <w:rFonts w:ascii="David" w:eastAsia="Calibri" w:hAnsi="David"/>
          <w:rtl/>
        </w:rPr>
        <w:t xml:space="preserve"> </w:t>
      </w:r>
      <w:r w:rsidRPr="00AA5065">
        <w:rPr>
          <w:rFonts w:ascii="David" w:eastAsia="Calibri" w:hAnsi="David" w:hint="eastAsia"/>
          <w:rtl/>
        </w:rPr>
        <w:t>הפרויקט</w:t>
      </w:r>
      <w:r w:rsidRPr="00AA5065">
        <w:rPr>
          <w:rFonts w:ascii="David" w:eastAsia="Calibri" w:hAnsi="David" w:hint="cs"/>
          <w:rtl/>
        </w:rPr>
        <w:t xml:space="preserve"> </w:t>
      </w:r>
      <w:r w:rsidRPr="00AA5065">
        <w:rPr>
          <w:rFonts w:ascii="David" w:eastAsia="Calibri" w:hAnsi="David" w:hint="eastAsia"/>
          <w:rtl/>
        </w:rPr>
        <w:t>בממוצע</w:t>
      </w:r>
      <w:r w:rsidRPr="00AA5065">
        <w:rPr>
          <w:rFonts w:ascii="David" w:eastAsia="Calibri" w:hAnsi="David"/>
          <w:rtl/>
        </w:rPr>
        <w:t xml:space="preserve"> </w:t>
      </w:r>
      <w:r w:rsidRPr="00AA5065">
        <w:rPr>
          <w:rFonts w:ascii="David" w:eastAsia="Calibri" w:hAnsi="David" w:hint="eastAsia"/>
          <w:rtl/>
        </w:rPr>
        <w:t>בסכום</w:t>
      </w:r>
      <w:r w:rsidRPr="00AA5065">
        <w:rPr>
          <w:rFonts w:ascii="David" w:eastAsia="Calibri" w:hAnsi="David"/>
          <w:rtl/>
        </w:rPr>
        <w:t xml:space="preserve"> </w:t>
      </w:r>
      <w:r w:rsidRPr="00AA5065">
        <w:rPr>
          <w:rFonts w:ascii="David" w:eastAsia="Calibri" w:hAnsi="David" w:hint="eastAsia"/>
          <w:rtl/>
        </w:rPr>
        <w:t>של</w:t>
      </w:r>
      <w:r w:rsidRPr="00AA5065">
        <w:rPr>
          <w:rFonts w:ascii="David" w:eastAsia="Calibri" w:hAnsi="David"/>
          <w:rtl/>
        </w:rPr>
        <w:t xml:space="preserve"> </w:t>
      </w:r>
      <w:r w:rsidRPr="00AA5065">
        <w:rPr>
          <w:rFonts w:ascii="David" w:eastAsia="Calibri" w:hAnsi="David" w:hint="eastAsia"/>
          <w:rtl/>
        </w:rPr>
        <w:t>בין</w:t>
      </w:r>
      <w:r w:rsidRPr="00AA5065">
        <w:rPr>
          <w:rFonts w:ascii="David" w:eastAsia="Calibri" w:hAnsi="David"/>
          <w:rtl/>
        </w:rPr>
        <w:t xml:space="preserve"> </w:t>
      </w:r>
      <w:r w:rsidRPr="00AA5065">
        <w:rPr>
          <w:rFonts w:ascii="David" w:eastAsia="Calibri" w:hAnsi="David" w:hint="eastAsia"/>
          <w:rtl/>
        </w:rPr>
        <w:t>רבע</w:t>
      </w:r>
      <w:r w:rsidRPr="00AA5065">
        <w:rPr>
          <w:rFonts w:ascii="David" w:eastAsia="Calibri" w:hAnsi="David"/>
          <w:rtl/>
        </w:rPr>
        <w:t xml:space="preserve"> </w:t>
      </w:r>
      <w:r w:rsidRPr="00AA5065">
        <w:rPr>
          <w:rFonts w:ascii="David" w:eastAsia="Calibri" w:hAnsi="David" w:hint="eastAsia"/>
          <w:rtl/>
        </w:rPr>
        <w:t>מיליון</w:t>
      </w:r>
      <w:r w:rsidRPr="00AA5065">
        <w:rPr>
          <w:rFonts w:ascii="David" w:eastAsia="Calibri" w:hAnsi="David"/>
          <w:rtl/>
        </w:rPr>
        <w:t xml:space="preserve"> </w:t>
      </w:r>
      <w:r w:rsidRPr="00AA5065">
        <w:rPr>
          <w:rFonts w:ascii="David" w:eastAsia="Calibri" w:hAnsi="David" w:hint="eastAsia"/>
          <w:rtl/>
        </w:rPr>
        <w:t>לחצי</w:t>
      </w:r>
      <w:r w:rsidRPr="00AA5065">
        <w:rPr>
          <w:rFonts w:ascii="David" w:eastAsia="Calibri" w:hAnsi="David"/>
          <w:rtl/>
        </w:rPr>
        <w:t xml:space="preserve"> </w:t>
      </w:r>
      <w:r w:rsidRPr="00AA5065">
        <w:rPr>
          <w:rFonts w:ascii="David" w:eastAsia="Calibri" w:hAnsi="David" w:hint="eastAsia"/>
          <w:rtl/>
        </w:rPr>
        <w:t>מיליון</w:t>
      </w:r>
      <w:r w:rsidRPr="00AA5065">
        <w:rPr>
          <w:rFonts w:ascii="David" w:eastAsia="Calibri" w:hAnsi="David"/>
          <w:rtl/>
        </w:rPr>
        <w:t xml:space="preserve"> </w:t>
      </w:r>
      <w:r w:rsidRPr="00AA5065">
        <w:rPr>
          <w:rFonts w:ascii="David" w:eastAsia="Calibri" w:hAnsi="David" w:hint="eastAsia"/>
          <w:rtl/>
        </w:rPr>
        <w:t>ש</w:t>
      </w:r>
      <w:r w:rsidRPr="00AA5065">
        <w:rPr>
          <w:rFonts w:ascii="David" w:eastAsia="Calibri" w:hAnsi="David" w:hint="cs"/>
          <w:rtl/>
        </w:rPr>
        <w:t>"ח;</w:t>
      </w:r>
      <w:r w:rsidRPr="00AA5065">
        <w:rPr>
          <w:rFonts w:ascii="David" w:eastAsia="Calibri" w:hAnsi="David"/>
          <w:rtl/>
        </w:rPr>
        <w:t xml:space="preserve"> 32% </w:t>
      </w:r>
      <w:r w:rsidRPr="00AA5065">
        <w:rPr>
          <w:rFonts w:ascii="David" w:eastAsia="Calibri" w:hAnsi="David" w:hint="eastAsia"/>
          <w:rtl/>
        </w:rPr>
        <w:t>השיבו</w:t>
      </w:r>
      <w:r w:rsidRPr="00AA5065">
        <w:rPr>
          <w:rFonts w:ascii="David" w:eastAsia="Calibri" w:hAnsi="David"/>
          <w:rtl/>
        </w:rPr>
        <w:t xml:space="preserve"> </w:t>
      </w:r>
      <w:r w:rsidRPr="00AA5065">
        <w:rPr>
          <w:rFonts w:ascii="David" w:eastAsia="Calibri" w:hAnsi="David" w:hint="eastAsia"/>
          <w:rtl/>
        </w:rPr>
        <w:t>כי</w:t>
      </w:r>
      <w:r w:rsidRPr="00AA5065">
        <w:rPr>
          <w:rFonts w:ascii="David" w:eastAsia="Calibri" w:hAnsi="David"/>
          <w:rtl/>
        </w:rPr>
        <w:t xml:space="preserve"> </w:t>
      </w:r>
      <w:r w:rsidRPr="00AA5065">
        <w:rPr>
          <w:rFonts w:ascii="David" w:eastAsia="Calibri" w:hAnsi="David" w:hint="eastAsia"/>
          <w:rtl/>
        </w:rPr>
        <w:t>העלות</w:t>
      </w:r>
      <w:r w:rsidRPr="00AA5065">
        <w:rPr>
          <w:rFonts w:ascii="David" w:eastAsia="Calibri" w:hAnsi="David"/>
          <w:rtl/>
        </w:rPr>
        <w:t xml:space="preserve"> </w:t>
      </w:r>
      <w:r w:rsidRPr="00AA5065">
        <w:rPr>
          <w:rFonts w:ascii="David" w:eastAsia="Calibri" w:hAnsi="David" w:hint="eastAsia"/>
          <w:rtl/>
        </w:rPr>
        <w:t>הממוצעת</w:t>
      </w:r>
      <w:r w:rsidRPr="00AA5065">
        <w:rPr>
          <w:rFonts w:ascii="David" w:eastAsia="Calibri" w:hAnsi="David" w:hint="cs"/>
          <w:rtl/>
        </w:rPr>
        <w:t xml:space="preserve"> של הפרויקט </w:t>
      </w:r>
      <w:r w:rsidRPr="00AA5065">
        <w:rPr>
          <w:rFonts w:ascii="David" w:eastAsia="Calibri" w:hAnsi="David" w:hint="eastAsia"/>
          <w:rtl/>
        </w:rPr>
        <w:t>מתייקרת</w:t>
      </w:r>
      <w:r w:rsidRPr="00AA5065">
        <w:rPr>
          <w:rFonts w:ascii="David" w:eastAsia="Calibri" w:hAnsi="David"/>
          <w:rtl/>
        </w:rPr>
        <w:t xml:space="preserve"> </w:t>
      </w:r>
      <w:r w:rsidRPr="00AA5065">
        <w:rPr>
          <w:rFonts w:ascii="David" w:eastAsia="Calibri" w:hAnsi="David" w:hint="eastAsia"/>
          <w:rtl/>
        </w:rPr>
        <w:t>בסכום</w:t>
      </w:r>
      <w:r w:rsidRPr="00AA5065">
        <w:rPr>
          <w:rFonts w:ascii="David" w:eastAsia="Calibri" w:hAnsi="David"/>
          <w:rtl/>
        </w:rPr>
        <w:t xml:space="preserve"> </w:t>
      </w:r>
      <w:r w:rsidRPr="00AA5065">
        <w:rPr>
          <w:rFonts w:ascii="David" w:eastAsia="Calibri" w:hAnsi="David" w:hint="eastAsia"/>
          <w:rtl/>
        </w:rPr>
        <w:t>של</w:t>
      </w:r>
      <w:r w:rsidRPr="00AA5065">
        <w:rPr>
          <w:rFonts w:ascii="David" w:eastAsia="Calibri" w:hAnsi="David"/>
          <w:rtl/>
        </w:rPr>
        <w:t xml:space="preserve"> </w:t>
      </w:r>
      <w:r w:rsidRPr="00AA5065">
        <w:rPr>
          <w:rFonts w:ascii="David" w:eastAsia="Calibri" w:hAnsi="David" w:hint="eastAsia"/>
          <w:rtl/>
        </w:rPr>
        <w:t>עד</w:t>
      </w:r>
      <w:r w:rsidRPr="00AA5065">
        <w:rPr>
          <w:rFonts w:ascii="David" w:eastAsia="Calibri" w:hAnsi="David"/>
          <w:rtl/>
        </w:rPr>
        <w:t xml:space="preserve"> 250</w:t>
      </w:r>
      <w:r w:rsidRPr="00AA5065">
        <w:rPr>
          <w:rFonts w:ascii="David" w:eastAsia="Calibri" w:hAnsi="David" w:hint="cs"/>
          <w:rtl/>
        </w:rPr>
        <w:t>,000</w:t>
      </w:r>
      <w:r w:rsidRPr="00AA5065">
        <w:rPr>
          <w:rFonts w:ascii="David" w:eastAsia="Calibri" w:hAnsi="David"/>
          <w:rtl/>
        </w:rPr>
        <w:t xml:space="preserve"> </w:t>
      </w:r>
      <w:r w:rsidRPr="00AA5065">
        <w:rPr>
          <w:rFonts w:ascii="David" w:eastAsia="Calibri" w:hAnsi="David" w:hint="eastAsia"/>
          <w:rtl/>
        </w:rPr>
        <w:t>ש</w:t>
      </w:r>
      <w:r w:rsidRPr="00AA5065">
        <w:rPr>
          <w:rFonts w:ascii="David" w:eastAsia="Calibri" w:hAnsi="David" w:hint="cs"/>
          <w:rtl/>
        </w:rPr>
        <w:t>"ח;</w:t>
      </w:r>
      <w:r w:rsidRPr="00AA5065">
        <w:rPr>
          <w:rFonts w:ascii="David" w:eastAsia="Calibri" w:hAnsi="David"/>
          <w:rtl/>
        </w:rPr>
        <w:t xml:space="preserve"> </w:t>
      </w:r>
      <w:r w:rsidRPr="00AA5065">
        <w:rPr>
          <w:rFonts w:ascii="David" w:eastAsia="Calibri" w:hAnsi="David" w:hint="eastAsia"/>
          <w:rtl/>
        </w:rPr>
        <w:t>וכ</w:t>
      </w:r>
      <w:r w:rsidRPr="00AA5065">
        <w:rPr>
          <w:rFonts w:ascii="David" w:eastAsia="Calibri" w:hAnsi="David"/>
          <w:rtl/>
        </w:rPr>
        <w:t xml:space="preserve">-18% </w:t>
      </w:r>
      <w:r w:rsidRPr="00AA5065">
        <w:rPr>
          <w:rFonts w:ascii="David" w:eastAsia="Calibri" w:hAnsi="David" w:hint="eastAsia"/>
          <w:rtl/>
        </w:rPr>
        <w:t>ציינו</w:t>
      </w:r>
      <w:r w:rsidRPr="00AA5065">
        <w:rPr>
          <w:rFonts w:ascii="David" w:eastAsia="Calibri" w:hAnsi="David"/>
          <w:rtl/>
        </w:rPr>
        <w:t xml:space="preserve"> </w:t>
      </w:r>
      <w:r w:rsidRPr="00AA5065">
        <w:rPr>
          <w:rFonts w:ascii="David" w:eastAsia="Calibri" w:hAnsi="David" w:hint="eastAsia"/>
          <w:rtl/>
        </w:rPr>
        <w:t>כי</w:t>
      </w:r>
      <w:r w:rsidRPr="00AA5065">
        <w:rPr>
          <w:rFonts w:ascii="David" w:eastAsia="Calibri" w:hAnsi="David"/>
          <w:rtl/>
        </w:rPr>
        <w:t xml:space="preserve"> </w:t>
      </w:r>
      <w:r w:rsidRPr="00AA5065">
        <w:rPr>
          <w:rFonts w:ascii="David" w:eastAsia="Calibri" w:hAnsi="David" w:hint="eastAsia"/>
          <w:rtl/>
        </w:rPr>
        <w:t>העלות</w:t>
      </w:r>
      <w:r w:rsidRPr="00AA5065">
        <w:rPr>
          <w:rFonts w:ascii="David" w:eastAsia="Calibri" w:hAnsi="David"/>
          <w:rtl/>
        </w:rPr>
        <w:t xml:space="preserve"> </w:t>
      </w:r>
      <w:r w:rsidRPr="00AA5065">
        <w:rPr>
          <w:rFonts w:ascii="David" w:eastAsia="Calibri" w:hAnsi="David" w:hint="eastAsia"/>
          <w:rtl/>
        </w:rPr>
        <w:t>מגיעה</w:t>
      </w:r>
      <w:r w:rsidRPr="00AA5065">
        <w:rPr>
          <w:rFonts w:ascii="David" w:eastAsia="Calibri" w:hAnsi="David"/>
          <w:rtl/>
        </w:rPr>
        <w:t xml:space="preserve"> לסכומים שבין 500</w:t>
      </w:r>
      <w:r w:rsidRPr="00AA5065">
        <w:rPr>
          <w:rFonts w:ascii="David" w:eastAsia="Calibri" w:hAnsi="David" w:hint="cs"/>
          <w:rtl/>
        </w:rPr>
        <w:t>,000</w:t>
      </w:r>
      <w:r w:rsidRPr="00AA5065">
        <w:rPr>
          <w:rFonts w:ascii="David" w:eastAsia="Calibri" w:hAnsi="David"/>
          <w:rtl/>
        </w:rPr>
        <w:t xml:space="preserve"> למיליון ש</w:t>
      </w:r>
      <w:r w:rsidRPr="00AA5065">
        <w:rPr>
          <w:rFonts w:ascii="David" w:eastAsia="Calibri" w:hAnsi="David" w:hint="cs"/>
          <w:rtl/>
        </w:rPr>
        <w:t>"ח</w:t>
      </w:r>
      <w:r w:rsidRPr="00AA5065">
        <w:rPr>
          <w:rFonts w:ascii="David" w:eastAsia="Calibri" w:hAnsi="David"/>
          <w:cs/>
        </w:rPr>
        <w:t>‎</w:t>
      </w:r>
      <w:r w:rsidRPr="00AA5065">
        <w:rPr>
          <w:rFonts w:ascii="David" w:eastAsia="Calibri" w:hAnsi="David"/>
        </w:rPr>
        <w:t>.</w:t>
      </w:r>
      <w:r w:rsidRPr="00AA5065">
        <w:rPr>
          <w:rFonts w:ascii="David" w:eastAsia="Calibri" w:hAnsi="David"/>
          <w:cs/>
        </w:rPr>
        <w:t>‎</w:t>
      </w:r>
      <w:r w:rsidRPr="00AA5065">
        <w:rPr>
          <w:rFonts w:ascii="David" w:eastAsia="Calibri" w:hAnsi="David" w:hint="cs"/>
          <w:rtl/>
        </w:rPr>
        <w:t xml:space="preserve"> 68% מהקבלנים והיזמים ציינו כי התופעה התרחבה בשנתיים האחרונות. 75% מהקבלנים והיזמים ציינו כי לא פנו להתלונן במשטרה.</w:t>
      </w:r>
    </w:p>
    <w:p w:rsidR="00AA5065" w:rsidRPr="00AA5065" w:rsidP="00860D89">
      <w:pPr>
        <w:spacing w:line="269" w:lineRule="auto"/>
        <w:ind w:left="-567"/>
        <w:rPr>
          <w:rFonts w:eastAsia="Calibri"/>
          <w:szCs w:val="20"/>
          <w:rtl/>
        </w:rPr>
      </w:pPr>
    </w:p>
    <w:p w:rsidR="00AA5065" w:rsidP="00E96206">
      <w:pPr>
        <w:spacing w:line="269" w:lineRule="auto"/>
        <w:rPr>
          <w:rFonts w:ascii="David" w:eastAsia="Calibri" w:hAnsi="David"/>
          <w:b/>
          <w:bCs/>
          <w:rtl/>
        </w:rPr>
      </w:pPr>
      <w:bookmarkStart w:id="99" w:name="_Hlk204851987"/>
      <w:bookmarkStart w:id="100" w:name="_Hlk202269179"/>
      <w:r w:rsidRPr="00AA5065">
        <w:rPr>
          <w:rFonts w:ascii="David" w:eastAsia="Calibri" w:hAnsi="David" w:hint="cs"/>
          <w:b/>
          <w:bCs/>
          <w:rtl/>
        </w:rPr>
        <w:t xml:space="preserve">בביקורת הקודמת עלתה </w:t>
      </w:r>
      <w:r w:rsidRPr="00AA5065">
        <w:rPr>
          <w:rFonts w:ascii="David" w:eastAsia="Calibri" w:hAnsi="David"/>
          <w:b/>
          <w:bCs/>
          <w:rtl/>
        </w:rPr>
        <w:t xml:space="preserve">תופעת </w:t>
      </w:r>
      <w:r w:rsidRPr="00AA5065">
        <w:rPr>
          <w:rFonts w:ascii="David" w:eastAsia="Calibri" w:hAnsi="David" w:hint="cs"/>
          <w:b/>
          <w:bCs/>
          <w:rtl/>
        </w:rPr>
        <w:t>סחיטת דמי החסות</w:t>
      </w:r>
      <w:r w:rsidRPr="00AA5065">
        <w:rPr>
          <w:rFonts w:ascii="David" w:eastAsia="Calibri" w:hAnsi="David"/>
          <w:b/>
          <w:bCs/>
          <w:rtl/>
        </w:rPr>
        <w:t xml:space="preserve"> </w:t>
      </w:r>
      <w:r w:rsidRPr="00AA5065">
        <w:rPr>
          <w:rFonts w:ascii="David" w:eastAsia="Calibri" w:hAnsi="David" w:hint="cs"/>
          <w:b/>
          <w:bCs/>
          <w:rtl/>
        </w:rPr>
        <w:t>וצוינה הפגיעה הנגרמת ממנה ל</w:t>
      </w:r>
      <w:r w:rsidRPr="00AA5065">
        <w:rPr>
          <w:rFonts w:ascii="David" w:eastAsia="Calibri" w:hAnsi="David"/>
          <w:b/>
          <w:bCs/>
          <w:rtl/>
        </w:rPr>
        <w:t>בעלי עסקים</w:t>
      </w:r>
      <w:r w:rsidRPr="00AA5065">
        <w:rPr>
          <w:rFonts w:ascii="David" w:eastAsia="Calibri" w:hAnsi="David" w:hint="cs"/>
          <w:b/>
          <w:bCs/>
          <w:rtl/>
        </w:rPr>
        <w:t xml:space="preserve"> בנגב. כמו כן נמצא בביקורת כי קבלנים רבים נמנעים מהגשת תלונות למשטרה, וכי המשטרה רואה בסחיטת דמי החסות "עבירת חשיפה" - </w:t>
      </w:r>
      <w:r w:rsidRPr="00AA5065">
        <w:rPr>
          <w:rFonts w:ascii="David" w:eastAsia="Calibri" w:hAnsi="David" w:hint="eastAsia"/>
          <w:b/>
          <w:bCs/>
          <w:rtl/>
        </w:rPr>
        <w:t>עבירה</w:t>
      </w:r>
      <w:r w:rsidRPr="00AA5065">
        <w:rPr>
          <w:rFonts w:ascii="David" w:eastAsia="Calibri" w:hAnsi="David"/>
          <w:b/>
          <w:bCs/>
          <w:rtl/>
        </w:rPr>
        <w:t xml:space="preserve"> </w:t>
      </w:r>
      <w:r w:rsidRPr="00AA5065">
        <w:rPr>
          <w:rFonts w:ascii="David" w:eastAsia="Calibri" w:hAnsi="David" w:hint="eastAsia"/>
          <w:b/>
          <w:bCs/>
          <w:rtl/>
        </w:rPr>
        <w:t>שבד</w:t>
      </w:r>
      <w:r w:rsidRPr="00AA5065">
        <w:rPr>
          <w:rFonts w:ascii="David" w:eastAsia="Calibri" w:hAnsi="David" w:hint="cs"/>
          <w:b/>
          <w:bCs/>
          <w:rtl/>
        </w:rPr>
        <w:t xml:space="preserve">רך </w:t>
      </w:r>
      <w:r w:rsidRPr="00AA5065">
        <w:rPr>
          <w:rFonts w:ascii="David" w:eastAsia="Calibri" w:hAnsi="David"/>
          <w:b/>
          <w:bCs/>
          <w:rtl/>
        </w:rPr>
        <w:t>כ</w:t>
      </w:r>
      <w:r w:rsidRPr="00AA5065">
        <w:rPr>
          <w:rFonts w:ascii="David" w:eastAsia="Calibri" w:hAnsi="David" w:hint="cs"/>
          <w:b/>
          <w:bCs/>
          <w:rtl/>
        </w:rPr>
        <w:t>לל</w:t>
      </w:r>
      <w:r w:rsidRPr="00AA5065">
        <w:rPr>
          <w:rFonts w:ascii="David" w:eastAsia="Calibri" w:hAnsi="David"/>
          <w:b/>
          <w:bCs/>
          <w:rtl/>
        </w:rPr>
        <w:t xml:space="preserve"> </w:t>
      </w:r>
      <w:r w:rsidRPr="00AA5065">
        <w:rPr>
          <w:rFonts w:ascii="David" w:eastAsia="Calibri" w:hAnsi="David" w:hint="eastAsia"/>
          <w:b/>
          <w:bCs/>
          <w:rtl/>
        </w:rPr>
        <w:t>לא</w:t>
      </w:r>
      <w:r w:rsidRPr="00AA5065">
        <w:rPr>
          <w:rFonts w:ascii="David" w:eastAsia="Calibri" w:hAnsi="David"/>
          <w:b/>
          <w:bCs/>
          <w:rtl/>
        </w:rPr>
        <w:t xml:space="preserve"> </w:t>
      </w:r>
      <w:r w:rsidRPr="00AA5065">
        <w:rPr>
          <w:rFonts w:ascii="David" w:eastAsia="Calibri" w:hAnsi="David" w:hint="cs"/>
          <w:b/>
          <w:bCs/>
          <w:rtl/>
        </w:rPr>
        <w:t>מוגשות בגינה תלונות</w:t>
      </w:r>
      <w:r w:rsidRPr="00AA5065">
        <w:rPr>
          <w:rFonts w:ascii="David" w:eastAsia="Calibri" w:hAnsi="David"/>
          <w:b/>
          <w:bCs/>
          <w:rtl/>
        </w:rPr>
        <w:t xml:space="preserve">, </w:t>
      </w:r>
      <w:r w:rsidRPr="00AA5065">
        <w:rPr>
          <w:rFonts w:ascii="David" w:eastAsia="Calibri" w:hAnsi="David" w:hint="eastAsia"/>
          <w:b/>
          <w:bCs/>
          <w:rtl/>
        </w:rPr>
        <w:t>ולכן</w:t>
      </w:r>
      <w:r w:rsidRPr="00AA5065">
        <w:rPr>
          <w:rFonts w:ascii="David" w:eastAsia="Calibri" w:hAnsi="David"/>
          <w:b/>
          <w:bCs/>
          <w:rtl/>
        </w:rPr>
        <w:t xml:space="preserve"> </w:t>
      </w:r>
      <w:r w:rsidRPr="00AA5065">
        <w:rPr>
          <w:rFonts w:ascii="David" w:eastAsia="Calibri" w:hAnsi="David" w:hint="cs"/>
          <w:b/>
          <w:bCs/>
          <w:rtl/>
        </w:rPr>
        <w:t xml:space="preserve">היא </w:t>
      </w:r>
      <w:r w:rsidRPr="00AA5065">
        <w:rPr>
          <w:rFonts w:ascii="David" w:eastAsia="Calibri" w:hAnsi="David" w:hint="eastAsia"/>
          <w:b/>
          <w:bCs/>
          <w:rtl/>
        </w:rPr>
        <w:t>נחקרת</w:t>
      </w:r>
      <w:r w:rsidRPr="00AA5065">
        <w:rPr>
          <w:rFonts w:ascii="David" w:eastAsia="Calibri" w:hAnsi="David"/>
          <w:b/>
          <w:bCs/>
          <w:rtl/>
        </w:rPr>
        <w:t xml:space="preserve"> </w:t>
      </w:r>
      <w:r w:rsidRPr="00AA5065">
        <w:rPr>
          <w:rFonts w:ascii="David" w:eastAsia="Calibri" w:hAnsi="David" w:hint="eastAsia"/>
          <w:b/>
          <w:bCs/>
          <w:rtl/>
        </w:rPr>
        <w:t>כפעילות</w:t>
      </w:r>
      <w:r w:rsidRPr="00AA5065">
        <w:rPr>
          <w:rFonts w:ascii="David" w:eastAsia="Calibri" w:hAnsi="David"/>
          <w:b/>
          <w:bCs/>
          <w:rtl/>
        </w:rPr>
        <w:t xml:space="preserve"> </w:t>
      </w:r>
      <w:r w:rsidRPr="00AA5065">
        <w:rPr>
          <w:rFonts w:ascii="David" w:eastAsia="Calibri" w:hAnsi="David" w:hint="eastAsia"/>
          <w:b/>
          <w:bCs/>
          <w:rtl/>
        </w:rPr>
        <w:t>יזומה</w:t>
      </w:r>
      <w:r w:rsidRPr="00AA5065">
        <w:rPr>
          <w:rFonts w:ascii="David" w:eastAsia="Calibri" w:hAnsi="David"/>
          <w:b/>
          <w:bCs/>
          <w:rtl/>
        </w:rPr>
        <w:t xml:space="preserve"> </w:t>
      </w:r>
      <w:r w:rsidRPr="00AA5065">
        <w:rPr>
          <w:rFonts w:ascii="David" w:eastAsia="Calibri" w:hAnsi="David" w:hint="eastAsia"/>
          <w:b/>
          <w:bCs/>
          <w:rtl/>
        </w:rPr>
        <w:t>של</w:t>
      </w:r>
      <w:r w:rsidRPr="00AA5065">
        <w:rPr>
          <w:rFonts w:ascii="David" w:eastAsia="Calibri" w:hAnsi="David"/>
          <w:b/>
          <w:bCs/>
          <w:rtl/>
        </w:rPr>
        <w:t xml:space="preserve"> </w:t>
      </w:r>
      <w:r w:rsidRPr="00AA5065">
        <w:rPr>
          <w:rFonts w:ascii="David" w:eastAsia="Calibri" w:hAnsi="David" w:hint="eastAsia"/>
          <w:b/>
          <w:bCs/>
          <w:rtl/>
        </w:rPr>
        <w:t>המשטרה</w:t>
      </w:r>
      <w:r w:rsidRPr="00AA5065">
        <w:rPr>
          <w:rFonts w:ascii="David" w:eastAsia="Calibri" w:hAnsi="David" w:hint="cs"/>
          <w:b/>
          <w:bCs/>
          <w:rtl/>
        </w:rPr>
        <w:t>.</w:t>
      </w:r>
      <w:r w:rsidRPr="00AA5065">
        <w:rPr>
          <w:rFonts w:ascii="David" w:eastAsia="Calibri" w:hAnsi="David"/>
          <w:b/>
          <w:bCs/>
          <w:rtl/>
        </w:rPr>
        <w:t xml:space="preserve">‏ בביקורת המעקב </w:t>
      </w:r>
      <w:r w:rsidRPr="00AA5065">
        <w:rPr>
          <w:rFonts w:ascii="David" w:eastAsia="Calibri" w:hAnsi="David" w:hint="cs"/>
          <w:b/>
          <w:bCs/>
          <w:rtl/>
        </w:rPr>
        <w:t>נמצא</w:t>
      </w:r>
      <w:r w:rsidRPr="00AA5065">
        <w:rPr>
          <w:rFonts w:ascii="David" w:eastAsia="Calibri" w:hAnsi="David"/>
          <w:b/>
          <w:bCs/>
          <w:rtl/>
        </w:rPr>
        <w:t xml:space="preserve"> כי הליקוי לא תוקן. </w:t>
      </w:r>
      <w:r w:rsidRPr="00AA5065">
        <w:rPr>
          <w:rFonts w:ascii="David" w:eastAsia="Calibri" w:hAnsi="David" w:hint="eastAsia"/>
          <w:b/>
          <w:bCs/>
          <w:rtl/>
        </w:rPr>
        <w:t>בפגישה</w:t>
      </w:r>
      <w:r w:rsidRPr="00AA5065">
        <w:rPr>
          <w:rFonts w:ascii="David" w:eastAsia="Calibri" w:hAnsi="David"/>
          <w:b/>
          <w:bCs/>
          <w:rtl/>
        </w:rPr>
        <w:t xml:space="preserve"> שנערכה במסגרת ביקורת המעקב עם ארגון הקבלנים בנגב </w:t>
      </w:r>
      <w:r w:rsidRPr="00AA5065">
        <w:rPr>
          <w:rFonts w:ascii="David" w:eastAsia="Calibri" w:hAnsi="David" w:hint="eastAsia"/>
          <w:b/>
          <w:bCs/>
          <w:rtl/>
        </w:rPr>
        <w:t>ציינו</w:t>
      </w:r>
      <w:r w:rsidRPr="00AA5065">
        <w:rPr>
          <w:rFonts w:ascii="David" w:eastAsia="Calibri" w:hAnsi="David"/>
          <w:b/>
          <w:bCs/>
          <w:rtl/>
        </w:rPr>
        <w:t xml:space="preserve"> </w:t>
      </w:r>
      <w:r w:rsidRPr="00AA5065">
        <w:rPr>
          <w:rFonts w:ascii="David" w:eastAsia="Calibri" w:hAnsi="David" w:hint="eastAsia"/>
          <w:b/>
          <w:bCs/>
          <w:rtl/>
        </w:rPr>
        <w:t>נציגי</w:t>
      </w:r>
      <w:r w:rsidRPr="00AA5065">
        <w:rPr>
          <w:rFonts w:ascii="David" w:eastAsia="Calibri" w:hAnsi="David"/>
          <w:b/>
          <w:bCs/>
          <w:rtl/>
        </w:rPr>
        <w:t xml:space="preserve"> </w:t>
      </w:r>
      <w:r w:rsidRPr="00AA5065">
        <w:rPr>
          <w:rFonts w:ascii="David" w:eastAsia="Calibri" w:hAnsi="David" w:hint="eastAsia"/>
          <w:b/>
          <w:bCs/>
          <w:rtl/>
        </w:rPr>
        <w:t>ארגון</w:t>
      </w:r>
      <w:r w:rsidRPr="00AA5065">
        <w:rPr>
          <w:rFonts w:ascii="David" w:eastAsia="Calibri" w:hAnsi="David"/>
          <w:b/>
          <w:bCs/>
          <w:rtl/>
        </w:rPr>
        <w:t xml:space="preserve"> </w:t>
      </w:r>
      <w:r w:rsidRPr="00AA5065">
        <w:rPr>
          <w:rFonts w:ascii="David" w:eastAsia="Calibri" w:hAnsi="David" w:hint="eastAsia"/>
          <w:b/>
          <w:bCs/>
          <w:rtl/>
        </w:rPr>
        <w:t>הקבלנים</w:t>
      </w:r>
      <w:r w:rsidRPr="00AA5065">
        <w:rPr>
          <w:rFonts w:ascii="David" w:eastAsia="Calibri" w:hAnsi="David"/>
          <w:b/>
          <w:bCs/>
          <w:rtl/>
        </w:rPr>
        <w:t xml:space="preserve"> </w:t>
      </w:r>
      <w:r w:rsidRPr="00AA5065">
        <w:rPr>
          <w:rFonts w:ascii="David" w:eastAsia="Calibri" w:hAnsi="David" w:hint="eastAsia"/>
          <w:b/>
          <w:bCs/>
          <w:rtl/>
        </w:rPr>
        <w:t>בשיחה</w:t>
      </w:r>
      <w:r w:rsidRPr="00AA5065">
        <w:rPr>
          <w:rFonts w:ascii="David" w:eastAsia="Calibri" w:hAnsi="David"/>
          <w:b/>
          <w:bCs/>
          <w:rtl/>
        </w:rPr>
        <w:t xml:space="preserve"> </w:t>
      </w:r>
      <w:r w:rsidRPr="00AA5065">
        <w:rPr>
          <w:rFonts w:ascii="David" w:eastAsia="Calibri" w:hAnsi="David" w:hint="eastAsia"/>
          <w:b/>
          <w:bCs/>
          <w:rtl/>
        </w:rPr>
        <w:t>עם</w:t>
      </w:r>
      <w:r w:rsidRPr="00AA5065">
        <w:rPr>
          <w:rFonts w:ascii="David" w:eastAsia="Calibri" w:hAnsi="David"/>
          <w:b/>
          <w:bCs/>
          <w:rtl/>
        </w:rPr>
        <w:t xml:space="preserve"> </w:t>
      </w:r>
      <w:r w:rsidRPr="00AA5065">
        <w:rPr>
          <w:rFonts w:ascii="David" w:eastAsia="Calibri" w:hAnsi="David" w:hint="eastAsia"/>
          <w:b/>
          <w:bCs/>
          <w:rtl/>
        </w:rPr>
        <w:t>צוות</w:t>
      </w:r>
      <w:r w:rsidRPr="00AA5065">
        <w:rPr>
          <w:rFonts w:ascii="David" w:eastAsia="Calibri" w:hAnsi="David"/>
          <w:b/>
          <w:bCs/>
          <w:rtl/>
        </w:rPr>
        <w:t xml:space="preserve"> </w:t>
      </w:r>
      <w:r w:rsidRPr="00AA5065">
        <w:rPr>
          <w:rFonts w:ascii="David" w:eastAsia="Calibri" w:hAnsi="David" w:hint="eastAsia"/>
          <w:b/>
          <w:bCs/>
          <w:rtl/>
        </w:rPr>
        <w:t>הביקורת</w:t>
      </w:r>
      <w:r w:rsidRPr="00AA5065">
        <w:rPr>
          <w:rFonts w:eastAsia="Calibri"/>
          <w:b/>
          <w:bCs/>
          <w:sz w:val="16"/>
          <w:szCs w:val="16"/>
          <w:rtl/>
        </w:rPr>
        <w:t xml:space="preserve"> </w:t>
      </w:r>
      <w:r w:rsidRPr="00AA5065">
        <w:rPr>
          <w:rFonts w:ascii="David" w:eastAsia="Calibri" w:hAnsi="David" w:hint="cs"/>
          <w:b/>
          <w:bCs/>
          <w:rtl/>
        </w:rPr>
        <w:t>כי קב</w:t>
      </w:r>
      <w:r w:rsidRPr="00AA5065">
        <w:rPr>
          <w:rFonts w:ascii="David" w:eastAsia="Calibri" w:hAnsi="David"/>
          <w:b/>
          <w:bCs/>
          <w:rtl/>
        </w:rPr>
        <w:t>לנים נאלצים לשלם סכומי עתק עבור "שמירה" שלמעשה אינה מתקיימת בפועל</w:t>
      </w:r>
      <w:r w:rsidRPr="00AA5065">
        <w:rPr>
          <w:rFonts w:ascii="David" w:eastAsia="Calibri" w:hAnsi="David" w:hint="cs"/>
          <w:b/>
          <w:bCs/>
          <w:rtl/>
        </w:rPr>
        <w:t>,</w:t>
      </w:r>
      <w:r w:rsidRPr="00AA5065">
        <w:rPr>
          <w:rFonts w:ascii="David" w:eastAsia="Calibri" w:hAnsi="David"/>
          <w:rtl/>
        </w:rPr>
        <w:t xml:space="preserve"> </w:t>
      </w:r>
      <w:r w:rsidRPr="00AA5065">
        <w:rPr>
          <w:rFonts w:ascii="David" w:eastAsia="Calibri" w:hAnsi="David" w:hint="cs"/>
          <w:b/>
          <w:bCs/>
          <w:rtl/>
        </w:rPr>
        <w:t xml:space="preserve">וכי </w:t>
      </w:r>
      <w:r w:rsidRPr="00AA5065">
        <w:rPr>
          <w:rFonts w:ascii="David" w:eastAsia="Calibri" w:hAnsi="David"/>
          <w:b/>
          <w:bCs/>
          <w:rtl/>
        </w:rPr>
        <w:t xml:space="preserve">נוסף </w:t>
      </w:r>
      <w:r w:rsidRPr="00AA5065">
        <w:rPr>
          <w:rFonts w:ascii="David" w:eastAsia="Calibri" w:hAnsi="David" w:hint="cs"/>
          <w:b/>
          <w:bCs/>
          <w:rtl/>
        </w:rPr>
        <w:t>ע</w:t>
      </w:r>
      <w:r w:rsidRPr="00AA5065">
        <w:rPr>
          <w:rFonts w:ascii="David" w:eastAsia="Calibri" w:hAnsi="David"/>
          <w:b/>
          <w:bCs/>
          <w:rtl/>
        </w:rPr>
        <w:t>ל</w:t>
      </w:r>
      <w:r w:rsidRPr="00AA5065">
        <w:rPr>
          <w:rFonts w:ascii="David" w:eastAsia="Calibri" w:hAnsi="David" w:hint="cs"/>
          <w:b/>
          <w:bCs/>
          <w:rtl/>
        </w:rPr>
        <w:t xml:space="preserve"> </w:t>
      </w:r>
      <w:r w:rsidRPr="00AA5065">
        <w:rPr>
          <w:rFonts w:ascii="David" w:eastAsia="Calibri" w:hAnsi="David"/>
          <w:b/>
          <w:bCs/>
          <w:rtl/>
        </w:rPr>
        <w:t>תשלומי הפרוטקשן ולהשתלטות על עבודות, קבלנים רבים סובלים מסחיטה באיומים, גניבת ציוד ומלאי מאתרי הבנייה</w:t>
      </w:r>
      <w:r w:rsidRPr="00AA5065">
        <w:rPr>
          <w:rFonts w:ascii="David" w:eastAsia="Calibri" w:hAnsi="David" w:hint="cs"/>
          <w:b/>
          <w:bCs/>
          <w:rtl/>
        </w:rPr>
        <w:t xml:space="preserve"> והם חוששים להגיש תלונה. </w:t>
      </w:r>
      <w:r w:rsidRPr="00AA5065">
        <w:rPr>
          <w:rFonts w:ascii="David" w:eastAsia="Calibri" w:hAnsi="David" w:hint="eastAsia"/>
          <w:b/>
          <w:bCs/>
          <w:rtl/>
        </w:rPr>
        <w:t>כך</w:t>
      </w:r>
      <w:r w:rsidRPr="00AA5065">
        <w:rPr>
          <w:rFonts w:ascii="David" w:eastAsia="Calibri" w:hAnsi="David"/>
          <w:b/>
          <w:bCs/>
          <w:rtl/>
        </w:rPr>
        <w:t xml:space="preserve">, מסקר שנערך </w:t>
      </w:r>
      <w:r w:rsidRPr="00AA5065">
        <w:rPr>
          <w:rFonts w:ascii="David" w:eastAsia="Calibri" w:hAnsi="David" w:hint="eastAsia"/>
          <w:b/>
          <w:bCs/>
          <w:rtl/>
        </w:rPr>
        <w:t>בפברואר</w:t>
      </w:r>
      <w:r w:rsidRPr="00AA5065">
        <w:rPr>
          <w:rFonts w:ascii="David" w:eastAsia="Calibri" w:hAnsi="David"/>
          <w:b/>
          <w:bCs/>
          <w:rtl/>
        </w:rPr>
        <w:t xml:space="preserve"> 2025 </w:t>
      </w:r>
      <w:r w:rsidRPr="00AA5065">
        <w:rPr>
          <w:rFonts w:ascii="David" w:eastAsia="Calibri" w:hAnsi="David" w:hint="eastAsia"/>
          <w:b/>
          <w:bCs/>
          <w:rtl/>
        </w:rPr>
        <w:t>על</w:t>
      </w:r>
      <w:r w:rsidRPr="00AA5065">
        <w:rPr>
          <w:rFonts w:ascii="David" w:eastAsia="Calibri" w:hAnsi="David"/>
          <w:b/>
          <w:bCs/>
          <w:rtl/>
        </w:rPr>
        <w:t xml:space="preserve"> ידי </w:t>
      </w:r>
      <w:r w:rsidRPr="00AA5065">
        <w:rPr>
          <w:rFonts w:ascii="David" w:eastAsia="Calibri" w:hAnsi="David" w:hint="eastAsia"/>
          <w:b/>
          <w:bCs/>
          <w:rtl/>
        </w:rPr>
        <w:t>ארגון</w:t>
      </w:r>
      <w:r w:rsidRPr="00AA5065">
        <w:rPr>
          <w:rFonts w:ascii="David" w:eastAsia="Calibri" w:hAnsi="David"/>
          <w:b/>
          <w:bCs/>
          <w:rtl/>
        </w:rPr>
        <w:t xml:space="preserve"> </w:t>
      </w:r>
      <w:r w:rsidRPr="00AA5065">
        <w:rPr>
          <w:rFonts w:ascii="David" w:eastAsia="Calibri" w:hAnsi="David" w:hint="eastAsia"/>
          <w:b/>
          <w:bCs/>
          <w:rtl/>
        </w:rPr>
        <w:t>הקבלנים</w:t>
      </w:r>
      <w:r w:rsidRPr="00AA5065">
        <w:rPr>
          <w:rFonts w:ascii="David" w:eastAsia="Calibri" w:hAnsi="David"/>
          <w:b/>
          <w:bCs/>
          <w:rtl/>
        </w:rPr>
        <w:t xml:space="preserve"> </w:t>
      </w:r>
      <w:r w:rsidRPr="00AA5065">
        <w:rPr>
          <w:rFonts w:ascii="David" w:eastAsia="Calibri" w:hAnsi="David" w:hint="eastAsia"/>
          <w:b/>
          <w:bCs/>
          <w:rtl/>
        </w:rPr>
        <w:t>והבונים</w:t>
      </w:r>
      <w:r w:rsidRPr="00AA5065">
        <w:rPr>
          <w:rFonts w:ascii="David" w:eastAsia="Calibri" w:hAnsi="David"/>
          <w:b/>
          <w:bCs/>
          <w:rtl/>
        </w:rPr>
        <w:t xml:space="preserve"> </w:t>
      </w:r>
      <w:r w:rsidRPr="00AA5065">
        <w:rPr>
          <w:rFonts w:ascii="David" w:eastAsia="Calibri" w:hAnsi="David" w:hint="eastAsia"/>
          <w:b/>
          <w:bCs/>
          <w:rtl/>
        </w:rPr>
        <w:t>במחוז</w:t>
      </w:r>
      <w:r w:rsidRPr="00AA5065">
        <w:rPr>
          <w:rFonts w:ascii="David" w:eastAsia="Calibri" w:hAnsi="David"/>
          <w:b/>
          <w:bCs/>
          <w:rtl/>
        </w:rPr>
        <w:t xml:space="preserve"> </w:t>
      </w:r>
      <w:r w:rsidRPr="00AA5065">
        <w:rPr>
          <w:rFonts w:ascii="David" w:eastAsia="Calibri" w:hAnsi="David" w:hint="eastAsia"/>
          <w:b/>
          <w:bCs/>
          <w:rtl/>
        </w:rPr>
        <w:t>ת</w:t>
      </w:r>
      <w:r w:rsidRPr="00AA5065">
        <w:rPr>
          <w:rFonts w:ascii="David" w:eastAsia="Calibri" w:hAnsi="David"/>
          <w:b/>
          <w:bCs/>
          <w:rtl/>
        </w:rPr>
        <w:t xml:space="preserve">"א </w:t>
      </w:r>
      <w:r w:rsidRPr="00AA5065">
        <w:rPr>
          <w:rFonts w:ascii="David" w:eastAsia="Calibri" w:hAnsi="David" w:hint="eastAsia"/>
          <w:b/>
          <w:bCs/>
          <w:rtl/>
        </w:rPr>
        <w:t>והמרכז</w:t>
      </w:r>
      <w:r w:rsidRPr="00AA5065">
        <w:rPr>
          <w:rFonts w:ascii="David" w:eastAsia="Calibri" w:hAnsi="David" w:hint="cs"/>
          <w:b/>
          <w:bCs/>
          <w:rtl/>
        </w:rPr>
        <w:t xml:space="preserve"> עולה כי </w:t>
      </w:r>
      <w:r w:rsidRPr="00AA5065">
        <w:rPr>
          <w:rFonts w:ascii="David" w:eastAsia="Calibri" w:hAnsi="David"/>
          <w:b/>
          <w:bCs/>
          <w:rtl/>
        </w:rPr>
        <w:t>87% מהקבלנים והיזמים התבקשו לשלם דמי חסות באתרי בני</w:t>
      </w:r>
      <w:r w:rsidRPr="00AA5065">
        <w:rPr>
          <w:rFonts w:ascii="David" w:eastAsia="Calibri" w:hAnsi="David" w:hint="cs"/>
          <w:b/>
          <w:bCs/>
          <w:rtl/>
        </w:rPr>
        <w:t>י</w:t>
      </w:r>
      <w:r w:rsidRPr="00AA5065">
        <w:rPr>
          <w:rFonts w:ascii="David" w:eastAsia="Calibri" w:hAnsi="David"/>
          <w:b/>
          <w:bCs/>
          <w:rtl/>
        </w:rPr>
        <w:t>ה</w:t>
      </w:r>
      <w:r w:rsidRPr="00AA5065">
        <w:rPr>
          <w:rFonts w:ascii="David" w:eastAsia="Calibri" w:hAnsi="David" w:hint="cs"/>
          <w:b/>
          <w:bCs/>
          <w:rtl/>
        </w:rPr>
        <w:t xml:space="preserve"> וכי</w:t>
      </w:r>
      <w:r w:rsidRPr="00AA5065">
        <w:rPr>
          <w:rFonts w:ascii="David" w:eastAsia="Calibri" w:hAnsi="David"/>
          <w:b/>
          <w:bCs/>
          <w:rtl/>
        </w:rPr>
        <w:t xml:space="preserve"> </w:t>
      </w:r>
      <w:r w:rsidRPr="00AA5065">
        <w:rPr>
          <w:rFonts w:ascii="David" w:eastAsia="Calibri" w:hAnsi="David" w:hint="cs"/>
          <w:b/>
          <w:bCs/>
          <w:rtl/>
        </w:rPr>
        <w:t>ה</w:t>
      </w:r>
      <w:r w:rsidRPr="00AA5065">
        <w:rPr>
          <w:rFonts w:ascii="David" w:eastAsia="Calibri" w:hAnsi="David"/>
          <w:b/>
          <w:bCs/>
          <w:rtl/>
        </w:rPr>
        <w:t>תופעה היא כלל ארצית</w:t>
      </w:r>
      <w:r w:rsidRPr="00AA5065">
        <w:rPr>
          <w:rFonts w:ascii="David" w:eastAsia="Calibri" w:hAnsi="David" w:hint="cs"/>
          <w:b/>
          <w:bCs/>
          <w:rtl/>
        </w:rPr>
        <w:t>; קבלנים נמנעים מלגשת למכרזים, 50% מהקבלנים ציינו כי פרויקטים קבלניים מתייקרים</w:t>
      </w:r>
      <w:r w:rsidRPr="00AA5065">
        <w:rPr>
          <w:rFonts w:ascii="David" w:eastAsia="Calibri" w:hAnsi="David"/>
          <w:b/>
          <w:bCs/>
          <w:rtl/>
        </w:rPr>
        <w:t xml:space="preserve"> בסכומים שנעים בין רבע</w:t>
      </w:r>
      <w:r w:rsidRPr="00AA5065">
        <w:rPr>
          <w:rFonts w:ascii="David" w:eastAsia="Calibri" w:hAnsi="David" w:hint="cs"/>
          <w:b/>
          <w:bCs/>
          <w:rtl/>
        </w:rPr>
        <w:t xml:space="preserve"> מיליון ש"ח למיליון ש"ח, </w:t>
      </w:r>
      <w:r w:rsidRPr="00AA5065">
        <w:rPr>
          <w:rFonts w:ascii="David" w:eastAsia="Calibri" w:hAnsi="David"/>
          <w:b/>
          <w:bCs/>
          <w:rtl/>
        </w:rPr>
        <w:t>הקבלנים חוששים להגיש תלונה (75% מהקבלנים)</w:t>
      </w:r>
      <w:r w:rsidRPr="00AA5065">
        <w:rPr>
          <w:rFonts w:ascii="David" w:eastAsia="Calibri" w:hAnsi="David" w:hint="cs"/>
          <w:b/>
          <w:bCs/>
          <w:rtl/>
        </w:rPr>
        <w:t>.</w:t>
      </w:r>
      <w:r w:rsidRPr="00AA5065">
        <w:rPr>
          <w:rFonts w:ascii="David" w:eastAsia="Calibri" w:hAnsi="David"/>
          <w:b/>
          <w:bCs/>
          <w:rtl/>
        </w:rPr>
        <w:t xml:space="preserve"> </w:t>
      </w:r>
      <w:bookmarkEnd w:id="99"/>
      <w:bookmarkEnd w:id="100"/>
    </w:p>
    <w:p w:rsidR="00E96206" w:rsidRPr="00AA5065" w:rsidP="00E96206">
      <w:pPr>
        <w:spacing w:line="269" w:lineRule="auto"/>
        <w:rPr>
          <w:rFonts w:eastAsia="Calibri"/>
          <w:szCs w:val="20"/>
        </w:rPr>
      </w:pPr>
    </w:p>
    <w:p w:rsidR="00AA5065" w:rsidRPr="00AA5065" w:rsidP="00860D89">
      <w:pPr>
        <w:keepNext/>
        <w:keepLines/>
        <w:spacing w:line="269" w:lineRule="auto"/>
        <w:ind w:left="-1"/>
        <w:jc w:val="center"/>
        <w:rPr>
          <w:rFonts w:ascii="David" w:eastAsia="Calibri" w:hAnsi="David"/>
          <w:b/>
          <w:bCs/>
          <w:rtl/>
        </w:rPr>
      </w:pPr>
      <w:r w:rsidRPr="00AA5065">
        <w:rPr>
          <w:rFonts w:ascii="David" w:eastAsia="Calibri" w:hAnsi="David"/>
          <w:b/>
          <w:bCs/>
          <w:rtl/>
        </w:rPr>
        <w:t xml:space="preserve">מידת </w:t>
      </w:r>
      <w:r w:rsidRPr="00AA5065">
        <w:rPr>
          <w:rFonts w:ascii="David" w:eastAsia="Calibri" w:hAnsi="David"/>
          <w:b/>
          <w:bCs/>
          <w:color w:val="0D0D0D"/>
          <w:sz w:val="24"/>
          <w:rtl/>
        </w:rPr>
        <w:t>תיקון</w:t>
      </w:r>
      <w:r w:rsidRPr="00AA5065">
        <w:rPr>
          <w:rFonts w:ascii="David" w:eastAsia="Calibri" w:hAnsi="David"/>
          <w:b/>
          <w:bCs/>
          <w:rtl/>
        </w:rPr>
        <w:t xml:space="preserve"> הליקוי</w:t>
      </w:r>
    </w:p>
    <w:p w:rsidR="00AA5065" w:rsidRPr="00AA5065" w:rsidP="00860D89">
      <w:pPr>
        <w:spacing w:line="269" w:lineRule="auto"/>
        <w:ind w:left="-1"/>
        <w:jc w:val="center"/>
        <w:rPr>
          <w:rFonts w:ascii="David" w:eastAsia="Calibri" w:hAnsi="David"/>
          <w:b/>
          <w:rtl/>
        </w:rPr>
      </w:pPr>
      <w:r w:rsidRPr="00AA5065">
        <w:rPr>
          <w:rFonts w:ascii="David" w:eastAsia="Calibri" w:hAnsi="David"/>
          <w:noProof/>
        </w:rPr>
        <w:drawing>
          <wp:inline distT="0" distB="0" distL="0" distR="0">
            <wp:extent cx="3820357" cy="714375"/>
            <wp:effectExtent l="0" t="0" r="8890" b="0"/>
            <wp:docPr id="25" name="תמונה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תמונה 1095261540"/>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3831977" cy="716548"/>
                    </a:xfrm>
                    <a:prstGeom prst="rect">
                      <a:avLst/>
                    </a:prstGeom>
                    <a:noFill/>
                    <a:ln>
                      <a:noFill/>
                    </a:ln>
                  </pic:spPr>
                </pic:pic>
              </a:graphicData>
            </a:graphic>
          </wp:inline>
        </w:drawing>
      </w:r>
    </w:p>
    <w:p w:rsidR="00AA5065" w:rsidRPr="00AA5065" w:rsidP="00A80B8F">
      <w:pPr>
        <w:spacing w:after="120" w:line="269" w:lineRule="auto"/>
        <w:ind w:left="-567"/>
        <w:rPr>
          <w:rFonts w:eastAsia="Calibri"/>
          <w:szCs w:val="20"/>
          <w:rtl/>
        </w:rPr>
      </w:pPr>
    </w:p>
    <w:p w:rsidR="00AA5065" w:rsidRPr="00AA5065" w:rsidP="00860D89">
      <w:pPr>
        <w:spacing w:line="269" w:lineRule="auto"/>
        <w:rPr>
          <w:rFonts w:eastAsia="Calibri"/>
          <w:szCs w:val="20"/>
          <w:rtl/>
        </w:rPr>
      </w:pPr>
      <w:r w:rsidRPr="00AA5065">
        <w:rPr>
          <w:rFonts w:ascii="David" w:eastAsia="Calibri" w:hAnsi="David" w:hint="eastAsia"/>
          <w:b/>
          <w:bCs/>
          <w:rtl/>
        </w:rPr>
        <w:t>על</w:t>
      </w:r>
      <w:r w:rsidRPr="00AA5065">
        <w:rPr>
          <w:rFonts w:ascii="David" w:eastAsia="Calibri" w:hAnsi="David"/>
          <w:b/>
          <w:bCs/>
          <w:rtl/>
        </w:rPr>
        <w:t xml:space="preserve"> השר לב</w:t>
      </w:r>
      <w:r w:rsidRPr="00AA5065">
        <w:rPr>
          <w:rFonts w:ascii="David" w:eastAsia="Calibri" w:hAnsi="David" w:hint="cs"/>
          <w:b/>
          <w:bCs/>
          <w:rtl/>
        </w:rPr>
        <w:t>י</w:t>
      </w:r>
      <w:r w:rsidRPr="00AA5065">
        <w:rPr>
          <w:rFonts w:ascii="David" w:eastAsia="Calibri" w:hAnsi="David"/>
          <w:b/>
          <w:bCs/>
          <w:rtl/>
        </w:rPr>
        <w:t xml:space="preserve">טחון לאומי </w:t>
      </w:r>
      <w:r w:rsidRPr="00AA5065">
        <w:rPr>
          <w:rFonts w:ascii="David" w:eastAsia="Calibri" w:hAnsi="David" w:hint="cs"/>
          <w:b/>
          <w:bCs/>
          <w:rtl/>
        </w:rPr>
        <w:t xml:space="preserve">לפעול </w:t>
      </w:r>
      <w:r w:rsidRPr="00AA5065">
        <w:rPr>
          <w:rFonts w:ascii="David" w:eastAsia="Calibri" w:hAnsi="David"/>
          <w:b/>
          <w:bCs/>
          <w:rtl/>
        </w:rPr>
        <w:t>לצמצום ומיגור תופע</w:t>
      </w:r>
      <w:r w:rsidRPr="00AA5065">
        <w:rPr>
          <w:rFonts w:ascii="David" w:eastAsia="Calibri" w:hAnsi="David" w:hint="cs"/>
          <w:b/>
          <w:bCs/>
          <w:rtl/>
        </w:rPr>
        <w:t>ת סחיטת דמי חסות</w:t>
      </w:r>
      <w:r w:rsidRPr="00AA5065">
        <w:rPr>
          <w:rFonts w:ascii="David" w:eastAsia="Calibri" w:hAnsi="David"/>
          <w:b/>
          <w:bCs/>
          <w:rtl/>
        </w:rPr>
        <w:t xml:space="preserve"> ביתר שאת, תוך ‏הגברת שיתוף הפעולה בין משטרת ישראל לפרקליטות ומתן כלים אופרטיבי</w:t>
      </w:r>
      <w:r w:rsidRPr="00AA5065">
        <w:rPr>
          <w:rFonts w:ascii="David" w:eastAsia="Calibri" w:hAnsi="David" w:hint="cs"/>
          <w:b/>
          <w:bCs/>
          <w:rtl/>
        </w:rPr>
        <w:t>י</w:t>
      </w:r>
      <w:r w:rsidRPr="00AA5065">
        <w:rPr>
          <w:rFonts w:ascii="David" w:eastAsia="Calibri" w:hAnsi="David"/>
          <w:b/>
          <w:bCs/>
          <w:rtl/>
        </w:rPr>
        <w:t>ם ל</w:t>
      </w:r>
      <w:r w:rsidRPr="00AA5065">
        <w:rPr>
          <w:rFonts w:ascii="David" w:eastAsia="Calibri" w:hAnsi="David" w:hint="cs"/>
          <w:b/>
          <w:bCs/>
          <w:rtl/>
        </w:rPr>
        <w:t>אכיפת החוק</w:t>
      </w:r>
      <w:r w:rsidRPr="00AA5065">
        <w:rPr>
          <w:rFonts w:ascii="David" w:eastAsia="Calibri" w:hAnsi="David"/>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משטרת ישראל מסרה בתגובתה כי "</w:t>
      </w:r>
      <w:r w:rsidRPr="00AA5065">
        <w:rPr>
          <w:rFonts w:ascii="David" w:eastAsia="Calibri" w:hAnsi="David"/>
          <w:rtl/>
        </w:rPr>
        <w:t>בשנת 2025,</w:t>
      </w:r>
      <w:r w:rsidRPr="00AA5065">
        <w:rPr>
          <w:rFonts w:ascii="David" w:eastAsia="Calibri" w:hAnsi="David" w:hint="cs"/>
          <w:rtl/>
        </w:rPr>
        <w:t xml:space="preserve"> </w:t>
      </w:r>
      <w:r w:rsidRPr="00AA5065">
        <w:rPr>
          <w:rFonts w:ascii="David" w:eastAsia="Calibri" w:hAnsi="David"/>
          <w:rtl/>
        </w:rPr>
        <w:t>כחלק ממדיניות המטה הארצי וממ"ז דרום, הוקם צוות היגוי בתחום הגד"ח (גביית דמי חסות)/סד"ח. נערכו מס' כנסים מקצועיים בתחום הגד"ח ונעשית עבודה משמעותית וראויה בשת"פ מחלק פרוטקשן דרום.</w:t>
      </w:r>
      <w:r w:rsidRPr="00AA5065">
        <w:rPr>
          <w:rFonts w:ascii="David" w:eastAsia="Calibri" w:hAnsi="David" w:hint="cs"/>
          <w:rtl/>
        </w:rPr>
        <w:t xml:space="preserve">.. </w:t>
      </w:r>
      <w:r w:rsidRPr="00AA5065">
        <w:rPr>
          <w:rFonts w:ascii="David" w:eastAsia="Calibri" w:hAnsi="David"/>
          <w:rtl/>
        </w:rPr>
        <w:t>בנוסף, ביוזמת מחלק פרוטקשן דרום עתיד להיערך כנס קבלנים במחוז דרום, במסגרתו יציג עמדתו קבלן שנסחט בעבר ומשתף פעולה עם המשטרה. המטרה: לעודד קבלנים לעבוד עם המשטרה ולחשוף את התופעה</w:t>
      </w:r>
      <w:r w:rsidRPr="00AA5065">
        <w:rPr>
          <w:rFonts w:ascii="David" w:eastAsia="Calibri" w:hAnsi="David" w:hint="cs"/>
          <w:rtl/>
        </w:rPr>
        <w:t>"</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המשרד לביטחון לאומי מסר בתשובתו כי "</w:t>
      </w:r>
      <w:r w:rsidRPr="00AA5065">
        <w:rPr>
          <w:rFonts w:ascii="David" w:eastAsia="Calibri" w:hAnsi="David"/>
          <w:rtl/>
        </w:rPr>
        <w:t>עם כניסתו לתפקיד, העמיד השר לביטחון לאומי בראש סדר העדיפויות את המאבק בארגוני הפשיעה ובתופעת הפרוטקשן וקידם שורה ארוכה של צעדי חקיקה שיתנו כלים וסמכויות למשטרת ישראל להתמודד עם התופעה.</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כמו כן</w:t>
      </w:r>
      <w:r w:rsidRPr="00AA5065">
        <w:rPr>
          <w:rFonts w:ascii="David" w:eastAsia="Calibri" w:hAnsi="David"/>
          <w:rtl/>
        </w:rPr>
        <w:t xml:space="preserve"> </w:t>
      </w:r>
      <w:r w:rsidRPr="00AA5065">
        <w:rPr>
          <w:rFonts w:ascii="David" w:eastAsia="Calibri" w:hAnsi="David" w:hint="cs"/>
          <w:rtl/>
        </w:rPr>
        <w:t xml:space="preserve">מסר המשרד בתשובתו </w:t>
      </w:r>
      <w:r w:rsidRPr="00AA5065">
        <w:rPr>
          <w:rFonts w:ascii="David" w:eastAsia="Calibri" w:hAnsi="David"/>
          <w:rtl/>
        </w:rPr>
        <w:t xml:space="preserve">כי </w:t>
      </w:r>
      <w:r w:rsidRPr="00AA5065">
        <w:rPr>
          <w:rFonts w:ascii="David" w:eastAsia="Calibri" w:hAnsi="David" w:hint="cs"/>
          <w:rtl/>
        </w:rPr>
        <w:t>מקודמים</w:t>
      </w:r>
      <w:r w:rsidRPr="00AA5065">
        <w:rPr>
          <w:rFonts w:ascii="David" w:eastAsia="Calibri" w:hAnsi="David"/>
          <w:rtl/>
        </w:rPr>
        <w:t xml:space="preserve"> תיקוני חקיקה</w:t>
      </w:r>
      <w:r w:rsidRPr="00AA5065">
        <w:rPr>
          <w:rFonts w:ascii="David" w:eastAsia="Calibri" w:hAnsi="David" w:hint="cs"/>
          <w:rtl/>
        </w:rPr>
        <w:t>,</w:t>
      </w:r>
      <w:r w:rsidRPr="00AA5065">
        <w:rPr>
          <w:rFonts w:ascii="David" w:eastAsia="Calibri" w:hAnsi="David"/>
          <w:rtl/>
        </w:rPr>
        <w:t xml:space="preserve"> בשיתוף המשרד לב</w:t>
      </w:r>
      <w:r w:rsidR="0063148C">
        <w:rPr>
          <w:rFonts w:ascii="David" w:eastAsia="Calibri" w:hAnsi="David" w:hint="cs"/>
          <w:rtl/>
        </w:rPr>
        <w:t>יטחון לאומי</w:t>
      </w:r>
      <w:r w:rsidRPr="00AA5065">
        <w:rPr>
          <w:rFonts w:ascii="David" w:eastAsia="Calibri" w:hAnsi="David"/>
          <w:rtl/>
        </w:rPr>
        <w:t xml:space="preserve"> ומשטרת ישראל, במטרה לתת מענה לתופעת השתלטות ארגוני הפשיעה על תחום המכרזים</w:t>
      </w:r>
      <w:r w:rsidRPr="00AA5065">
        <w:rPr>
          <w:rFonts w:ascii="David" w:eastAsia="Calibri" w:hAnsi="David" w:hint="cs"/>
          <w:rtl/>
        </w:rPr>
        <w:t xml:space="preserve"> וכן לתת כלים וסמכויות למשטרת ישראל לצורך התמודדות עם התופעה ולצורך הגנה על קורבנות התופעה, ובהם בין היתר </w:t>
      </w:r>
      <w:r w:rsidRPr="00AA5065">
        <w:rPr>
          <w:rFonts w:ascii="David" w:eastAsia="Calibri" w:hAnsi="David"/>
          <w:rtl/>
        </w:rPr>
        <w:t>הצעת חוק עסקאות גופים ציבוריים (תיקון מס׳ 12) (איסור התקשרות עם ספק בשל מעורבות בפשיעה חמורה), התשפ״ה-2025</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ו</w:t>
      </w:r>
      <w:r w:rsidRPr="00AA5065">
        <w:rPr>
          <w:rFonts w:ascii="David" w:eastAsia="Calibri" w:hAnsi="David"/>
          <w:rtl/>
        </w:rPr>
        <w:t>הצעת חוק שירותי אבטחה, התשפ״ה-2025</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אשר "</w:t>
      </w:r>
      <w:r w:rsidRPr="00AA5065">
        <w:rPr>
          <w:rFonts w:ascii="David" w:eastAsia="Calibri" w:hAnsi="David"/>
          <w:rtl/>
        </w:rPr>
        <w:t>נועד</w:t>
      </w:r>
      <w:r w:rsidRPr="00AA5065">
        <w:rPr>
          <w:rFonts w:ascii="David" w:eastAsia="Calibri" w:hAnsi="David" w:hint="cs"/>
          <w:rtl/>
        </w:rPr>
        <w:t>ה</w:t>
      </w:r>
      <w:r w:rsidRPr="00AA5065">
        <w:rPr>
          <w:rFonts w:ascii="David" w:eastAsia="Calibri" w:hAnsi="David"/>
          <w:rtl/>
        </w:rPr>
        <w:t xml:space="preserve"> לאסדר את תחום רישוי שירותי אבטחה באופן שיבטיח את שלום הציבור ויאפשר פיקוח אפקטיבי על שירותי אבטחה הניתנים בישראל, ויעביר את האחריות לרישוי, פיקוח ואכיפה של חברות אבטחה ושמירה מידי משרד המשפטים למשרד לביטחון לאומי</w:t>
      </w:r>
      <w:r w:rsidRPr="00AA5065">
        <w:rPr>
          <w:rFonts w:ascii="David" w:eastAsia="Calibri" w:hAnsi="David" w:hint="cs"/>
          <w:rtl/>
        </w:rPr>
        <w:t>"</w:t>
      </w:r>
      <w:r w:rsidRPr="00AA5065">
        <w:rPr>
          <w:rFonts w:ascii="David" w:eastAsia="Calibri" w:hAnsi="David"/>
          <w:rtl/>
        </w:rPr>
        <w:t xml:space="preserve">. </w:t>
      </w:r>
    </w:p>
    <w:p w:rsidR="00AA5065" w:rsidRPr="00AA5065" w:rsidP="00860D89">
      <w:pPr>
        <w:spacing w:line="269" w:lineRule="auto"/>
        <w:rPr>
          <w:rFonts w:eastAsia="Calibri"/>
          <w:rtl/>
        </w:rPr>
      </w:pPr>
    </w:p>
    <w:p w:rsidR="00AA5065" w:rsidRPr="00AA5065" w:rsidP="00A80B8F">
      <w:pPr>
        <w:keepNext/>
        <w:keepLines/>
        <w:spacing w:before="100" w:beforeAutospacing="1" w:line="269" w:lineRule="auto"/>
        <w:outlineLvl w:val="4"/>
        <w:rPr>
          <w:rFonts w:eastAsia="Times New Roman"/>
          <w:bCs/>
          <w:spacing w:val="40"/>
          <w:rtl/>
        </w:rPr>
      </w:pPr>
      <w:r w:rsidRPr="00AA5065">
        <w:rPr>
          <w:rFonts w:eastAsia="Times New Roman" w:hint="cs"/>
          <w:bCs/>
          <w:spacing w:val="40"/>
          <w:rtl/>
        </w:rPr>
        <w:t>דמי חסות עבור "שמירת לילה" במוסדות חינוך</w:t>
      </w:r>
    </w:p>
    <w:p w:rsidR="00AA5065" w:rsidRPr="00AA5065" w:rsidP="00860D89">
      <w:pPr>
        <w:spacing w:line="269" w:lineRule="auto"/>
        <w:rPr>
          <w:rFonts w:eastAsia="Calibri"/>
          <w:rtl/>
        </w:rPr>
      </w:pPr>
    </w:p>
    <w:p w:rsidR="00AA5065" w:rsidRPr="00AA5065" w:rsidP="00860D89">
      <w:pPr>
        <w:keepNext/>
        <w:keepLines/>
        <w:spacing w:line="269" w:lineRule="auto"/>
        <w:outlineLvl w:val="5"/>
        <w:rPr>
          <w:rFonts w:eastAsia="Times New Roman"/>
          <w:spacing w:val="40"/>
          <w:rtl/>
        </w:rPr>
      </w:pPr>
      <w:r w:rsidRPr="00AA5065">
        <w:rPr>
          <w:rFonts w:eastAsia="Times New Roman" w:hint="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 xml:space="preserve">בביקורת הקודמת נמצא כי </w:t>
      </w:r>
      <w:r w:rsidRPr="00AA5065">
        <w:rPr>
          <w:rFonts w:ascii="David" w:eastAsia="Calibri" w:hAnsi="David"/>
          <w:rtl/>
        </w:rPr>
        <w:t>מועצות אזוריות</w:t>
      </w:r>
      <w:r w:rsidRPr="00AA5065">
        <w:rPr>
          <w:rFonts w:ascii="David" w:eastAsia="Calibri" w:hAnsi="David" w:hint="cs"/>
          <w:rtl/>
        </w:rPr>
        <w:t xml:space="preserve"> באזור הנגב</w:t>
      </w:r>
      <w:r w:rsidRPr="00AA5065">
        <w:rPr>
          <w:rFonts w:ascii="David" w:eastAsia="Calibri" w:hAnsi="David"/>
          <w:rtl/>
        </w:rPr>
        <w:t xml:space="preserve"> משלמות מיליוני שקלים בשנה</w:t>
      </w:r>
      <w:r w:rsidRPr="00AA5065">
        <w:rPr>
          <w:rFonts w:ascii="David" w:eastAsia="Calibri" w:hAnsi="David" w:hint="cs"/>
          <w:rtl/>
        </w:rPr>
        <w:t xml:space="preserve"> עבור</w:t>
      </w:r>
      <w:r w:rsidRPr="00AA5065">
        <w:rPr>
          <w:rFonts w:ascii="David" w:eastAsia="Calibri" w:hAnsi="David"/>
          <w:rtl/>
        </w:rPr>
        <w:t xml:space="preserve"> "שמירת רכוש" בשעות הלילה, אף שכלל לא ברורה ההצדקה לכך</w:t>
      </w:r>
      <w:r w:rsidRPr="00AA5065">
        <w:rPr>
          <w:rFonts w:ascii="David" w:eastAsia="Calibri" w:hAnsi="David" w:hint="cs"/>
          <w:rtl/>
        </w:rPr>
        <w:t xml:space="preserve">, וכי </w:t>
      </w:r>
      <w:r w:rsidRPr="00AA5065">
        <w:rPr>
          <w:rFonts w:ascii="David" w:eastAsia="Calibri" w:hAnsi="David"/>
          <w:rtl/>
        </w:rPr>
        <w:t xml:space="preserve">הדבר אף אינו עולה בקנה אחד עם נוהלי משרד החינוך, שלפיהם שעות האבטחה יהיו בשעות הלימודים. </w:t>
      </w:r>
      <w:r w:rsidRPr="00AA5065">
        <w:rPr>
          <w:rFonts w:ascii="David" w:eastAsia="Calibri" w:hAnsi="David" w:hint="cs"/>
          <w:rtl/>
        </w:rPr>
        <w:t>הומלץ</w:t>
      </w:r>
      <w:r w:rsidRPr="00AA5065">
        <w:rPr>
          <w:rFonts w:ascii="David" w:eastAsia="Calibri" w:hAnsi="David"/>
          <w:rtl/>
        </w:rPr>
        <w:t xml:space="preserve"> כי הגופים הרלוונטיים ייצרו מנגנוני בקרה ופיקוח אפקטיביים על הפעילות השוטפת של הרשויות המקומיות והמועצות האזוריות, כדי שכספי תוכניות החומש ותקציבי הפעילות השוטפת לא יופנו למעשה לתשלום דמי חסות במסגרת שמירת לילה, על חשבון </w:t>
      </w:r>
      <w:r w:rsidRPr="00AA5065">
        <w:rPr>
          <w:rFonts w:ascii="David" w:eastAsia="Calibri" w:hAnsi="David" w:hint="cs"/>
          <w:rtl/>
        </w:rPr>
        <w:t>ה</w:t>
      </w:r>
      <w:r w:rsidRPr="00AA5065">
        <w:rPr>
          <w:rFonts w:ascii="David" w:eastAsia="Calibri" w:hAnsi="David"/>
          <w:rtl/>
        </w:rPr>
        <w:t xml:space="preserve">שמירה במוסדות החינוך במהלך שעות הלימודים ופעילויות </w:t>
      </w:r>
      <w:r w:rsidRPr="00AA5065">
        <w:rPr>
          <w:rFonts w:ascii="David" w:eastAsia="Calibri" w:hAnsi="David" w:hint="cs"/>
          <w:rtl/>
        </w:rPr>
        <w:t>ה</w:t>
      </w:r>
      <w:r w:rsidRPr="00AA5065">
        <w:rPr>
          <w:rFonts w:ascii="David" w:eastAsia="Calibri" w:hAnsi="David"/>
          <w:rtl/>
        </w:rPr>
        <w:t>חינו</w:t>
      </w:r>
      <w:r w:rsidRPr="00AA5065">
        <w:rPr>
          <w:rFonts w:ascii="David" w:eastAsia="Calibri" w:hAnsi="David" w:hint="cs"/>
          <w:rtl/>
        </w:rPr>
        <w:t>ך.</w:t>
      </w:r>
    </w:p>
    <w:p w:rsidR="00AA5065" w:rsidRPr="00AA5065" w:rsidP="00860D89">
      <w:pPr>
        <w:spacing w:line="269" w:lineRule="auto"/>
        <w:rPr>
          <w:rFonts w:eastAsia="Calibri"/>
          <w:rtl/>
        </w:rPr>
      </w:pPr>
    </w:p>
    <w:p w:rsidR="00AA5065" w:rsidRPr="00AA5065" w:rsidP="00860D89">
      <w:pPr>
        <w:keepNext/>
        <w:keepLines/>
        <w:spacing w:line="269" w:lineRule="auto"/>
        <w:outlineLvl w:val="5"/>
        <w:rPr>
          <w:rFonts w:eastAsia="Times New Roman"/>
          <w:spacing w:val="40"/>
          <w:rtl/>
        </w:rPr>
      </w:pPr>
      <w:r w:rsidRPr="00AA5065">
        <w:rPr>
          <w:rFonts w:eastAsia="Times New Roman" w:hint="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נמצא כי החברה למשק וכלכלה של השלטון המקומי</w:t>
      </w:r>
      <w:r>
        <w:rPr>
          <w:rFonts w:ascii="David" w:eastAsia="Calibri" w:hAnsi="David"/>
          <w:vertAlign w:val="superscript"/>
          <w:rtl/>
        </w:rPr>
        <w:footnoteReference w:id="112"/>
      </w:r>
      <w:r w:rsidRPr="00AA5065">
        <w:rPr>
          <w:rFonts w:ascii="David" w:eastAsia="Calibri" w:hAnsi="David"/>
          <w:rtl/>
        </w:rPr>
        <w:t xml:space="preserve"> ערכה עבור המועצה האזורית נווה מדבר הליך התמחרות בנוהל הצעת מחיר מכוח מכרז מסגרת למתן שירותי אבטחה ושמירה</w:t>
      </w:r>
      <w:r w:rsidRPr="00AA5065">
        <w:rPr>
          <w:rFonts w:ascii="David" w:eastAsia="Calibri" w:hAnsi="David" w:hint="cs"/>
          <w:rtl/>
        </w:rPr>
        <w:t xml:space="preserve">. </w:t>
      </w:r>
      <w:r w:rsidRPr="00AA5065">
        <w:rPr>
          <w:rFonts w:ascii="David" w:eastAsia="Calibri" w:hAnsi="David"/>
          <w:rtl/>
        </w:rPr>
        <w:t xml:space="preserve">בהתאם לתוצאות נוהל הצעת המחיר התקשרה המועצה עם הקבלן בחוזה התקשרות למתן שירותי שמירה על מבני חינוך וציבור </w:t>
      </w:r>
      <w:r w:rsidRPr="00AA5065">
        <w:rPr>
          <w:rFonts w:ascii="David" w:eastAsia="Calibri" w:hAnsi="David"/>
          <w:cs/>
        </w:rPr>
        <w:t>‎</w:t>
      </w:r>
      <w:r w:rsidRPr="00AA5065">
        <w:rPr>
          <w:rFonts w:ascii="David" w:eastAsia="Calibri" w:hAnsi="David"/>
          <w:rtl/>
        </w:rPr>
        <w:t>של המועצה בשעות הלילה ובסופי שבוע, סיור מדלג ושירותי פיקוח</w:t>
      </w:r>
      <w:r w:rsidRPr="00AA5065">
        <w:rPr>
          <w:rFonts w:ascii="David" w:eastAsia="Calibri" w:hAnsi="David" w:hint="cs"/>
          <w:rtl/>
        </w:rPr>
        <w:t xml:space="preserve">. </w:t>
      </w:r>
      <w:r w:rsidRPr="00AA5065">
        <w:rPr>
          <w:rFonts w:ascii="David" w:eastAsia="Calibri" w:hAnsi="David"/>
          <w:rtl/>
        </w:rPr>
        <w:t>המכרז כלל הזמנת סדרנים לא חמושים לשמירה בשעות הלילה ובסופי שבוע</w:t>
      </w:r>
      <w:r w:rsidRPr="00AA5065">
        <w:rPr>
          <w:rFonts w:ascii="David" w:eastAsia="Calibri" w:hAnsi="David" w:hint="cs"/>
          <w:rtl/>
        </w:rPr>
        <w:t xml:space="preserve"> </w:t>
      </w:r>
      <w:r w:rsidRPr="00AA5065">
        <w:rPr>
          <w:rFonts w:ascii="David" w:eastAsia="Calibri" w:hAnsi="David"/>
          <w:rtl/>
        </w:rPr>
        <w:t xml:space="preserve">ושמירה </w:t>
      </w:r>
      <w:r w:rsidRPr="00AA5065">
        <w:rPr>
          <w:rFonts w:ascii="David" w:eastAsia="Calibri" w:hAnsi="David" w:hint="cs"/>
          <w:rtl/>
        </w:rPr>
        <w:t xml:space="preserve">על מבני מוסדות חינוך ועל </w:t>
      </w:r>
      <w:r w:rsidRPr="00AA5065">
        <w:rPr>
          <w:rFonts w:ascii="David" w:eastAsia="Calibri" w:hAnsi="David"/>
          <w:rtl/>
        </w:rPr>
        <w:t>משרדי המועצה</w:t>
      </w:r>
      <w:r w:rsidRPr="00AA5065">
        <w:rPr>
          <w:rFonts w:ascii="David" w:eastAsia="Calibri" w:hAnsi="David" w:hint="cs"/>
          <w:rtl/>
        </w:rPr>
        <w:t xml:space="preserve">, </w:t>
      </w:r>
      <w:r w:rsidRPr="00AA5065">
        <w:rPr>
          <w:rFonts w:ascii="David" w:eastAsia="Calibri" w:hAnsi="David"/>
          <w:rtl/>
        </w:rPr>
        <w:t xml:space="preserve">תוך קביעת מכסת שעות חודשית של 14,800 שעות ושכר שעתי של 47.97 ש"ח. </w:t>
      </w:r>
      <w:r w:rsidRPr="00AA5065">
        <w:rPr>
          <w:rFonts w:ascii="David" w:eastAsia="Calibri" w:hAnsi="David" w:hint="cs"/>
          <w:rtl/>
        </w:rPr>
        <w:t xml:space="preserve">בסך הכול עלות השמירה בשעות הלילה וסופי שבוע היא כ-710,000 ש"ח בחודש נוסף על כך מוקצים סדרנים לשמירת יום במכסת שעות חודשית של 340 שעות ובשכר שעתי של 47.97 ש"ח. בסך הכול עלות השמירה בשעות היום היא כ-17,000 ש"ח בחודש. </w:t>
      </w:r>
      <w:r w:rsidRPr="00AA5065">
        <w:rPr>
          <w:rFonts w:ascii="David" w:eastAsia="Calibri" w:hAnsi="David"/>
          <w:rtl/>
        </w:rPr>
        <w:t>מעיון בחוזה ההתקשרות שנחתם</w:t>
      </w:r>
      <w:r>
        <w:rPr>
          <w:rFonts w:ascii="David" w:eastAsia="Calibri" w:hAnsi="David"/>
          <w:vertAlign w:val="superscript"/>
          <w:rtl/>
        </w:rPr>
        <w:footnoteReference w:id="113"/>
      </w:r>
      <w:r w:rsidRPr="00AA5065">
        <w:rPr>
          <w:rFonts w:ascii="David" w:eastAsia="Calibri" w:hAnsi="David"/>
          <w:rtl/>
        </w:rPr>
        <w:t xml:space="preserve"> ביום 3.11.21 עולה כי 29 מתוך 33 סדרנים</w:t>
      </w:r>
      <w:r w:rsidRPr="00AA5065">
        <w:rPr>
          <w:rFonts w:ascii="David" w:eastAsia="Calibri" w:hAnsi="David" w:hint="cs"/>
          <w:rtl/>
        </w:rPr>
        <w:t xml:space="preserve"> (88%)</w:t>
      </w:r>
      <w:r w:rsidRPr="00AA5065">
        <w:rPr>
          <w:rFonts w:ascii="David" w:eastAsia="Calibri" w:hAnsi="David"/>
          <w:rtl/>
        </w:rPr>
        <w:t xml:space="preserve"> מועסקים בשמירת ‏לילה ו</w:t>
      </w:r>
      <w:r w:rsidRPr="00AA5065">
        <w:rPr>
          <w:rFonts w:ascii="David" w:eastAsia="Calibri" w:hAnsi="David" w:hint="cs"/>
          <w:rtl/>
        </w:rPr>
        <w:t>ב</w:t>
      </w:r>
      <w:r w:rsidRPr="00AA5065">
        <w:rPr>
          <w:rFonts w:ascii="David" w:eastAsia="Calibri" w:hAnsi="David"/>
          <w:rtl/>
        </w:rPr>
        <w:t>סופי שבוע.‏</w:t>
      </w:r>
      <w:r w:rsidRPr="00AA5065">
        <w:rPr>
          <w:rFonts w:ascii="David" w:eastAsia="Calibri" w:hAnsi="David" w:hint="cs"/>
          <w:rtl/>
        </w:rPr>
        <w:t xml:space="preserve"> סך </w:t>
      </w:r>
      <w:r w:rsidRPr="00AA5065">
        <w:rPr>
          <w:rFonts w:ascii="David" w:eastAsia="Calibri" w:hAnsi="David"/>
          <w:rtl/>
        </w:rPr>
        <w:t xml:space="preserve">עלות </w:t>
      </w:r>
      <w:r w:rsidRPr="00AA5065">
        <w:rPr>
          <w:rFonts w:ascii="David" w:eastAsia="Calibri" w:hAnsi="David" w:hint="cs"/>
          <w:rtl/>
        </w:rPr>
        <w:t>שירותי השמירה</w:t>
      </w:r>
      <w:r w:rsidRPr="00AA5065">
        <w:rPr>
          <w:rFonts w:ascii="David" w:eastAsia="Calibri" w:hAnsi="David"/>
          <w:rtl/>
        </w:rPr>
        <w:t xml:space="preserve"> </w:t>
      </w:r>
      <w:r w:rsidRPr="00AA5065">
        <w:rPr>
          <w:rFonts w:ascii="David" w:eastAsia="Calibri" w:hAnsi="David" w:hint="cs"/>
          <w:rtl/>
        </w:rPr>
        <w:t>במועצה</w:t>
      </w:r>
      <w:r w:rsidRPr="00AA5065">
        <w:rPr>
          <w:rFonts w:ascii="David" w:eastAsia="Calibri" w:hAnsi="David"/>
          <w:rtl/>
        </w:rPr>
        <w:t xml:space="preserve"> עמד על כ-10.1 מיליון ש"ח בשנת 2020 ועלה לכ-12.1 מיליון ש"ח</w:t>
      </w:r>
      <w:r>
        <w:rPr>
          <w:rFonts w:ascii="David" w:eastAsia="Calibri" w:hAnsi="David"/>
          <w:vertAlign w:val="superscript"/>
          <w:rtl/>
        </w:rPr>
        <w:footnoteReference w:id="114"/>
      </w:r>
      <w:r w:rsidRPr="00AA5065">
        <w:rPr>
          <w:rFonts w:ascii="David" w:eastAsia="Calibri" w:hAnsi="David"/>
          <w:rtl/>
        </w:rPr>
        <w:t xml:space="preserve"> בשנת 2024</w:t>
      </w:r>
      <w:r w:rsidRPr="00AA5065">
        <w:rPr>
          <w:rFonts w:ascii="David" w:eastAsia="Calibri" w:hAnsi="David" w:hint="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bookmarkStart w:id="101" w:name="_Hlk206147687"/>
      <w:r w:rsidRPr="00AA5065">
        <w:rPr>
          <w:rFonts w:ascii="David" w:eastAsia="Calibri" w:hAnsi="David"/>
          <w:b/>
          <w:bCs/>
          <w:rtl/>
        </w:rPr>
        <w:t>נמצא כי עלויות גבוהות מופנות לשירותי השמירה</w:t>
      </w:r>
      <w:r w:rsidRPr="00AA5065">
        <w:rPr>
          <w:rFonts w:ascii="David" w:eastAsia="Calibri" w:hAnsi="David" w:hint="cs"/>
          <w:b/>
          <w:bCs/>
          <w:rtl/>
        </w:rPr>
        <w:t xml:space="preserve"> בזמנים שלרוב</w:t>
      </w:r>
      <w:r w:rsidRPr="00AA5065">
        <w:rPr>
          <w:rFonts w:ascii="David" w:eastAsia="Calibri" w:hAnsi="David"/>
          <w:b/>
          <w:bCs/>
          <w:rtl/>
        </w:rPr>
        <w:t xml:space="preserve"> מוסדות </w:t>
      </w:r>
      <w:r w:rsidRPr="00AA5065">
        <w:rPr>
          <w:rFonts w:ascii="David" w:eastAsia="Calibri" w:hAnsi="David" w:hint="cs"/>
          <w:b/>
          <w:bCs/>
          <w:rtl/>
        </w:rPr>
        <w:t>אלו</w:t>
      </w:r>
      <w:r w:rsidRPr="00AA5065">
        <w:rPr>
          <w:rFonts w:ascii="David" w:eastAsia="Calibri" w:hAnsi="David"/>
          <w:b/>
          <w:bCs/>
          <w:rtl/>
        </w:rPr>
        <w:t xml:space="preserve"> אינם פעילים.</w:t>
      </w:r>
      <w:r w:rsidRPr="00AA5065">
        <w:rPr>
          <w:rFonts w:ascii="David" w:eastAsia="Calibri" w:hAnsi="David" w:hint="cs"/>
          <w:b/>
          <w:bCs/>
          <w:rtl/>
        </w:rPr>
        <w:t xml:space="preserve"> </w:t>
      </w:r>
      <w:r w:rsidRPr="00AA5065">
        <w:rPr>
          <w:rFonts w:ascii="David" w:eastAsia="Calibri" w:hAnsi="David"/>
          <w:b/>
          <w:bCs/>
          <w:rtl/>
        </w:rPr>
        <w:t>‏</w:t>
      </w:r>
      <w:r w:rsidRPr="00AA5065">
        <w:rPr>
          <w:rFonts w:ascii="David" w:eastAsia="Calibri" w:hAnsi="David" w:hint="cs"/>
          <w:b/>
          <w:bCs/>
          <w:rtl/>
        </w:rPr>
        <w:t xml:space="preserve"> זאת אף</w:t>
      </w:r>
      <w:r w:rsidRPr="00AA5065">
        <w:rPr>
          <w:rFonts w:ascii="David" w:eastAsia="Calibri" w:hAnsi="David"/>
          <w:b/>
          <w:bCs/>
          <w:rtl/>
        </w:rPr>
        <w:t xml:space="preserve"> שהשמירה המקובלת במוסדות אלו מתבצעת דווקא בשעות היום</w:t>
      </w:r>
      <w:r w:rsidRPr="00AA5065">
        <w:rPr>
          <w:rFonts w:ascii="David" w:eastAsia="Calibri" w:hAnsi="David" w:hint="cs"/>
          <w:b/>
          <w:bCs/>
          <w:rtl/>
        </w:rPr>
        <w:t>.</w:t>
      </w:r>
      <w:r w:rsidRPr="00AA5065">
        <w:rPr>
          <w:rFonts w:ascii="David" w:eastAsia="Calibri" w:hAnsi="David"/>
          <w:b/>
          <w:bCs/>
          <w:rtl/>
        </w:rPr>
        <w:t xml:space="preserve"> סך עלות השמירה במועצה בשנת 2024 עמד על כ-12.1 מיליון ש"ח</w:t>
      </w:r>
      <w:r w:rsidRPr="00AA5065">
        <w:rPr>
          <w:rFonts w:ascii="David" w:eastAsia="Calibri" w:hAnsi="David" w:hint="cs"/>
          <w:b/>
          <w:bCs/>
          <w:rtl/>
        </w:rPr>
        <w:t>. בהתאם להסכם עלות</w:t>
      </w:r>
      <w:r w:rsidRPr="00AA5065">
        <w:rPr>
          <w:rFonts w:ascii="David" w:eastAsia="Calibri" w:hAnsi="David"/>
          <w:b/>
          <w:bCs/>
          <w:rtl/>
        </w:rPr>
        <w:t xml:space="preserve"> </w:t>
      </w:r>
      <w:r w:rsidRPr="00AA5065">
        <w:rPr>
          <w:rFonts w:ascii="David" w:eastAsia="Calibri" w:hAnsi="David" w:hint="cs"/>
          <w:b/>
          <w:bCs/>
          <w:rtl/>
        </w:rPr>
        <w:t>ה</w:t>
      </w:r>
      <w:r w:rsidRPr="00AA5065">
        <w:rPr>
          <w:rFonts w:ascii="David" w:eastAsia="Calibri" w:hAnsi="David"/>
          <w:b/>
          <w:bCs/>
          <w:rtl/>
        </w:rPr>
        <w:t>שמירה בשעות הלילה וסופי שבוע היא כ-710,000 ש"ח בחודש</w:t>
      </w:r>
      <w:r w:rsidRPr="00AA5065">
        <w:rPr>
          <w:rFonts w:ascii="David" w:eastAsia="Calibri" w:hAnsi="David" w:hint="cs"/>
          <w:b/>
          <w:bCs/>
          <w:rtl/>
        </w:rPr>
        <w:t xml:space="preserve"> בעוד עלות השמירה בשעות היום היא כ-17,000 בחודש</w:t>
      </w:r>
      <w:r w:rsidRPr="00AA5065">
        <w:rPr>
          <w:rFonts w:ascii="David" w:eastAsia="Calibri" w:hAnsi="David"/>
          <w:b/>
          <w:bCs/>
          <w:rtl/>
        </w:rPr>
        <w:t>. דפוס זה מעלה סימני שאלה</w:t>
      </w:r>
      <w:r w:rsidRPr="00AA5065">
        <w:rPr>
          <w:rFonts w:ascii="David" w:eastAsia="Calibri" w:hAnsi="David" w:hint="cs"/>
          <w:b/>
          <w:bCs/>
          <w:rtl/>
        </w:rPr>
        <w:t>:</w:t>
      </w:r>
      <w:r w:rsidRPr="00AA5065">
        <w:rPr>
          <w:rFonts w:ascii="David" w:eastAsia="Calibri" w:hAnsi="David"/>
          <w:b/>
          <w:bCs/>
          <w:rtl/>
        </w:rPr>
        <w:t xml:space="preserve"> </w:t>
      </w:r>
      <w:r w:rsidRPr="00AA5065">
        <w:rPr>
          <w:rFonts w:ascii="David" w:eastAsia="Calibri" w:hAnsi="David" w:hint="cs"/>
          <w:b/>
          <w:bCs/>
          <w:rtl/>
        </w:rPr>
        <w:t>האם</w:t>
      </w:r>
      <w:r w:rsidRPr="00AA5065">
        <w:rPr>
          <w:rFonts w:ascii="David" w:eastAsia="Calibri" w:hAnsi="David"/>
          <w:b/>
          <w:bCs/>
          <w:rtl/>
        </w:rPr>
        <w:t xml:space="preserve"> השירות</w:t>
      </w:r>
      <w:r w:rsidRPr="00AA5065">
        <w:rPr>
          <w:rFonts w:ascii="David" w:eastAsia="Calibri" w:hAnsi="David" w:hint="cs"/>
          <w:b/>
          <w:bCs/>
          <w:rtl/>
        </w:rPr>
        <w:t xml:space="preserve"> נחוץ</w:t>
      </w:r>
      <w:r w:rsidRPr="00AA5065">
        <w:rPr>
          <w:rFonts w:ascii="David" w:eastAsia="Calibri" w:hAnsi="David"/>
          <w:b/>
          <w:bCs/>
          <w:rtl/>
        </w:rPr>
        <w:t xml:space="preserve"> האם הוא נובע מצורך ביטחוני אמיתי או משיקולים אחרים</w:t>
      </w:r>
      <w:r w:rsidRPr="00AA5065">
        <w:rPr>
          <w:rFonts w:ascii="David" w:eastAsia="Calibri" w:hAnsi="David" w:hint="cs"/>
          <w:b/>
          <w:bCs/>
          <w:rtl/>
        </w:rPr>
        <w:t>?</w:t>
      </w:r>
      <w:r w:rsidRPr="00AA5065">
        <w:rPr>
          <w:rFonts w:ascii="David" w:eastAsia="Calibri" w:hAnsi="David"/>
          <w:b/>
          <w:bCs/>
          <w:rtl/>
        </w:rPr>
        <w:t xml:space="preserve"> העלייה החדה</w:t>
      </w:r>
      <w:r w:rsidRPr="00AA5065">
        <w:rPr>
          <w:rFonts w:ascii="David" w:eastAsia="Calibri" w:hAnsi="David" w:hint="cs"/>
          <w:b/>
          <w:bCs/>
          <w:rtl/>
        </w:rPr>
        <w:t xml:space="preserve"> (2 מיליון ש"ח תוך 4 שנים)</w:t>
      </w:r>
      <w:r w:rsidRPr="00AA5065">
        <w:rPr>
          <w:rFonts w:ascii="David" w:eastAsia="Calibri" w:hAnsi="David"/>
          <w:b/>
          <w:bCs/>
          <w:rtl/>
        </w:rPr>
        <w:t xml:space="preserve"> בהוצאות שמירה</w:t>
      </w:r>
      <w:r w:rsidRPr="00AA5065">
        <w:rPr>
          <w:rFonts w:ascii="David" w:eastAsia="Calibri" w:hAnsi="David" w:hint="cs"/>
          <w:b/>
          <w:bCs/>
          <w:rtl/>
        </w:rPr>
        <w:t xml:space="preserve"> במועצה אזורית נווה מדבר</w:t>
      </w:r>
      <w:r w:rsidRPr="00AA5065">
        <w:rPr>
          <w:rFonts w:ascii="David" w:eastAsia="Calibri" w:hAnsi="David"/>
          <w:b/>
          <w:bCs/>
          <w:rtl/>
        </w:rPr>
        <w:t xml:space="preserve"> עשויה להצביע על ליקויים בניהול התקציב ובבקרת ההתקשרות עם ספקי ‏השירות. הדבר עלול לגרום לבזבוז משאבים ציבוריים, תוך פגיעה ביכולתה של הרשות להקצות ‏תקציבים</w:t>
      </w:r>
      <w:r>
        <w:rPr>
          <w:rFonts w:ascii="David" w:eastAsia="Calibri" w:hAnsi="David"/>
          <w:b/>
          <w:bCs/>
          <w:vertAlign w:val="superscript"/>
          <w:rtl/>
        </w:rPr>
        <w:footnoteReference w:id="115"/>
      </w:r>
      <w:r w:rsidRPr="00AA5065">
        <w:rPr>
          <w:rFonts w:ascii="David" w:eastAsia="Calibri" w:hAnsi="David"/>
          <w:b/>
          <w:bCs/>
          <w:rtl/>
        </w:rPr>
        <w:t xml:space="preserve"> לתחומים קריטיים נוספים.‏</w:t>
      </w:r>
    </w:p>
    <w:bookmarkEnd w:id="101"/>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cs"/>
          <w:b/>
          <w:bCs/>
          <w:rtl/>
        </w:rPr>
        <w:t xml:space="preserve">בביקורת הקודמת עלה </w:t>
      </w:r>
      <w:r w:rsidRPr="00AA5065">
        <w:rPr>
          <w:rFonts w:ascii="David" w:eastAsia="Calibri" w:hAnsi="David"/>
          <w:b/>
          <w:bCs/>
          <w:rtl/>
        </w:rPr>
        <w:t>כי מועצות אזוריות באזור הנגב משלמות מיליוני שקלים בשנה עבור "שמירת רכוש" בשעות ‏הלילה, אף שעל פי נוהלי משרד החינוך שעות האבטחה יהיו בשעות הלימודים‏</w:t>
      </w:r>
      <w:r w:rsidRPr="00AA5065">
        <w:rPr>
          <w:rFonts w:ascii="David" w:eastAsia="Calibri" w:hAnsi="David" w:hint="cs"/>
          <w:b/>
          <w:bCs/>
          <w:rtl/>
        </w:rPr>
        <w:t>. בביקורת המעקב עלה כי</w:t>
      </w:r>
      <w:r w:rsidRPr="00AA5065">
        <w:rPr>
          <w:rFonts w:ascii="David" w:eastAsia="Calibri" w:hAnsi="David"/>
          <w:b/>
          <w:bCs/>
          <w:rtl/>
        </w:rPr>
        <w:t xml:space="preserve"> הליקוי לא תוקן, וכי</w:t>
      </w:r>
      <w:r w:rsidRPr="00AA5065">
        <w:rPr>
          <w:rFonts w:ascii="David" w:eastAsia="Calibri" w:hAnsi="David" w:hint="cs"/>
          <w:b/>
          <w:bCs/>
          <w:rtl/>
        </w:rPr>
        <w:t xml:space="preserve"> מועצה אזורית נווה מדבר </w:t>
      </w:r>
      <w:r w:rsidRPr="00AA5065">
        <w:rPr>
          <w:rFonts w:ascii="David" w:eastAsia="Calibri" w:hAnsi="David" w:hint="eastAsia"/>
          <w:b/>
          <w:bCs/>
          <w:rtl/>
        </w:rPr>
        <w:t>גם</w:t>
      </w:r>
      <w:r w:rsidRPr="00AA5065">
        <w:rPr>
          <w:rFonts w:ascii="David" w:eastAsia="Calibri" w:hAnsi="David"/>
          <w:b/>
          <w:bCs/>
          <w:rtl/>
        </w:rPr>
        <w:t xml:space="preserve"> </w:t>
      </w:r>
      <w:r w:rsidRPr="00AA5065">
        <w:rPr>
          <w:rFonts w:ascii="David" w:eastAsia="Calibri" w:hAnsi="David" w:hint="eastAsia"/>
          <w:b/>
          <w:bCs/>
          <w:rtl/>
        </w:rPr>
        <w:t>כיום</w:t>
      </w:r>
      <w:r w:rsidRPr="00AA5065">
        <w:rPr>
          <w:rFonts w:ascii="David" w:eastAsia="Calibri" w:hAnsi="David"/>
          <w:b/>
          <w:bCs/>
          <w:rtl/>
        </w:rPr>
        <w:t xml:space="preserve"> </w:t>
      </w:r>
      <w:r w:rsidRPr="00AA5065">
        <w:rPr>
          <w:rFonts w:ascii="David" w:eastAsia="Calibri" w:hAnsi="David" w:hint="eastAsia"/>
          <w:b/>
          <w:bCs/>
          <w:rtl/>
        </w:rPr>
        <w:t>משלמת</w:t>
      </w:r>
      <w:r w:rsidRPr="00AA5065">
        <w:rPr>
          <w:rFonts w:ascii="David" w:eastAsia="Calibri" w:hAnsi="David" w:hint="cs"/>
          <w:b/>
          <w:bCs/>
          <w:rtl/>
        </w:rPr>
        <w:t xml:space="preserve"> עבור "שמירת רכוש" בשעות הלילה</w:t>
      </w:r>
      <w:r w:rsidRPr="00AA5065">
        <w:rPr>
          <w:rFonts w:ascii="David" w:eastAsia="Calibri" w:hAnsi="David"/>
          <w:b/>
          <w:bCs/>
          <w:rtl/>
        </w:rPr>
        <w:t xml:space="preserve">. </w:t>
      </w:r>
      <w:r w:rsidRPr="00AA5065">
        <w:rPr>
          <w:rFonts w:ascii="David" w:eastAsia="Calibri" w:hAnsi="David" w:hint="eastAsia"/>
          <w:b/>
          <w:bCs/>
          <w:rtl/>
        </w:rPr>
        <w:t>כך</w:t>
      </w:r>
      <w:r w:rsidRPr="00AA5065">
        <w:rPr>
          <w:rFonts w:ascii="David" w:eastAsia="Calibri" w:hAnsi="David"/>
          <w:b/>
          <w:bCs/>
          <w:rtl/>
        </w:rPr>
        <w:t>,</w:t>
      </w:r>
      <w:r w:rsidRPr="00AA5065">
        <w:rPr>
          <w:rFonts w:ascii="David" w:eastAsia="Calibri" w:hAnsi="David" w:hint="cs"/>
          <w:b/>
          <w:bCs/>
          <w:rtl/>
        </w:rPr>
        <w:t xml:space="preserve"> </w:t>
      </w:r>
      <w:r w:rsidRPr="00AA5065">
        <w:rPr>
          <w:rFonts w:ascii="David" w:eastAsia="Calibri" w:hAnsi="David"/>
          <w:b/>
          <w:bCs/>
          <w:rtl/>
        </w:rPr>
        <w:t xml:space="preserve">חוזה ההתקשרות שנחתם בין </w:t>
      </w:r>
      <w:r w:rsidRPr="00AA5065">
        <w:rPr>
          <w:rFonts w:ascii="David" w:eastAsia="Calibri" w:hAnsi="David" w:hint="cs"/>
          <w:b/>
          <w:bCs/>
          <w:rtl/>
        </w:rPr>
        <w:t>הקבלן</w:t>
      </w:r>
      <w:r w:rsidRPr="00AA5065">
        <w:rPr>
          <w:rFonts w:ascii="David" w:eastAsia="Calibri" w:hAnsi="David"/>
          <w:b/>
          <w:bCs/>
          <w:rtl/>
        </w:rPr>
        <w:t xml:space="preserve"> למועצ</w:t>
      </w:r>
      <w:r w:rsidRPr="00AA5065">
        <w:rPr>
          <w:rFonts w:ascii="David" w:eastAsia="Calibri" w:hAnsi="David" w:hint="cs"/>
          <w:b/>
          <w:bCs/>
          <w:rtl/>
        </w:rPr>
        <w:t xml:space="preserve">ה </w:t>
      </w:r>
      <w:r w:rsidRPr="00AA5065">
        <w:rPr>
          <w:rFonts w:ascii="David" w:eastAsia="Calibri" w:hAnsi="David" w:hint="eastAsia"/>
          <w:b/>
          <w:bCs/>
          <w:rtl/>
        </w:rPr>
        <w:t>בהיקף</w:t>
      </w:r>
      <w:r w:rsidRPr="00AA5065">
        <w:rPr>
          <w:rFonts w:ascii="David" w:eastAsia="Calibri" w:hAnsi="David"/>
          <w:b/>
          <w:bCs/>
          <w:rtl/>
        </w:rPr>
        <w:t xml:space="preserve"> </w:t>
      </w:r>
      <w:r w:rsidRPr="00AA5065">
        <w:rPr>
          <w:rFonts w:ascii="David" w:eastAsia="Calibri" w:hAnsi="David" w:hint="eastAsia"/>
          <w:b/>
          <w:bCs/>
          <w:rtl/>
        </w:rPr>
        <w:t>של</w:t>
      </w:r>
      <w:r w:rsidRPr="00AA5065">
        <w:rPr>
          <w:rFonts w:ascii="David" w:eastAsia="Calibri" w:hAnsi="David"/>
          <w:b/>
          <w:bCs/>
          <w:rtl/>
        </w:rPr>
        <w:t xml:space="preserve"> </w:t>
      </w:r>
      <w:r w:rsidRPr="00AA5065">
        <w:rPr>
          <w:rFonts w:ascii="David" w:eastAsia="Calibri" w:hAnsi="David" w:hint="cs"/>
          <w:b/>
          <w:bCs/>
          <w:rtl/>
        </w:rPr>
        <w:t>12.1</w:t>
      </w:r>
      <w:r w:rsidRPr="00AA5065">
        <w:rPr>
          <w:rFonts w:ascii="David" w:eastAsia="Calibri" w:hAnsi="David"/>
          <w:b/>
          <w:bCs/>
          <w:rtl/>
        </w:rPr>
        <w:t xml:space="preserve"> </w:t>
      </w:r>
      <w:r w:rsidRPr="00AA5065">
        <w:rPr>
          <w:rFonts w:ascii="David" w:eastAsia="Calibri" w:hAnsi="David" w:hint="eastAsia"/>
          <w:b/>
          <w:bCs/>
          <w:rtl/>
        </w:rPr>
        <w:t>מ</w:t>
      </w:r>
      <w:r w:rsidRPr="00AA5065">
        <w:rPr>
          <w:rFonts w:ascii="David" w:eastAsia="Calibri" w:hAnsi="David" w:hint="cs"/>
          <w:b/>
          <w:bCs/>
          <w:rtl/>
        </w:rPr>
        <w:t xml:space="preserve">יליון </w:t>
      </w:r>
      <w:r w:rsidRPr="00AA5065">
        <w:rPr>
          <w:rFonts w:ascii="David" w:eastAsia="Calibri" w:hAnsi="David" w:hint="eastAsia"/>
          <w:b/>
          <w:bCs/>
          <w:rtl/>
        </w:rPr>
        <w:t>ש</w:t>
      </w:r>
      <w:r w:rsidRPr="00AA5065">
        <w:rPr>
          <w:rFonts w:ascii="David" w:eastAsia="Calibri" w:hAnsi="David"/>
          <w:b/>
          <w:bCs/>
          <w:rtl/>
        </w:rPr>
        <w:t xml:space="preserve">"ח </w:t>
      </w:r>
      <w:r w:rsidRPr="00AA5065">
        <w:rPr>
          <w:rFonts w:ascii="David" w:eastAsia="Calibri" w:hAnsi="David" w:hint="eastAsia"/>
          <w:b/>
          <w:bCs/>
          <w:rtl/>
        </w:rPr>
        <w:t>לשנת</w:t>
      </w:r>
      <w:r w:rsidRPr="00AA5065">
        <w:rPr>
          <w:rFonts w:ascii="David" w:eastAsia="Calibri" w:hAnsi="David"/>
          <w:b/>
          <w:bCs/>
          <w:rtl/>
        </w:rPr>
        <w:t xml:space="preserve"> </w:t>
      </w:r>
      <w:r w:rsidRPr="00AA5065">
        <w:rPr>
          <w:rFonts w:ascii="David" w:eastAsia="Calibri" w:hAnsi="David" w:hint="cs"/>
          <w:b/>
          <w:bCs/>
          <w:rtl/>
        </w:rPr>
        <w:t>2024</w:t>
      </w:r>
      <w:r w:rsidRPr="00AA5065">
        <w:rPr>
          <w:rFonts w:ascii="David" w:eastAsia="Calibri" w:hAnsi="David"/>
          <w:b/>
          <w:bCs/>
          <w:rtl/>
        </w:rPr>
        <w:t xml:space="preserve"> כלל כ-88% מהסדרנים (29 ‏מתוך 33) </w:t>
      </w:r>
      <w:r w:rsidRPr="00AA5065">
        <w:rPr>
          <w:rFonts w:ascii="David" w:eastAsia="Calibri" w:hAnsi="David" w:hint="cs"/>
          <w:b/>
          <w:bCs/>
          <w:rtl/>
        </w:rPr>
        <w:t>ה</w:t>
      </w:r>
      <w:r w:rsidRPr="00AA5065">
        <w:rPr>
          <w:rFonts w:ascii="David" w:eastAsia="Calibri" w:hAnsi="David"/>
          <w:b/>
          <w:bCs/>
          <w:rtl/>
        </w:rPr>
        <w:t>י</w:t>
      </w:r>
      <w:r w:rsidRPr="00AA5065">
        <w:rPr>
          <w:rFonts w:ascii="David" w:eastAsia="Calibri" w:hAnsi="David" w:hint="cs"/>
          <w:b/>
          <w:bCs/>
          <w:rtl/>
        </w:rPr>
        <w:t>י</w:t>
      </w:r>
      <w:r w:rsidRPr="00AA5065">
        <w:rPr>
          <w:rFonts w:ascii="David" w:eastAsia="Calibri" w:hAnsi="David"/>
          <w:b/>
          <w:bCs/>
          <w:rtl/>
        </w:rPr>
        <w:t xml:space="preserve">עודיים לשמירת לילה וסופי שבוע </w:t>
      </w:r>
      <w:r w:rsidRPr="00AA5065">
        <w:rPr>
          <w:rFonts w:ascii="David" w:eastAsia="Calibri" w:hAnsi="David" w:hint="cs"/>
          <w:b/>
          <w:bCs/>
          <w:rtl/>
        </w:rPr>
        <w:t>ב</w:t>
      </w:r>
      <w:r w:rsidRPr="00AA5065">
        <w:rPr>
          <w:rFonts w:ascii="David" w:eastAsia="Calibri" w:hAnsi="David"/>
          <w:b/>
          <w:bCs/>
          <w:rtl/>
        </w:rPr>
        <w:t>מבני ‏</w:t>
      </w:r>
      <w:r w:rsidRPr="00AA5065">
        <w:rPr>
          <w:rFonts w:ascii="David" w:eastAsia="Calibri" w:hAnsi="David" w:hint="cs"/>
          <w:b/>
          <w:bCs/>
          <w:rtl/>
        </w:rPr>
        <w:t xml:space="preserve">מוסדות </w:t>
      </w:r>
      <w:r w:rsidRPr="00AA5065">
        <w:rPr>
          <w:rFonts w:ascii="David" w:eastAsia="Calibri" w:hAnsi="David"/>
          <w:b/>
          <w:bCs/>
          <w:rtl/>
        </w:rPr>
        <w:t>חינוך</w:t>
      </w:r>
      <w:r w:rsidRPr="00AA5065">
        <w:rPr>
          <w:rFonts w:ascii="David" w:eastAsia="Calibri" w:hAnsi="David" w:hint="cs"/>
          <w:b/>
          <w:bCs/>
          <w:rtl/>
        </w:rPr>
        <w:t xml:space="preserve"> ובמשרדי המועצה.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משכ"ל</w:t>
      </w:r>
      <w:r w:rsidRPr="00AA5065">
        <w:rPr>
          <w:rFonts w:eastAsia="Calibri"/>
          <w:rtl/>
        </w:rPr>
        <w:t xml:space="preserve"> מסרה בתשובתה מתאריך </w:t>
      </w:r>
      <w:r w:rsidRPr="00AA5065">
        <w:rPr>
          <w:rFonts w:eastAsia="Calibri" w:hint="cs"/>
          <w:rtl/>
        </w:rPr>
        <w:t>4</w:t>
      </w:r>
      <w:r w:rsidRPr="00AA5065">
        <w:rPr>
          <w:rFonts w:eastAsia="Calibri"/>
          <w:rtl/>
        </w:rPr>
        <w:t>.9.25 כי ‏</w:t>
      </w:r>
      <w:r w:rsidRPr="00AA5065">
        <w:rPr>
          <w:rFonts w:eastAsia="Calibri" w:hint="cs"/>
          <w:rtl/>
        </w:rPr>
        <w:t>"</w:t>
      </w:r>
      <w:r w:rsidRPr="00AA5065">
        <w:rPr>
          <w:rFonts w:eastAsia="Calibri"/>
          <w:rtl/>
        </w:rPr>
        <w:t xml:space="preserve">בהתאם לאישור משרד הפנים הניתן מדי שנה למכרז הנ״ל, רשאית רשות מקומית </w:t>
      </w:r>
      <w:r w:rsidRPr="00AA5065">
        <w:rPr>
          <w:rFonts w:eastAsia="Calibri"/>
          <w:cs/>
        </w:rPr>
        <w:t>‎</w:t>
      </w:r>
      <w:r w:rsidRPr="00AA5065">
        <w:rPr>
          <w:rFonts w:eastAsia="Calibri"/>
          <w:rtl/>
        </w:rPr>
        <w:t>להזמין שירותי שמירה ואבטחה הכלולים במכרז על פי צרכיה ושיקול דעתה.</w:t>
      </w:r>
      <w:r w:rsidRPr="00AA5065">
        <w:rPr>
          <w:rFonts w:eastAsia="Calibri" w:hint="cs"/>
          <w:rtl/>
        </w:rPr>
        <w:t xml:space="preserve"> </w:t>
      </w:r>
      <w:r w:rsidRPr="00AA5065">
        <w:rPr>
          <w:rFonts w:eastAsia="Calibri"/>
          <w:rtl/>
        </w:rPr>
        <w:t xml:space="preserve">לעניין זה יובהר, כי משכ״ל לא נדרשת ואינה מוסמכת לבדוק את צורכי הרשויות </w:t>
      </w:r>
      <w:r w:rsidRPr="00AA5065">
        <w:rPr>
          <w:rFonts w:eastAsia="Calibri"/>
          <w:cs/>
        </w:rPr>
        <w:t>‎</w:t>
      </w:r>
      <w:r w:rsidRPr="00AA5065">
        <w:rPr>
          <w:rFonts w:eastAsia="Calibri"/>
          <w:rtl/>
        </w:rPr>
        <w:t xml:space="preserve">המקומיות המבקשות לערוך התקשרויות מכח המכרז והיא עורכת את נוהל הצעת </w:t>
      </w:r>
      <w:r w:rsidRPr="00AA5065">
        <w:rPr>
          <w:rFonts w:eastAsia="Calibri"/>
          <w:cs/>
        </w:rPr>
        <w:t>‎</w:t>
      </w:r>
      <w:r w:rsidRPr="00AA5065">
        <w:rPr>
          <w:rFonts w:eastAsia="Calibri"/>
          <w:rtl/>
        </w:rPr>
        <w:t>המחיר בהתאם לדרישות הרשות המקומית, וכך עשתה גם במקרה זה</w:t>
      </w:r>
      <w:r w:rsidRPr="00AA5065">
        <w:rPr>
          <w:rFonts w:eastAsia="Calibri" w:hint="cs"/>
          <w:rtl/>
        </w:rPr>
        <w:t>"</w:t>
      </w:r>
      <w:r w:rsidRPr="00AA5065">
        <w:rPr>
          <w:rFonts w:eastAsia="Calibri"/>
          <w:rtl/>
        </w:rPr>
        <w:t>.</w:t>
      </w:r>
      <w:r w:rsidRPr="00AA5065">
        <w:rPr>
          <w:rFonts w:eastAsia="Calibri"/>
          <w:cs/>
        </w:rPr>
        <w:t>‎</w:t>
      </w:r>
      <w:r w:rsidRPr="00AA5065">
        <w:rPr>
          <w:rFonts w:eastAsia="Calibri" w:hint="cs"/>
          <w:rtl/>
        </w:rPr>
        <w:t xml:space="preserve"> עוד היא מסרה כי "נ</w:t>
      </w:r>
      <w:r w:rsidRPr="00AA5065">
        <w:rPr>
          <w:rFonts w:eastAsia="Calibri"/>
          <w:rtl/>
        </w:rPr>
        <w:t xml:space="preserve">והל הצעת המחיר עבור המועצה נעשה כדין, בהתאם לתנאי המכרז ובתאם לשירותים </w:t>
      </w:r>
      <w:r w:rsidRPr="00AA5065">
        <w:rPr>
          <w:rFonts w:eastAsia="Calibri"/>
          <w:cs/>
        </w:rPr>
        <w:t>‎</w:t>
      </w:r>
      <w:r w:rsidRPr="00AA5065">
        <w:rPr>
          <w:rFonts w:eastAsia="Calibri"/>
          <w:rtl/>
        </w:rPr>
        <w:t>שהמועצה ביקשה להזמין במסגרת המכרז</w:t>
      </w:r>
      <w:r w:rsidRPr="00AA5065">
        <w:rPr>
          <w:rFonts w:eastAsia="Calibri"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eastAsia="Calibri" w:hint="eastAsia"/>
          <w:b/>
          <w:bCs/>
          <w:rtl/>
        </w:rPr>
        <w:t>משרד</w:t>
      </w:r>
      <w:r w:rsidRPr="00AA5065">
        <w:rPr>
          <w:rFonts w:eastAsia="Calibri"/>
          <w:b/>
          <w:bCs/>
          <w:rtl/>
        </w:rPr>
        <w:t xml:space="preserve"> </w:t>
      </w:r>
      <w:r w:rsidRPr="00AA5065">
        <w:rPr>
          <w:rFonts w:eastAsia="Calibri" w:hint="eastAsia"/>
          <w:b/>
          <w:bCs/>
          <w:rtl/>
        </w:rPr>
        <w:t>מבקר</w:t>
      </w:r>
      <w:r w:rsidRPr="00AA5065">
        <w:rPr>
          <w:rFonts w:eastAsia="Calibri"/>
          <w:b/>
          <w:bCs/>
          <w:rtl/>
        </w:rPr>
        <w:t xml:space="preserve"> </w:t>
      </w:r>
      <w:r w:rsidRPr="00AA5065">
        <w:rPr>
          <w:rFonts w:eastAsia="Calibri" w:hint="eastAsia"/>
          <w:b/>
          <w:bCs/>
          <w:rtl/>
        </w:rPr>
        <w:t>המדינה</w:t>
      </w:r>
      <w:r w:rsidRPr="00AA5065">
        <w:rPr>
          <w:rFonts w:eastAsia="Calibri"/>
          <w:b/>
          <w:bCs/>
          <w:rtl/>
        </w:rPr>
        <w:t xml:space="preserve"> </w:t>
      </w:r>
      <w:r w:rsidRPr="00AA5065">
        <w:rPr>
          <w:rFonts w:eastAsia="Calibri" w:hint="eastAsia"/>
          <w:b/>
          <w:bCs/>
          <w:rtl/>
        </w:rPr>
        <w:t>מעיר</w:t>
      </w:r>
      <w:r w:rsidRPr="00AA5065">
        <w:rPr>
          <w:rFonts w:eastAsia="Calibri"/>
          <w:b/>
          <w:bCs/>
          <w:rtl/>
        </w:rPr>
        <w:t xml:space="preserve"> כי תכליתה המרכזית של השמירה היא </w:t>
      </w:r>
      <w:r w:rsidRPr="00AA5065">
        <w:rPr>
          <w:rFonts w:eastAsia="Calibri" w:hint="eastAsia"/>
          <w:b/>
          <w:bCs/>
          <w:rtl/>
        </w:rPr>
        <w:t>הבטחת</w:t>
      </w:r>
      <w:r w:rsidRPr="00AA5065">
        <w:rPr>
          <w:rFonts w:eastAsia="Calibri"/>
          <w:b/>
          <w:bCs/>
          <w:rtl/>
        </w:rPr>
        <w:t xml:space="preserve"> ביטחונם ושלומם של התלמידים בזמן שהותם בבית הספר, </w:t>
      </w:r>
      <w:r w:rsidRPr="00AA5065">
        <w:rPr>
          <w:rFonts w:eastAsia="Calibri" w:hint="eastAsia"/>
          <w:b/>
          <w:bCs/>
          <w:rtl/>
        </w:rPr>
        <w:t>אולם</w:t>
      </w:r>
      <w:r w:rsidRPr="00AA5065">
        <w:rPr>
          <w:rFonts w:eastAsia="Calibri"/>
          <w:b/>
          <w:bCs/>
          <w:rtl/>
        </w:rPr>
        <w:t xml:space="preserve"> </w:t>
      </w:r>
      <w:r w:rsidRPr="00AA5065">
        <w:rPr>
          <w:rFonts w:eastAsia="Calibri" w:hint="eastAsia"/>
          <w:b/>
          <w:bCs/>
          <w:rtl/>
        </w:rPr>
        <w:t>בפועל</w:t>
      </w:r>
      <w:r w:rsidRPr="00AA5065">
        <w:rPr>
          <w:rFonts w:eastAsia="Calibri"/>
          <w:b/>
          <w:bCs/>
          <w:rtl/>
        </w:rPr>
        <w:t xml:space="preserve"> מרבית </w:t>
      </w:r>
      <w:r w:rsidRPr="00AA5065">
        <w:rPr>
          <w:rFonts w:eastAsia="Calibri" w:hint="eastAsia"/>
          <w:b/>
          <w:bCs/>
          <w:rtl/>
        </w:rPr>
        <w:t>ה</w:t>
      </w:r>
      <w:r w:rsidRPr="00AA5065">
        <w:rPr>
          <w:rFonts w:eastAsia="Calibri"/>
          <w:b/>
          <w:bCs/>
          <w:rtl/>
        </w:rPr>
        <w:t xml:space="preserve">משאבים </w:t>
      </w:r>
      <w:r w:rsidRPr="00AA5065">
        <w:rPr>
          <w:rFonts w:eastAsia="Calibri" w:hint="eastAsia"/>
          <w:b/>
          <w:bCs/>
          <w:rtl/>
        </w:rPr>
        <w:t>מופנים</w:t>
      </w:r>
      <w:r w:rsidRPr="00AA5065">
        <w:rPr>
          <w:rFonts w:eastAsia="Calibri"/>
          <w:b/>
          <w:bCs/>
          <w:rtl/>
        </w:rPr>
        <w:t xml:space="preserve"> </w:t>
      </w:r>
      <w:r w:rsidRPr="00AA5065">
        <w:rPr>
          <w:rFonts w:eastAsia="Calibri" w:hint="eastAsia"/>
          <w:b/>
          <w:bCs/>
          <w:rtl/>
        </w:rPr>
        <w:t>למימון</w:t>
      </w:r>
      <w:r w:rsidRPr="00AA5065">
        <w:rPr>
          <w:rFonts w:eastAsia="Calibri"/>
          <w:b/>
          <w:bCs/>
          <w:rtl/>
        </w:rPr>
        <w:t xml:space="preserve"> </w:t>
      </w:r>
      <w:r w:rsidRPr="00AA5065">
        <w:rPr>
          <w:rFonts w:eastAsia="Calibri" w:hint="eastAsia"/>
          <w:b/>
          <w:bCs/>
          <w:rtl/>
        </w:rPr>
        <w:t>אבטחה</w:t>
      </w:r>
      <w:r w:rsidRPr="00AA5065">
        <w:rPr>
          <w:rFonts w:eastAsia="Calibri"/>
          <w:b/>
          <w:bCs/>
          <w:rtl/>
        </w:rPr>
        <w:t xml:space="preserve"> </w:t>
      </w:r>
      <w:r w:rsidRPr="00AA5065">
        <w:rPr>
          <w:rFonts w:eastAsia="Calibri" w:hint="eastAsia"/>
          <w:b/>
          <w:bCs/>
          <w:rtl/>
        </w:rPr>
        <w:t>בשעות</w:t>
      </w:r>
      <w:r w:rsidRPr="00AA5065">
        <w:rPr>
          <w:rFonts w:eastAsia="Calibri"/>
          <w:b/>
          <w:bCs/>
          <w:rtl/>
        </w:rPr>
        <w:t xml:space="preserve"> שבהן אין כלל נוכחות במוסד.</w:t>
      </w:r>
      <w:r w:rsidRPr="00AA5065">
        <w:rPr>
          <w:rFonts w:eastAsia="Calibri"/>
          <w:rtl/>
        </w:rPr>
        <w:t xml:space="preserve"> </w:t>
      </w:r>
      <w:r w:rsidRPr="00AA5065">
        <w:rPr>
          <w:rFonts w:ascii="David" w:eastAsia="Calibri" w:hAnsi="David"/>
          <w:b/>
          <w:bCs/>
          <w:rtl/>
        </w:rPr>
        <w:t>ניהול נכון של תקציב וכוח אדם מחייב מיקוד בהגנה על סביבת הלימודים הפעילה בלבד, לצורך שמירה על הנכסים הציבוריים נדרשת הקפדה על עקרונות יעילות, סבירות וחיסכון תקציב. תוך בחינת הפניית משאבים לאמצעים אפקטיביים יותר בלילה ובסופי שבוע, כגון מערכות אבטחה טכנולוגיות, מצלמות, חיישני תנועה ומערכות התרעה, המספקות מענה מיטבי בעלות נמוכה יותר לאורך זמן.</w:t>
      </w:r>
    </w:p>
    <w:p w:rsidR="00AA5065" w:rsidRPr="00AA5065" w:rsidP="00860D89">
      <w:pPr>
        <w:spacing w:line="269" w:lineRule="auto"/>
        <w:ind w:left="-567"/>
        <w:rPr>
          <w:rFonts w:eastAsia="Calibri"/>
          <w:szCs w:val="20"/>
          <w:rtl/>
        </w:rPr>
      </w:pPr>
    </w:p>
    <w:p w:rsidR="00AA5065" w:rsidRPr="00AA5065" w:rsidP="00A80B8F">
      <w:pPr>
        <w:keepNext/>
        <w:keepLines/>
        <w:spacing w:before="120" w:line="269" w:lineRule="auto"/>
        <w:jc w:val="center"/>
        <w:rPr>
          <w:rFonts w:ascii="David" w:eastAsia="Calibri" w:hAnsi="David"/>
          <w:b/>
          <w:bCs/>
          <w:rtl/>
        </w:rPr>
      </w:pPr>
      <w:r w:rsidRPr="00AA5065">
        <w:rPr>
          <w:rFonts w:ascii="David" w:eastAsia="Calibri" w:hAnsi="David"/>
          <w:b/>
          <w:bCs/>
          <w:rtl/>
        </w:rPr>
        <w:t>מידת תיקון הליקוי</w:t>
      </w:r>
    </w:p>
    <w:p w:rsidR="00AA5065" w:rsidRPr="00AA5065" w:rsidP="00860D89">
      <w:pPr>
        <w:spacing w:line="269" w:lineRule="auto"/>
        <w:jc w:val="center"/>
        <w:rPr>
          <w:rFonts w:eastAsia="Calibri"/>
          <w:rtl/>
        </w:rPr>
      </w:pPr>
      <w:r w:rsidRPr="00AA5065">
        <w:rPr>
          <w:rFonts w:ascii="David" w:eastAsia="Calibri" w:hAnsi="David"/>
          <w:noProof/>
        </w:rPr>
        <w:drawing>
          <wp:inline distT="0" distB="0" distL="0" distR="0">
            <wp:extent cx="3960000" cy="740487"/>
            <wp:effectExtent l="0" t="0" r="0" b="0"/>
            <wp:docPr id="30" name="תמונה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תמונה 1095261540"/>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0000" cy="740487"/>
                    </a:xfrm>
                    <a:prstGeom prst="rect">
                      <a:avLst/>
                    </a:prstGeom>
                    <a:noFill/>
                    <a:ln>
                      <a:noFill/>
                    </a:ln>
                  </pic:spPr>
                </pic:pic>
              </a:graphicData>
            </a:graphic>
          </wp:inline>
        </w:drawing>
      </w:r>
    </w:p>
    <w:p w:rsidR="00AA5065" w:rsidRPr="00AA5065" w:rsidP="00A80B8F">
      <w:pPr>
        <w:keepNext/>
        <w:keepLines/>
        <w:spacing w:before="120" w:line="269" w:lineRule="auto"/>
        <w:jc w:val="center"/>
        <w:rPr>
          <w:rFonts w:eastAsia="Calibri"/>
          <w:szCs w:val="20"/>
          <w:rtl/>
        </w:rPr>
      </w:pPr>
    </w:p>
    <w:p w:rsidR="00AA5065" w:rsidRPr="00AA5065" w:rsidP="00860D89">
      <w:pPr>
        <w:spacing w:line="269" w:lineRule="auto"/>
        <w:rPr>
          <w:rFonts w:eastAsia="Calibri"/>
          <w:rtl/>
        </w:rPr>
      </w:pPr>
      <w:r w:rsidRPr="00AA5065">
        <w:rPr>
          <w:rFonts w:eastAsia="Calibri" w:hint="eastAsia"/>
          <w:b/>
          <w:bCs/>
          <w:rtl/>
        </w:rPr>
        <w:t>מומלץ</w:t>
      </w:r>
      <w:r w:rsidRPr="00AA5065">
        <w:rPr>
          <w:rFonts w:eastAsia="Calibri"/>
          <w:b/>
          <w:bCs/>
          <w:rtl/>
        </w:rPr>
        <w:t xml:space="preserve"> כי המועצה </w:t>
      </w:r>
      <w:r w:rsidRPr="00AA5065">
        <w:rPr>
          <w:rFonts w:eastAsia="Calibri" w:hint="eastAsia"/>
          <w:b/>
          <w:bCs/>
          <w:rtl/>
        </w:rPr>
        <w:t>האזורית</w:t>
      </w:r>
      <w:r w:rsidRPr="00AA5065">
        <w:rPr>
          <w:rFonts w:eastAsia="Calibri"/>
          <w:b/>
          <w:bCs/>
          <w:rtl/>
        </w:rPr>
        <w:t xml:space="preserve"> </w:t>
      </w:r>
      <w:r w:rsidRPr="00AA5065">
        <w:rPr>
          <w:rFonts w:eastAsia="Calibri" w:hint="eastAsia"/>
          <w:b/>
          <w:bCs/>
          <w:rtl/>
        </w:rPr>
        <w:t>נווה</w:t>
      </w:r>
      <w:r w:rsidRPr="00AA5065">
        <w:rPr>
          <w:rFonts w:eastAsia="Calibri"/>
          <w:b/>
          <w:bCs/>
          <w:rtl/>
        </w:rPr>
        <w:t xml:space="preserve"> מדבר </w:t>
      </w:r>
      <w:r w:rsidRPr="00AA5065">
        <w:rPr>
          <w:rFonts w:eastAsia="Calibri" w:hint="eastAsia"/>
          <w:b/>
          <w:bCs/>
          <w:rtl/>
        </w:rPr>
        <w:t>תבחן</w:t>
      </w:r>
      <w:r w:rsidRPr="00AA5065">
        <w:rPr>
          <w:rFonts w:eastAsia="Calibri"/>
          <w:b/>
          <w:bCs/>
          <w:rtl/>
        </w:rPr>
        <w:t xml:space="preserve"> </w:t>
      </w:r>
      <w:r w:rsidRPr="00AA5065">
        <w:rPr>
          <w:rFonts w:eastAsia="Calibri" w:hint="eastAsia"/>
          <w:b/>
          <w:bCs/>
          <w:rtl/>
        </w:rPr>
        <w:t>את</w:t>
      </w:r>
      <w:r w:rsidRPr="00AA5065">
        <w:rPr>
          <w:rFonts w:eastAsia="Calibri"/>
          <w:b/>
          <w:bCs/>
          <w:rtl/>
        </w:rPr>
        <w:t xml:space="preserve"> </w:t>
      </w:r>
      <w:r w:rsidRPr="00AA5065">
        <w:rPr>
          <w:rFonts w:eastAsia="Calibri" w:hint="eastAsia"/>
          <w:b/>
          <w:bCs/>
          <w:rtl/>
        </w:rPr>
        <w:t>ה</w:t>
      </w:r>
      <w:r w:rsidRPr="00AA5065">
        <w:rPr>
          <w:rFonts w:eastAsia="Calibri"/>
          <w:b/>
          <w:bCs/>
          <w:rtl/>
        </w:rPr>
        <w:t>משאבי</w:t>
      </w:r>
      <w:r w:rsidRPr="00AA5065">
        <w:rPr>
          <w:rFonts w:eastAsia="Calibri" w:hint="eastAsia"/>
          <w:b/>
          <w:bCs/>
          <w:rtl/>
        </w:rPr>
        <w:t>ם</w:t>
      </w:r>
      <w:r w:rsidRPr="00AA5065">
        <w:rPr>
          <w:rFonts w:eastAsia="Calibri"/>
          <w:b/>
          <w:bCs/>
          <w:rtl/>
        </w:rPr>
        <w:t xml:space="preserve"> </w:t>
      </w:r>
      <w:r w:rsidRPr="00AA5065">
        <w:rPr>
          <w:rFonts w:eastAsia="Calibri" w:hint="eastAsia"/>
          <w:b/>
          <w:bCs/>
          <w:rtl/>
        </w:rPr>
        <w:t>המופנים</w:t>
      </w:r>
      <w:r w:rsidRPr="00AA5065">
        <w:rPr>
          <w:rFonts w:eastAsia="Calibri"/>
          <w:b/>
          <w:bCs/>
          <w:rtl/>
        </w:rPr>
        <w:t xml:space="preserve"> ל</w:t>
      </w:r>
      <w:r w:rsidRPr="00AA5065">
        <w:rPr>
          <w:rFonts w:eastAsia="Calibri" w:hint="eastAsia"/>
          <w:b/>
          <w:bCs/>
          <w:rtl/>
        </w:rPr>
        <w:t>שמירת</w:t>
      </w:r>
      <w:r w:rsidRPr="00AA5065">
        <w:rPr>
          <w:rFonts w:eastAsia="Calibri"/>
          <w:b/>
          <w:bCs/>
          <w:rtl/>
        </w:rPr>
        <w:t xml:space="preserve"> לילה </w:t>
      </w:r>
      <w:r w:rsidRPr="00AA5065">
        <w:rPr>
          <w:rFonts w:eastAsia="Calibri" w:hint="eastAsia"/>
          <w:b/>
          <w:bCs/>
          <w:rtl/>
        </w:rPr>
        <w:t>אל</w:t>
      </w:r>
      <w:r w:rsidRPr="00AA5065">
        <w:rPr>
          <w:rFonts w:eastAsia="Calibri"/>
          <w:b/>
          <w:bCs/>
          <w:rtl/>
        </w:rPr>
        <w:t xml:space="preserve"> מול </w:t>
      </w:r>
      <w:r w:rsidRPr="00AA5065">
        <w:rPr>
          <w:rFonts w:eastAsia="Calibri" w:hint="eastAsia"/>
          <w:b/>
          <w:bCs/>
          <w:rtl/>
        </w:rPr>
        <w:t>אלו</w:t>
      </w:r>
      <w:r w:rsidRPr="00AA5065">
        <w:rPr>
          <w:rFonts w:eastAsia="Calibri"/>
          <w:b/>
          <w:bCs/>
          <w:rtl/>
        </w:rPr>
        <w:t xml:space="preserve"> </w:t>
      </w:r>
      <w:r w:rsidRPr="00AA5065">
        <w:rPr>
          <w:rFonts w:eastAsia="Calibri" w:hint="eastAsia"/>
          <w:b/>
          <w:bCs/>
          <w:rtl/>
        </w:rPr>
        <w:t>המופנים</w:t>
      </w:r>
      <w:r w:rsidRPr="00AA5065">
        <w:rPr>
          <w:rFonts w:eastAsia="Calibri"/>
          <w:b/>
          <w:bCs/>
          <w:rtl/>
        </w:rPr>
        <w:t xml:space="preserve"> </w:t>
      </w:r>
      <w:r w:rsidRPr="00AA5065">
        <w:rPr>
          <w:rFonts w:eastAsia="Calibri" w:hint="eastAsia"/>
          <w:b/>
          <w:bCs/>
          <w:rtl/>
        </w:rPr>
        <w:t>לשמירה</w:t>
      </w:r>
      <w:r w:rsidRPr="00AA5065">
        <w:rPr>
          <w:rFonts w:eastAsia="Calibri"/>
          <w:b/>
          <w:bCs/>
          <w:rtl/>
        </w:rPr>
        <w:t xml:space="preserve"> על ב</w:t>
      </w:r>
      <w:r w:rsidRPr="00AA5065">
        <w:rPr>
          <w:rFonts w:eastAsia="Calibri" w:hint="eastAsia"/>
          <w:b/>
          <w:bCs/>
          <w:rtl/>
        </w:rPr>
        <w:t>יטחון</w:t>
      </w:r>
      <w:r w:rsidRPr="00AA5065">
        <w:rPr>
          <w:rFonts w:eastAsia="Calibri"/>
          <w:b/>
          <w:bCs/>
          <w:rtl/>
        </w:rPr>
        <w:t xml:space="preserve"> תלמידיה בשעות </w:t>
      </w:r>
      <w:r w:rsidRPr="00AA5065">
        <w:rPr>
          <w:rFonts w:eastAsia="Calibri" w:hint="eastAsia"/>
          <w:b/>
          <w:bCs/>
          <w:rtl/>
        </w:rPr>
        <w:t>הלימודים</w:t>
      </w:r>
      <w:r w:rsidRPr="00AA5065">
        <w:rPr>
          <w:rFonts w:eastAsia="Calibri"/>
          <w:b/>
          <w:bCs/>
          <w:rtl/>
        </w:rPr>
        <w:t xml:space="preserve">, וכן </w:t>
      </w:r>
      <w:r w:rsidRPr="00AA5065">
        <w:rPr>
          <w:rFonts w:eastAsia="Calibri" w:hint="eastAsia"/>
          <w:b/>
          <w:bCs/>
          <w:rtl/>
        </w:rPr>
        <w:t>תבחן</w:t>
      </w:r>
      <w:r w:rsidRPr="00AA5065">
        <w:rPr>
          <w:rFonts w:eastAsia="Calibri"/>
          <w:b/>
          <w:bCs/>
          <w:rtl/>
        </w:rPr>
        <w:t xml:space="preserve"> </w:t>
      </w:r>
      <w:r w:rsidRPr="00AA5065">
        <w:rPr>
          <w:rFonts w:eastAsia="Calibri" w:hint="eastAsia"/>
          <w:b/>
          <w:bCs/>
          <w:rtl/>
        </w:rPr>
        <w:t>שימוש</w:t>
      </w:r>
      <w:r w:rsidRPr="00AA5065">
        <w:rPr>
          <w:rFonts w:eastAsia="Calibri"/>
          <w:b/>
          <w:bCs/>
          <w:rtl/>
        </w:rPr>
        <w:t xml:space="preserve"> </w:t>
      </w:r>
      <w:r w:rsidRPr="00AA5065">
        <w:rPr>
          <w:rFonts w:eastAsia="Calibri" w:hint="eastAsia"/>
          <w:b/>
          <w:bCs/>
          <w:rtl/>
        </w:rPr>
        <w:t>ב</w:t>
      </w:r>
      <w:r w:rsidRPr="00AA5065">
        <w:rPr>
          <w:rFonts w:eastAsia="Calibri"/>
          <w:b/>
          <w:bCs/>
          <w:rtl/>
        </w:rPr>
        <w:t xml:space="preserve">אמצעים </w:t>
      </w:r>
      <w:r w:rsidRPr="00AA5065">
        <w:rPr>
          <w:rFonts w:eastAsia="Calibri" w:hint="eastAsia"/>
          <w:b/>
          <w:bCs/>
          <w:rtl/>
        </w:rPr>
        <w:t>אחרים</w:t>
      </w:r>
      <w:r w:rsidRPr="00AA5065">
        <w:rPr>
          <w:rFonts w:eastAsia="Calibri"/>
          <w:b/>
          <w:bCs/>
          <w:rtl/>
        </w:rPr>
        <w:t xml:space="preserve"> ב</w:t>
      </w:r>
      <w:r w:rsidRPr="00AA5065">
        <w:rPr>
          <w:rFonts w:eastAsia="Calibri" w:hint="eastAsia"/>
          <w:b/>
          <w:bCs/>
          <w:rtl/>
        </w:rPr>
        <w:t>שעות</w:t>
      </w:r>
      <w:r w:rsidRPr="00AA5065">
        <w:rPr>
          <w:rFonts w:eastAsia="Calibri"/>
          <w:b/>
          <w:bCs/>
          <w:rtl/>
        </w:rPr>
        <w:t xml:space="preserve"> </w:t>
      </w:r>
      <w:r w:rsidRPr="00AA5065">
        <w:rPr>
          <w:rFonts w:eastAsia="Calibri" w:hint="eastAsia"/>
          <w:b/>
          <w:bCs/>
          <w:rtl/>
        </w:rPr>
        <w:t>ה</w:t>
      </w:r>
      <w:r w:rsidRPr="00AA5065">
        <w:rPr>
          <w:rFonts w:eastAsia="Calibri"/>
          <w:b/>
          <w:bCs/>
          <w:rtl/>
        </w:rPr>
        <w:t>לילה ובסופי שבוע, כגון מערכות אבטחה טכנולוגיות</w:t>
      </w:r>
      <w:r w:rsidRPr="00AA5065">
        <w:rPr>
          <w:rFonts w:eastAsia="Calibri"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rtl/>
        </w:rPr>
      </w:pPr>
      <w:r w:rsidRPr="00AA5065">
        <w:rPr>
          <w:rFonts w:ascii="David" w:eastAsia="Calibri" w:hAnsi="David" w:hint="eastAsia"/>
          <w:bCs/>
          <w:rtl/>
        </w:rPr>
        <w:t>עוד</w:t>
      </w:r>
      <w:r w:rsidRPr="00AA5065">
        <w:rPr>
          <w:rFonts w:ascii="David" w:eastAsia="Calibri" w:hAnsi="David"/>
          <w:bCs/>
          <w:rtl/>
        </w:rPr>
        <w:t xml:space="preserve"> מומלץ </w:t>
      </w:r>
      <w:r w:rsidRPr="00AA5065">
        <w:rPr>
          <w:rFonts w:ascii="David" w:eastAsia="Calibri" w:hAnsi="David" w:hint="eastAsia"/>
          <w:bCs/>
          <w:rtl/>
        </w:rPr>
        <w:t>כי</w:t>
      </w:r>
      <w:r w:rsidRPr="00AA5065">
        <w:rPr>
          <w:rFonts w:ascii="David" w:eastAsia="Calibri" w:hAnsi="David"/>
          <w:bCs/>
          <w:rtl/>
        </w:rPr>
        <w:t xml:space="preserve"> </w:t>
      </w:r>
      <w:r w:rsidRPr="00AA5065">
        <w:rPr>
          <w:rFonts w:ascii="David" w:eastAsia="Calibri" w:hAnsi="David" w:hint="eastAsia"/>
          <w:bCs/>
          <w:rtl/>
        </w:rPr>
        <w:t>משרד</w:t>
      </w:r>
      <w:r w:rsidRPr="00AA5065">
        <w:rPr>
          <w:rFonts w:ascii="David" w:eastAsia="Calibri" w:hAnsi="David"/>
          <w:bCs/>
          <w:rtl/>
        </w:rPr>
        <w:t xml:space="preserve"> הפנים </w:t>
      </w:r>
      <w:r w:rsidRPr="00AA5065">
        <w:rPr>
          <w:rFonts w:ascii="David" w:eastAsia="Calibri" w:hAnsi="David" w:hint="eastAsia"/>
          <w:bCs/>
          <w:rtl/>
        </w:rPr>
        <w:t>ומשרד</w:t>
      </w:r>
      <w:r w:rsidRPr="00AA5065">
        <w:rPr>
          <w:rFonts w:ascii="David" w:eastAsia="Calibri" w:hAnsi="David"/>
          <w:bCs/>
          <w:rtl/>
        </w:rPr>
        <w:t xml:space="preserve"> </w:t>
      </w:r>
      <w:r w:rsidRPr="00AA5065">
        <w:rPr>
          <w:rFonts w:ascii="David" w:eastAsia="Calibri" w:hAnsi="David" w:hint="eastAsia"/>
          <w:bCs/>
          <w:rtl/>
        </w:rPr>
        <w:t>החינוך</w:t>
      </w:r>
      <w:r w:rsidRPr="00AA5065">
        <w:rPr>
          <w:rFonts w:ascii="David" w:eastAsia="Calibri" w:hAnsi="David"/>
          <w:bCs/>
          <w:rtl/>
        </w:rPr>
        <w:t xml:space="preserve"> </w:t>
      </w:r>
      <w:r w:rsidRPr="00AA5065">
        <w:rPr>
          <w:rFonts w:ascii="David" w:eastAsia="Calibri" w:hAnsi="David" w:hint="eastAsia"/>
          <w:bCs/>
          <w:rtl/>
        </w:rPr>
        <w:t>יבחנו</w:t>
      </w:r>
      <w:r w:rsidRPr="00AA5065">
        <w:rPr>
          <w:rFonts w:ascii="David" w:eastAsia="Calibri" w:hAnsi="David"/>
          <w:bCs/>
          <w:rtl/>
        </w:rPr>
        <w:t xml:space="preserve"> את היקף התופעה של </w:t>
      </w:r>
      <w:r w:rsidRPr="00AA5065">
        <w:rPr>
          <w:rFonts w:ascii="David" w:eastAsia="Calibri" w:hAnsi="David" w:hint="eastAsia"/>
          <w:bCs/>
          <w:rtl/>
        </w:rPr>
        <w:t>יחס</w:t>
      </w:r>
      <w:r w:rsidRPr="00AA5065">
        <w:rPr>
          <w:rFonts w:ascii="David" w:eastAsia="Calibri" w:hAnsi="David"/>
          <w:bCs/>
          <w:rtl/>
        </w:rPr>
        <w:t xml:space="preserve"> </w:t>
      </w:r>
      <w:r w:rsidRPr="00AA5065">
        <w:rPr>
          <w:rFonts w:ascii="David" w:eastAsia="Calibri" w:hAnsi="David" w:hint="eastAsia"/>
          <w:bCs/>
          <w:rtl/>
        </w:rPr>
        <w:t>מוטה</w:t>
      </w:r>
      <w:r w:rsidRPr="00AA5065">
        <w:rPr>
          <w:rFonts w:ascii="David" w:eastAsia="Calibri" w:hAnsi="David"/>
          <w:bCs/>
          <w:rtl/>
        </w:rPr>
        <w:t xml:space="preserve"> </w:t>
      </w:r>
      <w:r w:rsidRPr="00AA5065">
        <w:rPr>
          <w:rFonts w:ascii="David" w:eastAsia="Calibri" w:hAnsi="David" w:hint="eastAsia"/>
          <w:bCs/>
          <w:rtl/>
        </w:rPr>
        <w:t>לשמירת</w:t>
      </w:r>
      <w:r w:rsidRPr="00AA5065">
        <w:rPr>
          <w:rFonts w:ascii="David" w:eastAsia="Calibri" w:hAnsi="David"/>
          <w:bCs/>
          <w:rtl/>
        </w:rPr>
        <w:t xml:space="preserve"> </w:t>
      </w:r>
      <w:r w:rsidRPr="00AA5065">
        <w:rPr>
          <w:rFonts w:ascii="David" w:eastAsia="Calibri" w:hAnsi="David" w:hint="eastAsia"/>
          <w:bCs/>
          <w:rtl/>
        </w:rPr>
        <w:t>לילה</w:t>
      </w:r>
      <w:r w:rsidRPr="00AA5065">
        <w:rPr>
          <w:rFonts w:ascii="David" w:eastAsia="Calibri" w:hAnsi="David"/>
          <w:bCs/>
          <w:rtl/>
        </w:rPr>
        <w:t xml:space="preserve"> </w:t>
      </w:r>
      <w:r w:rsidRPr="00AA5065">
        <w:rPr>
          <w:rFonts w:ascii="David" w:eastAsia="Calibri" w:hAnsi="David" w:hint="eastAsia"/>
          <w:bCs/>
          <w:rtl/>
        </w:rPr>
        <w:t>ביחס</w:t>
      </w:r>
      <w:r w:rsidRPr="00AA5065">
        <w:rPr>
          <w:rFonts w:ascii="David" w:eastAsia="Calibri" w:hAnsi="David"/>
          <w:bCs/>
          <w:rtl/>
        </w:rPr>
        <w:t xml:space="preserve"> </w:t>
      </w:r>
      <w:r w:rsidRPr="00AA5065">
        <w:rPr>
          <w:rFonts w:ascii="David" w:eastAsia="Calibri" w:hAnsi="David" w:hint="eastAsia"/>
          <w:bCs/>
          <w:rtl/>
        </w:rPr>
        <w:t>לשמירת</w:t>
      </w:r>
      <w:r w:rsidRPr="00AA5065">
        <w:rPr>
          <w:rFonts w:ascii="David" w:eastAsia="Calibri" w:hAnsi="David"/>
          <w:bCs/>
          <w:rtl/>
        </w:rPr>
        <w:t xml:space="preserve"> </w:t>
      </w:r>
      <w:r w:rsidRPr="00AA5065">
        <w:rPr>
          <w:rFonts w:ascii="David" w:eastAsia="Calibri" w:hAnsi="David" w:hint="eastAsia"/>
          <w:bCs/>
          <w:rtl/>
        </w:rPr>
        <w:t>היום</w:t>
      </w:r>
      <w:r w:rsidRPr="00AA5065">
        <w:rPr>
          <w:rFonts w:ascii="David" w:eastAsia="Calibri" w:hAnsi="David"/>
          <w:bCs/>
          <w:rtl/>
        </w:rPr>
        <w:t xml:space="preserve"> </w:t>
      </w:r>
      <w:r w:rsidRPr="00AA5065">
        <w:rPr>
          <w:rFonts w:ascii="David" w:eastAsia="Calibri" w:hAnsi="David" w:hint="eastAsia"/>
          <w:bCs/>
          <w:rtl/>
        </w:rPr>
        <w:t>במוסדות</w:t>
      </w:r>
      <w:r w:rsidRPr="00AA5065">
        <w:rPr>
          <w:rFonts w:ascii="David" w:eastAsia="Calibri" w:hAnsi="David"/>
          <w:bCs/>
          <w:rtl/>
        </w:rPr>
        <w:t xml:space="preserve"> </w:t>
      </w:r>
      <w:r w:rsidRPr="00AA5065">
        <w:rPr>
          <w:rFonts w:ascii="David" w:eastAsia="Calibri" w:hAnsi="David" w:hint="eastAsia"/>
          <w:bCs/>
          <w:rtl/>
        </w:rPr>
        <w:t>החינוך</w:t>
      </w:r>
      <w:r w:rsidRPr="00AA5065">
        <w:rPr>
          <w:rFonts w:ascii="David" w:eastAsia="Calibri" w:hAnsi="David"/>
          <w:bCs/>
          <w:rtl/>
        </w:rPr>
        <w:t xml:space="preserve"> והמשמעות הנובעת מכך, את </w:t>
      </w:r>
      <w:r w:rsidRPr="00AA5065">
        <w:rPr>
          <w:rFonts w:ascii="David" w:eastAsia="Calibri" w:hAnsi="David" w:hint="eastAsia"/>
          <w:bCs/>
          <w:rtl/>
        </w:rPr>
        <w:t>הגורמים</w:t>
      </w:r>
      <w:r w:rsidRPr="00AA5065">
        <w:rPr>
          <w:rFonts w:ascii="David" w:eastAsia="Calibri" w:hAnsi="David"/>
          <w:bCs/>
          <w:rtl/>
        </w:rPr>
        <w:t xml:space="preserve"> </w:t>
      </w:r>
      <w:r w:rsidRPr="00AA5065">
        <w:rPr>
          <w:rFonts w:ascii="David" w:eastAsia="Calibri" w:hAnsi="David" w:hint="eastAsia"/>
          <w:bCs/>
          <w:rtl/>
        </w:rPr>
        <w:t>לתופעה</w:t>
      </w:r>
      <w:r w:rsidRPr="00AA5065">
        <w:rPr>
          <w:rFonts w:ascii="David" w:eastAsia="Calibri" w:hAnsi="David"/>
          <w:bCs/>
          <w:rtl/>
        </w:rPr>
        <w:t xml:space="preserve">, </w:t>
      </w:r>
      <w:r w:rsidRPr="00AA5065">
        <w:rPr>
          <w:rFonts w:ascii="David" w:eastAsia="Calibri" w:hAnsi="David" w:hint="eastAsia"/>
          <w:bCs/>
          <w:rtl/>
        </w:rPr>
        <w:t>ואת</w:t>
      </w:r>
      <w:r w:rsidRPr="00AA5065">
        <w:rPr>
          <w:rFonts w:ascii="David" w:eastAsia="Calibri" w:hAnsi="David"/>
          <w:bCs/>
          <w:rtl/>
        </w:rPr>
        <w:t xml:space="preserve"> </w:t>
      </w:r>
      <w:r w:rsidRPr="00AA5065">
        <w:rPr>
          <w:rFonts w:ascii="David" w:eastAsia="Calibri" w:hAnsi="David" w:hint="eastAsia"/>
          <w:bCs/>
          <w:rtl/>
        </w:rPr>
        <w:t>הצורך</w:t>
      </w:r>
      <w:r w:rsidRPr="00AA5065">
        <w:rPr>
          <w:rFonts w:ascii="David" w:eastAsia="Calibri" w:hAnsi="David"/>
          <w:bCs/>
          <w:rtl/>
        </w:rPr>
        <w:t xml:space="preserve"> </w:t>
      </w:r>
      <w:r w:rsidRPr="00AA5065">
        <w:rPr>
          <w:rFonts w:ascii="David" w:eastAsia="Calibri" w:hAnsi="David" w:hint="eastAsia"/>
          <w:bCs/>
          <w:rtl/>
        </w:rPr>
        <w:t>לנקוט</w:t>
      </w:r>
      <w:r w:rsidRPr="00AA5065">
        <w:rPr>
          <w:rFonts w:ascii="David" w:eastAsia="Calibri" w:hAnsi="David"/>
          <w:bCs/>
          <w:rtl/>
        </w:rPr>
        <w:t xml:space="preserve"> </w:t>
      </w:r>
      <w:r w:rsidRPr="00AA5065">
        <w:rPr>
          <w:rFonts w:ascii="David" w:eastAsia="Calibri" w:hAnsi="David" w:hint="eastAsia"/>
          <w:bCs/>
          <w:rtl/>
        </w:rPr>
        <w:t>בצעדים</w:t>
      </w:r>
      <w:r w:rsidRPr="00AA5065">
        <w:rPr>
          <w:rFonts w:ascii="David" w:eastAsia="Calibri" w:hAnsi="David"/>
          <w:bCs/>
          <w:rtl/>
        </w:rPr>
        <w:t xml:space="preserve"> </w:t>
      </w:r>
      <w:r w:rsidRPr="00AA5065">
        <w:rPr>
          <w:rFonts w:ascii="David" w:eastAsia="Calibri" w:hAnsi="David" w:hint="eastAsia"/>
          <w:bCs/>
          <w:rtl/>
        </w:rPr>
        <w:t>לשינוי</w:t>
      </w:r>
      <w:r w:rsidRPr="00AA5065">
        <w:rPr>
          <w:rFonts w:ascii="David" w:eastAsia="Calibri" w:hAnsi="David"/>
          <w:bCs/>
          <w:rtl/>
        </w:rPr>
        <w:t xml:space="preserve"> </w:t>
      </w:r>
      <w:r w:rsidRPr="00AA5065">
        <w:rPr>
          <w:rFonts w:ascii="David" w:eastAsia="Calibri" w:hAnsi="David" w:hint="eastAsia"/>
          <w:bCs/>
          <w:rtl/>
        </w:rPr>
        <w:t>מצב</w:t>
      </w:r>
      <w:r w:rsidRPr="00AA5065">
        <w:rPr>
          <w:rFonts w:ascii="David" w:eastAsia="Calibri" w:hAnsi="David"/>
          <w:bCs/>
          <w:rtl/>
        </w:rPr>
        <w:t xml:space="preserve"> </w:t>
      </w:r>
      <w:r w:rsidRPr="00AA5065">
        <w:rPr>
          <w:rFonts w:ascii="David" w:eastAsia="Calibri" w:hAnsi="David" w:hint="eastAsia"/>
          <w:bCs/>
          <w:rtl/>
        </w:rPr>
        <w:t>זה</w:t>
      </w:r>
      <w:r w:rsidRPr="00AA5065">
        <w:rPr>
          <w:rFonts w:ascii="David" w:eastAsia="Calibri" w:hAnsi="David" w:hint="cs"/>
          <w:b/>
          <w:rtl/>
        </w:rPr>
        <w:t>.</w:t>
      </w:r>
    </w:p>
    <w:p w:rsidR="00AA5065" w:rsidRPr="00AA5065" w:rsidP="00860D89">
      <w:pPr>
        <w:spacing w:line="269" w:lineRule="auto"/>
        <w:rPr>
          <w:rFonts w:eastAsia="Calibri"/>
          <w:rtl/>
        </w:rPr>
      </w:pPr>
    </w:p>
    <w:p w:rsidR="00306A17">
      <w:pPr>
        <w:bidi w:val="0"/>
        <w:spacing w:after="200" w:line="276" w:lineRule="auto"/>
        <w:rPr>
          <w:rFonts w:eastAsia="Times New Roman"/>
          <w:bCs/>
          <w:szCs w:val="26"/>
          <w:rtl/>
        </w:rPr>
      </w:pPr>
      <w:bookmarkStart w:id="102" w:name="_Hlk204855253"/>
      <w:r>
        <w:rPr>
          <w:rFonts w:eastAsia="Times New Roman"/>
          <w:bCs/>
          <w:szCs w:val="26"/>
          <w:rtl/>
        </w:rPr>
        <w:br w:type="page"/>
      </w:r>
    </w:p>
    <w:p w:rsidR="00AA5065" w:rsidRPr="00AA5065" w:rsidP="00860D89">
      <w:pPr>
        <w:keepNext/>
        <w:keepLines/>
        <w:spacing w:line="269" w:lineRule="auto"/>
        <w:outlineLvl w:val="3"/>
        <w:rPr>
          <w:rFonts w:eastAsia="Times New Roman"/>
          <w:bCs/>
          <w:szCs w:val="26"/>
          <w:rtl/>
        </w:rPr>
      </w:pPr>
      <w:r w:rsidRPr="00AA5065">
        <w:rPr>
          <w:rFonts w:eastAsia="Times New Roman" w:hint="cs"/>
          <w:bCs/>
          <w:szCs w:val="26"/>
          <w:rtl/>
        </w:rPr>
        <w:t>תופעת הפלסטיניזציה, התפשטות האלימות והפשיעה, והפגיעה בביטחון האישי</w:t>
      </w:r>
      <w:bookmarkEnd w:id="102"/>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תופעת הפלסטיניזציה</w:t>
      </w:r>
    </w:p>
    <w:p w:rsidR="00AA5065" w:rsidRPr="00AA5065" w:rsidP="00860D89">
      <w:pPr>
        <w:spacing w:line="269" w:lineRule="auto"/>
        <w:rPr>
          <w:rFonts w:eastAsia="Calibri"/>
          <w:rtl/>
        </w:rPr>
      </w:pPr>
    </w:p>
    <w:p w:rsidR="00AA5065" w:rsidRPr="00AA5065" w:rsidP="00860D89">
      <w:pPr>
        <w:keepNext/>
        <w:keepLines/>
        <w:spacing w:line="269" w:lineRule="auto"/>
        <w:outlineLvl w:val="5"/>
        <w:rPr>
          <w:rFonts w:eastAsia="Times New Roman"/>
          <w:spacing w:val="40"/>
          <w:rtl/>
        </w:rPr>
      </w:pPr>
      <w:r w:rsidRPr="00AA5065">
        <w:rPr>
          <w:rFonts w:eastAsia="Times New Roman" w:hint="cs"/>
          <w:spacing w:val="40"/>
          <w:rtl/>
        </w:rPr>
        <w:t>הנושא המפורט להלן נבדק לראשונה במסגרת ביקורת זו</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בשנים</w:t>
      </w:r>
      <w:r w:rsidRPr="00AA5065">
        <w:rPr>
          <w:rFonts w:eastAsia="Calibri"/>
          <w:rtl/>
        </w:rPr>
        <w:t xml:space="preserve"> האחרונות הולכת ומתגברת תופעת </w:t>
      </w:r>
      <w:r w:rsidRPr="00AA5065">
        <w:rPr>
          <w:rFonts w:eastAsia="Calibri" w:hint="eastAsia"/>
          <w:rtl/>
        </w:rPr>
        <w:t>הפלסט</w:t>
      </w:r>
      <w:r w:rsidR="00A80B8F">
        <w:rPr>
          <w:rFonts w:eastAsia="Calibri" w:hint="cs"/>
          <w:rtl/>
        </w:rPr>
        <w:t>י</w:t>
      </w:r>
      <w:r w:rsidRPr="00AA5065">
        <w:rPr>
          <w:rFonts w:eastAsia="Calibri" w:hint="eastAsia"/>
          <w:rtl/>
        </w:rPr>
        <w:t>ניזציה</w:t>
      </w:r>
      <w:r w:rsidRPr="00AA5065">
        <w:rPr>
          <w:rFonts w:eastAsia="Calibri"/>
          <w:rtl/>
        </w:rPr>
        <w:t xml:space="preserve"> בקרב התושבים הבדואים בנגב</w:t>
      </w:r>
      <w:r w:rsidRPr="00AA5065">
        <w:rPr>
          <w:rFonts w:eastAsia="Calibri" w:hint="cs"/>
          <w:rtl/>
        </w:rPr>
        <w:t>, ובמיוחד בקרב הצעירים שבהם</w:t>
      </w:r>
      <w:r w:rsidRPr="00AA5065">
        <w:rPr>
          <w:rFonts w:eastAsia="Calibri"/>
          <w:rtl/>
        </w:rPr>
        <w:t xml:space="preserve">. </w:t>
      </w:r>
      <w:r w:rsidRPr="00AA5065">
        <w:rPr>
          <w:rFonts w:eastAsia="Calibri" w:hint="cs"/>
          <w:rtl/>
        </w:rPr>
        <w:t xml:space="preserve">משמעות </w:t>
      </w:r>
      <w:r w:rsidRPr="00AA5065">
        <w:rPr>
          <w:rFonts w:eastAsia="Calibri" w:hint="eastAsia"/>
          <w:rtl/>
        </w:rPr>
        <w:t>תופעה</w:t>
      </w:r>
      <w:r w:rsidRPr="00AA5065">
        <w:rPr>
          <w:rFonts w:eastAsia="Calibri"/>
          <w:rtl/>
        </w:rPr>
        <w:t xml:space="preserve"> </w:t>
      </w:r>
      <w:r w:rsidRPr="00AA5065">
        <w:rPr>
          <w:rFonts w:eastAsia="Calibri" w:hint="eastAsia"/>
          <w:rtl/>
        </w:rPr>
        <w:t>זו</w:t>
      </w:r>
      <w:r w:rsidRPr="00AA5065">
        <w:rPr>
          <w:rFonts w:eastAsia="Calibri"/>
          <w:rtl/>
        </w:rPr>
        <w:t xml:space="preserve"> </w:t>
      </w:r>
      <w:r w:rsidRPr="00AA5065">
        <w:rPr>
          <w:rFonts w:eastAsia="Calibri" w:hint="cs"/>
          <w:rtl/>
        </w:rPr>
        <w:t xml:space="preserve">היא </w:t>
      </w:r>
      <w:r w:rsidRPr="00AA5065">
        <w:rPr>
          <w:rFonts w:eastAsia="Calibri"/>
          <w:rtl/>
        </w:rPr>
        <w:t xml:space="preserve">התגברות </w:t>
      </w:r>
      <w:r w:rsidRPr="00AA5065">
        <w:rPr>
          <w:rFonts w:eastAsia="Calibri" w:hint="cs"/>
          <w:rtl/>
        </w:rPr>
        <w:t>הזיקה לאוכלוסיית הפלסטינים תושבי איו"ש,</w:t>
      </w:r>
      <w:r w:rsidRPr="00AA5065">
        <w:rPr>
          <w:rFonts w:eastAsia="Calibri"/>
          <w:rtl/>
        </w:rPr>
        <w:t xml:space="preserve"> וזאת כתוצאה מנישואים לנשים פל</w:t>
      </w:r>
      <w:r w:rsidRPr="00AA5065">
        <w:rPr>
          <w:rFonts w:eastAsia="Calibri" w:hint="eastAsia"/>
          <w:rtl/>
        </w:rPr>
        <w:t>סטיניות</w:t>
      </w:r>
      <w:r w:rsidRPr="00AA5065">
        <w:rPr>
          <w:rFonts w:eastAsia="Calibri"/>
          <w:rtl/>
        </w:rPr>
        <w:t xml:space="preserve"> </w:t>
      </w:r>
      <w:r w:rsidRPr="00AA5065">
        <w:rPr>
          <w:rFonts w:eastAsia="Calibri" w:hint="eastAsia"/>
          <w:rtl/>
        </w:rPr>
        <w:t>מרחבי</w:t>
      </w:r>
      <w:r w:rsidRPr="00AA5065">
        <w:rPr>
          <w:rFonts w:eastAsia="Calibri"/>
          <w:rtl/>
        </w:rPr>
        <w:t xml:space="preserve"> </w:t>
      </w:r>
      <w:r w:rsidRPr="00AA5065">
        <w:rPr>
          <w:rFonts w:eastAsia="Calibri" w:hint="eastAsia"/>
          <w:rtl/>
        </w:rPr>
        <w:t>יו</w:t>
      </w:r>
      <w:r w:rsidRPr="00AA5065">
        <w:rPr>
          <w:rFonts w:eastAsia="Calibri"/>
          <w:rtl/>
        </w:rPr>
        <w:t>"</w:t>
      </w:r>
      <w:r w:rsidRPr="00AA5065">
        <w:rPr>
          <w:rFonts w:eastAsia="Calibri" w:hint="eastAsia"/>
          <w:rtl/>
        </w:rPr>
        <w:t>ש</w:t>
      </w:r>
      <w:r w:rsidRPr="00AA5065">
        <w:rPr>
          <w:rFonts w:eastAsia="Calibri"/>
          <w:rtl/>
        </w:rPr>
        <w:t>, אי</w:t>
      </w:r>
      <w:r w:rsidRPr="00AA5065">
        <w:rPr>
          <w:rFonts w:eastAsia="Calibri" w:hint="cs"/>
          <w:rtl/>
        </w:rPr>
        <w:t>-</w:t>
      </w:r>
      <w:r w:rsidRPr="00AA5065">
        <w:rPr>
          <w:rFonts w:eastAsia="Calibri"/>
          <w:rtl/>
        </w:rPr>
        <w:t xml:space="preserve">ידיעה של השפה העברית, </w:t>
      </w:r>
      <w:r w:rsidRPr="00AA5065">
        <w:rPr>
          <w:rFonts w:eastAsia="Calibri" w:hint="cs"/>
          <w:rtl/>
        </w:rPr>
        <w:t>היחלשות הזיקה למדינת ישראל ומוסדותיה</w:t>
      </w:r>
      <w:r w:rsidRPr="00AA5065">
        <w:rPr>
          <w:rFonts w:eastAsia="Calibri"/>
          <w:rtl/>
        </w:rPr>
        <w:t xml:space="preserve"> וחשיפה להסתה נגד המדינה ולאירועי אלימות מסוגים שונים.</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בסיכום דיון ב</w:t>
      </w:r>
      <w:r w:rsidRPr="00AA5065">
        <w:rPr>
          <w:rFonts w:eastAsia="Calibri" w:hint="eastAsia"/>
          <w:rtl/>
        </w:rPr>
        <w:t>מל</w:t>
      </w:r>
      <w:r w:rsidRPr="00AA5065">
        <w:rPr>
          <w:rFonts w:eastAsia="Calibri" w:hint="cs"/>
          <w:rtl/>
        </w:rPr>
        <w:t>"</w:t>
      </w:r>
      <w:r w:rsidRPr="00AA5065">
        <w:rPr>
          <w:rFonts w:eastAsia="Calibri" w:hint="eastAsia"/>
          <w:rtl/>
        </w:rPr>
        <w:t>ל</w:t>
      </w:r>
      <w:r w:rsidRPr="00AA5065">
        <w:rPr>
          <w:rFonts w:eastAsia="Calibri" w:hint="cs"/>
          <w:rtl/>
        </w:rPr>
        <w:t xml:space="preserve"> מ-25.4.22 בנושא "צוות קשרי המגזר הבדואי עם איו"ש"</w:t>
      </w:r>
      <w:r>
        <w:rPr>
          <w:rFonts w:eastAsia="Calibri"/>
          <w:vertAlign w:val="superscript"/>
          <w:rtl/>
        </w:rPr>
        <w:footnoteReference w:id="116"/>
      </w:r>
      <w:r w:rsidRPr="00AA5065">
        <w:rPr>
          <w:rFonts w:eastAsia="Calibri" w:hint="cs"/>
          <w:rtl/>
        </w:rPr>
        <w:t xml:space="preserve"> נכתב, בין היתר, כי מטרת הצוות היא לבחון דרכים לצמצום הזיקות השליליות בין המגזר הבדואי בנגב ובין איו"ש ורצועת עזה. זאת, נוכח תהליך הפלסטיניזציה ההולך ומתרחב בקרב חלק מבני המגזר הבדואי, ובפרט בקרב צעירים בני משפחות מעורבות או פוליגמיות, החשים ניכור לזהות הישראלית. תהליך זה מציב אתגרים בפני המדינה. בדיון הוצג כי היקף התופעה הוא משמעותי - יותר מ-80,000 איש, אשר מרכז החיים של רבים מהם הוא באיו"ש, וכי מסתמנת מגמת החמרה במעורבות של אוכלוסייה זו בפעילות נגד המדינה החל בהסתה ואלימות וכלה בפעילות לאומנית וטרור.</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במצגת</w:t>
      </w:r>
      <w:r>
        <w:rPr>
          <w:rFonts w:eastAsia="Calibri"/>
          <w:vertAlign w:val="superscript"/>
          <w:rtl/>
        </w:rPr>
        <w:footnoteReference w:id="117"/>
      </w:r>
      <w:r w:rsidRPr="00AA5065">
        <w:rPr>
          <w:rFonts w:eastAsia="Calibri" w:hint="cs"/>
          <w:rtl/>
        </w:rPr>
        <w:t xml:space="preserve"> שהתקבלה מהמשטרה בדצמבר 2024 נכתב שהנוער הבדואי בנגב גדל באווירה של כוח ואלימות בקהילה, זאת נוסף על אווירה לאומנית בדלנית, ושקיימת תופעה של פ</w:t>
      </w:r>
      <w:r w:rsidRPr="00AA5065">
        <w:rPr>
          <w:rFonts w:eastAsia="Calibri" w:hint="eastAsia"/>
          <w:rtl/>
        </w:rPr>
        <w:t>לסטיני</w:t>
      </w:r>
      <w:r w:rsidRPr="00AA5065">
        <w:rPr>
          <w:rFonts w:eastAsia="Calibri" w:hint="cs"/>
          <w:rtl/>
        </w:rPr>
        <w:t>ז</w:t>
      </w:r>
      <w:r w:rsidRPr="00AA5065">
        <w:rPr>
          <w:rFonts w:eastAsia="Calibri" w:hint="eastAsia"/>
          <w:rtl/>
        </w:rPr>
        <w:t>ציה</w:t>
      </w:r>
      <w:r w:rsidRPr="00AA5065">
        <w:rPr>
          <w:rFonts w:eastAsia="Calibri" w:hint="cs"/>
          <w:rtl/>
        </w:rPr>
        <w:t xml:space="preserve"> ולאומנות הבאה לידי ביטוי בפעילות ברשתות החברתיות אשר משמשות בסיס נוח לחיזוק הזהות הפלסטינית ולחיזוק ההזדהות עם ארגוני טרור ומדינות אויב.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גם בנייר עמדה שהתקבל מהשב"כ שהינו עדכני לאוגוסט 2024, הנושא את הכותרת "אתגרי השתלבות של החברה הבדואית במרחב המשותף - הסתכלות מהזווית הביטחונית", נכתב כי "בשנים האחרונות עוברת האוכלוסיי</w:t>
      </w:r>
      <w:r w:rsidRPr="00AA5065">
        <w:rPr>
          <w:rFonts w:eastAsia="Calibri" w:hint="eastAsia"/>
          <w:rtl/>
        </w:rPr>
        <w:t>ה</w:t>
      </w:r>
      <w:r w:rsidRPr="00AA5065">
        <w:rPr>
          <w:rFonts w:eastAsia="Calibri" w:hint="cs"/>
          <w:rtl/>
        </w:rPr>
        <w:t xml:space="preserve"> המוסלמית בנגב תהליך של 'פלסט</w:t>
      </w:r>
      <w:r w:rsidR="00A80B8F">
        <w:rPr>
          <w:rFonts w:eastAsia="Calibri" w:hint="cs"/>
          <w:rtl/>
        </w:rPr>
        <w:t>י</w:t>
      </w:r>
      <w:r w:rsidRPr="00AA5065">
        <w:rPr>
          <w:rFonts w:eastAsia="Calibri" w:hint="cs"/>
          <w:rtl/>
        </w:rPr>
        <w:t xml:space="preserve">ניזציה'. סיבה מרכזית לכך, היא נישואים בין אזרחים תושבי הנגב לתושבי הגדה ורצועת עזה, ותופעת איחוד המשפחות". </w:t>
      </w:r>
      <w:r w:rsidRPr="00AA5065">
        <w:rPr>
          <w:rFonts w:eastAsia="Calibri" w:hint="eastAsia"/>
          <w:rtl/>
        </w:rPr>
        <w:t>להערכת</w:t>
      </w:r>
      <w:r w:rsidRPr="00AA5065">
        <w:rPr>
          <w:rFonts w:eastAsia="Calibri"/>
          <w:rtl/>
        </w:rPr>
        <w:t xml:space="preserve"> </w:t>
      </w:r>
      <w:r w:rsidRPr="00AA5065">
        <w:rPr>
          <w:rFonts w:eastAsia="Calibri" w:hint="eastAsia"/>
          <w:rtl/>
        </w:rPr>
        <w:t>השב</w:t>
      </w:r>
      <w:r w:rsidRPr="00AA5065">
        <w:rPr>
          <w:rFonts w:eastAsia="Calibri"/>
          <w:rtl/>
        </w:rPr>
        <w:t>"כ</w:t>
      </w:r>
      <w:r>
        <w:rPr>
          <w:rFonts w:eastAsia="Calibri"/>
          <w:vertAlign w:val="superscript"/>
          <w:rtl/>
        </w:rPr>
        <w:footnoteReference w:id="118"/>
      </w:r>
      <w:r w:rsidRPr="00AA5065">
        <w:rPr>
          <w:rFonts w:eastAsia="Calibri"/>
          <w:rtl/>
        </w:rPr>
        <w:t xml:space="preserve"> כ-22% מהאוכלוסייה הבדואית</w:t>
      </w:r>
      <w:r w:rsidRPr="00AA5065">
        <w:rPr>
          <w:rFonts w:eastAsia="Calibri" w:hint="cs"/>
          <w:rtl/>
        </w:rPr>
        <w:t xml:space="preserve"> החיים היום בשטחי הנגב הם בעלי זיקה פלסטינית על רקע מוצא הוריהם/סביהם לרצועת עזה, איו"ש וירדן. </w:t>
      </w:r>
      <w:r w:rsidRPr="00AA5065">
        <w:rPr>
          <w:rFonts w:eastAsia="Calibri" w:hint="eastAsia"/>
          <w:rtl/>
        </w:rPr>
        <w:t>בנייר</w:t>
      </w:r>
      <w:r w:rsidRPr="00AA5065">
        <w:rPr>
          <w:rFonts w:eastAsia="Calibri"/>
          <w:rtl/>
        </w:rPr>
        <w:t xml:space="preserve"> </w:t>
      </w:r>
      <w:r w:rsidRPr="00AA5065">
        <w:rPr>
          <w:rFonts w:eastAsia="Calibri" w:hint="eastAsia"/>
          <w:rtl/>
        </w:rPr>
        <w:t>העמדה</w:t>
      </w:r>
      <w:r w:rsidRPr="00AA5065">
        <w:rPr>
          <w:rFonts w:eastAsia="Calibri"/>
          <w:rtl/>
        </w:rPr>
        <w:t xml:space="preserve"> </w:t>
      </w:r>
      <w:r w:rsidRPr="00AA5065">
        <w:rPr>
          <w:rFonts w:eastAsia="Calibri" w:hint="eastAsia"/>
          <w:rtl/>
        </w:rPr>
        <w:t>נכתב</w:t>
      </w:r>
      <w:r w:rsidRPr="00AA5065">
        <w:rPr>
          <w:rFonts w:eastAsia="Calibri"/>
          <w:rtl/>
        </w:rPr>
        <w:t xml:space="preserve"> </w:t>
      </w:r>
      <w:r w:rsidRPr="00AA5065">
        <w:rPr>
          <w:rFonts w:eastAsia="Calibri" w:hint="eastAsia"/>
          <w:rtl/>
        </w:rPr>
        <w:t>כי</w:t>
      </w:r>
      <w:r w:rsidRPr="00AA5065">
        <w:rPr>
          <w:rFonts w:eastAsia="Calibri" w:hint="cs"/>
          <w:rtl/>
        </w:rPr>
        <w:t xml:space="preserve"> "במוקד הווקטור השלילי של התופעה, ניצבת בעיית הדור הצעיר בחברה הבדואית, המושפע מהיעדר משילות בנגב, צמא לתחושת שייכות ואינו נתון לסמכות הוריו כבעבר. הרשתות החברתיות, לצד הביקורים בגדה או ברצועת עזה, חושפות את הצעירים למאבק הפלסטיני ומייצרות נרטיב פלסטיני, וזיקה לרעיונות והתפיסות הפלסטיניות... האיום לטווח הרחוק - ככל שאוכלוסיי</w:t>
      </w:r>
      <w:r w:rsidRPr="00AA5065">
        <w:rPr>
          <w:rFonts w:eastAsia="Calibri" w:hint="eastAsia"/>
          <w:rtl/>
        </w:rPr>
        <w:t>ה</w:t>
      </w:r>
      <w:r w:rsidRPr="00AA5065">
        <w:rPr>
          <w:rFonts w:eastAsia="Calibri" w:hint="cs"/>
          <w:rtl/>
        </w:rPr>
        <w:t xml:space="preserve"> זו תלך ותגדל, מרכיב הזהות הפלסטיני יהפוך דומיננטי לעומת זה בדואי או הישראלי".</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rtl/>
        </w:rPr>
        <w:t>גם בחומר הרקע שהוכן לקראת כינוסה של ועדת השרים לעניינ</w:t>
      </w:r>
      <w:r w:rsidRPr="00AA5065">
        <w:rPr>
          <w:rFonts w:eastAsia="Calibri" w:hint="eastAsia"/>
          <w:rtl/>
        </w:rPr>
        <w:t>י</w:t>
      </w:r>
      <w:r w:rsidRPr="00AA5065">
        <w:rPr>
          <w:rFonts w:eastAsia="Calibri" w:hint="cs"/>
          <w:rtl/>
        </w:rPr>
        <w:t xml:space="preserve"> הסדרת הבדואים בנגב ב-15.8.22 נכתב בהקשר זה כי </w:t>
      </w:r>
      <w:r w:rsidRPr="00AA5065">
        <w:rPr>
          <w:rFonts w:eastAsia="Calibri" w:hint="cs"/>
          <w:b/>
          <w:bCs/>
          <w:rtl/>
        </w:rPr>
        <w:t>"</w:t>
      </w:r>
      <w:r w:rsidRPr="00AA5065">
        <w:rPr>
          <w:rFonts w:eastAsia="Calibri"/>
          <w:b/>
          <w:bCs/>
          <w:rtl/>
        </w:rPr>
        <w:t>תהליך פלסטיניזציה הולך ומתרחב בקרב חלק מהמגזר הבדואי</w:t>
      </w:r>
      <w:r w:rsidRPr="00AA5065">
        <w:rPr>
          <w:rFonts w:eastAsia="Calibri" w:hint="cs"/>
          <w:b/>
          <w:bCs/>
          <w:rtl/>
        </w:rPr>
        <w:t>"</w:t>
      </w:r>
      <w:r w:rsidRPr="00AA5065">
        <w:rPr>
          <w:rFonts w:eastAsia="Calibri"/>
          <w:rtl/>
        </w:rPr>
        <w:t>:</w:t>
      </w:r>
    </w:p>
    <w:p w:rsidR="00AA5065" w:rsidRPr="00AA5065" w:rsidP="00860D89">
      <w:pPr>
        <w:spacing w:line="269" w:lineRule="auto"/>
        <w:rPr>
          <w:rFonts w:eastAsia="Calibri"/>
          <w:b/>
          <w:bCs/>
          <w:rtl/>
        </w:rPr>
      </w:pPr>
    </w:p>
    <w:p w:rsidR="00AA5065" w:rsidRPr="00AA5065" w:rsidP="00860D89">
      <w:pPr>
        <w:spacing w:line="269" w:lineRule="auto"/>
        <w:rPr>
          <w:rFonts w:eastAsia="Calibri"/>
          <w:b/>
          <w:bCs/>
          <w:rtl/>
        </w:rPr>
      </w:pPr>
      <w:r w:rsidRPr="00AA5065">
        <w:rPr>
          <w:rFonts w:eastAsia="Times New Roman"/>
          <w:bCs/>
          <w:spacing w:val="40"/>
          <w:rtl/>
        </w:rPr>
        <w:t>היקף משמעותי</w:t>
      </w:r>
      <w:r w:rsidRPr="00AA5065">
        <w:rPr>
          <w:rFonts w:eastAsia="Times New Roman" w:hint="cs"/>
          <w:bCs/>
          <w:spacing w:val="40"/>
          <w:rtl/>
        </w:rPr>
        <w:t>:</w:t>
      </w:r>
      <w:r w:rsidRPr="00AA5065">
        <w:rPr>
          <w:rFonts w:eastAsia="Calibri"/>
          <w:rtl/>
        </w:rPr>
        <w:t xml:space="preserve"> כ</w:t>
      </w:r>
      <w:r w:rsidRPr="00AA5065">
        <w:rPr>
          <w:rFonts w:eastAsia="Calibri" w:hint="cs"/>
          <w:rtl/>
        </w:rPr>
        <w:t>-</w:t>
      </w:r>
      <w:r w:rsidRPr="00AA5065">
        <w:rPr>
          <w:rFonts w:eastAsia="Calibri"/>
          <w:rtl/>
        </w:rPr>
        <w:t>80</w:t>
      </w:r>
      <w:r w:rsidRPr="00AA5065">
        <w:rPr>
          <w:rFonts w:eastAsia="Calibri" w:hint="cs"/>
          <w:rtl/>
        </w:rPr>
        <w:t>,000</w:t>
      </w:r>
      <w:r w:rsidRPr="00AA5065">
        <w:rPr>
          <w:rFonts w:eastAsia="Calibri"/>
          <w:rtl/>
        </w:rPr>
        <w:t xml:space="preserve"> </w:t>
      </w:r>
      <w:r w:rsidRPr="00AA5065">
        <w:rPr>
          <w:rFonts w:eastAsia="Calibri" w:hint="cs"/>
          <w:rtl/>
        </w:rPr>
        <w:t xml:space="preserve">איש מהמגזר הבדואי </w:t>
      </w:r>
      <w:r w:rsidRPr="00AA5065">
        <w:rPr>
          <w:rFonts w:eastAsia="Calibri"/>
          <w:rtl/>
        </w:rPr>
        <w:t xml:space="preserve">(27%) </w:t>
      </w:r>
      <w:r w:rsidRPr="00AA5065">
        <w:rPr>
          <w:rFonts w:eastAsia="Calibri" w:hint="cs"/>
          <w:rtl/>
        </w:rPr>
        <w:t xml:space="preserve">הם </w:t>
      </w:r>
      <w:r w:rsidRPr="00AA5065">
        <w:rPr>
          <w:rFonts w:eastAsia="Calibri"/>
          <w:rtl/>
        </w:rPr>
        <w:t xml:space="preserve">בעלי זיקה משפחתית לאיו"ש </w:t>
      </w:r>
      <w:r w:rsidRPr="00AA5065">
        <w:rPr>
          <w:rFonts w:eastAsia="Calibri" w:hint="cs"/>
          <w:rtl/>
        </w:rPr>
        <w:t>ולרצועת עזה</w:t>
      </w:r>
      <w:r w:rsidRPr="00AA5065">
        <w:rPr>
          <w:rFonts w:eastAsia="Calibri"/>
          <w:rtl/>
        </w:rPr>
        <w:t xml:space="preserve">, </w:t>
      </w:r>
      <w:r w:rsidRPr="00AA5065">
        <w:rPr>
          <w:rFonts w:eastAsia="Calibri" w:hint="cs"/>
          <w:rtl/>
        </w:rPr>
        <w:t>ו</w:t>
      </w:r>
      <w:r w:rsidRPr="00AA5065">
        <w:rPr>
          <w:rFonts w:eastAsia="Calibri"/>
          <w:rtl/>
        </w:rPr>
        <w:t xml:space="preserve">בהם עשרות אלפי ילדים ובני נוער </w:t>
      </w:r>
      <w:r w:rsidRPr="00AA5065">
        <w:rPr>
          <w:rFonts w:eastAsia="Calibri" w:hint="cs"/>
          <w:rtl/>
        </w:rPr>
        <w:t>ש</w:t>
      </w:r>
      <w:r w:rsidRPr="00AA5065">
        <w:rPr>
          <w:rFonts w:eastAsia="Calibri"/>
          <w:rtl/>
        </w:rPr>
        <w:t>להם אם פלסטינית הגדלים במנותק מהזהות הישראלית ועם זיקה הדוקה לקרוביהם ב"שטחים".</w:t>
      </w:r>
      <w:r w:rsidRPr="00AA5065">
        <w:rPr>
          <w:rFonts w:eastAsia="Calibri" w:hint="cs"/>
          <w:b/>
          <w:bCs/>
          <w:rtl/>
        </w:rPr>
        <w:t xml:space="preserve"> </w:t>
      </w:r>
    </w:p>
    <w:p w:rsidR="00AA5065" w:rsidRPr="00AA5065" w:rsidP="00860D89">
      <w:pPr>
        <w:spacing w:line="269" w:lineRule="auto"/>
        <w:rPr>
          <w:rFonts w:eastAsia="Calibri"/>
          <w:b/>
          <w:bCs/>
          <w:rtl/>
        </w:rPr>
      </w:pPr>
    </w:p>
    <w:p w:rsidR="00AA5065" w:rsidRPr="00AA5065" w:rsidP="00860D89">
      <w:pPr>
        <w:spacing w:line="269" w:lineRule="auto"/>
        <w:rPr>
          <w:rFonts w:eastAsia="Calibri"/>
          <w:rtl/>
        </w:rPr>
      </w:pPr>
      <w:r w:rsidRPr="00AA5065">
        <w:rPr>
          <w:rFonts w:eastAsia="Times New Roman"/>
          <w:bCs/>
          <w:spacing w:val="40"/>
          <w:rtl/>
        </w:rPr>
        <w:t>מרכז חיים באיו"ש</w:t>
      </w:r>
      <w:r w:rsidRPr="00AA5065">
        <w:rPr>
          <w:rFonts w:eastAsia="Times New Roman" w:hint="cs"/>
          <w:bCs/>
          <w:spacing w:val="40"/>
          <w:rtl/>
        </w:rPr>
        <w:t>:</w:t>
      </w:r>
      <w:r w:rsidRPr="00AA5065">
        <w:rPr>
          <w:rFonts w:eastAsia="Calibri" w:hint="cs"/>
          <w:rtl/>
        </w:rPr>
        <w:t xml:space="preserve"> </w:t>
      </w:r>
      <w:r w:rsidRPr="00AA5065">
        <w:rPr>
          <w:rFonts w:eastAsia="Calibri"/>
          <w:rtl/>
        </w:rPr>
        <w:t xml:space="preserve">חלק מהילדים חיים הלכה למעשה </w:t>
      </w:r>
      <w:r w:rsidRPr="00AA5065">
        <w:rPr>
          <w:rFonts w:eastAsia="Calibri" w:hint="cs"/>
          <w:rtl/>
        </w:rPr>
        <w:t xml:space="preserve">באיו"ש </w:t>
      </w:r>
      <w:r w:rsidRPr="00AA5065">
        <w:rPr>
          <w:rFonts w:eastAsia="Calibri"/>
          <w:rtl/>
        </w:rPr>
        <w:t>עם האם הפלסטינית (אישה שני</w:t>
      </w:r>
      <w:r w:rsidRPr="00AA5065">
        <w:rPr>
          <w:rFonts w:eastAsia="Calibri" w:hint="cs"/>
          <w:rtl/>
        </w:rPr>
        <w:t>י</w:t>
      </w:r>
      <w:r w:rsidRPr="00AA5065">
        <w:rPr>
          <w:rFonts w:eastAsia="Calibri"/>
          <w:rtl/>
        </w:rPr>
        <w:t xml:space="preserve">ה או שלישית), ובגיל 16 מגיעים לבקש </w:t>
      </w:r>
      <w:r w:rsidRPr="00AA5065">
        <w:rPr>
          <w:rFonts w:eastAsia="Calibri" w:hint="cs"/>
          <w:rtl/>
        </w:rPr>
        <w:t>תעודת זהות</w:t>
      </w:r>
      <w:r w:rsidRPr="00AA5065">
        <w:rPr>
          <w:rFonts w:eastAsia="Calibri"/>
          <w:rtl/>
        </w:rPr>
        <w:t xml:space="preserve"> ישראלית מתוקף היות האב אזרח ישראלי</w:t>
      </w:r>
      <w:r w:rsidRPr="00AA5065">
        <w:rPr>
          <w:rFonts w:eastAsia="Calibri" w:hint="cs"/>
          <w:rtl/>
        </w:rPr>
        <w:t>.</w:t>
      </w:r>
    </w:p>
    <w:p w:rsidR="00AA5065" w:rsidRPr="00AA5065" w:rsidP="00860D89">
      <w:pPr>
        <w:spacing w:line="269" w:lineRule="auto"/>
        <w:rPr>
          <w:rFonts w:eastAsia="Calibri"/>
          <w:rtl/>
        </w:rPr>
      </w:pPr>
    </w:p>
    <w:p w:rsidR="00AA5065" w:rsidRPr="00AA5065" w:rsidP="00860D89">
      <w:pPr>
        <w:spacing w:line="269" w:lineRule="auto"/>
        <w:rPr>
          <w:rFonts w:eastAsia="Calibri"/>
          <w:rtl/>
        </w:rPr>
      </w:pPr>
      <w:r w:rsidRPr="00AA5065">
        <w:rPr>
          <w:rFonts w:eastAsia="Times New Roman"/>
          <w:bCs/>
          <w:spacing w:val="40"/>
          <w:rtl/>
        </w:rPr>
        <w:t>פעילות נגד המדינה:</w:t>
      </w:r>
      <w:r w:rsidRPr="00AA5065">
        <w:rPr>
          <w:rFonts w:eastAsia="Calibri" w:hint="cs"/>
          <w:rtl/>
        </w:rPr>
        <w:t xml:space="preserve"> מסתמנת </w:t>
      </w:r>
      <w:r w:rsidRPr="00AA5065">
        <w:rPr>
          <w:rFonts w:eastAsia="Calibri"/>
          <w:rtl/>
        </w:rPr>
        <w:t xml:space="preserve">מעורבות גבוהה של צעירי </w:t>
      </w:r>
      <w:r w:rsidRPr="00AA5065">
        <w:rPr>
          <w:rFonts w:eastAsia="Calibri" w:hint="cs"/>
          <w:rtl/>
        </w:rPr>
        <w:t xml:space="preserve">המגזר </w:t>
      </w:r>
      <w:r w:rsidRPr="00AA5065">
        <w:rPr>
          <w:rFonts w:eastAsia="Calibri"/>
          <w:rtl/>
        </w:rPr>
        <w:t>בפעילות הסתה ואלימות נגד המדינה וסמליה</w:t>
      </w:r>
      <w:r w:rsidRPr="00AA5065">
        <w:rPr>
          <w:rFonts w:eastAsia="Calibri" w:hint="cs"/>
          <w:rtl/>
        </w:rPr>
        <w:t xml:space="preserve">. עוד מסתמנת </w:t>
      </w:r>
      <w:r w:rsidRPr="00AA5065">
        <w:rPr>
          <w:rFonts w:eastAsia="Calibri"/>
          <w:rtl/>
        </w:rPr>
        <w:t>מעורבות גבוהה של צעירים אלו והחמרה</w:t>
      </w:r>
      <w:r w:rsidRPr="00AA5065">
        <w:rPr>
          <w:rFonts w:eastAsia="Calibri" w:hint="cs"/>
          <w:rtl/>
        </w:rPr>
        <w:t xml:space="preserve"> </w:t>
      </w:r>
      <w:r w:rsidRPr="00AA5065">
        <w:rPr>
          <w:rFonts w:eastAsia="Calibri"/>
          <w:rtl/>
        </w:rPr>
        <w:t>בפעילות לאומנית וטרור (</w:t>
      </w:r>
      <w:r w:rsidRPr="00AA5065">
        <w:rPr>
          <w:rFonts w:eastAsia="Calibri" w:hint="cs"/>
          <w:rtl/>
        </w:rPr>
        <w:t xml:space="preserve">לדוגמה, </w:t>
      </w:r>
      <w:r w:rsidRPr="00AA5065">
        <w:rPr>
          <w:rFonts w:eastAsia="Calibri"/>
          <w:rtl/>
        </w:rPr>
        <w:t>מאי 21, מהומות הנטיעות)</w:t>
      </w:r>
      <w:r w:rsidRPr="00AA5065">
        <w:rPr>
          <w:rFonts w:eastAsia="Calibri"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 xml:space="preserve">נמצא כי בקרב המגזר הבדואי בנגב רווחת תופעה של תושבים בעלי זיקה פלסטינית, מהם עשרות אלפי בני נוער. זיקה זו נובעת בין היתר מתופעת הנישואים בין גברים בדואים מהנגב לנשים פלסטיניות, משהות בלתי חוקית ומהיעדר מנגנוני ניטור ורישום אפקטיביים במעברים </w:t>
      </w:r>
      <w:r w:rsidRPr="00AA5065">
        <w:rPr>
          <w:rFonts w:eastAsia="Calibri" w:hint="eastAsia"/>
          <w:b/>
          <w:bCs/>
          <w:rtl/>
        </w:rPr>
        <w:t>כאמור</w:t>
      </w:r>
      <w:r w:rsidRPr="00AA5065">
        <w:rPr>
          <w:rFonts w:eastAsia="Calibri"/>
          <w:b/>
          <w:bCs/>
          <w:rtl/>
        </w:rPr>
        <w:t xml:space="preserve"> לעיל</w:t>
      </w:r>
      <w:r w:rsidRPr="00AA5065">
        <w:rPr>
          <w:rFonts w:eastAsia="Calibri" w:hint="cs"/>
          <w:b/>
          <w:bCs/>
          <w:rtl/>
        </w:rPr>
        <w:t xml:space="preserve">. </w:t>
      </w:r>
      <w:r w:rsidRPr="00AA5065">
        <w:rPr>
          <w:rFonts w:eastAsia="Calibri"/>
          <w:b/>
          <w:bCs/>
          <w:rtl/>
        </w:rPr>
        <w:t>להערכת השב"כ כ-22% מהאוכלוסייה</w:t>
      </w:r>
      <w:r w:rsidRPr="00AA5065">
        <w:rPr>
          <w:rFonts w:eastAsia="Calibri" w:hint="cs"/>
          <w:b/>
          <w:bCs/>
          <w:rtl/>
        </w:rPr>
        <w:t xml:space="preserve"> </w:t>
      </w:r>
      <w:r w:rsidRPr="00AA5065">
        <w:rPr>
          <w:rFonts w:eastAsia="Calibri"/>
          <w:b/>
          <w:bCs/>
          <w:rtl/>
        </w:rPr>
        <w:t xml:space="preserve">הבדואית החיים ‏היום בשטחי הנגב </w:t>
      </w:r>
      <w:r w:rsidRPr="00AA5065">
        <w:rPr>
          <w:rFonts w:eastAsia="Calibri" w:hint="cs"/>
          <w:b/>
          <w:bCs/>
          <w:rtl/>
        </w:rPr>
        <w:t>הם</w:t>
      </w:r>
      <w:r w:rsidRPr="00AA5065">
        <w:rPr>
          <w:rFonts w:eastAsia="Calibri"/>
          <w:b/>
          <w:bCs/>
          <w:rtl/>
        </w:rPr>
        <w:t xml:space="preserve"> בעלי זיקה פלסטינית. </w:t>
      </w:r>
      <w:bookmarkStart w:id="103" w:name="_Hlk220335657"/>
      <w:r w:rsidRPr="00AA5065">
        <w:rPr>
          <w:rFonts w:eastAsia="Calibri" w:hint="cs"/>
          <w:b/>
          <w:bCs/>
          <w:rtl/>
        </w:rPr>
        <w:t xml:space="preserve">היעדר זיקה ישראלית, בשילוב עם חולשת המשילות בנגב, מוביל להזדהות ומעורבות באירועי אלימות וטרור נגד מדינת ישראל, ועל פי גורמי הביטחון הוא מהווה איום אסטרטגי על מדינת ישראל. </w:t>
      </w:r>
      <w:bookmarkEnd w:id="103"/>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 xml:space="preserve">מומלץ כי התרחבותה והשלכותיה של תופעת </w:t>
      </w:r>
      <w:r w:rsidRPr="00AA5065" w:rsidR="00976458">
        <w:rPr>
          <w:rFonts w:eastAsia="Calibri" w:hint="cs"/>
          <w:b/>
          <w:bCs/>
          <w:rtl/>
        </w:rPr>
        <w:t>הפלסטיניזצי</w:t>
      </w:r>
      <w:r w:rsidRPr="00AA5065" w:rsidR="00976458">
        <w:rPr>
          <w:rFonts w:eastAsia="Calibri" w:hint="eastAsia"/>
          <w:b/>
          <w:bCs/>
          <w:rtl/>
        </w:rPr>
        <w:t>ה</w:t>
      </w:r>
      <w:r w:rsidRPr="00AA5065">
        <w:rPr>
          <w:rFonts w:eastAsia="Calibri" w:hint="cs"/>
          <w:b/>
          <w:bCs/>
          <w:rtl/>
        </w:rPr>
        <w:t xml:space="preserve"> תובא בחשבון על ידי כלל הגופים הממשלתיים הנוגעים בדבר ובכללם משרד ראש הממשלה, המשרד לביטחון לאומי, המשטרה ומשרד הפנים, וזאת על מנת לטפל בצורה יסודית ואפקטיבית יותר באי המשילות בנגב.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משטרת ישראל מסרה בתשובתה כי מחוז דרום עוסק בסוגיה זו במסגרת האכיפה בתחום הפוליגמיה.</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התפשטות הפשיעה והפגיעה בתחושת הביטחון האישי</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במסמך שהוציא אגף בכיר לפיתוח כלכלי-חברתי בחברה הבדואית בנגב שבמשרד התפוצות באוגוסט 2023, הנושא את הכותרת "שיפור המענים החברתיים באמצעות ארגוני חברה אזרחית במסגרת החלטת ממשלה 1279 לפיתוח כלכלי חברתי בחברה הבדואית בנגב - תוצרי תהליך ההיוועצות והמחקר", נכתב כי אלימות היא מרכיב שכיח וחלק ממציאות החיים של צעירות וצעירים בדואים בנגב. במחקר</w:t>
      </w:r>
      <w:r>
        <w:rPr>
          <w:rFonts w:eastAsia="Calibri"/>
          <w:vertAlign w:val="superscript"/>
          <w:rtl/>
        </w:rPr>
        <w:footnoteReference w:id="119"/>
      </w:r>
      <w:r w:rsidRPr="00AA5065">
        <w:rPr>
          <w:rFonts w:eastAsia="Calibri" w:hint="cs"/>
          <w:rtl/>
        </w:rPr>
        <w:t xml:space="preserve"> שנערך בשנת 2019 דיווחו בדואים על שיעור גבוה של תופעות אלימות ביחס לערבים בשאר חלקי הארץ. עוד נכתב במסמך זה כי "הסיבות המובילות לאלימות ולפשיעה בעיני הצעירים עצמם הן סכסוכים בין חמולות, הדרדרות בסמכות דור המבוגרים והריסות הבתים בנגב".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גם על פי מאמר</w:t>
      </w:r>
      <w:r>
        <w:rPr>
          <w:rFonts w:eastAsia="Calibri"/>
          <w:vertAlign w:val="superscript"/>
          <w:rtl/>
        </w:rPr>
        <w:footnoteReference w:id="120"/>
      </w:r>
      <w:r w:rsidRPr="00AA5065">
        <w:rPr>
          <w:rFonts w:eastAsia="Calibri" w:hint="cs"/>
          <w:vertAlign w:val="superscript"/>
          <w:rtl/>
        </w:rPr>
        <w:t xml:space="preserve"> </w:t>
      </w:r>
      <w:r w:rsidRPr="00AA5065">
        <w:rPr>
          <w:rFonts w:eastAsia="Calibri" w:hint="cs"/>
          <w:rtl/>
        </w:rPr>
        <w:t>שפורסם במרץ 2023 "</w:t>
      </w:r>
      <w:r w:rsidRPr="00AA5065">
        <w:rPr>
          <w:rFonts w:eastAsia="Calibri"/>
          <w:rtl/>
        </w:rPr>
        <w:t>קיימת כיום בנגב עליונות של המשילות השבטית הבדואית, המתבטאת בנורמות ניהול ושליטה במגוון תחומי חיים.</w:t>
      </w:r>
      <w:r w:rsidRPr="00AA5065">
        <w:rPr>
          <w:rFonts w:eastAsia="Calibri" w:hint="cs"/>
          <w:rtl/>
        </w:rPr>
        <w:t>..</w:t>
      </w:r>
      <w:r w:rsidRPr="00AA5065">
        <w:rPr>
          <w:rFonts w:eastAsia="Calibri"/>
          <w:rtl/>
        </w:rPr>
        <w:t xml:space="preserve"> שילוב של אוכלוסייה צעירה שהכפילה עצמה תוך עשרים שנה, ריבוי החמולות והמרחבים המצטמצמים בערים, וכן נורמות שבטיות המתירות הפעלת כוח </w:t>
      </w:r>
      <w:r w:rsidRPr="00AA5065">
        <w:rPr>
          <w:rFonts w:eastAsia="Calibri" w:hint="cs"/>
          <w:rtl/>
        </w:rPr>
        <w:t>-</w:t>
      </w:r>
      <w:r w:rsidRPr="00AA5065">
        <w:rPr>
          <w:rFonts w:eastAsia="Calibri"/>
          <w:rtl/>
        </w:rPr>
        <w:t xml:space="preserve"> כל אלה מביאים לעליית המתח. הדבר גורר התחמשות לשם הגנה, הפגנת עוצמה והרתעה, וכן כדי להבטיח שבעת הצורך תהיה החמולה בעמדה חזקה יותר למול יריביה. ריבוי כלי הנשק וזמינותם מביאים להסלמה נוספת. הגם שמרבית אירועי האלימות והירי מתרחשים ביישובים הבדואיים ובקרבתם, מעת לעת הם מתרחשים גם מחוץ להם, בעיקר בכבישים, והדבר משליך על היחסים בין יהודים לבדואים בנגב.</w:t>
      </w:r>
      <w:r w:rsidRPr="00AA5065">
        <w:rPr>
          <w:rFonts w:eastAsia="Calibri" w:hint="cs"/>
          <w:rtl/>
        </w:rPr>
        <w:t xml:space="preserve">.. </w:t>
      </w:r>
      <w:r w:rsidRPr="00AA5065">
        <w:rPr>
          <w:rFonts w:eastAsia="Calibri"/>
          <w:rtl/>
        </w:rPr>
        <w:t>המשילות הבדואית השבטית המושרשת מחד גיסא והמשילות המדינתית הרופפת מאידך גיסא הביאו את הנגב לנקודת מבחן. </w:t>
      </w:r>
      <w:r w:rsidRPr="00AA5065">
        <w:rPr>
          <w:rFonts w:eastAsia="Calibri"/>
          <w:b/>
          <w:bCs/>
          <w:rtl/>
        </w:rPr>
        <w:t>מדינת ישראל צריכה לקבל החלטה אסטרטגית להפסיק את הטיפוח המדינתי של המשילות השבטית הבדואית</w:t>
      </w:r>
      <w:r w:rsidRPr="00AA5065">
        <w:rPr>
          <w:rFonts w:eastAsia="Calibri"/>
          <w:rtl/>
        </w:rPr>
        <w:t> ולהתחיל ליישם בנגב את חוקיה וערכיה. על הממשלה לחזק באופן בולט את מנגנוני האכיפה המדינתיים</w:t>
      </w:r>
      <w:r w:rsidRPr="00AA5065">
        <w:rPr>
          <w:rFonts w:eastAsia="Calibri" w:hint="cs"/>
          <w:rtl/>
        </w:rPr>
        <w:t>" (ההדגשה במקור).</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eastAsia="Calibri" w:hint="cs"/>
          <w:rtl/>
        </w:rPr>
        <w:t>בשיחות שקיימו נציגי משרד מבקר המדינה בינואר 2025 עם ראש עיריית באר שבע ועם ראש מועצה מקומית להבים הועלתה על ידם הטענה כי תחושת הביטחון האישי של תושבי יישובים אלו נפגעה משמעותית בשנים האחרונות, וכי התופעות השונות של היעדר משילות בקרבת יישובים אלו אילצו את ראשי העיר והמועצה להקים סיירות אבטחה עירוניות ומערך מצלמות ולהשתמש באמצעי אבטחה נוספים, ובכלל זה אמצעים אלקטרוניים, אשר עיקר התקציב עבורם</w:t>
      </w:r>
      <w:r>
        <w:rPr>
          <w:rFonts w:eastAsia="Calibri"/>
          <w:vertAlign w:val="superscript"/>
          <w:rtl/>
        </w:rPr>
        <w:footnoteReference w:id="121"/>
      </w:r>
      <w:r w:rsidRPr="00AA5065">
        <w:rPr>
          <w:rFonts w:eastAsia="Calibri" w:hint="cs"/>
          <w:rtl/>
        </w:rPr>
        <w:t xml:space="preserve"> מגיע מגבייה של אגרת שמירה אשר הוטלה על התושבים מכוח התיקון</w:t>
      </w:r>
      <w:r>
        <w:rPr>
          <w:rFonts w:eastAsia="Calibri"/>
          <w:vertAlign w:val="superscript"/>
          <w:rtl/>
        </w:rPr>
        <w:footnoteReference w:id="122"/>
      </w:r>
      <w:r w:rsidRPr="00AA5065">
        <w:rPr>
          <w:rFonts w:eastAsia="Calibri" w:hint="cs"/>
          <w:rtl/>
        </w:rPr>
        <w:t xml:space="preserve"> לפקודת העיריות. בבאר שבע גם הוקמה יחידת רחפנים וכן </w:t>
      </w:r>
      <w:r w:rsidRPr="00AA5065">
        <w:rPr>
          <w:rFonts w:ascii="David" w:eastAsia="Calibri" w:hAnsi="David" w:hint="cs"/>
          <w:rtl/>
        </w:rPr>
        <w:t>הועמדו לרשות הסיירים</w:t>
      </w:r>
      <w:r w:rsidRPr="00AA5065">
        <w:rPr>
          <w:rFonts w:ascii="David" w:eastAsia="Calibri" w:hAnsi="David"/>
          <w:rtl/>
        </w:rPr>
        <w:t xml:space="preserve"> ריידרים</w:t>
      </w:r>
      <w:r>
        <w:rPr>
          <w:rFonts w:ascii="David" w:eastAsia="Calibri" w:hAnsi="David"/>
          <w:vertAlign w:val="superscript"/>
          <w:rtl/>
        </w:rPr>
        <w:footnoteReference w:id="123"/>
      </w:r>
      <w:r w:rsidRPr="00AA5065">
        <w:rPr>
          <w:rFonts w:ascii="David" w:eastAsia="Calibri" w:hAnsi="David"/>
          <w:rtl/>
        </w:rPr>
        <w:t xml:space="preserve"> חשמליים</w:t>
      </w:r>
      <w:r w:rsidRPr="00AA5065">
        <w:rPr>
          <w:rFonts w:ascii="David" w:eastAsia="Calibri" w:hAnsi="David" w:hint="cs"/>
          <w:rtl/>
        </w:rPr>
        <w:t>,</w:t>
      </w:r>
      <w:r w:rsidRPr="00AA5065">
        <w:rPr>
          <w:rFonts w:ascii="David" w:eastAsia="Calibri" w:hAnsi="David"/>
          <w:rtl/>
        </w:rPr>
        <w:t xml:space="preserve"> ו</w:t>
      </w:r>
      <w:r w:rsidRPr="00AA5065">
        <w:rPr>
          <w:rFonts w:ascii="David" w:eastAsia="Calibri" w:hAnsi="David" w:hint="cs"/>
          <w:rtl/>
        </w:rPr>
        <w:t xml:space="preserve">כן רכבי </w:t>
      </w:r>
      <w:r w:rsidRPr="00AA5065">
        <w:rPr>
          <w:rFonts w:ascii="David" w:eastAsia="Calibri" w:hAnsi="David"/>
          <w:rtl/>
        </w:rPr>
        <w:t>ריינג'ר</w:t>
      </w:r>
      <w:r>
        <w:rPr>
          <w:rFonts w:ascii="David" w:eastAsia="Calibri" w:hAnsi="David"/>
          <w:vertAlign w:val="superscript"/>
          <w:rtl/>
        </w:rPr>
        <w:footnoteReference w:id="124"/>
      </w:r>
      <w:r w:rsidRPr="00AA5065">
        <w:rPr>
          <w:rFonts w:ascii="David" w:eastAsia="Calibri" w:hAnsi="David"/>
          <w:rtl/>
        </w:rPr>
        <w:t xml:space="preserve"> </w:t>
      </w:r>
      <w:r w:rsidRPr="00AA5065">
        <w:rPr>
          <w:rFonts w:ascii="David" w:eastAsia="Calibri" w:hAnsi="David" w:hint="cs"/>
          <w:rtl/>
        </w:rPr>
        <w:t xml:space="preserve">לפעילות באזורים פתוחים, כגון </w:t>
      </w:r>
      <w:r w:rsidRPr="00AA5065">
        <w:rPr>
          <w:rFonts w:ascii="David" w:eastAsia="Calibri" w:hAnsi="David"/>
          <w:rtl/>
        </w:rPr>
        <w:t>טיילות ופארקים</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 xml:space="preserve">אמצעים אלה </w:t>
      </w:r>
      <w:r w:rsidRPr="00AA5065">
        <w:rPr>
          <w:rFonts w:ascii="David" w:eastAsia="Calibri" w:hAnsi="David"/>
          <w:rtl/>
        </w:rPr>
        <w:t xml:space="preserve">משמשים </w:t>
      </w:r>
      <w:r w:rsidRPr="00AA5065">
        <w:rPr>
          <w:rFonts w:ascii="David" w:eastAsia="Calibri" w:hAnsi="David" w:hint="cs"/>
          <w:rtl/>
        </w:rPr>
        <w:t xml:space="preserve">את הסיירים לסיורים בתחומי הרשות וכן גם לצורך </w:t>
      </w:r>
      <w:r w:rsidRPr="00AA5065">
        <w:rPr>
          <w:rFonts w:ascii="David" w:eastAsia="Calibri" w:hAnsi="David"/>
          <w:rtl/>
        </w:rPr>
        <w:t>מבצעים משותפים עם אגף הפיקוח</w:t>
      </w:r>
      <w:r w:rsidRPr="00AA5065">
        <w:rPr>
          <w:rFonts w:ascii="David" w:eastAsia="Calibri" w:hAnsi="David" w:hint="cs"/>
          <w:rtl/>
        </w:rPr>
        <w:t xml:space="preserve"> העירוני</w:t>
      </w:r>
      <w:r w:rsidRPr="00AA5065">
        <w:rPr>
          <w:rFonts w:ascii="David" w:eastAsia="Calibri" w:hAnsi="David"/>
          <w:rtl/>
        </w:rPr>
        <w:t xml:space="preserve"> והמשטרה.</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בסקר</w:t>
      </w:r>
      <w:r>
        <w:rPr>
          <w:rFonts w:ascii="David" w:eastAsia="Calibri" w:hAnsi="David"/>
          <w:vertAlign w:val="superscript"/>
          <w:rtl/>
        </w:rPr>
        <w:footnoteReference w:id="125"/>
      </w:r>
      <w:r w:rsidRPr="00AA5065">
        <w:rPr>
          <w:rFonts w:ascii="David" w:eastAsia="Calibri" w:hAnsi="David"/>
          <w:rtl/>
        </w:rPr>
        <w:t xml:space="preserve"> </w:t>
      </w:r>
      <w:r w:rsidRPr="00AA5065">
        <w:rPr>
          <w:rFonts w:ascii="David" w:eastAsia="Calibri" w:hAnsi="David" w:hint="cs"/>
          <w:rtl/>
        </w:rPr>
        <w:t>מקוון</w:t>
      </w:r>
      <w:r w:rsidRPr="00AA5065">
        <w:rPr>
          <w:rFonts w:ascii="David" w:eastAsia="Calibri" w:hAnsi="David"/>
          <w:rtl/>
        </w:rPr>
        <w:t xml:space="preserve"> שערכה עמותה הפועלת לעידוד ההתיישבות בנגב ואשר הסתיים באפריל 2024, בנושא זיהוי קהלי יעד עיקריים למעבר לנגב ולגליל וזיהוי החסמים למעבר זה, </w:t>
      </w:r>
      <w:r w:rsidRPr="00AA5065">
        <w:rPr>
          <w:rFonts w:ascii="David" w:eastAsia="Calibri" w:hAnsi="David" w:hint="cs"/>
          <w:rtl/>
        </w:rPr>
        <w:t>נ</w:t>
      </w:r>
      <w:r w:rsidRPr="00AA5065">
        <w:rPr>
          <w:rFonts w:ascii="David" w:eastAsia="Calibri" w:hAnsi="David"/>
          <w:rtl/>
        </w:rPr>
        <w:t xml:space="preserve">מצא </w:t>
      </w:r>
      <w:r w:rsidRPr="00AA5065">
        <w:rPr>
          <w:rFonts w:ascii="David" w:eastAsia="Calibri" w:hAnsi="David" w:hint="cs"/>
          <w:rtl/>
        </w:rPr>
        <w:t xml:space="preserve">כי </w:t>
      </w:r>
      <w:r w:rsidRPr="00AA5065">
        <w:rPr>
          <w:rFonts w:ascii="David" w:eastAsia="Calibri" w:hAnsi="David"/>
          <w:rtl/>
        </w:rPr>
        <w:t xml:space="preserve">42% מהנשאלים ציינו כי הם נמנעים </w:t>
      </w:r>
      <w:r w:rsidRPr="00AA5065">
        <w:rPr>
          <w:rFonts w:ascii="David" w:eastAsia="Calibri" w:hAnsi="David" w:hint="cs"/>
          <w:rtl/>
        </w:rPr>
        <w:t>מ</w:t>
      </w:r>
      <w:r w:rsidRPr="00AA5065">
        <w:rPr>
          <w:rFonts w:ascii="David" w:eastAsia="Calibri" w:hAnsi="David"/>
          <w:rtl/>
        </w:rPr>
        <w:t>לעבור לגור בנגב בשל העבריינות והדימוי השלילי הקיים לאזור</w:t>
      </w:r>
      <w:r w:rsidRPr="00AA5065">
        <w:rPr>
          <w:rFonts w:ascii="David" w:eastAsia="Calibri" w:hAnsi="David" w:hint="cs"/>
          <w:rtl/>
        </w:rPr>
        <w:t>, וכי</w:t>
      </w:r>
      <w:r w:rsidRPr="00AA5065">
        <w:rPr>
          <w:rFonts w:ascii="David" w:eastAsia="Calibri" w:hAnsi="David"/>
          <w:rtl/>
        </w:rPr>
        <w:t xml:space="preserve"> למרות ירידה מסוימת בנתוני הפשיעה, התושבים</w:t>
      </w:r>
      <w:r w:rsidRPr="00AA5065">
        <w:rPr>
          <w:rFonts w:ascii="David" w:eastAsia="Calibri" w:hAnsi="David" w:hint="cs"/>
          <w:rtl/>
        </w:rPr>
        <w:t xml:space="preserve"> בנגב</w:t>
      </w:r>
      <w:r w:rsidRPr="00AA5065">
        <w:rPr>
          <w:rFonts w:ascii="David" w:eastAsia="Calibri" w:hAnsi="David"/>
          <w:rtl/>
        </w:rPr>
        <w:t xml:space="preserve"> אינם מרגישים בטוחים</w:t>
      </w:r>
      <w:r w:rsidRPr="00AA5065">
        <w:rPr>
          <w:rFonts w:ascii="David" w:eastAsia="Calibri" w:hAnsi="David" w:hint="cs"/>
          <w:rtl/>
        </w:rPr>
        <w:t>, ו</w:t>
      </w:r>
      <w:r w:rsidRPr="00AA5065">
        <w:rPr>
          <w:rFonts w:ascii="David" w:eastAsia="Calibri" w:hAnsi="David"/>
          <w:rtl/>
        </w:rPr>
        <w:t>באר שבע, העיר ה</w:t>
      </w:r>
      <w:r w:rsidRPr="00AA5065">
        <w:rPr>
          <w:rFonts w:ascii="David" w:eastAsia="Calibri" w:hAnsi="David" w:hint="cs"/>
          <w:rtl/>
        </w:rPr>
        <w:t>גדולה</w:t>
      </w:r>
      <w:r w:rsidRPr="00AA5065">
        <w:rPr>
          <w:rFonts w:ascii="David" w:eastAsia="Calibri" w:hAnsi="David"/>
          <w:rtl/>
        </w:rPr>
        <w:t xml:space="preserve"> בנגב, נמצאת בהגירה שלילית</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 xml:space="preserve">עוד </w:t>
      </w:r>
      <w:r w:rsidRPr="00AA5065">
        <w:rPr>
          <w:rFonts w:ascii="David" w:eastAsia="Calibri" w:hAnsi="David"/>
          <w:rtl/>
        </w:rPr>
        <w:t>נמצא כי הפרמטר "ביטחון אישי גבוה" הוא השיקול השני בחשיבותו במדרג השיקולים המשפיעים על ההחלטה לעבור לנגב</w:t>
      </w:r>
      <w:r w:rsidRPr="00AA5065">
        <w:rPr>
          <w:rFonts w:ascii="David" w:eastAsia="Calibri" w:hAnsi="David" w:hint="cs"/>
          <w:rtl/>
        </w:rPr>
        <w:t>,</w:t>
      </w:r>
      <w:r w:rsidRPr="00AA5065">
        <w:rPr>
          <w:rFonts w:ascii="David" w:eastAsia="Calibri" w:hAnsi="David"/>
          <w:rtl/>
        </w:rPr>
        <w:t xml:space="preserve"> לאחר פרמטר התעסוקה. </w:t>
      </w:r>
      <w:r w:rsidRPr="00AA5065">
        <w:rPr>
          <w:rFonts w:ascii="David" w:eastAsia="Calibri" w:hAnsi="David" w:hint="cs"/>
          <w:rtl/>
        </w:rPr>
        <w:t>כמו כן,</w:t>
      </w:r>
      <w:r w:rsidRPr="00AA5065">
        <w:rPr>
          <w:rFonts w:ascii="David" w:eastAsia="Calibri" w:hAnsi="David"/>
          <w:rtl/>
        </w:rPr>
        <w:t xml:space="preserve"> נמצא ב</w:t>
      </w:r>
      <w:r w:rsidRPr="00AA5065">
        <w:rPr>
          <w:rFonts w:ascii="David" w:eastAsia="Calibri" w:hAnsi="David" w:hint="cs"/>
          <w:rtl/>
        </w:rPr>
        <w:t>ס</w:t>
      </w:r>
      <w:r w:rsidRPr="00AA5065">
        <w:rPr>
          <w:rFonts w:ascii="David" w:eastAsia="Calibri" w:hAnsi="David"/>
          <w:rtl/>
        </w:rPr>
        <w:t>קר זה כי שיעור ה</w:t>
      </w:r>
      <w:r w:rsidRPr="00AA5065">
        <w:rPr>
          <w:rFonts w:ascii="David" w:eastAsia="Calibri" w:hAnsi="David" w:hint="cs"/>
          <w:rtl/>
        </w:rPr>
        <w:t>נשאלים</w:t>
      </w:r>
      <w:r w:rsidRPr="00AA5065">
        <w:rPr>
          <w:rFonts w:ascii="David" w:eastAsia="Calibri" w:hAnsi="David"/>
          <w:rtl/>
        </w:rPr>
        <w:t xml:space="preserve"> </w:t>
      </w:r>
      <w:r w:rsidRPr="00AA5065">
        <w:rPr>
          <w:rFonts w:ascii="David" w:eastAsia="Calibri" w:hAnsi="David" w:hint="cs"/>
          <w:rtl/>
        </w:rPr>
        <w:t xml:space="preserve">שציינו </w:t>
      </w:r>
      <w:r w:rsidRPr="00AA5065">
        <w:rPr>
          <w:rFonts w:ascii="David" w:eastAsia="Calibri" w:hAnsi="David"/>
          <w:rtl/>
        </w:rPr>
        <w:t>כי התדמית "ביטחון אישי גבוה" מאפיינת את העיר באר שבע היה הנמוך ביותר. עוד עלה בסקר כי הבעיה המרכזית היא תחושת חוסר הביטחון של תושבי הנגב</w:t>
      </w:r>
      <w:r w:rsidRPr="00AA5065">
        <w:rPr>
          <w:rFonts w:ascii="David" w:eastAsia="Calibri" w:hAnsi="David" w:hint="cs"/>
          <w:rtl/>
        </w:rPr>
        <w:t>: כ</w:t>
      </w:r>
      <w:r w:rsidRPr="00AA5065">
        <w:rPr>
          <w:rFonts w:ascii="David" w:eastAsia="Calibri" w:hAnsi="David"/>
          <w:rtl/>
        </w:rPr>
        <w:t>-80% מ</w:t>
      </w:r>
      <w:r w:rsidRPr="00AA5065">
        <w:rPr>
          <w:rFonts w:ascii="David" w:eastAsia="Calibri" w:hAnsi="David" w:hint="eastAsia"/>
          <w:rtl/>
        </w:rPr>
        <w:t>תושבי</w:t>
      </w:r>
      <w:r w:rsidRPr="00AA5065">
        <w:rPr>
          <w:rFonts w:ascii="David" w:eastAsia="Calibri" w:hAnsi="David"/>
          <w:rtl/>
        </w:rPr>
        <w:t xml:space="preserve"> האזור </w:t>
      </w:r>
      <w:r w:rsidRPr="00AA5065">
        <w:rPr>
          <w:rFonts w:ascii="David" w:eastAsia="Calibri" w:hAnsi="David" w:hint="eastAsia"/>
          <w:rtl/>
        </w:rPr>
        <w:t>אינם</w:t>
      </w:r>
      <w:r w:rsidRPr="00AA5065">
        <w:rPr>
          <w:rFonts w:ascii="David" w:eastAsia="Calibri" w:hAnsi="David"/>
          <w:rtl/>
        </w:rPr>
        <w:t xml:space="preserve"> מרגישים כי יש </w:t>
      </w:r>
      <w:r w:rsidRPr="00AA5065">
        <w:rPr>
          <w:rFonts w:ascii="David" w:eastAsia="Calibri" w:hAnsi="David" w:hint="cs"/>
          <w:rtl/>
        </w:rPr>
        <w:t xml:space="preserve">בו </w:t>
      </w:r>
      <w:r w:rsidRPr="00AA5065">
        <w:rPr>
          <w:rFonts w:ascii="David" w:eastAsia="Calibri" w:hAnsi="David"/>
          <w:rtl/>
        </w:rPr>
        <w:t>שליטה ממשלתית. ה</w:t>
      </w:r>
      <w:r w:rsidRPr="00AA5065">
        <w:rPr>
          <w:rFonts w:ascii="David" w:eastAsia="Calibri" w:hAnsi="David" w:hint="cs"/>
          <w:rtl/>
        </w:rPr>
        <w:t>ם</w:t>
      </w:r>
      <w:r w:rsidRPr="00AA5065">
        <w:rPr>
          <w:rFonts w:ascii="David" w:eastAsia="Calibri" w:hAnsi="David"/>
          <w:rtl/>
        </w:rPr>
        <w:t xml:space="preserve"> נמנעים מ</w:t>
      </w:r>
      <w:r w:rsidRPr="00AA5065">
        <w:rPr>
          <w:rFonts w:ascii="David" w:eastAsia="Calibri" w:hAnsi="David" w:hint="cs"/>
          <w:rtl/>
        </w:rPr>
        <w:t>שהות</w:t>
      </w:r>
      <w:r w:rsidRPr="00AA5065">
        <w:rPr>
          <w:rFonts w:ascii="David" w:eastAsia="Calibri" w:hAnsi="David"/>
          <w:rtl/>
        </w:rPr>
        <w:t xml:space="preserve"> </w:t>
      </w:r>
      <w:r w:rsidRPr="00AA5065">
        <w:rPr>
          <w:rFonts w:ascii="David" w:eastAsia="Calibri" w:hAnsi="David" w:hint="cs"/>
          <w:rtl/>
        </w:rPr>
        <w:t xml:space="preserve">במקומות מסוימים </w:t>
      </w:r>
      <w:r w:rsidRPr="00AA5065">
        <w:rPr>
          <w:rFonts w:ascii="David" w:eastAsia="Calibri" w:hAnsi="David"/>
          <w:rtl/>
        </w:rPr>
        <w:t xml:space="preserve">בשעות מאוחרות </w:t>
      </w:r>
      <w:r w:rsidRPr="00AA5065">
        <w:rPr>
          <w:rFonts w:ascii="David" w:eastAsia="Calibri" w:hAnsi="David" w:hint="cs"/>
          <w:rtl/>
        </w:rPr>
        <w:t>עקב</w:t>
      </w:r>
      <w:r w:rsidRPr="00AA5065">
        <w:rPr>
          <w:rFonts w:ascii="David" w:eastAsia="Calibri" w:hAnsi="David"/>
          <w:rtl/>
        </w:rPr>
        <w:t xml:space="preserve"> מקרים של הטרדות, השתלטות על שטחים ציבוריים ו</w:t>
      </w:r>
      <w:r w:rsidRPr="00AA5065">
        <w:rPr>
          <w:rFonts w:ascii="David" w:eastAsia="Calibri" w:hAnsi="David" w:hint="cs"/>
          <w:rtl/>
        </w:rPr>
        <w:t xml:space="preserve">מעשי </w:t>
      </w:r>
      <w:r w:rsidRPr="00AA5065">
        <w:rPr>
          <w:rFonts w:ascii="David" w:eastAsia="Calibri" w:hAnsi="David"/>
          <w:rtl/>
        </w:rPr>
        <w:t xml:space="preserve">אלימות.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בהמשך לממצאים האמורים נמצא בביקורת כי</w:t>
      </w:r>
      <w:r w:rsidRPr="00AA5065">
        <w:rPr>
          <w:rFonts w:ascii="David" w:eastAsia="Calibri" w:hAnsi="David" w:hint="cs"/>
          <w:rtl/>
        </w:rPr>
        <w:t xml:space="preserve"> </w:t>
      </w:r>
      <w:r w:rsidRPr="00AA5065">
        <w:rPr>
          <w:rFonts w:ascii="David" w:eastAsia="Calibri" w:hAnsi="David"/>
          <w:rtl/>
        </w:rPr>
        <w:t>ראשי רשויות</w:t>
      </w:r>
      <w:r w:rsidRPr="00AA5065">
        <w:rPr>
          <w:rFonts w:ascii="David" w:eastAsia="Calibri" w:hAnsi="David" w:hint="cs"/>
          <w:rtl/>
        </w:rPr>
        <w:t xml:space="preserve"> מקומיות</w:t>
      </w:r>
      <w:r w:rsidRPr="00AA5065">
        <w:rPr>
          <w:rFonts w:ascii="David" w:eastAsia="Calibri" w:hAnsi="David"/>
          <w:rtl/>
        </w:rPr>
        <w:t xml:space="preserve"> בדרום </w:t>
      </w:r>
      <w:r w:rsidRPr="00AA5065">
        <w:rPr>
          <w:rFonts w:ascii="David" w:eastAsia="Calibri" w:hAnsi="David" w:hint="cs"/>
          <w:rtl/>
        </w:rPr>
        <w:t xml:space="preserve">כתבו </w:t>
      </w:r>
      <w:r w:rsidRPr="00AA5065">
        <w:rPr>
          <w:rFonts w:ascii="David" w:eastAsia="Calibri" w:hAnsi="David"/>
          <w:rtl/>
        </w:rPr>
        <w:t xml:space="preserve">לשר </w:t>
      </w:r>
      <w:r w:rsidRPr="00AA5065">
        <w:rPr>
          <w:rFonts w:ascii="David" w:eastAsia="Calibri" w:hAnsi="David" w:hint="cs"/>
          <w:rtl/>
        </w:rPr>
        <w:t>לביטחו</w:t>
      </w:r>
      <w:r w:rsidRPr="00AA5065">
        <w:rPr>
          <w:rFonts w:ascii="David" w:eastAsia="Calibri" w:hAnsi="David" w:hint="eastAsia"/>
          <w:rtl/>
        </w:rPr>
        <w:t>ן</w:t>
      </w:r>
      <w:r w:rsidRPr="00AA5065">
        <w:rPr>
          <w:rFonts w:ascii="David" w:eastAsia="Calibri" w:hAnsi="David"/>
          <w:rtl/>
        </w:rPr>
        <w:t xml:space="preserve"> </w:t>
      </w:r>
      <w:r w:rsidRPr="00AA5065">
        <w:rPr>
          <w:rFonts w:ascii="David" w:eastAsia="Calibri" w:hAnsi="David" w:hint="cs"/>
          <w:rtl/>
        </w:rPr>
        <w:t>לאומי</w:t>
      </w:r>
      <w:r w:rsidRPr="00AA5065">
        <w:rPr>
          <w:rFonts w:ascii="David" w:eastAsia="Calibri" w:hAnsi="David"/>
          <w:rtl/>
        </w:rPr>
        <w:t xml:space="preserve"> ולמפכ"ל המשטרה </w:t>
      </w:r>
      <w:r w:rsidRPr="00AA5065">
        <w:rPr>
          <w:rFonts w:ascii="David" w:eastAsia="Calibri" w:hAnsi="David" w:hint="cs"/>
          <w:rtl/>
        </w:rPr>
        <w:t>מכתב שבו ביקשו</w:t>
      </w:r>
      <w:r w:rsidRPr="00AA5065">
        <w:rPr>
          <w:rFonts w:ascii="David" w:eastAsia="Calibri" w:hAnsi="David"/>
          <w:rtl/>
        </w:rPr>
        <w:t xml:space="preserve"> לקי</w:t>
      </w:r>
      <w:r w:rsidRPr="00AA5065">
        <w:rPr>
          <w:rFonts w:ascii="David" w:eastAsia="Calibri" w:hAnsi="David" w:hint="cs"/>
          <w:rtl/>
        </w:rPr>
        <w:t>י</w:t>
      </w:r>
      <w:r w:rsidRPr="00AA5065">
        <w:rPr>
          <w:rFonts w:ascii="David" w:eastAsia="Calibri" w:hAnsi="David"/>
          <w:rtl/>
        </w:rPr>
        <w:t>ם פגישה ו</w:t>
      </w:r>
      <w:r w:rsidRPr="00AA5065">
        <w:rPr>
          <w:rFonts w:ascii="David" w:eastAsia="Calibri" w:hAnsi="David" w:hint="cs"/>
          <w:rtl/>
        </w:rPr>
        <w:t xml:space="preserve">לתת </w:t>
      </w:r>
      <w:r w:rsidRPr="00AA5065">
        <w:rPr>
          <w:rFonts w:ascii="David" w:eastAsia="Calibri" w:hAnsi="David"/>
          <w:rtl/>
        </w:rPr>
        <w:t xml:space="preserve">מענה דחוף לפגיעה הקשה בביטחונם האישי של תושבי </w:t>
      </w:r>
      <w:r w:rsidRPr="00AA5065">
        <w:rPr>
          <w:rFonts w:ascii="David" w:eastAsia="Calibri" w:hAnsi="David" w:hint="cs"/>
          <w:rtl/>
        </w:rPr>
        <w:t>ה</w:t>
      </w:r>
      <w:r w:rsidRPr="00AA5065">
        <w:rPr>
          <w:rFonts w:ascii="David" w:eastAsia="Calibri" w:hAnsi="David"/>
          <w:rtl/>
        </w:rPr>
        <w:t>נגב</w:t>
      </w:r>
      <w:r w:rsidRPr="00AA5065">
        <w:rPr>
          <w:rFonts w:ascii="David" w:eastAsia="Calibri" w:hAnsi="David" w:hint="cs"/>
          <w:rtl/>
        </w:rPr>
        <w:t>.</w:t>
      </w:r>
      <w:r w:rsidRPr="00AA5065">
        <w:rPr>
          <w:rFonts w:ascii="David" w:eastAsia="Calibri" w:hAnsi="David"/>
          <w:rtl/>
        </w:rPr>
        <w:t xml:space="preserve"> </w:t>
      </w:r>
    </w:p>
    <w:p w:rsidR="00AA5065" w:rsidRPr="00AA5065" w:rsidP="00860D89">
      <w:pPr>
        <w:spacing w:line="269" w:lineRule="auto"/>
        <w:ind w:left="-567"/>
        <w:rPr>
          <w:rFonts w:eastAsia="Calibri"/>
          <w:szCs w:val="20"/>
          <w:rtl/>
        </w:rPr>
      </w:pPr>
    </w:p>
    <w:p w:rsidR="00AA5065" w:rsidRPr="00AA5065" w:rsidP="00860D89">
      <w:pPr>
        <w:numPr>
          <w:ilvl w:val="0"/>
          <w:numId w:val="14"/>
        </w:numPr>
        <w:spacing w:line="269" w:lineRule="auto"/>
        <w:ind w:left="312"/>
        <w:contextualSpacing/>
        <w:rPr>
          <w:rFonts w:ascii="David" w:eastAsia="Calibri" w:hAnsi="David"/>
          <w:rtl/>
        </w:rPr>
      </w:pPr>
      <w:r w:rsidRPr="00AA5065">
        <w:rPr>
          <w:rFonts w:ascii="David" w:eastAsia="Calibri" w:hAnsi="David"/>
          <w:rtl/>
        </w:rPr>
        <w:t xml:space="preserve">ראש </w:t>
      </w:r>
      <w:r w:rsidRPr="00AA5065">
        <w:rPr>
          <w:rFonts w:ascii="David" w:eastAsia="Calibri" w:hAnsi="David" w:hint="cs"/>
          <w:rtl/>
        </w:rPr>
        <w:t>עיריית</w:t>
      </w:r>
      <w:r w:rsidRPr="00AA5065">
        <w:rPr>
          <w:rFonts w:ascii="David" w:eastAsia="Calibri" w:hAnsi="David"/>
          <w:rtl/>
        </w:rPr>
        <w:t xml:space="preserve"> ב</w:t>
      </w:r>
      <w:r w:rsidRPr="00AA5065">
        <w:rPr>
          <w:rFonts w:ascii="David" w:eastAsia="Calibri" w:hAnsi="David" w:hint="cs"/>
          <w:rtl/>
        </w:rPr>
        <w:t>אר שבע</w:t>
      </w:r>
      <w:r w:rsidRPr="00AA5065">
        <w:rPr>
          <w:rFonts w:ascii="David" w:eastAsia="Calibri" w:hAnsi="David"/>
          <w:rtl/>
        </w:rPr>
        <w:t xml:space="preserve"> ציין במכתב</w:t>
      </w:r>
      <w:r>
        <w:rPr>
          <w:rFonts w:ascii="David" w:eastAsia="Calibri" w:hAnsi="David"/>
          <w:vertAlign w:val="superscript"/>
          <w:rtl/>
        </w:rPr>
        <w:footnoteReference w:id="126"/>
      </w:r>
      <w:r w:rsidRPr="00AA5065">
        <w:rPr>
          <w:rFonts w:ascii="David" w:eastAsia="Calibri" w:hAnsi="David" w:hint="cs"/>
          <w:rtl/>
        </w:rPr>
        <w:t xml:space="preserve"> מ-21 בינואר 2021</w:t>
      </w:r>
      <w:r w:rsidRPr="00AA5065">
        <w:rPr>
          <w:rFonts w:ascii="David" w:eastAsia="Calibri" w:hAnsi="David"/>
          <w:rtl/>
        </w:rPr>
        <w:t xml:space="preserve"> כי "אנו עדים לחציית קווים אדומים ולהשתוללות ברוטלית במקרי האלימות והפשיעה מקרב בני מיעוטים המטילים אימה על תושבי הישוב והנגב"</w:t>
      </w:r>
      <w:r w:rsidRPr="00AA5065">
        <w:rPr>
          <w:rFonts w:ascii="David" w:eastAsia="Calibri" w:hAnsi="David" w:hint="cs"/>
          <w:rtl/>
        </w:rPr>
        <w:t>.</w:t>
      </w:r>
      <w:r w:rsidRPr="00AA5065">
        <w:rPr>
          <w:rFonts w:ascii="David" w:eastAsia="Calibri" w:hAnsi="David"/>
          <w:rtl/>
        </w:rPr>
        <w:t xml:space="preserve"> ראש העיר ביקש פגישת עבודה דחופה </w:t>
      </w:r>
      <w:r w:rsidRPr="00AA5065">
        <w:rPr>
          <w:rFonts w:ascii="David" w:eastAsia="Calibri" w:hAnsi="David" w:hint="cs"/>
          <w:rtl/>
        </w:rPr>
        <w:t>כדי</w:t>
      </w:r>
      <w:r w:rsidRPr="00AA5065">
        <w:rPr>
          <w:rFonts w:ascii="David" w:eastAsia="Calibri" w:hAnsi="David"/>
          <w:rtl/>
        </w:rPr>
        <w:t xml:space="preserve"> שי</w:t>
      </w:r>
      <w:r w:rsidRPr="00AA5065">
        <w:rPr>
          <w:rFonts w:ascii="David" w:eastAsia="Calibri" w:hAnsi="David" w:hint="cs"/>
          <w:rtl/>
        </w:rPr>
        <w:t>י</w:t>
      </w:r>
      <w:r w:rsidRPr="00AA5065">
        <w:rPr>
          <w:rFonts w:ascii="David" w:eastAsia="Calibri" w:hAnsi="David"/>
          <w:rtl/>
        </w:rPr>
        <w:t>נקטו הצעדים הדרושים בתקיפות ובמל</w:t>
      </w:r>
      <w:r w:rsidRPr="00AA5065">
        <w:rPr>
          <w:rFonts w:ascii="David" w:eastAsia="Calibri" w:hAnsi="David" w:hint="cs"/>
          <w:rtl/>
        </w:rPr>
        <w:t>ו</w:t>
      </w:r>
      <w:r w:rsidRPr="00AA5065">
        <w:rPr>
          <w:rFonts w:ascii="David" w:eastAsia="Calibri" w:hAnsi="David"/>
          <w:rtl/>
        </w:rPr>
        <w:t>א הנחישות</w:t>
      </w:r>
      <w:r w:rsidRPr="00AA5065">
        <w:rPr>
          <w:rFonts w:ascii="David" w:eastAsia="Calibri" w:hAnsi="David" w:hint="cs"/>
          <w:rtl/>
        </w:rPr>
        <w:t>.</w:t>
      </w:r>
      <w:r w:rsidRPr="00AA5065">
        <w:rPr>
          <w:rFonts w:ascii="David" w:eastAsia="Calibri" w:hAnsi="David"/>
          <w:rtl/>
        </w:rPr>
        <w:t xml:space="preserve"> עוד </w:t>
      </w:r>
      <w:r w:rsidRPr="00AA5065">
        <w:rPr>
          <w:rFonts w:ascii="David" w:eastAsia="Calibri" w:hAnsi="David" w:hint="cs"/>
          <w:rtl/>
        </w:rPr>
        <w:t xml:space="preserve">הוא </w:t>
      </w:r>
      <w:r w:rsidRPr="00AA5065">
        <w:rPr>
          <w:rFonts w:ascii="David" w:eastAsia="Calibri" w:hAnsi="David"/>
          <w:rtl/>
        </w:rPr>
        <w:t>ציין כי כנופיות אלו של בריונים חסרי רסן מכתימות ציבור שלם מקרב האוכלוסייה הבדואית במרחב הנגב, שרובה חיה בשותפות מלאה במגוון תחומי החיים.</w:t>
      </w:r>
    </w:p>
    <w:p w:rsidR="00AA5065" w:rsidRPr="00AA5065" w:rsidP="00860D89">
      <w:pPr>
        <w:spacing w:line="269" w:lineRule="auto"/>
        <w:ind w:left="-567"/>
        <w:rPr>
          <w:rFonts w:eastAsia="Calibri"/>
          <w:szCs w:val="20"/>
          <w:rtl/>
        </w:rPr>
      </w:pPr>
    </w:p>
    <w:p w:rsidR="00AA5065" w:rsidRPr="00AA5065" w:rsidP="00860D89">
      <w:pPr>
        <w:numPr>
          <w:ilvl w:val="0"/>
          <w:numId w:val="14"/>
        </w:numPr>
        <w:spacing w:line="269" w:lineRule="auto"/>
        <w:ind w:left="312"/>
        <w:contextualSpacing/>
        <w:rPr>
          <w:rFonts w:ascii="David" w:eastAsia="Calibri" w:hAnsi="David"/>
          <w:rtl/>
        </w:rPr>
      </w:pPr>
      <w:r w:rsidRPr="00AA5065">
        <w:rPr>
          <w:rFonts w:ascii="David" w:eastAsia="Calibri" w:hAnsi="David"/>
          <w:rtl/>
        </w:rPr>
        <w:t>ראש עיריית רהט ציין במכתבו</w:t>
      </w:r>
      <w:r>
        <w:rPr>
          <w:rFonts w:ascii="David" w:eastAsia="Calibri" w:hAnsi="David"/>
          <w:vertAlign w:val="superscript"/>
          <w:rtl/>
        </w:rPr>
        <w:footnoteReference w:id="127"/>
      </w:r>
      <w:r w:rsidRPr="00AA5065">
        <w:rPr>
          <w:rFonts w:ascii="David" w:eastAsia="Calibri" w:hAnsi="David"/>
          <w:rtl/>
        </w:rPr>
        <w:t xml:space="preserve"> כי "מצב הביטחון האישי בישובים הבדואים בנגב נמצא בשפל המדרגה, אנו כבר במצב של אנרכיה ואיבוד שליטה זועק לשמיים... התעצמות הפשיעה החמורה הירי הבלתי פוסק בלילות ובימים... זריקת רימונים על סמלי שלטון ומוסדות ציבור ועוד...".</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להמחשת ההיקף הנרחב של תופעת העבריינות ביישובי הנגב והצורך של התושבים בנקיטת אמצעים חריגים, מוצגות בתמונה 10 שלהן סוללות עפר עם מצלמת אבטחה, כפי שהוצבו על ידי מועצה מקומית להבים בדרום היישוב, כדי</w:t>
      </w:r>
      <w:r w:rsidRPr="00AA5065">
        <w:rPr>
          <w:rFonts w:eastAsia="Calibri"/>
          <w:rtl/>
        </w:rPr>
        <w:t xml:space="preserve"> להגב</w:t>
      </w:r>
      <w:r w:rsidRPr="00AA5065">
        <w:rPr>
          <w:rFonts w:eastAsia="Calibri" w:hint="cs"/>
          <w:rtl/>
        </w:rPr>
        <w:t>י</w:t>
      </w:r>
      <w:r w:rsidRPr="00AA5065">
        <w:rPr>
          <w:rFonts w:eastAsia="Calibri"/>
          <w:rtl/>
        </w:rPr>
        <w:t xml:space="preserve">ל ולשבש </w:t>
      </w:r>
      <w:r w:rsidRPr="00AA5065">
        <w:rPr>
          <w:rFonts w:eastAsia="Calibri" w:hint="cs"/>
          <w:rtl/>
        </w:rPr>
        <w:t xml:space="preserve">את תנועת העבריינים, ובפרט את </w:t>
      </w:r>
      <w:r w:rsidRPr="00AA5065">
        <w:rPr>
          <w:rFonts w:eastAsia="Calibri"/>
          <w:rtl/>
        </w:rPr>
        <w:t>יכולת</w:t>
      </w:r>
      <w:r w:rsidRPr="00AA5065">
        <w:rPr>
          <w:rFonts w:eastAsia="Calibri" w:hint="cs"/>
          <w:rtl/>
        </w:rPr>
        <w:t>ם</w:t>
      </w:r>
      <w:r w:rsidRPr="00AA5065">
        <w:rPr>
          <w:rFonts w:eastAsia="Calibri"/>
          <w:rtl/>
        </w:rPr>
        <w:t xml:space="preserve"> לגנ</w:t>
      </w:r>
      <w:r w:rsidRPr="00AA5065">
        <w:rPr>
          <w:rFonts w:eastAsia="Calibri" w:hint="cs"/>
          <w:rtl/>
        </w:rPr>
        <w:t>ו</w:t>
      </w:r>
      <w:r w:rsidRPr="00AA5065">
        <w:rPr>
          <w:rFonts w:eastAsia="Calibri"/>
          <w:rtl/>
        </w:rPr>
        <w:t>ב רכבים ורכוש מ</w:t>
      </w:r>
      <w:r w:rsidRPr="00AA5065">
        <w:rPr>
          <w:rFonts w:eastAsia="Calibri" w:hint="cs"/>
          <w:rtl/>
        </w:rPr>
        <w:t xml:space="preserve">תוך </w:t>
      </w:r>
      <w:r w:rsidRPr="00AA5065">
        <w:rPr>
          <w:rFonts w:eastAsia="Calibri"/>
          <w:rtl/>
        </w:rPr>
        <w:t>היישוב.</w:t>
      </w:r>
    </w:p>
    <w:p w:rsidR="00AA5065" w:rsidRPr="00AA5065" w:rsidP="00860D89">
      <w:pPr>
        <w:spacing w:line="269" w:lineRule="auto"/>
        <w:ind w:left="-567"/>
        <w:rPr>
          <w:rFonts w:eastAsia="Calibri"/>
          <w:szCs w:val="20"/>
          <w:rtl/>
        </w:rPr>
      </w:pPr>
    </w:p>
    <w:p w:rsidR="00AA5065" w:rsidRPr="00AA5065" w:rsidP="00A80B8F">
      <w:pPr>
        <w:keepNext/>
        <w:keepLines/>
        <w:spacing w:after="120" w:line="269" w:lineRule="auto"/>
        <w:jc w:val="center"/>
        <w:rPr>
          <w:rFonts w:eastAsia="Calibri"/>
          <w:b/>
          <w:bCs/>
          <w:sz w:val="24"/>
          <w:rtl/>
        </w:rPr>
      </w:pPr>
      <w:bookmarkStart w:id="104" w:name="_Hlk205381046"/>
      <w:r w:rsidRPr="00AA5065">
        <w:rPr>
          <w:rFonts w:eastAsia="Calibri" w:hint="cs"/>
          <w:sz w:val="24"/>
          <w:rtl/>
        </w:rPr>
        <w:t>תמונה 10:</w:t>
      </w:r>
      <w:r w:rsidRPr="00AA5065">
        <w:rPr>
          <w:rFonts w:eastAsia="Calibri" w:hint="cs"/>
          <w:b/>
          <w:bCs/>
          <w:sz w:val="24"/>
          <w:rtl/>
        </w:rPr>
        <w:t xml:space="preserve"> סוללות עפר עם מצלמת אבטחה ביישוב להבים, ינואר 2025</w:t>
      </w:r>
    </w:p>
    <w:bookmarkEnd w:id="104"/>
    <w:p w:rsidR="00AA5065" w:rsidRPr="00AA5065" w:rsidP="00860D89">
      <w:pPr>
        <w:spacing w:line="269" w:lineRule="auto"/>
        <w:jc w:val="center"/>
        <w:rPr>
          <w:rFonts w:eastAsia="Calibri"/>
          <w:rtl/>
        </w:rPr>
      </w:pPr>
      <w:r w:rsidRPr="00AA5065">
        <w:rPr>
          <w:rFonts w:eastAsia="Calibri"/>
          <w:noProof/>
        </w:rPr>
        <w:drawing>
          <wp:inline distT="0" distB="0" distL="0" distR="0">
            <wp:extent cx="5219700" cy="3915428"/>
            <wp:effectExtent l="0" t="0" r="0" b="8890"/>
            <wp:docPr id="46" name="תמונה 46"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
                    <pic:cNvPicPr>
                      <a:picLocks noChangeAspect="1" noChangeArrowheads="1"/>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219700" cy="3915428"/>
                    </a:xfrm>
                    <a:prstGeom prst="rect">
                      <a:avLst/>
                    </a:prstGeom>
                    <a:noFill/>
                    <a:ln>
                      <a:noFill/>
                    </a:ln>
                  </pic:spPr>
                </pic:pic>
              </a:graphicData>
            </a:graphic>
          </wp:inline>
        </w:drawing>
      </w:r>
    </w:p>
    <w:p w:rsidR="00AA5065" w:rsidRPr="00AA5065" w:rsidP="00A80B8F">
      <w:pPr>
        <w:spacing w:after="120" w:line="269" w:lineRule="auto"/>
        <w:rPr>
          <w:rFonts w:eastAsia="Calibri"/>
          <w:b/>
          <w:bCs/>
          <w:rtl/>
        </w:rPr>
      </w:pPr>
      <w:r w:rsidRPr="00AA5065">
        <w:rPr>
          <w:rFonts w:eastAsia="Calibri" w:hint="cs"/>
          <w:sz w:val="16"/>
          <w:szCs w:val="20"/>
          <w:rtl/>
        </w:rPr>
        <w:t>צולם על ידי נציגי משרד מבקר המדינה בסיור בלהבים בינואר 2025.</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בסקר</w:t>
      </w:r>
      <w:r>
        <w:rPr>
          <w:rFonts w:eastAsia="Calibri"/>
          <w:vertAlign w:val="superscript"/>
          <w:rtl/>
        </w:rPr>
        <w:footnoteReference w:id="128"/>
      </w:r>
      <w:r w:rsidRPr="00AA5065">
        <w:rPr>
          <w:rFonts w:eastAsia="Calibri" w:hint="cs"/>
          <w:rtl/>
        </w:rPr>
        <w:t xml:space="preserve"> שערך בשנת 2021 מכון ברוקדייל בקרב 331 תושבים בדואים בנגב בלט דירוג גבוה של חשיבות תחום הביטחון האישי וההגנה מחשיפה לפשיעה. עוד נמצא בסקר זה כי יש תחושת </w:t>
      </w:r>
      <w:r w:rsidRPr="00AA5065">
        <w:rPr>
          <w:rFonts w:eastAsia="Calibri" w:hint="cs"/>
          <w:b/>
          <w:bCs/>
          <w:rtl/>
        </w:rPr>
        <w:t>חוסר אמון</w:t>
      </w:r>
      <w:r w:rsidRPr="00AA5065">
        <w:rPr>
          <w:rFonts w:eastAsia="Calibri" w:hint="cs"/>
          <w:rtl/>
        </w:rPr>
        <w:t xml:space="preserve"> של התושבים הבדואים ושל מנהיגיהם במוסדות השלטון, וכי הרשויות המקומיות והתושבים הבדואים מתקשים להתמודד עם </w:t>
      </w:r>
      <w:r w:rsidRPr="00AA5065">
        <w:rPr>
          <w:rFonts w:eastAsia="Calibri" w:hint="cs"/>
          <w:b/>
          <w:bCs/>
          <w:rtl/>
        </w:rPr>
        <w:t>תופעת הפשיעה והאלימות</w:t>
      </w:r>
      <w:r w:rsidRPr="00AA5065">
        <w:rPr>
          <w:rFonts w:eastAsia="Calibri" w:hint="cs"/>
          <w:rtl/>
        </w:rPr>
        <w:t xml:space="preserve"> ביישובים הבדואים. תופעה זו פוגעת לדבריהם בראש ובראשונה באוכלוסייה הבדואית עצמה שכן התושבים ביישובים הבדואים חשופים לאלימות ולפשע שמסכנים אותם ומקשים את חייהם.</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bookmarkStart w:id="105" w:name="_Hlk204852435"/>
      <w:r w:rsidRPr="00AA5065">
        <w:rPr>
          <w:rFonts w:eastAsia="Calibri" w:hint="cs"/>
          <w:b/>
          <w:bCs/>
          <w:rtl/>
        </w:rPr>
        <w:t>תופעת הפלסט</w:t>
      </w:r>
      <w:r w:rsidR="00A80B8F">
        <w:rPr>
          <w:rFonts w:eastAsia="Calibri" w:hint="cs"/>
          <w:b/>
          <w:bCs/>
          <w:rtl/>
        </w:rPr>
        <w:t>י</w:t>
      </w:r>
      <w:r w:rsidRPr="00AA5065">
        <w:rPr>
          <w:rFonts w:eastAsia="Calibri" w:hint="cs"/>
          <w:b/>
          <w:bCs/>
          <w:rtl/>
        </w:rPr>
        <w:t xml:space="preserve">ניזציה </w:t>
      </w:r>
      <w:r w:rsidRPr="00AA5065">
        <w:rPr>
          <w:rFonts w:eastAsia="Calibri" w:hint="eastAsia"/>
          <w:b/>
          <w:bCs/>
          <w:rtl/>
        </w:rPr>
        <w:t>מתבססת</w:t>
      </w:r>
      <w:r w:rsidRPr="00AA5065">
        <w:rPr>
          <w:rFonts w:eastAsia="Calibri"/>
          <w:b/>
          <w:bCs/>
          <w:rtl/>
        </w:rPr>
        <w:t xml:space="preserve"> על </w:t>
      </w:r>
      <w:r w:rsidRPr="00AA5065">
        <w:rPr>
          <w:rFonts w:eastAsia="Calibri" w:hint="eastAsia"/>
          <w:b/>
          <w:bCs/>
          <w:rtl/>
        </w:rPr>
        <w:t>כ</w:t>
      </w:r>
      <w:r w:rsidRPr="00AA5065">
        <w:rPr>
          <w:rFonts w:eastAsia="Calibri"/>
          <w:b/>
          <w:bCs/>
          <w:rtl/>
        </w:rPr>
        <w:t xml:space="preserve">-22% </w:t>
      </w:r>
      <w:r w:rsidRPr="00AA5065">
        <w:rPr>
          <w:rFonts w:eastAsia="Calibri" w:hint="eastAsia"/>
          <w:b/>
          <w:bCs/>
          <w:rtl/>
        </w:rPr>
        <w:t>מהאוכלוסייה</w:t>
      </w:r>
      <w:r w:rsidRPr="00AA5065">
        <w:rPr>
          <w:rFonts w:eastAsia="Calibri"/>
          <w:b/>
          <w:bCs/>
          <w:rtl/>
        </w:rPr>
        <w:t xml:space="preserve"> </w:t>
      </w:r>
      <w:r w:rsidRPr="00AA5065">
        <w:rPr>
          <w:rFonts w:eastAsia="Calibri" w:hint="eastAsia"/>
          <w:b/>
          <w:bCs/>
          <w:rtl/>
        </w:rPr>
        <w:t>הבדואית</w:t>
      </w:r>
      <w:r>
        <w:rPr>
          <w:rFonts w:eastAsia="Calibri"/>
          <w:b/>
          <w:bCs/>
          <w:vertAlign w:val="superscript"/>
          <w:rtl/>
        </w:rPr>
        <w:footnoteReference w:id="129"/>
      </w:r>
      <w:r w:rsidRPr="00AA5065">
        <w:rPr>
          <w:rFonts w:eastAsia="Calibri" w:hint="cs"/>
          <w:b/>
          <w:bCs/>
          <w:rtl/>
        </w:rPr>
        <w:t xml:space="preserve"> שהם </w:t>
      </w:r>
      <w:r w:rsidRPr="00AA5065">
        <w:rPr>
          <w:rFonts w:eastAsia="Calibri" w:hint="eastAsia"/>
          <w:b/>
          <w:bCs/>
          <w:rtl/>
        </w:rPr>
        <w:t>בעלי</w:t>
      </w:r>
      <w:r w:rsidRPr="00AA5065">
        <w:rPr>
          <w:rFonts w:eastAsia="Calibri"/>
          <w:b/>
          <w:bCs/>
          <w:rtl/>
        </w:rPr>
        <w:t xml:space="preserve"> זיקה פלסטינית </w:t>
      </w:r>
      <w:r w:rsidRPr="00AA5065">
        <w:rPr>
          <w:rFonts w:eastAsia="Calibri" w:hint="eastAsia"/>
          <w:b/>
          <w:bCs/>
          <w:rtl/>
        </w:rPr>
        <w:t>החיים</w:t>
      </w:r>
      <w:r w:rsidRPr="00AA5065">
        <w:rPr>
          <w:rFonts w:eastAsia="Calibri"/>
          <w:b/>
          <w:bCs/>
          <w:rtl/>
        </w:rPr>
        <w:t xml:space="preserve"> כיום במרחבי הנגב</w:t>
      </w:r>
      <w:r w:rsidRPr="00AA5065">
        <w:rPr>
          <w:rFonts w:eastAsia="Calibri" w:hint="cs"/>
          <w:b/>
          <w:bCs/>
          <w:rtl/>
        </w:rPr>
        <w:t>. הקשר של הבדואים לאיו"ש ועזה, שיעור הצעירים הגבוה של אוכלוסייה זו והיעדר המשילות בנגב מובילים לאלימות רבה ולפשיעה, פוגעים בתחושת הביטחון האישי של כלל תושבי הנגב, יהודים ובדואים כאחד, ובמידת האמון שהם רוחשים למדינה ולגופי האכיפה שלה. הדבר פוגע משמעותית ביכולת לעודד תושבים נורמטיביים לבוא וליישב את הנגב ואף יכול להביא לתופעה של הגירה שלילית משמעותית של אותם אזרחים שומרי חוק אשר מתגוררים בנגב כיום.</w:t>
      </w:r>
    </w:p>
    <w:p w:rsidR="00AA5065" w:rsidRPr="00AA5065" w:rsidP="00860D89">
      <w:pPr>
        <w:spacing w:line="269" w:lineRule="auto"/>
        <w:ind w:left="-567"/>
        <w:rPr>
          <w:rFonts w:eastAsia="Calibri"/>
          <w:szCs w:val="20"/>
          <w:rtl/>
        </w:rPr>
      </w:pPr>
    </w:p>
    <w:p w:rsidR="00AA5065" w:rsidP="00860D89">
      <w:pPr>
        <w:spacing w:line="269" w:lineRule="auto"/>
        <w:rPr>
          <w:rFonts w:eastAsia="Calibri"/>
          <w:rtl/>
        </w:rPr>
      </w:pPr>
      <w:r w:rsidRPr="00AA5065">
        <w:rPr>
          <w:rFonts w:eastAsia="Calibri" w:hint="eastAsia"/>
          <w:rtl/>
        </w:rPr>
        <w:t>יצוין</w:t>
      </w:r>
      <w:r w:rsidRPr="00AA5065">
        <w:rPr>
          <w:rFonts w:eastAsia="Calibri"/>
          <w:rtl/>
        </w:rPr>
        <w:t xml:space="preserve"> כי בתאריך 21</w:t>
      </w:r>
      <w:r w:rsidRPr="00AA5065">
        <w:rPr>
          <w:rFonts w:eastAsia="Calibri" w:hint="cs"/>
          <w:rtl/>
        </w:rPr>
        <w:t>.9.25</w:t>
      </w:r>
      <w:r w:rsidRPr="00AA5065">
        <w:rPr>
          <w:rFonts w:eastAsia="Calibri"/>
          <w:rtl/>
        </w:rPr>
        <w:t xml:space="preserve"> התקבלה החלטת </w:t>
      </w:r>
      <w:r w:rsidRPr="00AA5065">
        <w:rPr>
          <w:rFonts w:eastAsia="Calibri" w:hint="cs"/>
          <w:rtl/>
        </w:rPr>
        <w:t>ה</w:t>
      </w:r>
      <w:r w:rsidRPr="00AA5065">
        <w:rPr>
          <w:rFonts w:eastAsia="Calibri"/>
          <w:rtl/>
        </w:rPr>
        <w:t>ממשלה 3376 בדבר הקמת צוותים בין</w:t>
      </w:r>
      <w:r w:rsidRPr="00AA5065">
        <w:rPr>
          <w:rFonts w:eastAsia="Calibri" w:hint="cs"/>
          <w:rtl/>
        </w:rPr>
        <w:t>-</w:t>
      </w:r>
      <w:r w:rsidRPr="00AA5065">
        <w:rPr>
          <w:rFonts w:eastAsia="Calibri"/>
          <w:rtl/>
        </w:rPr>
        <w:t>משרדיים</w:t>
      </w:r>
      <w:r w:rsidRPr="00AA5065">
        <w:rPr>
          <w:rFonts w:eastAsia="Calibri" w:hint="cs"/>
          <w:rtl/>
        </w:rPr>
        <w:t xml:space="preserve"> וגיבוש תוכנית</w:t>
      </w:r>
      <w:r w:rsidRPr="00AA5065">
        <w:rPr>
          <w:rFonts w:eastAsia="Calibri"/>
          <w:rtl/>
        </w:rPr>
        <w:t xml:space="preserve"> להתמודדות עם תהליכים בחברה הבדואית. הצוותים מיועדים לעסוק ב</w:t>
      </w:r>
      <w:r w:rsidRPr="00AA5065">
        <w:rPr>
          <w:rFonts w:eastAsia="Calibri" w:hint="eastAsia"/>
          <w:rtl/>
        </w:rPr>
        <w:t>ארבע</w:t>
      </w:r>
      <w:r w:rsidRPr="00AA5065">
        <w:rPr>
          <w:rFonts w:eastAsia="Calibri"/>
          <w:rtl/>
        </w:rPr>
        <w:t xml:space="preserve"> סוגיות ליבה: </w:t>
      </w:r>
    </w:p>
    <w:p w:rsidR="00306A17" w:rsidRPr="00AA5065" w:rsidP="00860D89">
      <w:pPr>
        <w:spacing w:line="269" w:lineRule="auto"/>
        <w:rPr>
          <w:rFonts w:eastAsia="Calibri"/>
          <w:rtl/>
        </w:rPr>
      </w:pPr>
    </w:p>
    <w:p w:rsidR="00AA5065" w:rsidRPr="00AA5065" w:rsidP="00A80B8F">
      <w:pPr>
        <w:numPr>
          <w:ilvl w:val="0"/>
          <w:numId w:val="20"/>
        </w:numPr>
        <w:spacing w:after="120" w:line="269" w:lineRule="auto"/>
        <w:ind w:left="312"/>
        <w:jc w:val="left"/>
        <w:rPr>
          <w:rFonts w:ascii="David" w:eastAsia="Calibri" w:hAnsi="David"/>
          <w:sz w:val="24"/>
          <w:rtl/>
        </w:rPr>
      </w:pPr>
      <w:r w:rsidRPr="00AA5065">
        <w:rPr>
          <w:rFonts w:ascii="David" w:eastAsia="Calibri" w:hAnsi="David"/>
          <w:sz w:val="24"/>
          <w:rtl/>
        </w:rPr>
        <w:t>פלסטיניזציה בחברה הבדואית</w:t>
      </w:r>
    </w:p>
    <w:p w:rsidR="00AA5065" w:rsidRPr="00AA5065" w:rsidP="00A80B8F">
      <w:pPr>
        <w:numPr>
          <w:ilvl w:val="0"/>
          <w:numId w:val="20"/>
        </w:numPr>
        <w:spacing w:after="120" w:line="269" w:lineRule="auto"/>
        <w:ind w:left="312"/>
        <w:jc w:val="left"/>
        <w:rPr>
          <w:rFonts w:ascii="Calibri" w:eastAsia="Calibri" w:hAnsi="Calibri" w:cs="Calibri"/>
          <w:sz w:val="22"/>
          <w:szCs w:val="22"/>
          <w:rtl/>
        </w:rPr>
      </w:pPr>
      <w:r w:rsidRPr="00AA5065">
        <w:rPr>
          <w:rFonts w:ascii="David" w:eastAsia="Calibri" w:hAnsi="David"/>
          <w:sz w:val="24"/>
          <w:rtl/>
        </w:rPr>
        <w:t>זהות</w:t>
      </w:r>
      <w:r w:rsidRPr="00AA5065">
        <w:rPr>
          <w:rFonts w:ascii="Calibri" w:eastAsia="Calibri" w:hAnsi="Calibri" w:cs="Calibri"/>
          <w:sz w:val="22"/>
          <w:szCs w:val="22"/>
          <w:rtl/>
        </w:rPr>
        <w:t xml:space="preserve"> </w:t>
      </w:r>
      <w:r w:rsidRPr="00AA5065">
        <w:rPr>
          <w:rFonts w:ascii="David" w:eastAsia="Calibri" w:hAnsi="David"/>
          <w:sz w:val="24"/>
          <w:rtl/>
        </w:rPr>
        <w:t>ושייכות</w:t>
      </w:r>
    </w:p>
    <w:p w:rsidR="00AA5065" w:rsidRPr="00AA5065" w:rsidP="00A80B8F">
      <w:pPr>
        <w:numPr>
          <w:ilvl w:val="0"/>
          <w:numId w:val="20"/>
        </w:numPr>
        <w:spacing w:after="120" w:line="269" w:lineRule="auto"/>
        <w:ind w:left="312"/>
        <w:jc w:val="left"/>
        <w:rPr>
          <w:rFonts w:ascii="Calibri" w:eastAsia="Calibri" w:hAnsi="Calibri" w:cs="Calibri"/>
          <w:sz w:val="22"/>
          <w:szCs w:val="22"/>
          <w:rtl/>
        </w:rPr>
      </w:pPr>
      <w:r w:rsidRPr="00AA5065">
        <w:rPr>
          <w:rFonts w:ascii="David" w:eastAsia="Calibri" w:hAnsi="David"/>
          <w:sz w:val="24"/>
          <w:rtl/>
        </w:rPr>
        <w:t>שלטון</w:t>
      </w:r>
      <w:r w:rsidRPr="00AA5065">
        <w:rPr>
          <w:rFonts w:ascii="Calibri" w:eastAsia="Calibri" w:hAnsi="Calibri" w:cs="Calibri"/>
          <w:sz w:val="22"/>
          <w:szCs w:val="22"/>
          <w:rtl/>
        </w:rPr>
        <w:t xml:space="preserve"> </w:t>
      </w:r>
      <w:r w:rsidRPr="00AA5065">
        <w:rPr>
          <w:rFonts w:ascii="David" w:eastAsia="Calibri" w:hAnsi="David"/>
          <w:sz w:val="24"/>
          <w:rtl/>
        </w:rPr>
        <w:t>מקומי</w:t>
      </w:r>
    </w:p>
    <w:p w:rsidR="00AA5065" w:rsidRPr="00AA5065" w:rsidP="00860D89">
      <w:pPr>
        <w:numPr>
          <w:ilvl w:val="0"/>
          <w:numId w:val="20"/>
        </w:numPr>
        <w:spacing w:line="269" w:lineRule="auto"/>
        <w:ind w:left="312"/>
        <w:jc w:val="left"/>
        <w:rPr>
          <w:rFonts w:ascii="David" w:eastAsia="Calibri" w:hAnsi="David"/>
          <w:sz w:val="24"/>
          <w:rtl/>
        </w:rPr>
      </w:pPr>
      <w:r w:rsidRPr="00AA5065">
        <w:rPr>
          <w:rFonts w:ascii="David" w:eastAsia="Calibri" w:hAnsi="David"/>
          <w:sz w:val="24"/>
          <w:rtl/>
        </w:rPr>
        <w:t>גיוס לצה"ל</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ההחלטה קבעה, בין היתר, כי על הצוותים להגיש את המלצותיהם בתוך 90 יום ממועד ההחלטה לוועדה מלווה בראשות מנכ"ל משרד התפוצות והמאבק באנטישמיות, ולאחר תכלול ההמלצות תוגש בתוך 45 יום לממשלה לטיפול בסוגיות האמורות.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על ה</w:t>
      </w:r>
      <w:r w:rsidRPr="00AA5065">
        <w:rPr>
          <w:rFonts w:eastAsia="Calibri" w:hint="eastAsia"/>
          <w:b/>
          <w:bCs/>
          <w:rtl/>
        </w:rPr>
        <w:t>וועדה</w:t>
      </w:r>
      <w:r w:rsidRPr="00AA5065">
        <w:rPr>
          <w:rFonts w:eastAsia="Calibri"/>
          <w:b/>
          <w:bCs/>
          <w:rtl/>
        </w:rPr>
        <w:t xml:space="preserve"> </w:t>
      </w:r>
      <w:r w:rsidRPr="00AA5065">
        <w:rPr>
          <w:rFonts w:eastAsia="Calibri" w:hint="cs"/>
          <w:b/>
          <w:bCs/>
          <w:rtl/>
        </w:rPr>
        <w:t>ה</w:t>
      </w:r>
      <w:r w:rsidRPr="00AA5065">
        <w:rPr>
          <w:rFonts w:eastAsia="Calibri" w:hint="eastAsia"/>
          <w:b/>
          <w:bCs/>
          <w:rtl/>
        </w:rPr>
        <w:t>מלווה</w:t>
      </w:r>
      <w:r w:rsidRPr="00AA5065">
        <w:rPr>
          <w:rFonts w:eastAsia="Calibri" w:hint="cs"/>
          <w:b/>
          <w:bCs/>
          <w:rtl/>
        </w:rPr>
        <w:t>,</w:t>
      </w:r>
      <w:r w:rsidRPr="00AA5065">
        <w:rPr>
          <w:rFonts w:eastAsia="Calibri"/>
          <w:b/>
          <w:bCs/>
          <w:rtl/>
        </w:rPr>
        <w:t xml:space="preserve"> בראשות מנכ"ל </w:t>
      </w:r>
      <w:r w:rsidRPr="00AA5065">
        <w:rPr>
          <w:rFonts w:eastAsia="Calibri" w:hint="eastAsia"/>
          <w:b/>
          <w:bCs/>
          <w:rtl/>
        </w:rPr>
        <w:t>משרד</w:t>
      </w:r>
      <w:r w:rsidRPr="00AA5065">
        <w:rPr>
          <w:rFonts w:eastAsia="Calibri"/>
          <w:b/>
          <w:bCs/>
          <w:rtl/>
        </w:rPr>
        <w:t xml:space="preserve"> </w:t>
      </w:r>
      <w:r w:rsidRPr="00AA5065">
        <w:rPr>
          <w:rFonts w:eastAsia="Calibri" w:hint="eastAsia"/>
          <w:b/>
          <w:bCs/>
          <w:rtl/>
        </w:rPr>
        <w:t>התפוצות</w:t>
      </w:r>
      <w:r w:rsidRPr="00AA5065">
        <w:rPr>
          <w:rFonts w:eastAsia="Calibri"/>
          <w:b/>
          <w:bCs/>
          <w:rtl/>
        </w:rPr>
        <w:t xml:space="preserve"> </w:t>
      </w:r>
      <w:r w:rsidRPr="00AA5065">
        <w:rPr>
          <w:rFonts w:eastAsia="Calibri" w:hint="eastAsia"/>
          <w:b/>
          <w:bCs/>
          <w:rtl/>
        </w:rPr>
        <w:t>והמאבק</w:t>
      </w:r>
      <w:r w:rsidRPr="00AA5065">
        <w:rPr>
          <w:rFonts w:eastAsia="Calibri"/>
          <w:b/>
          <w:bCs/>
          <w:rtl/>
        </w:rPr>
        <w:t xml:space="preserve"> </w:t>
      </w:r>
      <w:r w:rsidRPr="00AA5065">
        <w:rPr>
          <w:rFonts w:eastAsia="Calibri" w:hint="eastAsia"/>
          <w:b/>
          <w:bCs/>
          <w:rtl/>
        </w:rPr>
        <w:t>באנטישמיות</w:t>
      </w:r>
      <w:r w:rsidRPr="00AA5065">
        <w:rPr>
          <w:rFonts w:eastAsia="Calibri"/>
          <w:b/>
          <w:bCs/>
          <w:rtl/>
        </w:rPr>
        <w:t>,</w:t>
      </w:r>
      <w:r w:rsidRPr="00AA5065">
        <w:rPr>
          <w:rFonts w:eastAsia="Calibri" w:hint="cs"/>
          <w:b/>
          <w:bCs/>
          <w:rtl/>
        </w:rPr>
        <w:t xml:space="preserve"> להגיש את המלצותיה לטיפול בסוגיות האמורות לממשלה בהתאם להחלטת הממשלה מספטמבר 2025.</w:t>
      </w:r>
      <w:bookmarkStart w:id="106" w:name="_Hlk204855301"/>
      <w:bookmarkEnd w:id="105"/>
    </w:p>
    <w:p w:rsidR="00AA5065" w:rsidRPr="00AA5065" w:rsidP="00860D89">
      <w:pPr>
        <w:spacing w:line="269" w:lineRule="auto"/>
        <w:rPr>
          <w:rFonts w:eastAsia="Calibri"/>
          <w:rtl/>
        </w:rPr>
      </w:pPr>
    </w:p>
    <w:p w:rsidR="00AA5065" w:rsidRPr="00AA5065" w:rsidP="00A80B8F">
      <w:pPr>
        <w:keepNext/>
        <w:keepLines/>
        <w:spacing w:before="120" w:line="269" w:lineRule="auto"/>
        <w:outlineLvl w:val="2"/>
        <w:rPr>
          <w:rFonts w:eastAsia="Times New Roman"/>
          <w:bCs/>
          <w:szCs w:val="28"/>
          <w:u w:val="single"/>
          <w:rtl/>
        </w:rPr>
      </w:pPr>
      <w:r w:rsidRPr="00AA5065">
        <w:rPr>
          <w:rFonts w:eastAsia="Times New Roman" w:hint="cs"/>
          <w:bCs/>
          <w:szCs w:val="28"/>
          <w:u w:val="single"/>
          <w:rtl/>
        </w:rPr>
        <w:t>פיקוח ואכיפת חוקי</w:t>
      </w:r>
      <w:r w:rsidRPr="00AA5065">
        <w:rPr>
          <w:rFonts w:eastAsia="Times New Roman"/>
          <w:bCs/>
          <w:szCs w:val="28"/>
          <w:u w:val="single"/>
          <w:rtl/>
        </w:rPr>
        <w:t xml:space="preserve"> </w:t>
      </w:r>
      <w:r w:rsidRPr="00AA5065">
        <w:rPr>
          <w:rFonts w:eastAsia="Times New Roman" w:hint="cs"/>
          <w:bCs/>
          <w:szCs w:val="28"/>
          <w:u w:val="single"/>
          <w:rtl/>
        </w:rPr>
        <w:t>ה</w:t>
      </w:r>
      <w:r w:rsidRPr="00AA5065">
        <w:rPr>
          <w:rFonts w:eastAsia="Times New Roman"/>
          <w:bCs/>
          <w:szCs w:val="28"/>
          <w:u w:val="single"/>
          <w:rtl/>
        </w:rPr>
        <w:t>תנועה</w:t>
      </w:r>
    </w:p>
    <w:bookmarkEnd w:id="106"/>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 xml:space="preserve">תאונות הדרכים, הנגרמות במידה רבה </w:t>
      </w:r>
      <w:r w:rsidRPr="00AA5065">
        <w:rPr>
          <w:rFonts w:eastAsia="Calibri" w:hint="cs"/>
          <w:rtl/>
        </w:rPr>
        <w:t>בשל</w:t>
      </w:r>
      <w:r w:rsidRPr="00AA5065">
        <w:rPr>
          <w:rFonts w:eastAsia="Calibri"/>
          <w:rtl/>
        </w:rPr>
        <w:t xml:space="preserve"> עבירות </w:t>
      </w:r>
      <w:r w:rsidRPr="00AA5065">
        <w:rPr>
          <w:rFonts w:eastAsia="Calibri" w:hint="cs"/>
          <w:rtl/>
        </w:rPr>
        <w:t xml:space="preserve">תנועה </w:t>
      </w:r>
      <w:r w:rsidRPr="00AA5065">
        <w:rPr>
          <w:rFonts w:eastAsia="Calibri"/>
          <w:rtl/>
        </w:rPr>
        <w:t xml:space="preserve">מסכנות חיים ועבירות בריונות </w:t>
      </w:r>
      <w:r w:rsidRPr="00AA5065">
        <w:rPr>
          <w:rFonts w:eastAsia="Calibri" w:hint="cs"/>
          <w:rtl/>
        </w:rPr>
        <w:t>ב</w:t>
      </w:r>
      <w:r w:rsidRPr="00AA5065">
        <w:rPr>
          <w:rFonts w:eastAsia="Calibri"/>
          <w:rtl/>
        </w:rPr>
        <w:t>כביש</w:t>
      </w:r>
      <w:r w:rsidRPr="00AA5065">
        <w:rPr>
          <w:rFonts w:eastAsia="Calibri" w:hint="cs"/>
          <w:rtl/>
        </w:rPr>
        <w:t>ים</w:t>
      </w:r>
      <w:r w:rsidRPr="00AA5065">
        <w:rPr>
          <w:rFonts w:eastAsia="Calibri"/>
          <w:rtl/>
        </w:rPr>
        <w:t xml:space="preserve">, הן </w:t>
      </w:r>
      <w:r w:rsidRPr="00AA5065">
        <w:rPr>
          <w:rFonts w:eastAsia="Calibri" w:hint="cs"/>
          <w:rtl/>
        </w:rPr>
        <w:t>תופעה חמורה ומדאיגה</w:t>
      </w:r>
      <w:r w:rsidRPr="00AA5065">
        <w:rPr>
          <w:rFonts w:eastAsia="Calibri"/>
          <w:rtl/>
        </w:rPr>
        <w:t xml:space="preserve">. המאבק </w:t>
      </w:r>
      <w:r w:rsidRPr="00AA5065">
        <w:rPr>
          <w:rFonts w:eastAsia="Calibri" w:hint="cs"/>
          <w:rtl/>
        </w:rPr>
        <w:t>בתופעה זו</w:t>
      </w:r>
      <w:r w:rsidRPr="00AA5065">
        <w:rPr>
          <w:rFonts w:eastAsia="Calibri"/>
          <w:rtl/>
        </w:rPr>
        <w:t xml:space="preserve"> מ</w:t>
      </w:r>
      <w:r w:rsidRPr="00AA5065">
        <w:rPr>
          <w:rFonts w:eastAsia="Calibri" w:hint="cs"/>
          <w:rtl/>
        </w:rPr>
        <w:t>חייב</w:t>
      </w:r>
      <w:r w:rsidRPr="00AA5065">
        <w:rPr>
          <w:rFonts w:eastAsia="Calibri"/>
          <w:rtl/>
        </w:rPr>
        <w:t xml:space="preserve"> בין היתר הרתע</w:t>
      </w:r>
      <w:r w:rsidRPr="00AA5065">
        <w:rPr>
          <w:rFonts w:eastAsia="Calibri" w:hint="cs"/>
          <w:rtl/>
        </w:rPr>
        <w:t>ת</w:t>
      </w:r>
      <w:r w:rsidRPr="00AA5065">
        <w:rPr>
          <w:rFonts w:eastAsia="Calibri"/>
          <w:rtl/>
        </w:rPr>
        <w:t xml:space="preserve"> נהגים מפ</w:t>
      </w:r>
      <w:r w:rsidRPr="00AA5065">
        <w:rPr>
          <w:rFonts w:eastAsia="Calibri" w:hint="cs"/>
          <w:rtl/>
        </w:rPr>
        <w:t>י</w:t>
      </w:r>
      <w:r w:rsidRPr="00AA5065">
        <w:rPr>
          <w:rFonts w:eastAsia="Calibri"/>
          <w:rtl/>
        </w:rPr>
        <w:t>רי חוק, ובכלל ז</w:t>
      </w:r>
      <w:r w:rsidRPr="00AA5065">
        <w:rPr>
          <w:rFonts w:eastAsia="Calibri" w:hint="cs"/>
          <w:rtl/>
        </w:rPr>
        <w:t>ה נדרש לנקוט צעדים שירחיקו</w:t>
      </w:r>
      <w:r w:rsidRPr="00AA5065">
        <w:rPr>
          <w:rFonts w:eastAsia="Calibri"/>
          <w:rtl/>
        </w:rPr>
        <w:t xml:space="preserve"> </w:t>
      </w:r>
      <w:r w:rsidRPr="00AA5065">
        <w:rPr>
          <w:rFonts w:eastAsia="Calibri" w:hint="cs"/>
          <w:rtl/>
        </w:rPr>
        <w:t xml:space="preserve">מהכביש </w:t>
      </w:r>
      <w:r w:rsidRPr="00AA5065">
        <w:rPr>
          <w:rFonts w:eastAsia="Calibri"/>
          <w:rtl/>
        </w:rPr>
        <w:t xml:space="preserve">נהגים שביצעו עבירות חמורות ומסכנות </w:t>
      </w:r>
      <w:r w:rsidRPr="00AA5065">
        <w:rPr>
          <w:rFonts w:eastAsia="Calibri" w:hint="cs"/>
          <w:rtl/>
        </w:rPr>
        <w:t xml:space="preserve">חיים או </w:t>
      </w:r>
      <w:r w:rsidRPr="00AA5065">
        <w:rPr>
          <w:rFonts w:eastAsia="Calibri"/>
          <w:rtl/>
        </w:rPr>
        <w:t xml:space="preserve">נהגים </w:t>
      </w:r>
      <w:r w:rsidRPr="00AA5065">
        <w:rPr>
          <w:rFonts w:eastAsia="Calibri" w:hint="cs"/>
          <w:rtl/>
        </w:rPr>
        <w:t>שנהגו ברשלנות ו</w:t>
      </w:r>
      <w:r w:rsidRPr="00AA5065">
        <w:rPr>
          <w:rFonts w:eastAsia="Calibri"/>
          <w:rtl/>
        </w:rPr>
        <w:t>גרמו לתאונות דרכים</w:t>
      </w:r>
      <w:r w:rsidRPr="00AA5065">
        <w:rPr>
          <w:rFonts w:eastAsia="Calibri" w:hint="cs"/>
          <w:rtl/>
        </w:rPr>
        <w:t>,</w:t>
      </w:r>
      <w:r w:rsidRPr="00AA5065">
        <w:rPr>
          <w:rFonts w:eastAsia="Calibri"/>
          <w:rtl/>
        </w:rPr>
        <w:t xml:space="preserve"> ו</w:t>
      </w:r>
      <w:r w:rsidRPr="00AA5065">
        <w:rPr>
          <w:rFonts w:eastAsia="Calibri" w:hint="cs"/>
          <w:rtl/>
        </w:rPr>
        <w:t xml:space="preserve">הם </w:t>
      </w:r>
      <w:r w:rsidRPr="00AA5065">
        <w:rPr>
          <w:rFonts w:eastAsia="Calibri"/>
          <w:rtl/>
        </w:rPr>
        <w:t xml:space="preserve">צפויים להמשיך ולסכן את משתמשי הדרך; וכן </w:t>
      </w:r>
      <w:r w:rsidRPr="00AA5065">
        <w:rPr>
          <w:rFonts w:eastAsia="Calibri" w:hint="cs"/>
          <w:rtl/>
        </w:rPr>
        <w:t>נדרש</w:t>
      </w:r>
      <w:r w:rsidRPr="00AA5065">
        <w:rPr>
          <w:rFonts w:eastAsia="Calibri"/>
          <w:rtl/>
        </w:rPr>
        <w:t xml:space="preserve"> לחנך </w:t>
      </w:r>
      <w:r w:rsidRPr="00AA5065">
        <w:rPr>
          <w:rFonts w:eastAsia="Calibri" w:hint="cs"/>
          <w:rtl/>
        </w:rPr>
        <w:t xml:space="preserve">משתמשי הדרך </w:t>
      </w:r>
      <w:r w:rsidRPr="00AA5065">
        <w:rPr>
          <w:rFonts w:eastAsia="Calibri"/>
          <w:rtl/>
        </w:rPr>
        <w:t>לתרבות של בטיחות בדרכים</w:t>
      </w:r>
      <w:r w:rsidRPr="00AA5065">
        <w:rPr>
          <w:rFonts w:eastAsia="Calibri" w:hint="cs"/>
          <w:rtl/>
        </w:rPr>
        <w:t>.</w:t>
      </w:r>
    </w:p>
    <w:p w:rsidR="00E96206" w:rsidP="00860D89">
      <w:pPr>
        <w:spacing w:line="269" w:lineRule="auto"/>
        <w:rPr>
          <w:rFonts w:eastAsia="Calibri"/>
          <w:szCs w:val="20"/>
          <w:rtl/>
        </w:rPr>
      </w:pPr>
    </w:p>
    <w:p w:rsidR="00AA5065" w:rsidRPr="00AA5065" w:rsidP="00860D89">
      <w:pPr>
        <w:spacing w:line="269" w:lineRule="auto"/>
        <w:rPr>
          <w:rFonts w:eastAsia="Calibri"/>
          <w:rtl/>
        </w:rPr>
      </w:pPr>
      <w:r w:rsidRPr="00AA5065">
        <w:rPr>
          <w:rFonts w:eastAsia="Calibri"/>
          <w:rtl/>
        </w:rPr>
        <w:t xml:space="preserve">אכיפת חוקי התנועה </w:t>
      </w:r>
      <w:r w:rsidRPr="00AA5065">
        <w:rPr>
          <w:rFonts w:eastAsia="Calibri" w:hint="cs"/>
          <w:rtl/>
        </w:rPr>
        <w:t xml:space="preserve">מהווה </w:t>
      </w:r>
      <w:r w:rsidRPr="00AA5065">
        <w:rPr>
          <w:rFonts w:eastAsia="Calibri"/>
          <w:rtl/>
        </w:rPr>
        <w:t xml:space="preserve">אחד הכלים </w:t>
      </w:r>
      <w:r w:rsidRPr="00AA5065">
        <w:rPr>
          <w:rFonts w:eastAsia="Calibri" w:hint="cs"/>
          <w:rtl/>
        </w:rPr>
        <w:t>המרכזיים והחשובים</w:t>
      </w:r>
      <w:r w:rsidRPr="00AA5065">
        <w:rPr>
          <w:rFonts w:eastAsia="Calibri"/>
          <w:rtl/>
        </w:rPr>
        <w:t xml:space="preserve"> </w:t>
      </w:r>
      <w:r w:rsidRPr="00AA5065">
        <w:rPr>
          <w:rFonts w:eastAsia="Calibri" w:hint="cs"/>
          <w:rtl/>
        </w:rPr>
        <w:t>ב</w:t>
      </w:r>
      <w:r w:rsidRPr="00AA5065">
        <w:rPr>
          <w:rFonts w:eastAsia="Calibri"/>
          <w:rtl/>
        </w:rPr>
        <w:t>מאבק בתאונות הדרכים</w:t>
      </w:r>
      <w:r w:rsidRPr="00AA5065">
        <w:rPr>
          <w:rFonts w:eastAsia="Calibri" w:hint="cs"/>
          <w:rtl/>
        </w:rPr>
        <w:t>.</w:t>
      </w:r>
      <w:r w:rsidRPr="00AA5065">
        <w:rPr>
          <w:rFonts w:eastAsia="Calibri"/>
          <w:rtl/>
        </w:rPr>
        <w:t xml:space="preserve"> אכיפה </w:t>
      </w:r>
      <w:r w:rsidRPr="00AA5065">
        <w:rPr>
          <w:rFonts w:eastAsia="Calibri" w:hint="cs"/>
          <w:rtl/>
        </w:rPr>
        <w:t>אפקטיבית,</w:t>
      </w:r>
      <w:r w:rsidRPr="00AA5065">
        <w:rPr>
          <w:rFonts w:eastAsia="Calibri"/>
          <w:rtl/>
        </w:rPr>
        <w:t xml:space="preserve"> בשילוב חינוך לבטיחות בדרכים</w:t>
      </w:r>
      <w:r w:rsidRPr="00AA5065">
        <w:rPr>
          <w:rFonts w:eastAsia="Calibri" w:hint="cs"/>
          <w:rtl/>
        </w:rPr>
        <w:t>,</w:t>
      </w:r>
      <w:r w:rsidRPr="00AA5065">
        <w:rPr>
          <w:rFonts w:eastAsia="Calibri"/>
          <w:rtl/>
        </w:rPr>
        <w:t xml:space="preserve"> </w:t>
      </w:r>
      <w:r w:rsidRPr="00AA5065">
        <w:rPr>
          <w:rFonts w:eastAsia="Calibri" w:hint="cs"/>
          <w:rtl/>
        </w:rPr>
        <w:t>תתרום</w:t>
      </w:r>
      <w:r w:rsidRPr="00AA5065">
        <w:rPr>
          <w:rFonts w:eastAsia="Calibri"/>
          <w:rtl/>
        </w:rPr>
        <w:t xml:space="preserve"> </w:t>
      </w:r>
      <w:r w:rsidRPr="00AA5065">
        <w:rPr>
          <w:rFonts w:eastAsia="Calibri" w:hint="cs"/>
          <w:rtl/>
        </w:rPr>
        <w:t>להעלאת</w:t>
      </w:r>
      <w:r w:rsidRPr="00AA5065">
        <w:rPr>
          <w:rFonts w:eastAsia="Calibri"/>
          <w:rtl/>
        </w:rPr>
        <w:t xml:space="preserve"> רמת הציות של משתמשי הדרך </w:t>
      </w:r>
      <w:r w:rsidRPr="00AA5065">
        <w:rPr>
          <w:rFonts w:eastAsia="Calibri" w:hint="cs"/>
          <w:rtl/>
        </w:rPr>
        <w:t>ותסייע</w:t>
      </w:r>
      <w:r w:rsidRPr="00AA5065">
        <w:rPr>
          <w:rFonts w:eastAsia="Calibri"/>
          <w:rtl/>
        </w:rPr>
        <w:t xml:space="preserve"> </w:t>
      </w:r>
      <w:r w:rsidRPr="00AA5065">
        <w:rPr>
          <w:rFonts w:eastAsia="Calibri" w:hint="cs"/>
          <w:rtl/>
        </w:rPr>
        <w:t xml:space="preserve">ביצירת </w:t>
      </w:r>
      <w:r w:rsidRPr="00AA5065">
        <w:rPr>
          <w:rFonts w:eastAsia="Calibri"/>
          <w:rtl/>
        </w:rPr>
        <w:t xml:space="preserve">שינוי </w:t>
      </w:r>
      <w:r w:rsidRPr="00AA5065">
        <w:rPr>
          <w:rFonts w:eastAsia="Calibri" w:hint="cs"/>
          <w:rtl/>
        </w:rPr>
        <w:t xml:space="preserve">ממשי </w:t>
      </w:r>
      <w:r w:rsidRPr="00AA5065">
        <w:rPr>
          <w:rFonts w:eastAsia="Calibri"/>
          <w:rtl/>
        </w:rPr>
        <w:t xml:space="preserve">בנורמות </w:t>
      </w:r>
      <w:r w:rsidRPr="00AA5065">
        <w:rPr>
          <w:rFonts w:eastAsia="Calibri" w:hint="cs"/>
          <w:rtl/>
        </w:rPr>
        <w:t>ההתנהגות</w:t>
      </w:r>
      <w:r w:rsidRPr="00AA5065">
        <w:rPr>
          <w:rFonts w:eastAsia="Calibri"/>
          <w:rtl/>
        </w:rPr>
        <w:t xml:space="preserve"> ובתרבות הנהיגה בישראל</w:t>
      </w:r>
      <w:r w:rsidRPr="00AA5065">
        <w:rPr>
          <w:rFonts w:eastAsia="Calibri" w:hint="cs"/>
          <w:rtl/>
        </w:rPr>
        <w:t>.</w:t>
      </w:r>
    </w:p>
    <w:p w:rsidR="00AA5065" w:rsidRPr="00AA5065" w:rsidP="00860D89">
      <w:pPr>
        <w:spacing w:line="269" w:lineRule="auto"/>
        <w:ind w:left="-567"/>
        <w:rPr>
          <w:rFonts w:eastAsia="Calibri"/>
          <w:szCs w:val="20"/>
          <w:rtl/>
        </w:rPr>
      </w:pPr>
    </w:p>
    <w:p w:rsidR="00AA5065" w:rsidP="00860D89">
      <w:pPr>
        <w:spacing w:line="269" w:lineRule="auto"/>
        <w:rPr>
          <w:rFonts w:eastAsia="Calibri"/>
          <w:rtl/>
        </w:rPr>
      </w:pPr>
      <w:r w:rsidRPr="00AA5065">
        <w:rPr>
          <w:rFonts w:eastAsia="Calibri"/>
          <w:rtl/>
        </w:rPr>
        <w:t>את תאונות הדרכים נהוג לסווג על פי חומרת הפגיעה במעורבים. להלן ההגדרות המקובלות</w:t>
      </w:r>
      <w:r w:rsidRPr="00AA5065">
        <w:rPr>
          <w:rFonts w:eastAsia="Calibri"/>
        </w:rPr>
        <w:t xml:space="preserve"> </w:t>
      </w:r>
      <w:r w:rsidRPr="00AA5065">
        <w:rPr>
          <w:rFonts w:eastAsia="Calibri"/>
          <w:rtl/>
        </w:rPr>
        <w:t>בקרב גורמי המקצו</w:t>
      </w:r>
      <w:r w:rsidRPr="00AA5065">
        <w:rPr>
          <w:rFonts w:eastAsia="Calibri" w:hint="cs"/>
          <w:rtl/>
        </w:rPr>
        <w:t>ע</w:t>
      </w:r>
      <w:r>
        <w:rPr>
          <w:rFonts w:eastAsia="Calibri"/>
          <w:vertAlign w:val="superscript"/>
          <w:rtl/>
        </w:rPr>
        <w:footnoteReference w:id="130"/>
      </w:r>
      <w:r w:rsidRPr="00AA5065">
        <w:rPr>
          <w:rFonts w:eastAsia="Calibri" w:hint="cs"/>
          <w:rtl/>
        </w:rPr>
        <w:t>:</w:t>
      </w:r>
    </w:p>
    <w:p w:rsidR="00306A17" w:rsidRPr="00AA5065" w:rsidP="00860D89">
      <w:pPr>
        <w:spacing w:line="269" w:lineRule="auto"/>
        <w:rPr>
          <w:rFonts w:eastAsia="Calibri"/>
        </w:rPr>
      </w:pPr>
    </w:p>
    <w:p w:rsidR="00AA5065" w:rsidP="00860D89">
      <w:pPr>
        <w:numPr>
          <w:ilvl w:val="0"/>
          <w:numId w:val="22"/>
        </w:numPr>
        <w:spacing w:line="269" w:lineRule="auto"/>
        <w:contextualSpacing/>
        <w:jc w:val="left"/>
        <w:rPr>
          <w:rFonts w:ascii="David" w:eastAsia="Calibri" w:hAnsi="David"/>
          <w:sz w:val="24"/>
        </w:rPr>
      </w:pPr>
      <w:r w:rsidRPr="00AA5065">
        <w:rPr>
          <w:rFonts w:ascii="David" w:eastAsia="Times New Roman" w:hAnsi="David" w:hint="eastAsia"/>
          <w:bCs/>
          <w:spacing w:val="40"/>
          <w:sz w:val="24"/>
          <w:rtl/>
        </w:rPr>
        <w:t>תאונת</w:t>
      </w:r>
      <w:r w:rsidRPr="00AA5065">
        <w:rPr>
          <w:rFonts w:ascii="David" w:eastAsia="Times New Roman" w:hAnsi="David"/>
          <w:bCs/>
          <w:spacing w:val="40"/>
          <w:sz w:val="24"/>
          <w:rtl/>
        </w:rPr>
        <w:t xml:space="preserve"> </w:t>
      </w:r>
      <w:r w:rsidRPr="00AA5065">
        <w:rPr>
          <w:rFonts w:ascii="David" w:eastAsia="Times New Roman" w:hAnsi="David" w:hint="eastAsia"/>
          <w:bCs/>
          <w:spacing w:val="40"/>
          <w:sz w:val="24"/>
          <w:rtl/>
        </w:rPr>
        <w:t>דרכים</w:t>
      </w:r>
      <w:r w:rsidRPr="00AA5065">
        <w:rPr>
          <w:rFonts w:ascii="David" w:eastAsia="Times New Roman" w:hAnsi="David"/>
          <w:bCs/>
          <w:spacing w:val="40"/>
          <w:sz w:val="24"/>
          <w:rtl/>
        </w:rPr>
        <w:t xml:space="preserve"> </w:t>
      </w:r>
      <w:r w:rsidRPr="00AA5065">
        <w:rPr>
          <w:rFonts w:ascii="David" w:eastAsia="Times New Roman" w:hAnsi="David" w:hint="eastAsia"/>
          <w:bCs/>
          <w:spacing w:val="40"/>
          <w:sz w:val="24"/>
          <w:rtl/>
        </w:rPr>
        <w:t>עם</w:t>
      </w:r>
      <w:r w:rsidRPr="00AA5065">
        <w:rPr>
          <w:rFonts w:ascii="David" w:eastAsia="Times New Roman" w:hAnsi="David"/>
          <w:bCs/>
          <w:spacing w:val="40"/>
          <w:sz w:val="24"/>
          <w:rtl/>
        </w:rPr>
        <w:t xml:space="preserve"> </w:t>
      </w:r>
      <w:r w:rsidRPr="00AA5065">
        <w:rPr>
          <w:rFonts w:ascii="David" w:eastAsia="Times New Roman" w:hAnsi="David" w:hint="eastAsia"/>
          <w:bCs/>
          <w:spacing w:val="40"/>
          <w:sz w:val="24"/>
          <w:rtl/>
        </w:rPr>
        <w:t>נפגעים</w:t>
      </w:r>
      <w:r w:rsidRPr="00AA5065">
        <w:rPr>
          <w:rFonts w:ascii="David" w:eastAsia="Calibri" w:hAnsi="David" w:hint="cs"/>
          <w:b/>
          <w:bCs/>
          <w:sz w:val="24"/>
          <w:rtl/>
        </w:rPr>
        <w:t>:</w:t>
      </w:r>
      <w:r w:rsidRPr="00AA5065">
        <w:rPr>
          <w:rFonts w:ascii="David" w:eastAsia="Calibri" w:hAnsi="David" w:hint="cs"/>
          <w:sz w:val="24"/>
          <w:rtl/>
        </w:rPr>
        <w:t xml:space="preserve"> </w:t>
      </w:r>
      <w:r w:rsidRPr="00AA5065">
        <w:rPr>
          <w:rFonts w:ascii="David" w:eastAsia="Calibri" w:hAnsi="David"/>
          <w:sz w:val="24"/>
          <w:rtl/>
        </w:rPr>
        <w:t xml:space="preserve">תאונת דרכים שמעורב בה </w:t>
      </w:r>
      <w:r w:rsidRPr="00AA5065">
        <w:rPr>
          <w:rFonts w:ascii="David" w:eastAsia="Calibri" w:hAnsi="David" w:hint="cs"/>
          <w:sz w:val="24"/>
          <w:rtl/>
        </w:rPr>
        <w:t xml:space="preserve">לפחות </w:t>
      </w:r>
      <w:r w:rsidRPr="00AA5065">
        <w:rPr>
          <w:rFonts w:ascii="David" w:eastAsia="Calibri" w:hAnsi="David"/>
          <w:sz w:val="24"/>
          <w:rtl/>
        </w:rPr>
        <w:t>כלי רכב אחד בנסיעה</w:t>
      </w:r>
      <w:r w:rsidRPr="00AA5065">
        <w:rPr>
          <w:rFonts w:ascii="David" w:eastAsia="Calibri" w:hAnsi="David" w:hint="cs"/>
          <w:sz w:val="24"/>
          <w:rtl/>
        </w:rPr>
        <w:t xml:space="preserve"> </w:t>
      </w:r>
      <w:r w:rsidRPr="00AA5065">
        <w:rPr>
          <w:rFonts w:ascii="David" w:eastAsia="Calibri" w:hAnsi="David"/>
          <w:sz w:val="24"/>
          <w:rtl/>
        </w:rPr>
        <w:t xml:space="preserve">ושנפצע או נהרג בה </w:t>
      </w:r>
      <w:r w:rsidRPr="00AA5065">
        <w:rPr>
          <w:rFonts w:ascii="David" w:eastAsia="Calibri" w:hAnsi="David" w:hint="cs"/>
          <w:sz w:val="24"/>
          <w:rtl/>
        </w:rPr>
        <w:t xml:space="preserve">לפחות </w:t>
      </w:r>
      <w:r w:rsidRPr="00AA5065">
        <w:rPr>
          <w:rFonts w:ascii="David" w:eastAsia="Calibri" w:hAnsi="David"/>
          <w:sz w:val="24"/>
          <w:rtl/>
        </w:rPr>
        <w:t>אדם אחד</w:t>
      </w:r>
      <w:r w:rsidRPr="00AA5065">
        <w:rPr>
          <w:rFonts w:ascii="David" w:eastAsia="Calibri" w:hAnsi="David" w:hint="cs"/>
          <w:sz w:val="24"/>
          <w:rtl/>
        </w:rPr>
        <w:t>.</w:t>
      </w:r>
    </w:p>
    <w:p w:rsidR="00844246" w:rsidRPr="00AA5065" w:rsidP="00844246">
      <w:pPr>
        <w:spacing w:line="269" w:lineRule="auto"/>
        <w:ind w:left="340"/>
        <w:contextualSpacing/>
        <w:jc w:val="left"/>
        <w:rPr>
          <w:rFonts w:ascii="David" w:eastAsia="Calibri" w:hAnsi="David"/>
          <w:sz w:val="24"/>
          <w:rtl/>
        </w:rPr>
      </w:pPr>
    </w:p>
    <w:p w:rsidR="00AA5065" w:rsidP="00860D89">
      <w:pPr>
        <w:numPr>
          <w:ilvl w:val="0"/>
          <w:numId w:val="22"/>
        </w:numPr>
        <w:spacing w:line="269" w:lineRule="auto"/>
        <w:contextualSpacing/>
        <w:jc w:val="left"/>
        <w:rPr>
          <w:rFonts w:ascii="David" w:eastAsia="Calibri" w:hAnsi="David"/>
          <w:sz w:val="24"/>
        </w:rPr>
      </w:pPr>
      <w:r w:rsidRPr="00AA5065">
        <w:rPr>
          <w:rFonts w:ascii="David" w:eastAsia="Times New Roman" w:hAnsi="David" w:hint="eastAsia"/>
          <w:bCs/>
          <w:spacing w:val="40"/>
          <w:sz w:val="24"/>
          <w:rtl/>
        </w:rPr>
        <w:t>תאונת</w:t>
      </w:r>
      <w:r w:rsidRPr="00AA5065">
        <w:rPr>
          <w:rFonts w:ascii="David" w:eastAsia="Times New Roman" w:hAnsi="David"/>
          <w:bCs/>
          <w:spacing w:val="40"/>
          <w:sz w:val="24"/>
          <w:rtl/>
        </w:rPr>
        <w:t xml:space="preserve"> </w:t>
      </w:r>
      <w:r w:rsidRPr="00AA5065">
        <w:rPr>
          <w:rFonts w:ascii="David" w:eastAsia="Times New Roman" w:hAnsi="David" w:hint="eastAsia"/>
          <w:bCs/>
          <w:spacing w:val="40"/>
          <w:sz w:val="24"/>
          <w:rtl/>
        </w:rPr>
        <w:t>דרכים</w:t>
      </w:r>
      <w:r w:rsidRPr="00AA5065">
        <w:rPr>
          <w:rFonts w:ascii="David" w:eastAsia="Times New Roman" w:hAnsi="David"/>
          <w:bCs/>
          <w:spacing w:val="40"/>
          <w:sz w:val="24"/>
          <w:rtl/>
        </w:rPr>
        <w:t xml:space="preserve"> </w:t>
      </w:r>
      <w:r w:rsidRPr="00AA5065">
        <w:rPr>
          <w:rFonts w:ascii="David" w:eastAsia="Times New Roman" w:hAnsi="David" w:hint="eastAsia"/>
          <w:bCs/>
          <w:spacing w:val="40"/>
          <w:sz w:val="24"/>
          <w:rtl/>
        </w:rPr>
        <w:t>קלה</w:t>
      </w:r>
      <w:r w:rsidRPr="00AA5065">
        <w:rPr>
          <w:rFonts w:ascii="David" w:eastAsia="Calibri" w:hAnsi="David" w:hint="cs"/>
          <w:b/>
          <w:bCs/>
          <w:sz w:val="24"/>
          <w:rtl/>
        </w:rPr>
        <w:t>:</w:t>
      </w:r>
      <w:r w:rsidRPr="00AA5065">
        <w:rPr>
          <w:rFonts w:ascii="David" w:eastAsia="Calibri" w:hAnsi="David" w:hint="cs"/>
          <w:sz w:val="24"/>
          <w:rtl/>
        </w:rPr>
        <w:t xml:space="preserve"> ת</w:t>
      </w:r>
      <w:r w:rsidRPr="00AA5065">
        <w:rPr>
          <w:rFonts w:ascii="David" w:eastAsia="Calibri" w:hAnsi="David"/>
          <w:sz w:val="24"/>
          <w:rtl/>
        </w:rPr>
        <w:t>אונת דרכים שלא היו בה הרוגים, ואף אדם מהמעורבים בה לא</w:t>
      </w:r>
      <w:r w:rsidRPr="00AA5065">
        <w:rPr>
          <w:rFonts w:ascii="David" w:eastAsia="Calibri" w:hAnsi="David" w:hint="cs"/>
          <w:sz w:val="24"/>
          <w:rtl/>
        </w:rPr>
        <w:t xml:space="preserve"> </w:t>
      </w:r>
      <w:r w:rsidRPr="00AA5065">
        <w:rPr>
          <w:rFonts w:ascii="David" w:eastAsia="Calibri" w:hAnsi="David"/>
          <w:sz w:val="24"/>
          <w:rtl/>
        </w:rPr>
        <w:t>נפצע פציעה קשה, אך אדם נפגע בה פגיעה ממשית בגופו</w:t>
      </w:r>
      <w:r w:rsidRPr="00AA5065">
        <w:rPr>
          <w:rFonts w:ascii="David" w:eastAsia="Calibri" w:hAnsi="David" w:hint="cs"/>
          <w:sz w:val="24"/>
          <w:rtl/>
        </w:rPr>
        <w:t>.</w:t>
      </w:r>
    </w:p>
    <w:p w:rsidR="00844246" w:rsidRPr="00AA5065" w:rsidP="00844246">
      <w:pPr>
        <w:spacing w:line="269" w:lineRule="auto"/>
        <w:contextualSpacing/>
        <w:jc w:val="left"/>
        <w:rPr>
          <w:rFonts w:ascii="David" w:eastAsia="Calibri" w:hAnsi="David"/>
          <w:sz w:val="24"/>
        </w:rPr>
      </w:pPr>
    </w:p>
    <w:p w:rsidR="00AA5065" w:rsidP="00844246">
      <w:pPr>
        <w:numPr>
          <w:ilvl w:val="0"/>
          <w:numId w:val="22"/>
        </w:numPr>
        <w:spacing w:line="269" w:lineRule="auto"/>
        <w:contextualSpacing/>
        <w:rPr>
          <w:rFonts w:ascii="David" w:eastAsia="Calibri" w:hAnsi="David"/>
          <w:sz w:val="24"/>
        </w:rPr>
      </w:pPr>
      <w:r w:rsidRPr="00AA5065">
        <w:rPr>
          <w:rFonts w:ascii="David" w:eastAsia="Times New Roman" w:hAnsi="David" w:hint="eastAsia"/>
          <w:bCs/>
          <w:spacing w:val="40"/>
          <w:sz w:val="24"/>
          <w:rtl/>
        </w:rPr>
        <w:t>תאונת</w:t>
      </w:r>
      <w:r w:rsidRPr="00AA5065">
        <w:rPr>
          <w:rFonts w:ascii="David" w:eastAsia="Times New Roman" w:hAnsi="David"/>
          <w:bCs/>
          <w:spacing w:val="40"/>
          <w:sz w:val="24"/>
          <w:rtl/>
        </w:rPr>
        <w:t xml:space="preserve"> </w:t>
      </w:r>
      <w:r w:rsidRPr="00AA5065">
        <w:rPr>
          <w:rFonts w:ascii="David" w:eastAsia="Times New Roman" w:hAnsi="David" w:hint="eastAsia"/>
          <w:bCs/>
          <w:spacing w:val="40"/>
          <w:sz w:val="24"/>
          <w:rtl/>
        </w:rPr>
        <w:t>דרכים</w:t>
      </w:r>
      <w:r w:rsidRPr="00AA5065">
        <w:rPr>
          <w:rFonts w:ascii="David" w:eastAsia="Times New Roman" w:hAnsi="David"/>
          <w:bCs/>
          <w:spacing w:val="40"/>
          <w:sz w:val="24"/>
          <w:rtl/>
        </w:rPr>
        <w:t xml:space="preserve"> </w:t>
      </w:r>
      <w:r w:rsidRPr="00AA5065">
        <w:rPr>
          <w:rFonts w:ascii="David" w:eastAsia="Times New Roman" w:hAnsi="David" w:hint="eastAsia"/>
          <w:bCs/>
          <w:spacing w:val="40"/>
          <w:sz w:val="24"/>
          <w:rtl/>
        </w:rPr>
        <w:t>קשה</w:t>
      </w:r>
      <w:r w:rsidRPr="00AA5065">
        <w:rPr>
          <w:rFonts w:ascii="David" w:eastAsia="Calibri" w:hAnsi="David" w:hint="cs"/>
          <w:b/>
          <w:bCs/>
          <w:sz w:val="24"/>
          <w:rtl/>
        </w:rPr>
        <w:t>:</w:t>
      </w:r>
      <w:r w:rsidRPr="00AA5065">
        <w:rPr>
          <w:rFonts w:ascii="David" w:eastAsia="Calibri" w:hAnsi="David"/>
          <w:sz w:val="24"/>
          <w:rtl/>
        </w:rPr>
        <w:t xml:space="preserve"> תאונת דרכים שלא היו בה הרוגים, אך היה בה </w:t>
      </w:r>
      <w:r w:rsidRPr="00AA5065">
        <w:rPr>
          <w:rFonts w:ascii="David" w:eastAsia="Calibri" w:hAnsi="David" w:hint="cs"/>
          <w:sz w:val="24"/>
          <w:rtl/>
        </w:rPr>
        <w:t xml:space="preserve">לפחות </w:t>
      </w:r>
      <w:r w:rsidRPr="00AA5065">
        <w:rPr>
          <w:rFonts w:ascii="David" w:eastAsia="Calibri" w:hAnsi="David"/>
          <w:sz w:val="24"/>
          <w:rtl/>
        </w:rPr>
        <w:t>פצוע קשה אחד</w:t>
      </w:r>
      <w:r w:rsidRPr="00AA5065">
        <w:rPr>
          <w:rFonts w:ascii="David" w:eastAsia="Calibri" w:hAnsi="David" w:hint="cs"/>
          <w:sz w:val="24"/>
          <w:rtl/>
        </w:rPr>
        <w:t>.</w:t>
      </w:r>
    </w:p>
    <w:p w:rsidR="00844246" w:rsidRPr="00AA5065" w:rsidP="00844246">
      <w:pPr>
        <w:spacing w:line="269" w:lineRule="auto"/>
        <w:contextualSpacing/>
        <w:rPr>
          <w:rFonts w:ascii="David" w:eastAsia="Calibri" w:hAnsi="David"/>
          <w:sz w:val="24"/>
        </w:rPr>
      </w:pPr>
    </w:p>
    <w:p w:rsidR="00AA5065" w:rsidP="00844246">
      <w:pPr>
        <w:numPr>
          <w:ilvl w:val="0"/>
          <w:numId w:val="22"/>
        </w:numPr>
        <w:spacing w:line="269" w:lineRule="auto"/>
        <w:contextualSpacing/>
        <w:rPr>
          <w:rFonts w:ascii="David" w:eastAsia="Calibri" w:hAnsi="David"/>
          <w:sz w:val="24"/>
        </w:rPr>
      </w:pPr>
      <w:r w:rsidRPr="00AA5065">
        <w:rPr>
          <w:rFonts w:ascii="David" w:eastAsia="Times New Roman" w:hAnsi="David" w:hint="eastAsia"/>
          <w:bCs/>
          <w:spacing w:val="40"/>
          <w:sz w:val="24"/>
          <w:rtl/>
        </w:rPr>
        <w:t>תאונת</w:t>
      </w:r>
      <w:r w:rsidRPr="00AA5065">
        <w:rPr>
          <w:rFonts w:ascii="David" w:eastAsia="Times New Roman" w:hAnsi="David"/>
          <w:bCs/>
          <w:spacing w:val="40"/>
          <w:sz w:val="24"/>
          <w:rtl/>
        </w:rPr>
        <w:t xml:space="preserve"> </w:t>
      </w:r>
      <w:r w:rsidRPr="00AA5065">
        <w:rPr>
          <w:rFonts w:ascii="David" w:eastAsia="Times New Roman" w:hAnsi="David" w:hint="eastAsia"/>
          <w:bCs/>
          <w:spacing w:val="40"/>
          <w:sz w:val="24"/>
          <w:rtl/>
        </w:rPr>
        <w:t>דרכים</w:t>
      </w:r>
      <w:r w:rsidRPr="00AA5065">
        <w:rPr>
          <w:rFonts w:ascii="David" w:eastAsia="Times New Roman" w:hAnsi="David"/>
          <w:bCs/>
          <w:spacing w:val="40"/>
          <w:sz w:val="24"/>
          <w:rtl/>
        </w:rPr>
        <w:t xml:space="preserve"> </w:t>
      </w:r>
      <w:r w:rsidRPr="00AA5065">
        <w:rPr>
          <w:rFonts w:ascii="David" w:eastAsia="Times New Roman" w:hAnsi="David" w:hint="eastAsia"/>
          <w:bCs/>
          <w:spacing w:val="40"/>
          <w:sz w:val="24"/>
          <w:rtl/>
        </w:rPr>
        <w:t>קטלנית</w:t>
      </w:r>
      <w:r w:rsidRPr="00AA5065">
        <w:rPr>
          <w:rFonts w:ascii="David" w:eastAsia="Calibri" w:hAnsi="David"/>
          <w:b/>
          <w:bCs/>
          <w:sz w:val="24"/>
          <w:rtl/>
        </w:rPr>
        <w:t>:</w:t>
      </w:r>
      <w:r w:rsidRPr="00AA5065">
        <w:rPr>
          <w:rFonts w:ascii="David" w:eastAsia="Calibri" w:hAnsi="David"/>
          <w:sz w:val="24"/>
          <w:rtl/>
        </w:rPr>
        <w:t xml:space="preserve"> תאונת דרכים שנהרג בה </w:t>
      </w:r>
      <w:r w:rsidRPr="00AA5065">
        <w:rPr>
          <w:rFonts w:ascii="David" w:eastAsia="Calibri" w:hAnsi="David" w:hint="cs"/>
          <w:sz w:val="24"/>
          <w:rtl/>
        </w:rPr>
        <w:t xml:space="preserve">לפחות </w:t>
      </w:r>
      <w:r w:rsidRPr="00AA5065">
        <w:rPr>
          <w:rFonts w:ascii="David" w:eastAsia="Calibri" w:hAnsi="David"/>
          <w:sz w:val="24"/>
          <w:rtl/>
        </w:rPr>
        <w:t>אדם אחד או שאחד הפצועים</w:t>
      </w:r>
      <w:r w:rsidRPr="00AA5065">
        <w:rPr>
          <w:rFonts w:ascii="David" w:eastAsia="Calibri" w:hAnsi="David" w:hint="cs"/>
          <w:sz w:val="24"/>
          <w:rtl/>
        </w:rPr>
        <w:t xml:space="preserve"> </w:t>
      </w:r>
      <w:r w:rsidRPr="00AA5065">
        <w:rPr>
          <w:rFonts w:ascii="David" w:eastAsia="Calibri" w:hAnsi="David"/>
          <w:sz w:val="24"/>
          <w:rtl/>
        </w:rPr>
        <w:t xml:space="preserve">בה נפטר בתוך </w:t>
      </w:r>
      <w:r w:rsidRPr="00AA5065">
        <w:rPr>
          <w:rFonts w:ascii="David" w:eastAsia="Calibri" w:hAnsi="David" w:hint="cs"/>
          <w:sz w:val="24"/>
          <w:rtl/>
        </w:rPr>
        <w:t>30</w:t>
      </w:r>
      <w:r w:rsidRPr="00AA5065">
        <w:rPr>
          <w:rFonts w:ascii="David" w:eastAsia="Calibri" w:hAnsi="David"/>
          <w:sz w:val="24"/>
          <w:rtl/>
        </w:rPr>
        <w:t xml:space="preserve"> יום מיום התאונה</w:t>
      </w:r>
      <w:r w:rsidRPr="00AA5065">
        <w:rPr>
          <w:rFonts w:ascii="David" w:eastAsia="Calibri" w:hAnsi="David" w:hint="cs"/>
          <w:sz w:val="24"/>
          <w:rtl/>
        </w:rPr>
        <w:t>.</w:t>
      </w:r>
    </w:p>
    <w:p w:rsidR="00844246" w:rsidRPr="00AA5065" w:rsidP="00844246">
      <w:pPr>
        <w:spacing w:line="269" w:lineRule="auto"/>
        <w:contextualSpacing/>
        <w:rPr>
          <w:rFonts w:ascii="David" w:eastAsia="Calibri" w:hAnsi="David"/>
          <w:sz w:val="24"/>
        </w:rPr>
      </w:pPr>
    </w:p>
    <w:p w:rsidR="00AA5065" w:rsidRPr="00AA5065" w:rsidP="00860D89">
      <w:pPr>
        <w:numPr>
          <w:ilvl w:val="0"/>
          <w:numId w:val="22"/>
        </w:numPr>
        <w:spacing w:line="269" w:lineRule="auto"/>
        <w:contextualSpacing/>
        <w:jc w:val="left"/>
        <w:rPr>
          <w:rFonts w:ascii="David" w:eastAsia="Calibri" w:hAnsi="David"/>
          <w:sz w:val="24"/>
        </w:rPr>
      </w:pPr>
      <w:r w:rsidRPr="00AA5065">
        <w:rPr>
          <w:rFonts w:ascii="David" w:eastAsia="Times New Roman" w:hAnsi="David" w:hint="eastAsia"/>
          <w:bCs/>
          <w:spacing w:val="40"/>
          <w:sz w:val="24"/>
          <w:rtl/>
        </w:rPr>
        <w:t>תאונת</w:t>
      </w:r>
      <w:r w:rsidRPr="00AA5065">
        <w:rPr>
          <w:rFonts w:ascii="David" w:eastAsia="Times New Roman" w:hAnsi="David"/>
          <w:bCs/>
          <w:spacing w:val="40"/>
          <w:sz w:val="24"/>
          <w:rtl/>
        </w:rPr>
        <w:t xml:space="preserve"> </w:t>
      </w:r>
      <w:r w:rsidRPr="00AA5065">
        <w:rPr>
          <w:rFonts w:ascii="David" w:eastAsia="Times New Roman" w:hAnsi="David" w:hint="eastAsia"/>
          <w:bCs/>
          <w:spacing w:val="40"/>
          <w:sz w:val="24"/>
          <w:rtl/>
        </w:rPr>
        <w:t>דרכים</w:t>
      </w:r>
      <w:r w:rsidRPr="00AA5065">
        <w:rPr>
          <w:rFonts w:ascii="David" w:eastAsia="Times New Roman" w:hAnsi="David"/>
          <w:bCs/>
          <w:spacing w:val="40"/>
          <w:sz w:val="24"/>
          <w:rtl/>
        </w:rPr>
        <w:t xml:space="preserve"> </w:t>
      </w:r>
      <w:r w:rsidRPr="00AA5065">
        <w:rPr>
          <w:rFonts w:ascii="David" w:eastAsia="Times New Roman" w:hAnsi="David" w:hint="eastAsia"/>
          <w:bCs/>
          <w:spacing w:val="40"/>
          <w:sz w:val="24"/>
          <w:rtl/>
        </w:rPr>
        <w:t>חמורה</w:t>
      </w:r>
      <w:r w:rsidRPr="00AA5065">
        <w:rPr>
          <w:rFonts w:ascii="David" w:eastAsia="Calibri" w:hAnsi="David"/>
          <w:b/>
          <w:bCs/>
          <w:sz w:val="24"/>
          <w:rtl/>
        </w:rPr>
        <w:t>:</w:t>
      </w:r>
      <w:r w:rsidRPr="00AA5065">
        <w:rPr>
          <w:rFonts w:ascii="David" w:eastAsia="Calibri" w:hAnsi="David"/>
          <w:sz w:val="24"/>
          <w:rtl/>
        </w:rPr>
        <w:t xml:space="preserve"> תאונת דרכים שהיה בה </w:t>
      </w:r>
      <w:r w:rsidRPr="00AA5065">
        <w:rPr>
          <w:rFonts w:ascii="David" w:eastAsia="Calibri" w:hAnsi="David" w:hint="cs"/>
          <w:sz w:val="24"/>
          <w:rtl/>
        </w:rPr>
        <w:t xml:space="preserve">לפחות </w:t>
      </w:r>
      <w:r w:rsidRPr="00AA5065">
        <w:rPr>
          <w:rFonts w:ascii="David" w:eastAsia="Calibri" w:hAnsi="David"/>
          <w:sz w:val="24"/>
          <w:rtl/>
        </w:rPr>
        <w:t>הרוג אחד או פצוע קשה אחד</w:t>
      </w:r>
      <w:r w:rsidRPr="00AA5065">
        <w:rPr>
          <w:rFonts w:ascii="David" w:eastAsia="Calibri" w:hAnsi="David"/>
          <w:sz w:val="24"/>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rtl/>
        </w:rPr>
      </w:pPr>
      <w:r w:rsidRPr="00AA5065">
        <w:rPr>
          <w:rFonts w:eastAsia="Calibri"/>
          <w:b/>
          <w:rtl/>
        </w:rPr>
        <w:t>כל מרכז שליטה מחוזי במשטר</w:t>
      </w:r>
      <w:r w:rsidRPr="00AA5065">
        <w:rPr>
          <w:rFonts w:eastAsia="Calibri" w:hint="cs"/>
          <w:b/>
          <w:rtl/>
        </w:rPr>
        <w:t>ה</w:t>
      </w:r>
      <w:r w:rsidRPr="00AA5065">
        <w:rPr>
          <w:rFonts w:eastAsia="Calibri"/>
          <w:b/>
          <w:rtl/>
        </w:rPr>
        <w:t xml:space="preserve"> (להלן - משל"ט) </w:t>
      </w:r>
      <w:r w:rsidRPr="00AA5065">
        <w:rPr>
          <w:rFonts w:eastAsia="Calibri" w:hint="cs"/>
          <w:b/>
          <w:rtl/>
        </w:rPr>
        <w:t xml:space="preserve">אמון על השליטה המבצעית ועל מתן השירות לכלל תושבי המחוז </w:t>
      </w:r>
      <w:r w:rsidRPr="00AA5065">
        <w:rPr>
          <w:rFonts w:eastAsia="Calibri"/>
          <w:b/>
          <w:rtl/>
        </w:rPr>
        <w:t xml:space="preserve">שבו הוא פועל. המגע הראשוני של התושב עם </w:t>
      </w:r>
      <w:r w:rsidRPr="00AA5065">
        <w:rPr>
          <w:rFonts w:eastAsia="Calibri" w:hint="cs"/>
          <w:b/>
          <w:rtl/>
        </w:rPr>
        <w:t>ה</w:t>
      </w:r>
      <w:r w:rsidRPr="00AA5065">
        <w:rPr>
          <w:rFonts w:eastAsia="Calibri"/>
          <w:b/>
          <w:rtl/>
        </w:rPr>
        <w:t>משטר</w:t>
      </w:r>
      <w:r w:rsidRPr="00AA5065">
        <w:rPr>
          <w:rFonts w:eastAsia="Calibri" w:hint="cs"/>
          <w:b/>
          <w:rtl/>
        </w:rPr>
        <w:t>ה</w:t>
      </w:r>
      <w:r w:rsidRPr="00AA5065">
        <w:rPr>
          <w:rFonts w:eastAsia="Calibri"/>
          <w:b/>
          <w:rtl/>
        </w:rPr>
        <w:t xml:space="preserve">, באמצעות חיוג ‏‏100, הוא עם </w:t>
      </w:r>
      <w:r w:rsidRPr="00AA5065">
        <w:rPr>
          <w:rFonts w:eastAsia="Calibri" w:hint="cs"/>
          <w:b/>
          <w:rtl/>
        </w:rPr>
        <w:t xml:space="preserve">מוקדני </w:t>
      </w:r>
      <w:r w:rsidRPr="00AA5065">
        <w:rPr>
          <w:rFonts w:eastAsia="Calibri"/>
          <w:b/>
          <w:rtl/>
        </w:rPr>
        <w:t>המשל"ט. במשל"ט מתרגמים את השיחה לאירוע ומעבירים אותו ל</w:t>
      </w:r>
      <w:r w:rsidRPr="00AA5065">
        <w:rPr>
          <w:rFonts w:eastAsia="Calibri" w:hint="cs"/>
          <w:b/>
          <w:rtl/>
        </w:rPr>
        <w:t>טיפול ה</w:t>
      </w:r>
      <w:r w:rsidRPr="00AA5065">
        <w:rPr>
          <w:rFonts w:eastAsia="Calibri"/>
          <w:b/>
          <w:rtl/>
        </w:rPr>
        <w:t>גורם הרלוונטי.‏</w:t>
      </w:r>
    </w:p>
    <w:p w:rsidR="00AA5065" w:rsidRPr="00AA5065" w:rsidP="00860D89">
      <w:pPr>
        <w:keepNext/>
        <w:keepLines/>
        <w:spacing w:line="269" w:lineRule="auto"/>
        <w:outlineLvl w:val="3"/>
        <w:rPr>
          <w:rFonts w:eastAsia="Times New Roman"/>
          <w:bCs/>
          <w:szCs w:val="26"/>
          <w:rtl/>
        </w:rPr>
      </w:pPr>
      <w:r w:rsidRPr="00AA5065">
        <w:rPr>
          <w:rFonts w:eastAsia="Times New Roman"/>
          <w:bCs/>
          <w:szCs w:val="26"/>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rtl/>
        </w:rPr>
      </w:pPr>
      <w:r w:rsidRPr="00AA5065">
        <w:rPr>
          <w:rFonts w:eastAsia="Calibri" w:hint="eastAsia"/>
          <w:b/>
          <w:rtl/>
        </w:rPr>
        <w:t>בביקורת</w:t>
      </w:r>
      <w:r w:rsidRPr="00AA5065">
        <w:rPr>
          <w:rFonts w:eastAsia="Calibri"/>
          <w:b/>
          <w:rtl/>
        </w:rPr>
        <w:t xml:space="preserve"> הקודמת נמצא כי בשנת 2018 התקבלו </w:t>
      </w:r>
      <w:r w:rsidRPr="00AA5065">
        <w:rPr>
          <w:rFonts w:eastAsia="Calibri" w:hint="eastAsia"/>
          <w:b/>
          <w:rtl/>
        </w:rPr>
        <w:t>במשל</w:t>
      </w:r>
      <w:r w:rsidRPr="00AA5065">
        <w:rPr>
          <w:rFonts w:eastAsia="Calibri"/>
          <w:b/>
          <w:rtl/>
        </w:rPr>
        <w:t xml:space="preserve">"ט דרום 4,411 </w:t>
      </w:r>
      <w:r w:rsidRPr="00AA5065">
        <w:rPr>
          <w:rFonts w:eastAsia="Calibri" w:hint="cs"/>
          <w:b/>
          <w:rtl/>
        </w:rPr>
        <w:t>פניות</w:t>
      </w:r>
      <w:r w:rsidRPr="00AA5065">
        <w:rPr>
          <w:rFonts w:eastAsia="Calibri"/>
          <w:b/>
          <w:rtl/>
        </w:rPr>
        <w:t>, מ</w:t>
      </w:r>
      <w:r w:rsidRPr="00AA5065">
        <w:rPr>
          <w:rFonts w:eastAsia="Calibri" w:hint="cs"/>
          <w:b/>
          <w:rtl/>
        </w:rPr>
        <w:t>הן</w:t>
      </w:r>
      <w:r w:rsidRPr="00AA5065">
        <w:rPr>
          <w:rFonts w:eastAsia="Calibri"/>
          <w:b/>
          <w:rtl/>
        </w:rPr>
        <w:t xml:space="preserve"> 3,637 </w:t>
      </w:r>
      <w:r w:rsidRPr="00AA5065">
        <w:rPr>
          <w:rFonts w:eastAsia="Calibri" w:hint="cs"/>
          <w:b/>
          <w:rtl/>
        </w:rPr>
        <w:t>פניות</w:t>
      </w:r>
      <w:r w:rsidRPr="00AA5065">
        <w:rPr>
          <w:rFonts w:eastAsia="Calibri"/>
          <w:b/>
          <w:rtl/>
        </w:rPr>
        <w:t xml:space="preserve"> </w:t>
      </w:r>
      <w:r w:rsidRPr="00AA5065">
        <w:rPr>
          <w:rFonts w:eastAsia="Calibri" w:hint="cs"/>
          <w:b/>
          <w:rtl/>
        </w:rPr>
        <w:t>בדבר</w:t>
      </w:r>
      <w:r w:rsidRPr="00AA5065">
        <w:rPr>
          <w:rFonts w:eastAsia="Calibri"/>
          <w:b/>
          <w:rtl/>
        </w:rPr>
        <w:t xml:space="preserve"> </w:t>
      </w:r>
      <w:r w:rsidRPr="00AA5065">
        <w:rPr>
          <w:rFonts w:eastAsia="Calibri" w:hint="eastAsia"/>
          <w:b/>
          <w:rtl/>
        </w:rPr>
        <w:t>בריונות</w:t>
      </w:r>
      <w:r w:rsidRPr="00AA5065">
        <w:rPr>
          <w:rFonts w:eastAsia="Calibri"/>
          <w:b/>
          <w:rtl/>
        </w:rPr>
        <w:t xml:space="preserve"> </w:t>
      </w:r>
      <w:r w:rsidRPr="00AA5065">
        <w:rPr>
          <w:rFonts w:eastAsia="Calibri" w:hint="eastAsia"/>
          <w:b/>
          <w:rtl/>
        </w:rPr>
        <w:t>בכביש</w:t>
      </w:r>
      <w:r w:rsidRPr="00AA5065">
        <w:rPr>
          <w:rFonts w:eastAsia="Calibri" w:hint="cs"/>
          <w:b/>
          <w:rtl/>
        </w:rPr>
        <w:t>ים (82.5%)</w:t>
      </w:r>
      <w:r w:rsidRPr="00AA5065">
        <w:rPr>
          <w:rFonts w:eastAsia="Calibri"/>
          <w:b/>
          <w:rtl/>
        </w:rPr>
        <w:t xml:space="preserve">, 34 </w:t>
      </w:r>
      <w:r w:rsidRPr="00AA5065">
        <w:rPr>
          <w:rFonts w:eastAsia="Calibri" w:hint="cs"/>
          <w:b/>
          <w:rtl/>
        </w:rPr>
        <w:t>פניות</w:t>
      </w:r>
      <w:r w:rsidRPr="00AA5065">
        <w:rPr>
          <w:rFonts w:eastAsia="Calibri"/>
          <w:b/>
          <w:rtl/>
        </w:rPr>
        <w:t xml:space="preserve"> </w:t>
      </w:r>
      <w:r w:rsidRPr="00AA5065">
        <w:rPr>
          <w:rFonts w:eastAsia="Calibri" w:hint="cs"/>
          <w:b/>
          <w:rtl/>
        </w:rPr>
        <w:t>בדבר</w:t>
      </w:r>
      <w:r w:rsidRPr="00AA5065">
        <w:rPr>
          <w:rFonts w:eastAsia="Calibri"/>
          <w:b/>
          <w:rtl/>
        </w:rPr>
        <w:t xml:space="preserve"> ירי בכבי</w:t>
      </w:r>
      <w:r w:rsidRPr="00AA5065">
        <w:rPr>
          <w:rFonts w:eastAsia="Calibri" w:hint="cs"/>
          <w:b/>
          <w:rtl/>
        </w:rPr>
        <w:t>שים (0.8%)</w:t>
      </w:r>
      <w:r w:rsidRPr="00AA5065">
        <w:rPr>
          <w:rFonts w:eastAsia="Calibri"/>
          <w:b/>
          <w:rtl/>
        </w:rPr>
        <w:t xml:space="preserve">, 178 </w:t>
      </w:r>
      <w:r w:rsidRPr="00AA5065">
        <w:rPr>
          <w:rFonts w:eastAsia="Calibri" w:hint="cs"/>
          <w:b/>
          <w:rtl/>
        </w:rPr>
        <w:t>פניות</w:t>
      </w:r>
      <w:r w:rsidRPr="00AA5065">
        <w:rPr>
          <w:rFonts w:eastAsia="Calibri"/>
          <w:b/>
          <w:rtl/>
        </w:rPr>
        <w:t xml:space="preserve"> </w:t>
      </w:r>
      <w:r w:rsidRPr="00AA5065">
        <w:rPr>
          <w:rFonts w:eastAsia="Calibri" w:hint="eastAsia"/>
          <w:b/>
          <w:rtl/>
        </w:rPr>
        <w:t>בדבר</w:t>
      </w:r>
      <w:r w:rsidRPr="00AA5065">
        <w:rPr>
          <w:rFonts w:eastAsia="Calibri"/>
          <w:b/>
          <w:rtl/>
        </w:rPr>
        <w:t xml:space="preserve"> </w:t>
      </w:r>
      <w:r w:rsidRPr="00AA5065">
        <w:rPr>
          <w:rFonts w:eastAsia="Calibri" w:hint="eastAsia"/>
          <w:b/>
          <w:rtl/>
        </w:rPr>
        <w:t>זריקת</w:t>
      </w:r>
      <w:r w:rsidRPr="00AA5065">
        <w:rPr>
          <w:rFonts w:eastAsia="Calibri"/>
          <w:b/>
          <w:rtl/>
        </w:rPr>
        <w:t xml:space="preserve"> </w:t>
      </w:r>
      <w:r w:rsidRPr="00AA5065">
        <w:rPr>
          <w:rFonts w:eastAsia="Calibri" w:hint="eastAsia"/>
          <w:b/>
          <w:rtl/>
        </w:rPr>
        <w:t>אבנים</w:t>
      </w:r>
      <w:r w:rsidRPr="00AA5065">
        <w:rPr>
          <w:rFonts w:eastAsia="Calibri"/>
          <w:b/>
          <w:rtl/>
        </w:rPr>
        <w:t xml:space="preserve"> </w:t>
      </w:r>
      <w:r w:rsidRPr="00AA5065">
        <w:rPr>
          <w:rFonts w:eastAsia="Calibri" w:hint="eastAsia"/>
          <w:b/>
          <w:rtl/>
        </w:rPr>
        <w:t>בכבי</w:t>
      </w:r>
      <w:r w:rsidRPr="00AA5065">
        <w:rPr>
          <w:rFonts w:eastAsia="Calibri" w:hint="cs"/>
          <w:b/>
          <w:rtl/>
        </w:rPr>
        <w:t>שים (4%)</w:t>
      </w:r>
      <w:r w:rsidRPr="00AA5065">
        <w:rPr>
          <w:rFonts w:eastAsia="Calibri"/>
          <w:b/>
          <w:rtl/>
        </w:rPr>
        <w:t xml:space="preserve"> </w:t>
      </w:r>
      <w:r w:rsidRPr="00AA5065">
        <w:rPr>
          <w:rFonts w:eastAsia="Calibri" w:hint="eastAsia"/>
          <w:b/>
          <w:rtl/>
        </w:rPr>
        <w:t>ועוד</w:t>
      </w:r>
      <w:r w:rsidRPr="00AA5065">
        <w:rPr>
          <w:rFonts w:eastAsia="Calibri"/>
          <w:b/>
          <w:rtl/>
        </w:rPr>
        <w:t xml:space="preserve"> 562 </w:t>
      </w:r>
      <w:r w:rsidRPr="00AA5065">
        <w:rPr>
          <w:rFonts w:eastAsia="Calibri" w:hint="cs"/>
          <w:b/>
          <w:rtl/>
        </w:rPr>
        <w:t>פניות</w:t>
      </w:r>
      <w:r w:rsidRPr="00AA5065">
        <w:rPr>
          <w:rFonts w:eastAsia="Calibri"/>
          <w:b/>
          <w:rtl/>
        </w:rPr>
        <w:t xml:space="preserve"> </w:t>
      </w:r>
      <w:r w:rsidRPr="00AA5065">
        <w:rPr>
          <w:rFonts w:eastAsia="Calibri" w:hint="eastAsia"/>
          <w:b/>
          <w:rtl/>
        </w:rPr>
        <w:t>ב</w:t>
      </w:r>
      <w:r w:rsidRPr="00AA5065">
        <w:rPr>
          <w:rFonts w:eastAsia="Calibri" w:hint="cs"/>
          <w:b/>
          <w:rtl/>
        </w:rPr>
        <w:t>דבר</w:t>
      </w:r>
      <w:r w:rsidRPr="00AA5065">
        <w:rPr>
          <w:rFonts w:eastAsia="Calibri"/>
          <w:b/>
          <w:rtl/>
        </w:rPr>
        <w:t xml:space="preserve"> </w:t>
      </w:r>
      <w:r w:rsidRPr="00AA5065">
        <w:rPr>
          <w:rFonts w:eastAsia="Calibri" w:hint="eastAsia"/>
          <w:b/>
          <w:rtl/>
        </w:rPr>
        <w:t>גמלים</w:t>
      </w:r>
      <w:r w:rsidRPr="00AA5065">
        <w:rPr>
          <w:rFonts w:eastAsia="Calibri"/>
          <w:b/>
          <w:rtl/>
        </w:rPr>
        <w:t xml:space="preserve"> </w:t>
      </w:r>
      <w:r w:rsidRPr="00AA5065">
        <w:rPr>
          <w:rFonts w:eastAsia="Calibri" w:hint="eastAsia"/>
          <w:b/>
          <w:rtl/>
        </w:rPr>
        <w:t>משוטטים</w:t>
      </w:r>
      <w:r w:rsidRPr="00AA5065">
        <w:rPr>
          <w:rFonts w:eastAsia="Calibri"/>
          <w:b/>
          <w:rtl/>
        </w:rPr>
        <w:t xml:space="preserve"> </w:t>
      </w:r>
      <w:r w:rsidRPr="00AA5065">
        <w:rPr>
          <w:rFonts w:eastAsia="Calibri" w:hint="eastAsia"/>
          <w:b/>
          <w:rtl/>
        </w:rPr>
        <w:t>בכביש</w:t>
      </w:r>
      <w:r w:rsidRPr="00AA5065">
        <w:rPr>
          <w:rFonts w:eastAsia="Calibri" w:hint="cs"/>
          <w:b/>
          <w:rtl/>
        </w:rPr>
        <w:t>ים (12.7%)</w:t>
      </w:r>
      <w:r w:rsidRPr="00AA5065">
        <w:rPr>
          <w:rFonts w:eastAsia="Calibri"/>
          <w:b/>
          <w:rtl/>
        </w:rPr>
        <w:t>.</w:t>
      </w:r>
    </w:p>
    <w:p w:rsidR="00AA5065" w:rsidRPr="00AA5065" w:rsidP="00860D89">
      <w:pPr>
        <w:spacing w:line="269" w:lineRule="auto"/>
        <w:ind w:left="-567"/>
        <w:rPr>
          <w:rFonts w:eastAsia="Calibri"/>
          <w:szCs w:val="20"/>
          <w:rtl/>
        </w:rPr>
      </w:pPr>
    </w:p>
    <w:p w:rsidR="00AA5065" w:rsidRPr="00AA5065" w:rsidP="00A80B8F">
      <w:pPr>
        <w:keepNext/>
        <w:keepLines/>
        <w:spacing w:before="120" w:line="269" w:lineRule="auto"/>
        <w:outlineLvl w:val="3"/>
        <w:rPr>
          <w:rFonts w:eastAsia="Times New Roman"/>
          <w:bCs/>
          <w:szCs w:val="26"/>
          <w:rtl/>
        </w:rPr>
      </w:pPr>
      <w:r w:rsidRPr="00AA5065">
        <w:rPr>
          <w:rFonts w:eastAsia="Times New Roman" w:hint="cs"/>
          <w:bCs/>
          <w:szCs w:val="26"/>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rtl/>
        </w:rPr>
      </w:pPr>
      <w:r w:rsidRPr="00AA5065">
        <w:rPr>
          <w:rFonts w:eastAsia="Calibri"/>
          <w:b/>
          <w:rtl/>
        </w:rPr>
        <w:t xml:space="preserve">בלוח </w:t>
      </w:r>
      <w:r w:rsidRPr="00AA5065">
        <w:rPr>
          <w:rFonts w:eastAsia="Calibri" w:hint="cs"/>
          <w:b/>
          <w:rtl/>
        </w:rPr>
        <w:t>13 ש</w:t>
      </w:r>
      <w:r w:rsidRPr="00AA5065">
        <w:rPr>
          <w:rFonts w:eastAsia="Calibri"/>
          <w:b/>
          <w:rtl/>
        </w:rPr>
        <w:t>להלן מוצגים נתונים על פניות הציבור למשל"ט דרום בנושאי בריונות בכביש</w:t>
      </w:r>
      <w:r w:rsidRPr="00AA5065">
        <w:rPr>
          <w:rFonts w:eastAsia="Calibri" w:hint="cs"/>
          <w:b/>
          <w:rtl/>
        </w:rPr>
        <w:t>ים</w:t>
      </w:r>
      <w:r w:rsidRPr="00AA5065">
        <w:rPr>
          <w:rFonts w:eastAsia="Calibri"/>
          <w:b/>
          <w:rtl/>
        </w:rPr>
        <w:t>, ירי בכביש</w:t>
      </w:r>
      <w:r w:rsidRPr="00AA5065">
        <w:rPr>
          <w:rFonts w:eastAsia="Calibri" w:hint="cs"/>
          <w:b/>
          <w:rtl/>
        </w:rPr>
        <w:t>ים</w:t>
      </w:r>
      <w:r w:rsidRPr="00AA5065">
        <w:rPr>
          <w:rFonts w:eastAsia="Calibri"/>
          <w:b/>
          <w:rtl/>
        </w:rPr>
        <w:t>, זריקת אבנים בכביש</w:t>
      </w:r>
      <w:r w:rsidRPr="00AA5065">
        <w:rPr>
          <w:rFonts w:eastAsia="Calibri" w:hint="cs"/>
          <w:b/>
          <w:rtl/>
        </w:rPr>
        <w:t>ים</w:t>
      </w:r>
      <w:r w:rsidRPr="00AA5065">
        <w:rPr>
          <w:rFonts w:eastAsia="Calibri"/>
          <w:b/>
          <w:rtl/>
        </w:rPr>
        <w:t xml:space="preserve"> וגמלים משוטטים בכביש</w:t>
      </w:r>
      <w:r w:rsidRPr="00AA5065">
        <w:rPr>
          <w:rFonts w:eastAsia="Calibri" w:hint="cs"/>
          <w:b/>
          <w:rtl/>
        </w:rPr>
        <w:t>ים</w:t>
      </w:r>
      <w:r w:rsidRPr="00AA5065">
        <w:rPr>
          <w:rFonts w:eastAsia="Calibri"/>
          <w:b/>
          <w:rtl/>
        </w:rPr>
        <w:t xml:space="preserve"> </w:t>
      </w:r>
      <w:r w:rsidRPr="00AA5065">
        <w:rPr>
          <w:rFonts w:eastAsia="Calibri" w:hint="cs"/>
          <w:b/>
          <w:rtl/>
        </w:rPr>
        <w:t>ב</w:t>
      </w:r>
      <w:r w:rsidRPr="00AA5065">
        <w:rPr>
          <w:rFonts w:eastAsia="Calibri" w:hint="eastAsia"/>
          <w:b/>
          <w:rtl/>
        </w:rPr>
        <w:t>שנים</w:t>
      </w:r>
      <w:r w:rsidRPr="00AA5065">
        <w:rPr>
          <w:rFonts w:eastAsia="Calibri"/>
          <w:b/>
          <w:rtl/>
        </w:rPr>
        <w:t xml:space="preserve"> 2020 </w:t>
      </w:r>
      <w:r w:rsidRPr="00AA5065">
        <w:rPr>
          <w:rFonts w:eastAsia="Calibri" w:hint="cs"/>
          <w:b/>
          <w:rtl/>
        </w:rPr>
        <w:t>עד</w:t>
      </w:r>
      <w:r w:rsidRPr="00AA5065">
        <w:rPr>
          <w:rFonts w:eastAsia="Calibri"/>
          <w:b/>
          <w:rtl/>
        </w:rPr>
        <w:t xml:space="preserve"> 2024.</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jc w:val="center"/>
        <w:rPr>
          <w:rFonts w:ascii="David" w:eastAsia="Calibri" w:hAnsi="David"/>
          <w:b/>
          <w:bCs/>
          <w:rtl/>
        </w:rPr>
      </w:pPr>
      <w:r w:rsidRPr="00AA5065">
        <w:rPr>
          <w:rFonts w:ascii="David" w:eastAsia="Calibri" w:hAnsi="David" w:hint="eastAsia"/>
          <w:rtl/>
        </w:rPr>
        <w:t>לוח</w:t>
      </w:r>
      <w:r w:rsidRPr="00AA5065">
        <w:rPr>
          <w:rFonts w:ascii="David" w:eastAsia="Calibri" w:hAnsi="David"/>
          <w:rtl/>
        </w:rPr>
        <w:t xml:space="preserve"> </w:t>
      </w:r>
      <w:r w:rsidRPr="00AA5065">
        <w:rPr>
          <w:rFonts w:ascii="David" w:eastAsia="Calibri" w:hAnsi="David" w:hint="cs"/>
          <w:rtl/>
        </w:rPr>
        <w:t>13:</w:t>
      </w:r>
      <w:r w:rsidRPr="00AA5065">
        <w:rPr>
          <w:rFonts w:ascii="David" w:eastAsia="Calibri" w:hAnsi="David"/>
          <w:b/>
          <w:bCs/>
          <w:rtl/>
        </w:rPr>
        <w:t xml:space="preserve"> פניות הציבור למשל"ט דרום בנושאי בריונות בכביש</w:t>
      </w:r>
      <w:r w:rsidRPr="00AA5065">
        <w:rPr>
          <w:rFonts w:ascii="David" w:eastAsia="Calibri" w:hAnsi="David" w:hint="cs"/>
          <w:b/>
          <w:bCs/>
          <w:rtl/>
        </w:rPr>
        <w:t>ים</w:t>
      </w:r>
      <w:r w:rsidRPr="00AA5065">
        <w:rPr>
          <w:rFonts w:ascii="David" w:eastAsia="Calibri" w:hAnsi="David"/>
          <w:b/>
          <w:bCs/>
          <w:rtl/>
        </w:rPr>
        <w:t>, ירי בכביש</w:t>
      </w:r>
      <w:r w:rsidRPr="00AA5065">
        <w:rPr>
          <w:rFonts w:ascii="David" w:eastAsia="Calibri" w:hAnsi="David" w:hint="cs"/>
          <w:b/>
          <w:bCs/>
          <w:rtl/>
        </w:rPr>
        <w:t>ים</w:t>
      </w:r>
      <w:r w:rsidRPr="00AA5065">
        <w:rPr>
          <w:rFonts w:ascii="David" w:eastAsia="Calibri" w:hAnsi="David"/>
          <w:b/>
          <w:bCs/>
          <w:rtl/>
        </w:rPr>
        <w:t>, זריקת אבנים ‏בכביש</w:t>
      </w:r>
      <w:r w:rsidRPr="00AA5065">
        <w:rPr>
          <w:rFonts w:ascii="David" w:eastAsia="Calibri" w:hAnsi="David" w:hint="cs"/>
          <w:b/>
          <w:bCs/>
          <w:rtl/>
        </w:rPr>
        <w:t>ים</w:t>
      </w:r>
      <w:r w:rsidRPr="00AA5065">
        <w:rPr>
          <w:rFonts w:ascii="David" w:eastAsia="Calibri" w:hAnsi="David"/>
          <w:b/>
          <w:bCs/>
          <w:rtl/>
        </w:rPr>
        <w:t xml:space="preserve"> וגמלים משוטטים בכביש</w:t>
      </w:r>
      <w:r w:rsidRPr="00AA5065">
        <w:rPr>
          <w:rFonts w:ascii="David" w:eastAsia="Calibri" w:hAnsi="David" w:hint="cs"/>
          <w:b/>
          <w:bCs/>
          <w:rtl/>
        </w:rPr>
        <w:t>ים,</w:t>
      </w:r>
      <w:r w:rsidRPr="00AA5065">
        <w:rPr>
          <w:rFonts w:ascii="David" w:eastAsia="Calibri" w:hAnsi="David"/>
          <w:b/>
          <w:bCs/>
          <w:rtl/>
        </w:rPr>
        <w:t xml:space="preserve"> 2020 - 2024</w:t>
      </w:r>
    </w:p>
    <w:tbl>
      <w:tblPr>
        <w:tblStyle w:val="5-11"/>
        <w:bidiVisual/>
        <w:tblW w:w="8357" w:type="dxa"/>
        <w:jc w:val="center"/>
        <w:tblLook w:val="04A0"/>
      </w:tblPr>
      <w:tblGrid>
        <w:gridCol w:w="1134"/>
        <w:gridCol w:w="851"/>
        <w:gridCol w:w="850"/>
        <w:gridCol w:w="851"/>
        <w:gridCol w:w="850"/>
        <w:gridCol w:w="851"/>
        <w:gridCol w:w="850"/>
        <w:gridCol w:w="968"/>
        <w:gridCol w:w="1152"/>
      </w:tblGrid>
      <w:tr w:rsidTr="00844246">
        <w:tblPrEx>
          <w:tblW w:w="8357" w:type="dxa"/>
          <w:jc w:val="center"/>
          <w:tblLook w:val="04A0"/>
        </w:tblPrEx>
        <w:trPr>
          <w:trHeight w:val="529"/>
          <w:jc w:val="center"/>
        </w:trPr>
        <w:tc>
          <w:tcPr>
            <w:tcW w:w="1134" w:type="dxa"/>
            <w:noWrap/>
            <w:hideMark/>
          </w:tcPr>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התופעה</w:t>
            </w:r>
          </w:p>
        </w:tc>
        <w:tc>
          <w:tcPr>
            <w:tcW w:w="851" w:type="dxa"/>
            <w:noWrap/>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color w:val="000000"/>
                <w:sz w:val="22"/>
                <w:szCs w:val="22"/>
              </w:rPr>
              <w:t>2020</w:t>
            </w:r>
          </w:p>
        </w:tc>
        <w:tc>
          <w:tcPr>
            <w:tcW w:w="850" w:type="dxa"/>
            <w:noWrap/>
            <w:hideMark/>
          </w:tcPr>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color w:val="000000"/>
                <w:sz w:val="22"/>
                <w:szCs w:val="22"/>
              </w:rPr>
              <w:t>2021</w:t>
            </w:r>
          </w:p>
        </w:tc>
        <w:tc>
          <w:tcPr>
            <w:tcW w:w="851" w:type="dxa"/>
            <w:noWrap/>
            <w:hideMark/>
          </w:tcPr>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color w:val="000000"/>
                <w:sz w:val="22"/>
                <w:szCs w:val="22"/>
              </w:rPr>
              <w:t>2022</w:t>
            </w:r>
          </w:p>
        </w:tc>
        <w:tc>
          <w:tcPr>
            <w:tcW w:w="850" w:type="dxa"/>
            <w:noWrap/>
            <w:hideMark/>
          </w:tcPr>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color w:val="000000"/>
                <w:sz w:val="22"/>
                <w:szCs w:val="22"/>
              </w:rPr>
              <w:t>2023</w:t>
            </w:r>
          </w:p>
        </w:tc>
        <w:tc>
          <w:tcPr>
            <w:tcW w:w="851" w:type="dxa"/>
            <w:noWrap/>
            <w:hideMark/>
          </w:tcPr>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color w:val="000000"/>
                <w:sz w:val="22"/>
                <w:szCs w:val="22"/>
              </w:rPr>
              <w:t>2024</w:t>
            </w:r>
          </w:p>
        </w:tc>
        <w:tc>
          <w:tcPr>
            <w:tcW w:w="850" w:type="dxa"/>
            <w:noWrap/>
            <w:hideMark/>
          </w:tcPr>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color w:val="000000"/>
                <w:sz w:val="22"/>
                <w:szCs w:val="22"/>
                <w:rtl/>
              </w:rPr>
              <w:t>סה"כ</w:t>
            </w:r>
          </w:p>
        </w:tc>
        <w:tc>
          <w:tcPr>
            <w:tcW w:w="968"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color w:val="000000"/>
                <w:sz w:val="22"/>
                <w:szCs w:val="22"/>
                <w:rtl/>
              </w:rPr>
              <w:t xml:space="preserve">ממוצע </w:t>
            </w:r>
            <w:r w:rsidRPr="00AA5065">
              <w:rPr>
                <w:rFonts w:ascii="David" w:eastAsia="Calibri" w:hAnsi="David" w:hint="cs"/>
                <w:color w:val="000000"/>
                <w:sz w:val="22"/>
                <w:szCs w:val="22"/>
                <w:rtl/>
              </w:rPr>
              <w:t>ה</w:t>
            </w:r>
            <w:r w:rsidRPr="00AA5065">
              <w:rPr>
                <w:rFonts w:ascii="David" w:eastAsia="Calibri" w:hAnsi="David"/>
                <w:color w:val="000000"/>
                <w:sz w:val="22"/>
                <w:szCs w:val="22"/>
                <w:rtl/>
              </w:rPr>
              <w:t>פניות</w:t>
            </w:r>
          </w:p>
        </w:tc>
        <w:tc>
          <w:tcPr>
            <w:tcW w:w="1152"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color w:val="000000"/>
                <w:sz w:val="22"/>
                <w:szCs w:val="22"/>
                <w:rtl/>
              </w:rPr>
              <w:t>שיעור התופעה מסך הפניות</w:t>
            </w:r>
          </w:p>
        </w:tc>
      </w:tr>
      <w:tr w:rsidTr="00844246">
        <w:tblPrEx>
          <w:tblW w:w="8357" w:type="dxa"/>
          <w:jc w:val="center"/>
          <w:tblLook w:val="04A0"/>
        </w:tblPrEx>
        <w:trPr>
          <w:trHeight w:val="228"/>
          <w:jc w:val="center"/>
        </w:trPr>
        <w:tc>
          <w:tcPr>
            <w:tcW w:w="1134"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בריונות בכביש</w:t>
            </w:r>
            <w:r w:rsidRPr="00AA5065">
              <w:rPr>
                <w:rFonts w:ascii="David" w:eastAsia="Calibri" w:hAnsi="David" w:hint="cs"/>
                <w:color w:val="000000"/>
                <w:sz w:val="22"/>
                <w:szCs w:val="22"/>
                <w:rtl/>
              </w:rPr>
              <w:t>ים</w:t>
            </w:r>
          </w:p>
        </w:tc>
        <w:tc>
          <w:tcPr>
            <w:tcW w:w="851"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7,337</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9,342</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9,081</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7,618</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7,310</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40,688</w:t>
            </w:r>
          </w:p>
        </w:tc>
        <w:tc>
          <w:tcPr>
            <w:tcW w:w="968"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8,138</w:t>
            </w:r>
          </w:p>
        </w:tc>
        <w:tc>
          <w:tcPr>
            <w:tcW w:w="115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91%</w:t>
            </w:r>
          </w:p>
        </w:tc>
      </w:tr>
      <w:tr w:rsidTr="00844246">
        <w:tblPrEx>
          <w:tblW w:w="8357" w:type="dxa"/>
          <w:jc w:val="center"/>
          <w:tblLook w:val="04A0"/>
        </w:tblPrEx>
        <w:trPr>
          <w:trHeight w:val="228"/>
          <w:jc w:val="center"/>
        </w:trPr>
        <w:tc>
          <w:tcPr>
            <w:tcW w:w="113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ירי בכבישים</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64</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80</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65</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128</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84</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421</w:t>
            </w:r>
          </w:p>
        </w:tc>
        <w:tc>
          <w:tcPr>
            <w:tcW w:w="968"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84</w:t>
            </w:r>
          </w:p>
        </w:tc>
        <w:tc>
          <w:tcPr>
            <w:tcW w:w="115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w:t>
            </w:r>
          </w:p>
        </w:tc>
      </w:tr>
      <w:tr w:rsidTr="00844246">
        <w:tblPrEx>
          <w:tblW w:w="8357" w:type="dxa"/>
          <w:jc w:val="center"/>
          <w:tblLook w:val="04A0"/>
        </w:tblPrEx>
        <w:trPr>
          <w:trHeight w:val="228"/>
          <w:jc w:val="center"/>
        </w:trPr>
        <w:tc>
          <w:tcPr>
            <w:tcW w:w="113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זריקת אבנים בכבישים</w:t>
            </w:r>
          </w:p>
        </w:tc>
        <w:tc>
          <w:tcPr>
            <w:tcW w:w="851"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127</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343</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282</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146</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119</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1,017</w:t>
            </w:r>
          </w:p>
        </w:tc>
        <w:tc>
          <w:tcPr>
            <w:tcW w:w="968"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203</w:t>
            </w:r>
          </w:p>
        </w:tc>
        <w:tc>
          <w:tcPr>
            <w:tcW w:w="115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w:t>
            </w:r>
          </w:p>
        </w:tc>
      </w:tr>
      <w:tr w:rsidTr="00844246">
        <w:tblPrEx>
          <w:tblW w:w="8357" w:type="dxa"/>
          <w:jc w:val="center"/>
          <w:tblLook w:val="04A0"/>
        </w:tblPrEx>
        <w:trPr>
          <w:trHeight w:val="228"/>
          <w:jc w:val="center"/>
        </w:trPr>
        <w:tc>
          <w:tcPr>
            <w:tcW w:w="113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גמלים משוטטים בכבישים</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470</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460</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553</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510</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606</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2,599</w:t>
            </w:r>
          </w:p>
        </w:tc>
        <w:tc>
          <w:tcPr>
            <w:tcW w:w="968"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520</w:t>
            </w:r>
          </w:p>
        </w:tc>
        <w:tc>
          <w:tcPr>
            <w:tcW w:w="115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6%</w:t>
            </w:r>
          </w:p>
        </w:tc>
      </w:tr>
      <w:tr w:rsidTr="00844246">
        <w:tblPrEx>
          <w:tblW w:w="8357" w:type="dxa"/>
          <w:jc w:val="center"/>
          <w:tblLook w:val="04A0"/>
        </w:tblPrEx>
        <w:trPr>
          <w:trHeight w:val="228"/>
          <w:jc w:val="center"/>
        </w:trPr>
        <w:tc>
          <w:tcPr>
            <w:tcW w:w="113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סה"כ פניות</w:t>
            </w:r>
          </w:p>
        </w:tc>
        <w:tc>
          <w:tcPr>
            <w:tcW w:w="851"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7,998</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10,225</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9,981</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8,402</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8,119</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44,725</w:t>
            </w:r>
          </w:p>
        </w:tc>
        <w:tc>
          <w:tcPr>
            <w:tcW w:w="968"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8,945</w:t>
            </w:r>
          </w:p>
        </w:tc>
        <w:tc>
          <w:tcPr>
            <w:tcW w:w="115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100%</w:t>
            </w:r>
          </w:p>
        </w:tc>
      </w:tr>
    </w:tbl>
    <w:p w:rsidR="00AA5065" w:rsidRPr="00AA5065" w:rsidP="00860D89">
      <w:pPr>
        <w:spacing w:line="269" w:lineRule="auto"/>
        <w:rPr>
          <w:rFonts w:eastAsia="Calibri"/>
          <w:b/>
          <w:sz w:val="16"/>
          <w:szCs w:val="20"/>
          <w:rtl/>
        </w:rPr>
      </w:pPr>
      <w:r w:rsidRPr="00AA5065">
        <w:rPr>
          <w:rFonts w:eastAsia="Calibri"/>
          <w:b/>
          <w:sz w:val="16"/>
          <w:szCs w:val="20"/>
          <w:rtl/>
        </w:rPr>
        <w:t>על פי נתוני משטרת התנועה הארצית, בעיבוד משרד מבקר המדינה.‏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Cs/>
          <w:rtl/>
        </w:rPr>
      </w:pPr>
      <w:r w:rsidRPr="00AA5065">
        <w:rPr>
          <w:rFonts w:eastAsia="Calibri" w:hint="cs"/>
          <w:bCs/>
          <w:rtl/>
        </w:rPr>
        <w:t xml:space="preserve">מהלוח עולה כי בשנים 2020 עד 2024, בתקופת ביקורת המעקב, היה מספר הפניות בגין בריונות בכבישים בכל שנה הגדול ביותר מבין התופעות האחרות שהוזכרו, והוא נע בין 7,310 לכ-9,342 פניות בשנה (ממוצע של 8,138 פניות). מספר הפניות בגין ירי בכבישים גדל מ-64 בשנת 2020 לכ-128 פניות בשנת 2023, ובשנת 2024 ירד ל-84. כמו כן ניתן לראות כי נרשם גידול במספר הפניות על גמלים משוטטים בכבישים.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Cs/>
          <w:rtl/>
        </w:rPr>
      </w:pPr>
      <w:bookmarkStart w:id="107" w:name="_Hlk204852559"/>
      <w:r w:rsidRPr="00AA5065">
        <w:rPr>
          <w:rFonts w:eastAsia="Calibri" w:hint="cs"/>
          <w:bCs/>
          <w:rtl/>
        </w:rPr>
        <w:t>בביקורת</w:t>
      </w:r>
      <w:r w:rsidRPr="00AA5065">
        <w:rPr>
          <w:rFonts w:eastAsia="Calibri"/>
          <w:bCs/>
          <w:rtl/>
        </w:rPr>
        <w:t xml:space="preserve"> הקודמת</w:t>
      </w:r>
      <w:r w:rsidRPr="00AA5065">
        <w:rPr>
          <w:rFonts w:eastAsia="Calibri" w:hint="cs"/>
          <w:bCs/>
          <w:rtl/>
        </w:rPr>
        <w:t xml:space="preserve"> עלה כי בשנת 2018 </w:t>
      </w:r>
      <w:r w:rsidRPr="00AA5065">
        <w:rPr>
          <w:rFonts w:eastAsia="Calibri"/>
          <w:bCs/>
          <w:rtl/>
        </w:rPr>
        <w:t xml:space="preserve">התקבלו </w:t>
      </w:r>
      <w:r w:rsidRPr="00AA5065">
        <w:rPr>
          <w:rFonts w:eastAsia="Calibri" w:hint="eastAsia"/>
          <w:bCs/>
          <w:rtl/>
        </w:rPr>
        <w:t>במשל</w:t>
      </w:r>
      <w:r w:rsidRPr="00AA5065">
        <w:rPr>
          <w:rFonts w:eastAsia="Calibri"/>
          <w:bCs/>
          <w:rtl/>
        </w:rPr>
        <w:t>"ט דרום</w:t>
      </w:r>
      <w:r w:rsidRPr="00AA5065">
        <w:rPr>
          <w:rFonts w:eastAsia="Calibri" w:hint="cs"/>
          <w:bCs/>
          <w:rtl/>
        </w:rPr>
        <w:t xml:space="preserve"> 3,637</w:t>
      </w:r>
      <w:r w:rsidRPr="00AA5065">
        <w:rPr>
          <w:rFonts w:eastAsia="Calibri"/>
          <w:bCs/>
          <w:rtl/>
        </w:rPr>
        <w:t xml:space="preserve"> </w:t>
      </w:r>
      <w:r w:rsidRPr="00AA5065">
        <w:rPr>
          <w:rFonts w:eastAsia="Calibri" w:hint="cs"/>
          <w:bCs/>
          <w:rtl/>
        </w:rPr>
        <w:t xml:space="preserve">פניות על בריונות בכבישים, ואילו בתקופת ביקורת המעקב התקבלו </w:t>
      </w:r>
      <w:r w:rsidRPr="00AA5065">
        <w:rPr>
          <w:rFonts w:eastAsia="Calibri" w:hint="eastAsia"/>
          <w:bCs/>
          <w:rtl/>
        </w:rPr>
        <w:t>במשל</w:t>
      </w:r>
      <w:r w:rsidRPr="00AA5065">
        <w:rPr>
          <w:rFonts w:eastAsia="Calibri"/>
          <w:bCs/>
          <w:rtl/>
        </w:rPr>
        <w:t>"ט דרום</w:t>
      </w:r>
      <w:r w:rsidRPr="00AA5065">
        <w:rPr>
          <w:rFonts w:eastAsia="Calibri" w:hint="cs"/>
          <w:bCs/>
          <w:rtl/>
        </w:rPr>
        <w:t xml:space="preserve"> בממוצע 8,138 פניות לשנה בעניין זה, עלייה של כ-124%. בגין עבירות ירי התקבלו בשנת 2018 34 פניות, ואילו בתקופת ביקורת המעקב התקבלו בממוצע 84 פניות בעניין זה - עלייה של 148%. בגין זריקת אבנים התקבלו בשנת 2018 178 פניות, ואילו בתקופת ביקורת המעקב התקבלו בממוצע 203 פניות - עלייה של 14%. בגין גמלים משוטטים התקבלו בביקורת הקודמת 562 פניות, ובתקופת ביקורת המעקב התקבלו בממוצע 520 פניות - ירידה של 8%.</w:t>
      </w:r>
      <w:r w:rsidRPr="00AA5065">
        <w:rPr>
          <w:rFonts w:eastAsia="Calibri"/>
          <w:rtl/>
        </w:rPr>
        <w:t xml:space="preserve"> </w:t>
      </w:r>
      <w:r w:rsidRPr="00AA5065">
        <w:rPr>
          <w:rFonts w:eastAsia="Calibri"/>
          <w:bCs/>
          <w:rtl/>
        </w:rPr>
        <w:t>העלייה המתמשכת בפניות</w:t>
      </w:r>
      <w:r w:rsidRPr="00AA5065">
        <w:rPr>
          <w:rFonts w:eastAsia="Calibri" w:hint="cs"/>
          <w:bCs/>
          <w:rtl/>
        </w:rPr>
        <w:t xml:space="preserve"> למרכז שליטה</w:t>
      </w:r>
      <w:r w:rsidRPr="00AA5065">
        <w:rPr>
          <w:rFonts w:eastAsia="Calibri"/>
          <w:bCs/>
          <w:rtl/>
        </w:rPr>
        <w:t xml:space="preserve"> כגון בריונות בכביש</w:t>
      </w:r>
      <w:r w:rsidRPr="00AA5065">
        <w:rPr>
          <w:rFonts w:eastAsia="Calibri" w:hint="cs"/>
          <w:bCs/>
          <w:rtl/>
        </w:rPr>
        <w:t>ים</w:t>
      </w:r>
      <w:r w:rsidRPr="00AA5065">
        <w:rPr>
          <w:rFonts w:eastAsia="Calibri"/>
          <w:bCs/>
          <w:rtl/>
        </w:rPr>
        <w:t xml:space="preserve"> ועבירות ירי</w:t>
      </w:r>
      <w:r w:rsidRPr="00AA5065">
        <w:rPr>
          <w:rFonts w:eastAsia="Calibri" w:hint="cs"/>
          <w:bCs/>
          <w:rtl/>
        </w:rPr>
        <w:t xml:space="preserve"> בכבישים</w:t>
      </w:r>
      <w:r w:rsidRPr="00AA5065">
        <w:rPr>
          <w:rFonts w:eastAsia="Calibri"/>
          <w:bCs/>
          <w:rtl/>
        </w:rPr>
        <w:t xml:space="preserve"> מצביעה על כשל ‏‏הדורש התערבות של משטרת ישראל, המשרד לביטחון לאומי ומשרד התחבורה. ‏ </w:t>
      </w:r>
    </w:p>
    <w:bookmarkEnd w:id="107"/>
    <w:p w:rsidR="00AA5065" w:rsidRPr="00AA5065" w:rsidP="00860D89">
      <w:pPr>
        <w:spacing w:line="269" w:lineRule="auto"/>
        <w:ind w:left="-567"/>
        <w:rPr>
          <w:rFonts w:eastAsia="Calibri"/>
          <w:szCs w:val="20"/>
          <w:rtl/>
        </w:rPr>
      </w:pPr>
    </w:p>
    <w:p w:rsidR="00AF3FA8">
      <w:pPr>
        <w:bidi w:val="0"/>
        <w:spacing w:after="200" w:line="276" w:lineRule="auto"/>
        <w:rPr>
          <w:rFonts w:eastAsia="Calibri"/>
          <w:b/>
          <w:bCs/>
          <w:rtl/>
        </w:rPr>
      </w:pPr>
      <w:r>
        <w:rPr>
          <w:rFonts w:eastAsia="Calibri"/>
          <w:b/>
          <w:bCs/>
          <w:rtl/>
        </w:rPr>
        <w:br w:type="page"/>
      </w:r>
    </w:p>
    <w:p w:rsidR="00AA5065" w:rsidRPr="00AA5065" w:rsidP="00860D89">
      <w:pPr>
        <w:spacing w:line="269" w:lineRule="auto"/>
        <w:jc w:val="center"/>
        <w:rPr>
          <w:rFonts w:eastAsia="Calibri"/>
          <w:b/>
          <w:bCs/>
          <w:rtl/>
        </w:rPr>
      </w:pPr>
      <w:r w:rsidRPr="00AA5065">
        <w:rPr>
          <w:rFonts w:eastAsia="Calibri"/>
          <w:b/>
          <w:bCs/>
          <w:rtl/>
        </w:rPr>
        <w:t>מידת תיקון הליקוי</w:t>
      </w:r>
    </w:p>
    <w:p w:rsidR="00AA5065" w:rsidRPr="00AA5065" w:rsidP="00860D89">
      <w:pPr>
        <w:spacing w:line="269" w:lineRule="auto"/>
        <w:jc w:val="center"/>
        <w:rPr>
          <w:rFonts w:eastAsia="Calibri"/>
          <w:b/>
          <w:bCs/>
          <w:rtl/>
        </w:rPr>
      </w:pPr>
      <w:r w:rsidRPr="00AA5065">
        <w:rPr>
          <w:rFonts w:eastAsia="Calibri"/>
          <w:bCs/>
          <w:noProof/>
        </w:rPr>
        <w:drawing>
          <wp:inline distT="0" distB="0" distL="0" distR="0">
            <wp:extent cx="3960000" cy="740487"/>
            <wp:effectExtent l="0" t="0" r="0" b="0"/>
            <wp:docPr id="48" name="תמונה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תמונה 1095261540"/>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0000" cy="740487"/>
                    </a:xfrm>
                    <a:prstGeom prst="rect">
                      <a:avLst/>
                    </a:prstGeom>
                    <a:noFill/>
                    <a:ln>
                      <a:noFill/>
                    </a:ln>
                  </pic:spPr>
                </pic:pic>
              </a:graphicData>
            </a:graphic>
          </wp:inline>
        </w:drawing>
      </w:r>
    </w:p>
    <w:p w:rsidR="00AA5065" w:rsidRPr="00AA5065" w:rsidP="00A80B8F">
      <w:pPr>
        <w:spacing w:after="120" w:line="269" w:lineRule="auto"/>
        <w:ind w:left="-567"/>
        <w:rPr>
          <w:rFonts w:eastAsia="Calibri"/>
          <w:szCs w:val="20"/>
          <w:rtl/>
        </w:rPr>
      </w:pPr>
    </w:p>
    <w:p w:rsidR="00AA5065" w:rsidRPr="00AA5065" w:rsidP="00860D89">
      <w:pPr>
        <w:spacing w:line="269" w:lineRule="auto"/>
        <w:rPr>
          <w:rFonts w:eastAsia="Calibri"/>
          <w:bCs/>
          <w:rtl/>
        </w:rPr>
      </w:pPr>
      <w:r w:rsidRPr="00AA5065">
        <w:rPr>
          <w:rFonts w:eastAsia="Calibri" w:hint="cs"/>
          <w:bCs/>
          <w:rtl/>
        </w:rPr>
        <w:t xml:space="preserve">מומלץ כי המשרד לביטחון לאומי, משרד התחבורה ומשטרת ישראל יגבשו תוכנית פעולה משולבת, שתכלול בין היתר הגברת האכיפה תוך שימוש באמצעים טכנולוגיים לזיהוי, תיעוד ואכיפה של העבירות, הגברת הנוכחות המשטרתית בצירים המועדים ותוך הקצאת המשאבים הנדרשים והרחבת פעולות המניעה וההסברה.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rtl/>
        </w:rPr>
      </w:pPr>
      <w:r w:rsidRPr="00AA5065">
        <w:rPr>
          <w:rFonts w:eastAsia="Calibri" w:hint="eastAsia"/>
          <w:b/>
          <w:rtl/>
        </w:rPr>
        <w:t>משטרת</w:t>
      </w:r>
      <w:r w:rsidRPr="00AA5065">
        <w:rPr>
          <w:rFonts w:eastAsia="Calibri"/>
          <w:b/>
          <w:rtl/>
        </w:rPr>
        <w:t xml:space="preserve"> ישראל </w:t>
      </w:r>
      <w:r w:rsidRPr="00AA5065">
        <w:rPr>
          <w:rFonts w:eastAsia="Calibri" w:hint="cs"/>
          <w:b/>
          <w:rtl/>
        </w:rPr>
        <w:t>מסרה בתשובתה כי היא "</w:t>
      </w:r>
      <w:r w:rsidRPr="00AA5065">
        <w:rPr>
          <w:rFonts w:eastAsia="Calibri" w:hint="eastAsia"/>
          <w:b/>
          <w:rtl/>
        </w:rPr>
        <w:t>פועלת</w:t>
      </w:r>
      <w:r w:rsidRPr="00AA5065">
        <w:rPr>
          <w:rFonts w:eastAsia="Calibri"/>
          <w:b/>
          <w:rtl/>
        </w:rPr>
        <w:t xml:space="preserve"> על מנת להכניס מכשור אכיפה חדש לפעילות ולהפיץ אותו לשימוש בכלל היחידות, כולל בתחום מרחב נגב. לצורך כך הוקמה.</w:t>
      </w:r>
      <w:r w:rsidRPr="00AA5065">
        <w:rPr>
          <w:rFonts w:eastAsia="Calibri" w:hint="cs"/>
          <w:b/>
          <w:rtl/>
        </w:rPr>
        <w:t>..</w:t>
      </w:r>
      <w:r w:rsidRPr="00AA5065">
        <w:rPr>
          <w:rFonts w:eastAsia="Calibri"/>
          <w:b/>
          <w:rtl/>
        </w:rPr>
        <w:t xml:space="preserve"> </w:t>
      </w:r>
      <w:r w:rsidRPr="00AA5065">
        <w:rPr>
          <w:rFonts w:eastAsia="Calibri" w:hint="cs"/>
          <w:b/>
          <w:rtl/>
        </w:rPr>
        <w:t>'</w:t>
      </w:r>
      <w:r w:rsidRPr="00AA5065">
        <w:rPr>
          <w:rFonts w:eastAsia="Calibri"/>
          <w:b/>
          <w:rtl/>
        </w:rPr>
        <w:t>מנהלת אכיפה</w:t>
      </w:r>
      <w:r w:rsidRPr="00AA5065">
        <w:rPr>
          <w:rFonts w:eastAsia="Calibri" w:hint="cs"/>
          <w:b/>
          <w:rtl/>
        </w:rPr>
        <w:t>'</w:t>
      </w:r>
      <w:r w:rsidRPr="00AA5065">
        <w:rPr>
          <w:rFonts w:eastAsia="Calibri"/>
          <w:b/>
          <w:rtl/>
        </w:rPr>
        <w:t xml:space="preserve"> שאחראית לסנכרן בין כלל הגופים במ"י האחראים על האפיון, הרכש, כוח האדם והפיתוח הטכנולוגי. מכשור האכיפה נמצא בתהליכי רכש והטמעה</w:t>
      </w:r>
      <w:r w:rsidRPr="00AA5065">
        <w:rPr>
          <w:rFonts w:eastAsia="Calibri" w:hint="cs"/>
          <w:b/>
          <w:rtl/>
        </w:rPr>
        <w:t xml:space="preserve">". בין היתר ציינה המשטרה את האמצעים האלה: </w:t>
      </w:r>
      <w:r w:rsidRPr="00AA5065">
        <w:rPr>
          <w:rFonts w:eastAsia="Calibri" w:hint="eastAsia"/>
          <w:b/>
          <w:rtl/>
        </w:rPr>
        <w:t>מצלמות</w:t>
      </w:r>
      <w:r w:rsidRPr="00AA5065">
        <w:rPr>
          <w:rFonts w:eastAsia="Calibri"/>
          <w:b/>
          <w:rtl/>
        </w:rPr>
        <w:t xml:space="preserve"> </w:t>
      </w:r>
      <w:r w:rsidRPr="00AA5065">
        <w:rPr>
          <w:rFonts w:eastAsia="Calibri" w:hint="eastAsia"/>
          <w:b/>
          <w:rtl/>
        </w:rPr>
        <w:t>וידאו</w:t>
      </w:r>
      <w:r w:rsidRPr="00AA5065">
        <w:rPr>
          <w:rFonts w:eastAsia="Calibri"/>
          <w:b/>
          <w:rtl/>
        </w:rPr>
        <w:t xml:space="preserve"> </w:t>
      </w:r>
      <w:r w:rsidRPr="00AA5065">
        <w:rPr>
          <w:rFonts w:eastAsia="Calibri" w:hint="eastAsia"/>
          <w:b/>
          <w:rtl/>
        </w:rPr>
        <w:t>וסטילס</w:t>
      </w:r>
      <w:r w:rsidRPr="00AA5065">
        <w:rPr>
          <w:rFonts w:eastAsia="Calibri"/>
          <w:b/>
          <w:rtl/>
        </w:rPr>
        <w:t xml:space="preserve"> </w:t>
      </w:r>
      <w:r w:rsidRPr="00AA5065">
        <w:rPr>
          <w:rFonts w:eastAsia="Calibri" w:hint="eastAsia"/>
          <w:b/>
          <w:rtl/>
        </w:rPr>
        <w:t>לתיעוד</w:t>
      </w:r>
      <w:r w:rsidRPr="00AA5065">
        <w:rPr>
          <w:rFonts w:eastAsia="Calibri"/>
          <w:b/>
          <w:rtl/>
        </w:rPr>
        <w:t xml:space="preserve"> </w:t>
      </w:r>
      <w:r w:rsidRPr="00AA5065">
        <w:rPr>
          <w:rFonts w:eastAsia="Calibri" w:hint="eastAsia"/>
          <w:b/>
          <w:rtl/>
        </w:rPr>
        <w:t>עבירות</w:t>
      </w:r>
      <w:r w:rsidRPr="00AA5065">
        <w:rPr>
          <w:rFonts w:eastAsia="Calibri" w:hint="cs"/>
          <w:b/>
          <w:rtl/>
        </w:rPr>
        <w:t>,</w:t>
      </w:r>
      <w:r w:rsidRPr="00AA5065">
        <w:rPr>
          <w:rFonts w:eastAsia="Calibri"/>
          <w:b/>
          <w:rtl/>
        </w:rPr>
        <w:t xml:space="preserve"> מד מהירות עם תמונה ווידאו</w:t>
      </w:r>
      <w:r w:rsidRPr="00AA5065">
        <w:rPr>
          <w:rFonts w:eastAsia="Calibri" w:hint="cs"/>
          <w:b/>
          <w:rtl/>
        </w:rPr>
        <w:t xml:space="preserve"> ו</w:t>
      </w:r>
      <w:r w:rsidRPr="00AA5065">
        <w:rPr>
          <w:rFonts w:eastAsia="Calibri"/>
          <w:b/>
          <w:rtl/>
        </w:rPr>
        <w:t>"שוטרי הדרך" - אפליקציה ומצלמת דרך לתיעוד עבירות תנועה על ידי שוטרים</w:t>
      </w:r>
      <w:r w:rsidRPr="00AA5065">
        <w:rPr>
          <w:rFonts w:eastAsia="Calibri" w:hint="cs"/>
          <w:b/>
          <w:rtl/>
        </w:rPr>
        <w:t>.</w:t>
      </w:r>
    </w:p>
    <w:p w:rsidR="00AA5065" w:rsidRPr="00AA5065" w:rsidP="00860D89">
      <w:pPr>
        <w:spacing w:line="269" w:lineRule="auto"/>
        <w:rPr>
          <w:rFonts w:eastAsia="Calibri"/>
          <w:rtl/>
        </w:rPr>
      </w:pPr>
    </w:p>
    <w:p w:rsidR="00AA5065" w:rsidRPr="00AA5065" w:rsidP="00A80B8F">
      <w:pPr>
        <w:keepNext/>
        <w:keepLines/>
        <w:spacing w:before="120" w:line="269" w:lineRule="auto"/>
        <w:outlineLvl w:val="3"/>
        <w:rPr>
          <w:rFonts w:eastAsia="Times New Roman"/>
          <w:bCs/>
          <w:szCs w:val="26"/>
          <w:rtl/>
        </w:rPr>
      </w:pPr>
      <w:r w:rsidRPr="00AA5065">
        <w:rPr>
          <w:rFonts w:eastAsia="Times New Roman"/>
          <w:bCs/>
          <w:szCs w:val="26"/>
          <w:rtl/>
        </w:rPr>
        <w:t xml:space="preserve">מעורבות האוכלוסייה הלא-יהודית בתאונות </w:t>
      </w:r>
      <w:r w:rsidRPr="00AA5065">
        <w:rPr>
          <w:rFonts w:eastAsia="Times New Roman" w:hint="cs"/>
          <w:bCs/>
          <w:szCs w:val="26"/>
          <w:rtl/>
        </w:rPr>
        <w:t>קטלניות קשות וקלות במרחב נגב</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בביקורת הקודמת נמצא כי</w:t>
      </w:r>
      <w:r w:rsidRPr="00AA5065">
        <w:rPr>
          <w:rFonts w:ascii="David" w:eastAsia="Calibri" w:hAnsi="David"/>
          <w:rtl/>
        </w:rPr>
        <w:t xml:space="preserve"> בשנים 2016 </w:t>
      </w:r>
      <w:r w:rsidRPr="00AA5065">
        <w:rPr>
          <w:rFonts w:ascii="David" w:eastAsia="Calibri" w:hAnsi="David" w:hint="cs"/>
          <w:rtl/>
        </w:rPr>
        <w:t>עד</w:t>
      </w:r>
      <w:r w:rsidRPr="00AA5065">
        <w:rPr>
          <w:rFonts w:ascii="David" w:eastAsia="Calibri" w:hAnsi="David"/>
          <w:rtl/>
        </w:rPr>
        <w:t xml:space="preserve"> 2019 שיעור מעורבותם של נהגים מהאוכלוסייה הלא-יהודית בתאונות </w:t>
      </w:r>
      <w:r w:rsidRPr="00AA5065">
        <w:rPr>
          <w:rFonts w:ascii="David" w:eastAsia="Calibri" w:hAnsi="David" w:hint="cs"/>
          <w:rtl/>
        </w:rPr>
        <w:t xml:space="preserve">קטלניות במרחב הנגב היה 62%; שיעורם בתאונות קשות היה 45%; ושיעורם בתאונות קלות היה 40%, </w:t>
      </w:r>
      <w:r w:rsidRPr="00AA5065">
        <w:rPr>
          <w:rFonts w:ascii="David" w:eastAsia="Calibri" w:hAnsi="David"/>
          <w:rtl/>
        </w:rPr>
        <w:t xml:space="preserve">שיעור הגבוה </w:t>
      </w:r>
      <w:r w:rsidRPr="00AA5065">
        <w:rPr>
          <w:rFonts w:ascii="David" w:eastAsia="Calibri" w:hAnsi="David" w:hint="cs"/>
          <w:rtl/>
        </w:rPr>
        <w:t>משיעורם</w:t>
      </w:r>
      <w:r w:rsidRPr="00AA5065">
        <w:rPr>
          <w:rFonts w:ascii="David" w:eastAsia="Calibri" w:hAnsi="David"/>
          <w:rtl/>
        </w:rPr>
        <w:t xml:space="preserve"> בקרב הנהגים</w:t>
      </w:r>
      <w:r w:rsidRPr="00AA5065">
        <w:rPr>
          <w:rFonts w:ascii="David" w:eastAsia="Calibri" w:hAnsi="David" w:hint="cs"/>
          <w:rtl/>
        </w:rPr>
        <w:t xml:space="preserve"> במרחב נגב (10%) ובכלל האוכלוסייה (21%)</w:t>
      </w:r>
      <w:r w:rsidRPr="00AA5065">
        <w:rPr>
          <w:rFonts w:ascii="David" w:eastAsia="Calibri" w:hAnsi="David"/>
          <w:rtl/>
        </w:rPr>
        <w:t>.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בתשובתה לדוח הקודם מסרה המשטרה בפברואר 2021 כי "</w:t>
      </w:r>
      <w:r w:rsidRPr="00AA5065">
        <w:rPr>
          <w:rFonts w:ascii="David" w:eastAsia="Calibri" w:hAnsi="David"/>
          <w:rtl/>
        </w:rPr>
        <w:t>שיעור הדו"חות בגין עבירות תנועה מסכנות חיים שניתנו לנהגים מהמגזר הערבי בנגב גבוה משיעור הדו"חות שניתנו לנהגים האחרים, וזאת בהלימה מלאה לשיעור מעורבותם בתאונות דרכים ולמאפייני הנהיגה הפרועה של חלק ניכר מנהגי המגזר הלא</w:t>
      </w:r>
      <w:r w:rsidRPr="00AA5065">
        <w:rPr>
          <w:rFonts w:ascii="David" w:eastAsia="Calibri" w:hAnsi="David" w:hint="cs"/>
          <w:rtl/>
        </w:rPr>
        <w:t>-</w:t>
      </w:r>
      <w:r w:rsidRPr="00AA5065">
        <w:rPr>
          <w:rFonts w:ascii="David" w:eastAsia="Calibri" w:hAnsi="David"/>
          <w:rtl/>
        </w:rPr>
        <w:t>יהודי הצעירים.</w:t>
      </w:r>
      <w:r w:rsidRPr="00AA5065">
        <w:rPr>
          <w:rFonts w:ascii="David" w:eastAsia="Calibri" w:hAnsi="David" w:hint="cs"/>
          <w:rtl/>
        </w:rPr>
        <w:t>.</w:t>
      </w:r>
      <w:r w:rsidRPr="00AA5065">
        <w:rPr>
          <w:rFonts w:ascii="David" w:eastAsia="Calibri" w:hAnsi="David"/>
          <w:rtl/>
        </w:rPr>
        <w:t>.</w:t>
      </w:r>
      <w:r w:rsidRPr="00AA5065">
        <w:rPr>
          <w:rFonts w:ascii="David" w:eastAsia="Calibri" w:hAnsi="David" w:hint="cs"/>
          <w:rtl/>
        </w:rPr>
        <w:t xml:space="preserve"> </w:t>
      </w:r>
      <w:r w:rsidRPr="00AA5065">
        <w:rPr>
          <w:rFonts w:ascii="David" w:eastAsia="Calibri" w:hAnsi="David"/>
          <w:rtl/>
        </w:rPr>
        <w:t>אחת הדרכים להתמודדות עם תופעה זו הינה ביצוע אכיפה אפקטיבית</w:t>
      </w:r>
      <w:r w:rsidRPr="00AA5065">
        <w:rPr>
          <w:rFonts w:ascii="David" w:eastAsia="Calibri" w:hAnsi="David" w:hint="cs"/>
          <w:rtl/>
        </w:rPr>
        <w:t>"</w:t>
      </w:r>
      <w:r w:rsidRPr="00AA5065">
        <w:rPr>
          <w:rFonts w:ascii="David" w:eastAsia="Calibri" w:hAnsi="David"/>
          <w:rtl/>
        </w:rPr>
        <w:t>.</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w:t>
      </w:r>
      <w:r w:rsidRPr="00AA5065">
        <w:rPr>
          <w:rFonts w:eastAsia="Times New Roman"/>
          <w:bCs/>
          <w:spacing w:val="40"/>
          <w:rtl/>
        </w:rPr>
        <w:t xml:space="preserve"> המעקב</w:t>
      </w:r>
      <w:r w:rsidRPr="00AA5065">
        <w:rPr>
          <w:rFonts w:eastAsia="Times New Roman" w:hint="cs"/>
          <w:bCs/>
          <w:spacing w:val="40"/>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ind w:left="-2"/>
        <w:rPr>
          <w:rFonts w:ascii="David" w:eastAsia="Calibri" w:hAnsi="David"/>
          <w:rtl/>
        </w:rPr>
      </w:pPr>
      <w:r w:rsidRPr="00AA5065">
        <w:rPr>
          <w:rFonts w:ascii="David" w:eastAsia="Calibri" w:hAnsi="David"/>
          <w:rtl/>
        </w:rPr>
        <w:t xml:space="preserve">בביקורת </w:t>
      </w:r>
      <w:r w:rsidRPr="00AA5065">
        <w:rPr>
          <w:rFonts w:ascii="David" w:eastAsia="Calibri" w:hAnsi="David" w:hint="cs"/>
          <w:rtl/>
        </w:rPr>
        <w:t xml:space="preserve">המעקב נמצא </w:t>
      </w:r>
      <w:r w:rsidRPr="00AA5065">
        <w:rPr>
          <w:rFonts w:ascii="David" w:eastAsia="Calibri" w:hAnsi="David"/>
          <w:rtl/>
        </w:rPr>
        <w:t xml:space="preserve">כי שיעור מעורבותם של נהגים מהאוכלוסייה הלא-יהודית בתאונות </w:t>
      </w:r>
      <w:r w:rsidRPr="00AA5065">
        <w:rPr>
          <w:rFonts w:ascii="David" w:eastAsia="Calibri" w:hAnsi="David" w:hint="cs"/>
          <w:rtl/>
        </w:rPr>
        <w:t>במרחב נגב</w:t>
      </w:r>
      <w:r w:rsidRPr="00AA5065">
        <w:rPr>
          <w:rFonts w:ascii="David" w:eastAsia="Calibri" w:hAnsi="David"/>
          <w:rtl/>
        </w:rPr>
        <w:t xml:space="preserve"> נותר גבוה</w:t>
      </w:r>
      <w:r w:rsidRPr="00AA5065">
        <w:rPr>
          <w:rFonts w:ascii="David" w:eastAsia="Calibri" w:hAnsi="David" w:hint="cs"/>
          <w:rtl/>
        </w:rPr>
        <w:t xml:space="preserve"> ביחס לשיעורם באוכלוסייה</w:t>
      </w:r>
      <w:r w:rsidRPr="00AA5065">
        <w:rPr>
          <w:rFonts w:ascii="David" w:eastAsia="Calibri" w:hAnsi="David"/>
          <w:rtl/>
        </w:rPr>
        <w:t xml:space="preserve"> ו</w:t>
      </w:r>
      <w:r w:rsidRPr="00AA5065">
        <w:rPr>
          <w:rFonts w:ascii="David" w:eastAsia="Calibri" w:hAnsi="David" w:hint="cs"/>
          <w:rtl/>
        </w:rPr>
        <w:t xml:space="preserve">הוא </w:t>
      </w:r>
      <w:r w:rsidRPr="00AA5065">
        <w:rPr>
          <w:rFonts w:ascii="David" w:eastAsia="Calibri" w:hAnsi="David"/>
          <w:rtl/>
        </w:rPr>
        <w:t xml:space="preserve">אף עלה.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eastAsia="Calibri"/>
          <w:rtl/>
        </w:rPr>
        <w:t>על פי נתוני הל</w:t>
      </w:r>
      <w:r w:rsidRPr="00AA5065">
        <w:rPr>
          <w:rFonts w:eastAsia="Calibri" w:hint="cs"/>
          <w:rtl/>
        </w:rPr>
        <w:t>מ"ס</w:t>
      </w:r>
      <w:r w:rsidRPr="00AA5065">
        <w:rPr>
          <w:rFonts w:eastAsia="Calibri"/>
          <w:rtl/>
        </w:rPr>
        <w:t xml:space="preserve"> לשנת 2022, שיעור </w:t>
      </w:r>
      <w:r w:rsidRPr="00AA5065">
        <w:rPr>
          <w:rFonts w:eastAsia="Calibri" w:hint="cs"/>
          <w:rtl/>
        </w:rPr>
        <w:t>האוכלוסייה הלא-יהודית</w:t>
      </w:r>
      <w:r w:rsidRPr="00AA5065">
        <w:rPr>
          <w:rFonts w:eastAsia="Calibri"/>
          <w:rtl/>
        </w:rPr>
        <w:t xml:space="preserve"> מכלל מורשי הנהיגה בישראל </w:t>
      </w:r>
      <w:r w:rsidRPr="00AA5065">
        <w:rPr>
          <w:rFonts w:eastAsia="Calibri" w:hint="cs"/>
          <w:rtl/>
        </w:rPr>
        <w:t>היה</w:t>
      </w:r>
      <w:r w:rsidRPr="00AA5065">
        <w:rPr>
          <w:rFonts w:eastAsia="Calibri"/>
          <w:rtl/>
        </w:rPr>
        <w:t xml:space="preserve"> 21.1%</w:t>
      </w:r>
      <w:r w:rsidRPr="00AA5065">
        <w:rPr>
          <w:rFonts w:eastAsia="Calibri"/>
        </w:rPr>
        <w:t>.</w:t>
      </w:r>
      <w:r w:rsidRPr="00AA5065">
        <w:rPr>
          <w:rFonts w:ascii="David" w:eastAsia="Calibri" w:hAnsi="David" w:hint="cs"/>
          <w:rtl/>
        </w:rPr>
        <w:t xml:space="preserve"> נכון לספטמבר 2023 </w:t>
      </w:r>
      <w:r w:rsidRPr="00AA5065">
        <w:rPr>
          <w:rFonts w:ascii="David" w:eastAsia="Calibri" w:hAnsi="David"/>
          <w:rtl/>
        </w:rPr>
        <w:t>החברה הבדואית בנגב מנ</w:t>
      </w:r>
      <w:r w:rsidRPr="00AA5065">
        <w:rPr>
          <w:rFonts w:ascii="David" w:eastAsia="Calibri" w:hAnsi="David" w:hint="cs"/>
          <w:rtl/>
        </w:rPr>
        <w:t>ת</w:t>
      </w:r>
      <w:r w:rsidRPr="00AA5065">
        <w:rPr>
          <w:rFonts w:ascii="David" w:eastAsia="Calibri" w:hAnsi="David"/>
          <w:rtl/>
        </w:rPr>
        <w:t>ה</w:t>
      </w:r>
      <w:r w:rsidRPr="00AA5065">
        <w:rPr>
          <w:rFonts w:ascii="David" w:eastAsia="Calibri" w:hAnsi="David" w:hint="cs"/>
          <w:rtl/>
        </w:rPr>
        <w:t xml:space="preserve"> כ-304</w:t>
      </w:r>
      <w:r w:rsidRPr="00AA5065">
        <w:rPr>
          <w:rFonts w:ascii="David" w:eastAsia="Calibri" w:hAnsi="David"/>
          <w:rtl/>
        </w:rPr>
        <w:t>,</w:t>
      </w:r>
      <w:r w:rsidRPr="00AA5065">
        <w:rPr>
          <w:rFonts w:ascii="David" w:eastAsia="Calibri" w:hAnsi="David" w:hint="cs"/>
          <w:rtl/>
        </w:rPr>
        <w:t>513</w:t>
      </w:r>
      <w:r w:rsidRPr="00AA5065">
        <w:rPr>
          <w:rFonts w:ascii="David" w:eastAsia="Calibri" w:hAnsi="David"/>
          <w:rtl/>
        </w:rPr>
        <w:t xml:space="preserve"> נפש</w:t>
      </w:r>
      <w:r>
        <w:rPr>
          <w:rFonts w:ascii="David" w:eastAsia="Calibri" w:hAnsi="David"/>
          <w:vertAlign w:val="superscript"/>
          <w:rtl/>
        </w:rPr>
        <w:footnoteReference w:id="131"/>
      </w:r>
      <w:r w:rsidRPr="00AA5065">
        <w:rPr>
          <w:rFonts w:ascii="David" w:eastAsia="Calibri" w:hAnsi="David" w:hint="cs"/>
          <w:rtl/>
        </w:rPr>
        <w:t xml:space="preserve">, </w:t>
      </w:r>
      <w:r w:rsidRPr="00AA5065">
        <w:rPr>
          <w:rFonts w:ascii="David" w:eastAsia="Calibri" w:hAnsi="David"/>
          <w:rtl/>
        </w:rPr>
        <w:t xml:space="preserve">ושיעורה </w:t>
      </w:r>
      <w:r w:rsidRPr="00AA5065">
        <w:rPr>
          <w:rFonts w:ascii="David" w:eastAsia="Calibri" w:hAnsi="David" w:hint="cs"/>
          <w:rtl/>
        </w:rPr>
        <w:t xml:space="preserve">היה </w:t>
      </w:r>
      <w:r w:rsidRPr="00AA5065">
        <w:rPr>
          <w:rFonts w:ascii="David" w:eastAsia="Calibri" w:hAnsi="David"/>
          <w:rtl/>
        </w:rPr>
        <w:t>כ-</w:t>
      </w:r>
      <w:r w:rsidRPr="00AA5065">
        <w:rPr>
          <w:rFonts w:ascii="David" w:eastAsia="Calibri" w:hAnsi="David" w:hint="cs"/>
          <w:rtl/>
        </w:rPr>
        <w:t>19.7% מכלל תושבי מחוז דרום.</w:t>
      </w:r>
      <w:r w:rsidRPr="00AA5065">
        <w:rPr>
          <w:rFonts w:ascii="David" w:eastAsia="Calibri" w:hAnsi="David"/>
          <w:rtl/>
        </w:rPr>
        <w:t xml:space="preserve"> מספר מורשי הנהיגה לשנת 2022 במחוז דרום </w:t>
      </w:r>
      <w:r w:rsidRPr="00AA5065">
        <w:rPr>
          <w:rFonts w:ascii="David" w:eastAsia="Calibri" w:hAnsi="David" w:hint="cs"/>
          <w:rtl/>
        </w:rPr>
        <w:t>היה 602,652,</w:t>
      </w:r>
      <w:r w:rsidRPr="00AA5065">
        <w:rPr>
          <w:rFonts w:ascii="David" w:eastAsia="Calibri" w:hAnsi="David"/>
          <w:rtl/>
        </w:rPr>
        <w:t xml:space="preserve"> מ</w:t>
      </w:r>
      <w:r w:rsidRPr="00AA5065">
        <w:rPr>
          <w:rFonts w:ascii="David" w:eastAsia="Calibri" w:hAnsi="David" w:hint="cs"/>
          <w:rtl/>
        </w:rPr>
        <w:t>הם</w:t>
      </w:r>
      <w:r w:rsidRPr="00AA5065">
        <w:rPr>
          <w:rFonts w:ascii="David" w:eastAsia="Calibri" w:hAnsi="David"/>
          <w:rtl/>
        </w:rPr>
        <w:t xml:space="preserve"> 514,965 יהודים</w:t>
      </w:r>
      <w:r w:rsidRPr="00AA5065">
        <w:rPr>
          <w:rFonts w:ascii="David" w:eastAsia="Calibri" w:hAnsi="David" w:hint="cs"/>
          <w:rtl/>
        </w:rPr>
        <w:t xml:space="preserve"> (85%)</w:t>
      </w:r>
      <w:r w:rsidRPr="00AA5065">
        <w:rPr>
          <w:rFonts w:ascii="David" w:eastAsia="Calibri" w:hAnsi="David"/>
          <w:rtl/>
        </w:rPr>
        <w:t xml:space="preserve"> ו</w:t>
      </w:r>
      <w:r w:rsidRPr="00AA5065">
        <w:rPr>
          <w:rFonts w:ascii="David" w:eastAsia="Calibri" w:hAnsi="David" w:hint="cs"/>
          <w:rtl/>
        </w:rPr>
        <w:t>-</w:t>
      </w:r>
      <w:r w:rsidRPr="00AA5065">
        <w:rPr>
          <w:rFonts w:ascii="David" w:eastAsia="Calibri" w:hAnsi="David"/>
          <w:rtl/>
        </w:rPr>
        <w:t xml:space="preserve">87,687 </w:t>
      </w:r>
      <w:r w:rsidRPr="00AA5065">
        <w:rPr>
          <w:rFonts w:ascii="David" w:eastAsia="Calibri" w:hAnsi="David" w:hint="cs"/>
          <w:rtl/>
        </w:rPr>
        <w:t>לא יהודים (15%)</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בלוח </w:t>
      </w:r>
      <w:r w:rsidRPr="00AA5065">
        <w:rPr>
          <w:rFonts w:ascii="David" w:eastAsia="Calibri" w:hAnsi="David" w:hint="cs"/>
          <w:rtl/>
        </w:rPr>
        <w:t>14 ש</w:t>
      </w:r>
      <w:r w:rsidRPr="00AA5065">
        <w:rPr>
          <w:rFonts w:ascii="David" w:eastAsia="Calibri" w:hAnsi="David"/>
          <w:rtl/>
        </w:rPr>
        <w:t>להלן מוצגים נתונים על מספר תאונות הדרכים ו</w:t>
      </w:r>
      <w:r w:rsidRPr="00AA5065">
        <w:rPr>
          <w:rFonts w:ascii="David" w:eastAsia="Calibri" w:hAnsi="David" w:hint="cs"/>
          <w:rtl/>
        </w:rPr>
        <w:t xml:space="preserve">על </w:t>
      </w:r>
      <w:r w:rsidRPr="00AA5065">
        <w:rPr>
          <w:rFonts w:ascii="David" w:eastAsia="Calibri" w:hAnsi="David"/>
          <w:rtl/>
        </w:rPr>
        <w:t xml:space="preserve">שיעור מעורבות הנהגים מהאוכלוסייה הלא-יהודית </w:t>
      </w:r>
      <w:r w:rsidRPr="00AA5065">
        <w:rPr>
          <w:rFonts w:ascii="David" w:eastAsia="Calibri" w:hAnsi="David" w:hint="cs"/>
          <w:rtl/>
        </w:rPr>
        <w:t>במרחב נגב</w:t>
      </w:r>
      <w:r w:rsidRPr="00AA5065">
        <w:rPr>
          <w:rFonts w:ascii="David" w:eastAsia="Calibri" w:hAnsi="David"/>
          <w:rtl/>
        </w:rPr>
        <w:t xml:space="preserve"> בתאונות קטלניות</w:t>
      </w:r>
      <w:r w:rsidRPr="00AA5065">
        <w:rPr>
          <w:rFonts w:ascii="David" w:eastAsia="Calibri" w:hAnsi="David" w:hint="cs"/>
          <w:rtl/>
        </w:rPr>
        <w:t>,</w:t>
      </w:r>
      <w:r w:rsidRPr="00AA5065">
        <w:rPr>
          <w:rFonts w:ascii="David" w:eastAsia="Calibri" w:hAnsi="David"/>
          <w:rtl/>
        </w:rPr>
        <w:t xml:space="preserve"> קשות וקלות בשנים 2020 </w:t>
      </w:r>
      <w:r w:rsidRPr="00AA5065">
        <w:rPr>
          <w:rFonts w:ascii="David" w:eastAsia="Calibri" w:hAnsi="David" w:hint="cs"/>
          <w:rtl/>
        </w:rPr>
        <w:t>עד</w:t>
      </w:r>
      <w:r w:rsidRPr="00AA5065">
        <w:rPr>
          <w:rFonts w:ascii="David" w:eastAsia="Calibri" w:hAnsi="David"/>
          <w:rtl/>
        </w:rPr>
        <w:t xml:space="preserve"> 2024.</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jc w:val="center"/>
        <w:rPr>
          <w:rFonts w:ascii="David" w:eastAsia="Calibri" w:hAnsi="David"/>
          <w:rtl/>
        </w:rPr>
      </w:pPr>
      <w:r w:rsidRPr="00AA5065">
        <w:rPr>
          <w:rFonts w:ascii="David" w:eastAsia="Calibri" w:hAnsi="David" w:hint="cs"/>
          <w:rtl/>
        </w:rPr>
        <w:t xml:space="preserve">לוח 14: </w:t>
      </w:r>
      <w:r w:rsidRPr="00AA5065">
        <w:rPr>
          <w:rFonts w:ascii="David" w:eastAsia="Calibri" w:hAnsi="David"/>
          <w:b/>
          <w:bCs/>
          <w:rtl/>
        </w:rPr>
        <w:t>מספר התאונות ושיעור מעורבותם של נהגים מהאוכלוסייה הלא-יהודית בתאונות</w:t>
      </w:r>
      <w:r>
        <w:rPr>
          <w:rFonts w:ascii="David" w:eastAsia="Calibri" w:hAnsi="David"/>
          <w:b/>
          <w:bCs/>
          <w:vertAlign w:val="superscript"/>
          <w:rtl/>
        </w:rPr>
        <w:footnoteReference w:id="132"/>
      </w:r>
      <w:r w:rsidRPr="00AA5065">
        <w:rPr>
          <w:rFonts w:ascii="David" w:eastAsia="Calibri" w:hAnsi="David"/>
          <w:b/>
          <w:bCs/>
          <w:rtl/>
        </w:rPr>
        <w:t xml:space="preserve"> במרחב נגב, לפי סוג התאונה, 2020 - 2024</w:t>
      </w:r>
    </w:p>
    <w:tbl>
      <w:tblPr>
        <w:tblStyle w:val="5-11"/>
        <w:bidiVisual/>
        <w:tblW w:w="8362" w:type="dxa"/>
        <w:jc w:val="center"/>
        <w:tblLook w:val="04A0"/>
      </w:tblPr>
      <w:tblGrid>
        <w:gridCol w:w="993"/>
        <w:gridCol w:w="992"/>
        <w:gridCol w:w="992"/>
        <w:gridCol w:w="884"/>
        <w:gridCol w:w="1545"/>
        <w:gridCol w:w="1545"/>
        <w:gridCol w:w="1411"/>
      </w:tblGrid>
      <w:tr w:rsidTr="00AF3FA8">
        <w:tblPrEx>
          <w:tblW w:w="8362" w:type="dxa"/>
          <w:jc w:val="center"/>
          <w:tblLook w:val="04A0"/>
        </w:tblPrEx>
        <w:trPr>
          <w:trHeight w:val="840"/>
          <w:jc w:val="center"/>
        </w:trPr>
        <w:tc>
          <w:tcPr>
            <w:tcW w:w="993" w:type="dxa"/>
            <w:noWrap/>
            <w:hideMark/>
          </w:tcPr>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שנה</w:t>
            </w:r>
          </w:p>
        </w:tc>
        <w:tc>
          <w:tcPr>
            <w:tcW w:w="992"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color w:val="000000"/>
                <w:sz w:val="22"/>
                <w:szCs w:val="22"/>
                <w:rtl/>
              </w:rPr>
              <w:t>סה"כ תאונות קטלניות</w:t>
            </w:r>
          </w:p>
        </w:tc>
        <w:tc>
          <w:tcPr>
            <w:tcW w:w="992"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color w:val="000000"/>
                <w:sz w:val="22"/>
                <w:szCs w:val="22"/>
                <w:rtl/>
              </w:rPr>
              <w:t>סה"כ תאונות קשות</w:t>
            </w:r>
          </w:p>
        </w:tc>
        <w:tc>
          <w:tcPr>
            <w:tcW w:w="884"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color w:val="000000"/>
                <w:sz w:val="22"/>
                <w:szCs w:val="22"/>
                <w:rtl/>
              </w:rPr>
              <w:t xml:space="preserve">סה"כ </w:t>
            </w:r>
            <w:r w:rsidRPr="00AA5065">
              <w:rPr>
                <w:rFonts w:ascii="David" w:eastAsia="Calibri" w:hAnsi="David"/>
                <w:color w:val="000000"/>
                <w:sz w:val="22"/>
                <w:szCs w:val="22"/>
                <w:rtl/>
              </w:rPr>
              <w:br/>
              <w:t>תאונות קלות</w:t>
            </w:r>
          </w:p>
        </w:tc>
        <w:tc>
          <w:tcPr>
            <w:tcW w:w="1545"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color w:val="000000"/>
                <w:sz w:val="22"/>
                <w:szCs w:val="22"/>
                <w:rtl/>
              </w:rPr>
              <w:t xml:space="preserve">שיעור מעורבותם של נהגים </w:t>
            </w:r>
            <w:r w:rsidRPr="00AA5065">
              <w:rPr>
                <w:rFonts w:ascii="David" w:eastAsia="Calibri" w:hAnsi="David"/>
                <w:color w:val="000000"/>
                <w:sz w:val="22"/>
                <w:szCs w:val="22"/>
                <w:rtl/>
              </w:rPr>
              <w:br/>
              <w:t>לא-יהודים בתאונות קטלניות</w:t>
            </w:r>
          </w:p>
        </w:tc>
        <w:tc>
          <w:tcPr>
            <w:tcW w:w="1545"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color w:val="000000"/>
                <w:sz w:val="22"/>
                <w:szCs w:val="22"/>
                <w:rtl/>
              </w:rPr>
              <w:t xml:space="preserve">שיעור מעורבותם של נהגים </w:t>
            </w:r>
            <w:r w:rsidRPr="00AA5065">
              <w:rPr>
                <w:rFonts w:ascii="David" w:eastAsia="Calibri" w:hAnsi="David"/>
                <w:color w:val="000000"/>
                <w:sz w:val="22"/>
                <w:szCs w:val="22"/>
                <w:rtl/>
              </w:rPr>
              <w:br/>
              <w:t>לא-יהודים בתאונות קשות</w:t>
            </w:r>
          </w:p>
        </w:tc>
        <w:tc>
          <w:tcPr>
            <w:tcW w:w="1411" w:type="dxa"/>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color w:val="000000"/>
                <w:sz w:val="22"/>
                <w:szCs w:val="22"/>
                <w:rtl/>
              </w:rPr>
              <w:t xml:space="preserve">שיעור מעורבותם של נהגים </w:t>
            </w:r>
            <w:r w:rsidRPr="00AA5065">
              <w:rPr>
                <w:rFonts w:ascii="David" w:eastAsia="Calibri" w:hAnsi="David"/>
                <w:color w:val="000000"/>
                <w:sz w:val="22"/>
                <w:szCs w:val="22"/>
                <w:rtl/>
              </w:rPr>
              <w:br/>
              <w:t>לא-יהודים בתאונות קלות</w:t>
            </w:r>
          </w:p>
        </w:tc>
      </w:tr>
      <w:tr w:rsidTr="00AF3FA8">
        <w:tblPrEx>
          <w:tblW w:w="8362" w:type="dxa"/>
          <w:jc w:val="center"/>
          <w:tblLook w:val="04A0"/>
        </w:tblPrEx>
        <w:trPr>
          <w:trHeight w:val="285"/>
          <w:jc w:val="center"/>
        </w:trPr>
        <w:tc>
          <w:tcPr>
            <w:tcW w:w="993"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2020</w:t>
            </w:r>
          </w:p>
        </w:tc>
        <w:tc>
          <w:tcPr>
            <w:tcW w:w="99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29</w:t>
            </w:r>
          </w:p>
        </w:tc>
        <w:tc>
          <w:tcPr>
            <w:tcW w:w="99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59</w:t>
            </w:r>
          </w:p>
        </w:tc>
        <w:tc>
          <w:tcPr>
            <w:tcW w:w="884"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187</w:t>
            </w:r>
          </w:p>
        </w:tc>
        <w:tc>
          <w:tcPr>
            <w:tcW w:w="1545"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53%</w:t>
            </w:r>
          </w:p>
        </w:tc>
        <w:tc>
          <w:tcPr>
            <w:tcW w:w="1545"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50%</w:t>
            </w:r>
          </w:p>
        </w:tc>
        <w:tc>
          <w:tcPr>
            <w:tcW w:w="1411"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39%</w:t>
            </w:r>
          </w:p>
        </w:tc>
      </w:tr>
      <w:tr w:rsidTr="00AF3FA8">
        <w:tblPrEx>
          <w:tblW w:w="8362" w:type="dxa"/>
          <w:jc w:val="center"/>
          <w:tblLook w:val="04A0"/>
        </w:tblPrEx>
        <w:trPr>
          <w:trHeight w:val="285"/>
          <w:jc w:val="center"/>
        </w:trPr>
        <w:tc>
          <w:tcPr>
            <w:tcW w:w="993"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2021</w:t>
            </w:r>
          </w:p>
        </w:tc>
        <w:tc>
          <w:tcPr>
            <w:tcW w:w="99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40</w:t>
            </w:r>
          </w:p>
        </w:tc>
        <w:tc>
          <w:tcPr>
            <w:tcW w:w="99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58</w:t>
            </w:r>
          </w:p>
        </w:tc>
        <w:tc>
          <w:tcPr>
            <w:tcW w:w="884"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247</w:t>
            </w:r>
          </w:p>
        </w:tc>
        <w:tc>
          <w:tcPr>
            <w:tcW w:w="1545"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62%</w:t>
            </w:r>
          </w:p>
        </w:tc>
        <w:tc>
          <w:tcPr>
            <w:tcW w:w="1545"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47%</w:t>
            </w:r>
          </w:p>
        </w:tc>
        <w:tc>
          <w:tcPr>
            <w:tcW w:w="1411"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41%</w:t>
            </w:r>
          </w:p>
        </w:tc>
      </w:tr>
      <w:tr w:rsidTr="00AF3FA8">
        <w:tblPrEx>
          <w:tblW w:w="8362" w:type="dxa"/>
          <w:jc w:val="center"/>
          <w:tblLook w:val="04A0"/>
        </w:tblPrEx>
        <w:trPr>
          <w:trHeight w:val="285"/>
          <w:jc w:val="center"/>
        </w:trPr>
        <w:tc>
          <w:tcPr>
            <w:tcW w:w="993"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2022</w:t>
            </w:r>
          </w:p>
        </w:tc>
        <w:tc>
          <w:tcPr>
            <w:tcW w:w="99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39</w:t>
            </w:r>
          </w:p>
        </w:tc>
        <w:tc>
          <w:tcPr>
            <w:tcW w:w="99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50</w:t>
            </w:r>
          </w:p>
        </w:tc>
        <w:tc>
          <w:tcPr>
            <w:tcW w:w="884"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133</w:t>
            </w:r>
          </w:p>
        </w:tc>
        <w:tc>
          <w:tcPr>
            <w:tcW w:w="1545"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57%</w:t>
            </w:r>
          </w:p>
        </w:tc>
        <w:tc>
          <w:tcPr>
            <w:tcW w:w="1545"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52%</w:t>
            </w:r>
          </w:p>
        </w:tc>
        <w:tc>
          <w:tcPr>
            <w:tcW w:w="1411"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35%</w:t>
            </w:r>
          </w:p>
        </w:tc>
      </w:tr>
      <w:tr w:rsidTr="00AF3FA8">
        <w:tblPrEx>
          <w:tblW w:w="8362" w:type="dxa"/>
          <w:jc w:val="center"/>
          <w:tblLook w:val="04A0"/>
        </w:tblPrEx>
        <w:trPr>
          <w:trHeight w:val="285"/>
          <w:jc w:val="center"/>
        </w:trPr>
        <w:tc>
          <w:tcPr>
            <w:tcW w:w="993"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2023</w:t>
            </w:r>
          </w:p>
        </w:tc>
        <w:tc>
          <w:tcPr>
            <w:tcW w:w="99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32</w:t>
            </w:r>
          </w:p>
        </w:tc>
        <w:tc>
          <w:tcPr>
            <w:tcW w:w="99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70</w:t>
            </w:r>
          </w:p>
        </w:tc>
        <w:tc>
          <w:tcPr>
            <w:tcW w:w="884"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180</w:t>
            </w:r>
          </w:p>
        </w:tc>
        <w:tc>
          <w:tcPr>
            <w:tcW w:w="1545"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53%</w:t>
            </w:r>
          </w:p>
        </w:tc>
        <w:tc>
          <w:tcPr>
            <w:tcW w:w="1545"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52%</w:t>
            </w:r>
          </w:p>
        </w:tc>
        <w:tc>
          <w:tcPr>
            <w:tcW w:w="1411"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42%</w:t>
            </w:r>
          </w:p>
        </w:tc>
      </w:tr>
      <w:tr w:rsidTr="00AF3FA8">
        <w:tblPrEx>
          <w:tblW w:w="8362" w:type="dxa"/>
          <w:jc w:val="center"/>
          <w:tblLook w:val="04A0"/>
        </w:tblPrEx>
        <w:trPr>
          <w:trHeight w:val="285"/>
          <w:jc w:val="center"/>
        </w:trPr>
        <w:tc>
          <w:tcPr>
            <w:tcW w:w="993"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2024</w:t>
            </w:r>
          </w:p>
        </w:tc>
        <w:tc>
          <w:tcPr>
            <w:tcW w:w="99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57</w:t>
            </w:r>
          </w:p>
        </w:tc>
        <w:tc>
          <w:tcPr>
            <w:tcW w:w="99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54</w:t>
            </w:r>
          </w:p>
        </w:tc>
        <w:tc>
          <w:tcPr>
            <w:tcW w:w="884"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186</w:t>
            </w:r>
          </w:p>
        </w:tc>
        <w:tc>
          <w:tcPr>
            <w:tcW w:w="1545"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59%</w:t>
            </w:r>
          </w:p>
        </w:tc>
        <w:tc>
          <w:tcPr>
            <w:tcW w:w="1545"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45%</w:t>
            </w:r>
          </w:p>
        </w:tc>
        <w:tc>
          <w:tcPr>
            <w:tcW w:w="1411"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39%</w:t>
            </w:r>
          </w:p>
        </w:tc>
      </w:tr>
      <w:tr w:rsidTr="00AF3FA8">
        <w:tblPrEx>
          <w:tblW w:w="8362" w:type="dxa"/>
          <w:jc w:val="center"/>
          <w:tblLook w:val="04A0"/>
        </w:tblPrEx>
        <w:trPr>
          <w:trHeight w:val="300"/>
          <w:jc w:val="center"/>
        </w:trPr>
        <w:tc>
          <w:tcPr>
            <w:tcW w:w="993"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סה"כ</w:t>
            </w:r>
          </w:p>
        </w:tc>
        <w:tc>
          <w:tcPr>
            <w:tcW w:w="99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197</w:t>
            </w:r>
          </w:p>
        </w:tc>
        <w:tc>
          <w:tcPr>
            <w:tcW w:w="99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291</w:t>
            </w:r>
          </w:p>
        </w:tc>
        <w:tc>
          <w:tcPr>
            <w:tcW w:w="884"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933</w:t>
            </w:r>
          </w:p>
        </w:tc>
        <w:tc>
          <w:tcPr>
            <w:tcW w:w="1545"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57%</w:t>
            </w:r>
          </w:p>
        </w:tc>
        <w:tc>
          <w:tcPr>
            <w:tcW w:w="1545"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49%</w:t>
            </w:r>
          </w:p>
        </w:tc>
        <w:tc>
          <w:tcPr>
            <w:tcW w:w="1411"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39%</w:t>
            </w:r>
          </w:p>
        </w:tc>
      </w:tr>
    </w:tbl>
    <w:p w:rsidR="00AA5065" w:rsidRPr="00AA5065" w:rsidP="00860D89">
      <w:pPr>
        <w:spacing w:line="269" w:lineRule="auto"/>
        <w:rPr>
          <w:rFonts w:ascii="David" w:eastAsia="Calibri" w:hAnsi="David"/>
          <w:sz w:val="16"/>
          <w:szCs w:val="20"/>
          <w:rtl/>
        </w:rPr>
      </w:pPr>
      <w:r w:rsidRPr="00AA5065">
        <w:rPr>
          <w:rFonts w:ascii="David" w:eastAsia="Calibri" w:hAnsi="David"/>
          <w:sz w:val="16"/>
          <w:szCs w:val="20"/>
          <w:rtl/>
        </w:rPr>
        <w:t>על פי נתוני משטרת התנועה הארצית, בעיבוד משרד מבקר המדינה.‏</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eastAsia="Calibri" w:hint="cs"/>
          <w:rtl/>
        </w:rPr>
        <w:t>בתרשים 4</w:t>
      </w:r>
      <w:r w:rsidRPr="00AA5065">
        <w:rPr>
          <w:rFonts w:ascii="David" w:eastAsia="Calibri" w:hAnsi="David" w:hint="cs"/>
          <w:rtl/>
        </w:rPr>
        <w:t xml:space="preserve"> ש</w:t>
      </w:r>
      <w:r w:rsidRPr="00AA5065">
        <w:rPr>
          <w:rFonts w:ascii="David" w:eastAsia="Calibri" w:hAnsi="David"/>
          <w:rtl/>
        </w:rPr>
        <w:t xml:space="preserve">להלן מוצגים נתונים </w:t>
      </w:r>
      <w:r w:rsidRPr="00AA5065">
        <w:rPr>
          <w:rFonts w:ascii="David" w:eastAsia="Calibri" w:hAnsi="David" w:hint="cs"/>
          <w:rtl/>
        </w:rPr>
        <w:t xml:space="preserve">על </w:t>
      </w:r>
      <w:r w:rsidRPr="00AA5065">
        <w:rPr>
          <w:rFonts w:ascii="David" w:eastAsia="Calibri" w:hAnsi="David"/>
          <w:rtl/>
        </w:rPr>
        <w:t xml:space="preserve">שיעור מעורבות הנהגים מהאוכלוסייה הלא-יהודית </w:t>
      </w:r>
      <w:r w:rsidRPr="00AA5065">
        <w:rPr>
          <w:rFonts w:ascii="David" w:eastAsia="Calibri" w:hAnsi="David" w:hint="cs"/>
          <w:rtl/>
        </w:rPr>
        <w:t>במרחב נגב</w:t>
      </w:r>
      <w:r w:rsidRPr="00AA5065">
        <w:rPr>
          <w:rFonts w:ascii="David" w:eastAsia="Calibri" w:hAnsi="David"/>
          <w:rtl/>
        </w:rPr>
        <w:t xml:space="preserve"> בתאונות קטלניות</w:t>
      </w:r>
      <w:r w:rsidRPr="00AA5065">
        <w:rPr>
          <w:rFonts w:ascii="David" w:eastAsia="Calibri" w:hAnsi="David" w:hint="cs"/>
          <w:rtl/>
        </w:rPr>
        <w:t>,</w:t>
      </w:r>
      <w:r w:rsidRPr="00AA5065">
        <w:rPr>
          <w:rFonts w:ascii="David" w:eastAsia="Calibri" w:hAnsi="David"/>
          <w:rtl/>
        </w:rPr>
        <w:t xml:space="preserve"> קשות וקלות בשנים 2020 </w:t>
      </w:r>
      <w:r w:rsidRPr="00AA5065">
        <w:rPr>
          <w:rFonts w:ascii="David" w:eastAsia="Calibri" w:hAnsi="David" w:hint="cs"/>
          <w:rtl/>
        </w:rPr>
        <w:t>עד</w:t>
      </w:r>
      <w:r w:rsidRPr="00AA5065">
        <w:rPr>
          <w:rFonts w:ascii="David" w:eastAsia="Calibri" w:hAnsi="David"/>
          <w:rtl/>
        </w:rPr>
        <w:t xml:space="preserve"> 2024.</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jc w:val="center"/>
        <w:rPr>
          <w:rFonts w:eastAsia="Calibri"/>
          <w:rtl/>
        </w:rPr>
      </w:pPr>
      <w:bookmarkStart w:id="108" w:name="_Hlk205381075"/>
      <w:r w:rsidRPr="00AA5065">
        <w:rPr>
          <w:rFonts w:eastAsia="Calibri"/>
          <w:rtl/>
        </w:rPr>
        <w:t xml:space="preserve">תרשים </w:t>
      </w:r>
      <w:r w:rsidRPr="00AA5065">
        <w:rPr>
          <w:rFonts w:eastAsia="Calibri" w:hint="cs"/>
          <w:rtl/>
        </w:rPr>
        <w:t>4</w:t>
      </w:r>
      <w:r w:rsidRPr="00AA5065">
        <w:rPr>
          <w:rFonts w:eastAsia="Calibri"/>
          <w:rtl/>
        </w:rPr>
        <w:t xml:space="preserve">: </w:t>
      </w:r>
      <w:r w:rsidRPr="00AA5065">
        <w:rPr>
          <w:rFonts w:eastAsia="Calibri"/>
          <w:b/>
          <w:bCs/>
          <w:rtl/>
        </w:rPr>
        <w:t>שיעור המעורבות של נהגים לא-יהודים בתאונות, לפי חומרת התאונה במרחב נגב, 2020 - 2024</w:t>
      </w:r>
    </w:p>
    <w:bookmarkEnd w:id="108"/>
    <w:p w:rsidR="00AA5065" w:rsidRPr="00AA5065" w:rsidP="00860D89">
      <w:pPr>
        <w:spacing w:line="269" w:lineRule="auto"/>
        <w:ind w:left="-567"/>
        <w:jc w:val="center"/>
        <w:rPr>
          <w:rFonts w:eastAsia="Calibri"/>
          <w:szCs w:val="20"/>
          <w:rtl/>
        </w:rPr>
      </w:pPr>
      <w:r w:rsidRPr="00AA5065">
        <w:rPr>
          <w:rFonts w:eastAsia="Calibri"/>
          <w:noProof/>
        </w:rPr>
        <w:drawing>
          <wp:inline distT="0" distB="0" distL="0" distR="0">
            <wp:extent cx="5220335" cy="4148455"/>
            <wp:effectExtent l="0" t="0" r="0" b="4445"/>
            <wp:docPr id="344773233" name="תמונה 344773233" descr="תוכן התרשים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73233" name=""/>
                    <pic:cNvPicPr/>
                  </pic:nvPicPr>
                  <pic:blipFill>
                    <a:blip xmlns:r="http://schemas.openxmlformats.org/officeDocument/2006/relationships" r:embed="rId31"/>
                    <a:stretch>
                      <a:fillRect/>
                    </a:stretch>
                  </pic:blipFill>
                  <pic:spPr>
                    <a:xfrm>
                      <a:off x="0" y="0"/>
                      <a:ext cx="5220335" cy="4148455"/>
                    </a:xfrm>
                    <a:prstGeom prst="rect">
                      <a:avLst/>
                    </a:prstGeom>
                  </pic:spPr>
                </pic:pic>
              </a:graphicData>
            </a:graphic>
          </wp:inline>
        </w:drawing>
      </w:r>
    </w:p>
    <w:p w:rsidR="00AA5065" w:rsidRPr="00AA5065" w:rsidP="00860D89">
      <w:pPr>
        <w:spacing w:line="269" w:lineRule="auto"/>
        <w:rPr>
          <w:rFonts w:ascii="David" w:eastAsia="Calibri" w:hAnsi="David"/>
          <w:sz w:val="16"/>
          <w:szCs w:val="20"/>
          <w:rtl/>
        </w:rPr>
      </w:pPr>
      <w:r w:rsidRPr="00AA5065">
        <w:rPr>
          <w:rFonts w:ascii="David" w:eastAsia="Calibri" w:hAnsi="David"/>
          <w:sz w:val="16"/>
          <w:szCs w:val="20"/>
          <w:rtl/>
        </w:rPr>
        <w:t>על פי נתוני משטרת התנועה הארצית, בעיבוד משרד מבקר המדינה.‏</w:t>
      </w:r>
    </w:p>
    <w:p w:rsidR="00AA5065" w:rsidRPr="00AA5065" w:rsidP="00860D89">
      <w:pPr>
        <w:spacing w:line="269" w:lineRule="auto"/>
        <w:rPr>
          <w:rFonts w:ascii="David" w:eastAsia="Calibri" w:hAnsi="David"/>
          <w:b/>
          <w:bCs/>
          <w:rtl/>
        </w:rPr>
      </w:pPr>
      <w:r w:rsidRPr="00AA5065">
        <w:rPr>
          <w:rFonts w:ascii="David" w:eastAsia="Calibri" w:hAnsi="David"/>
          <w:b/>
          <w:bCs/>
          <w:rtl/>
        </w:rPr>
        <w:t>מנתוני הלוח</w:t>
      </w:r>
      <w:r w:rsidRPr="00AA5065">
        <w:rPr>
          <w:rFonts w:ascii="David" w:eastAsia="Calibri" w:hAnsi="David" w:hint="cs"/>
          <w:b/>
          <w:bCs/>
          <w:rtl/>
        </w:rPr>
        <w:t xml:space="preserve"> והתרשים</w:t>
      </w:r>
      <w:r w:rsidRPr="00AA5065">
        <w:rPr>
          <w:rFonts w:ascii="David" w:eastAsia="Calibri" w:hAnsi="David"/>
          <w:b/>
          <w:bCs/>
          <w:rtl/>
        </w:rPr>
        <w:t xml:space="preserve"> עולה כי</w:t>
      </w:r>
      <w:r w:rsidRPr="00AA5065">
        <w:rPr>
          <w:rFonts w:ascii="David" w:eastAsia="Calibri" w:hAnsi="David" w:hint="cs"/>
          <w:b/>
          <w:bCs/>
          <w:rtl/>
        </w:rPr>
        <w:t xml:space="preserve"> </w:t>
      </w:r>
      <w:r w:rsidRPr="00AA5065">
        <w:rPr>
          <w:rFonts w:ascii="David" w:eastAsia="Calibri" w:hAnsi="David"/>
          <w:b/>
          <w:bCs/>
          <w:rtl/>
        </w:rPr>
        <w:t xml:space="preserve">בשנים 2020 </w:t>
      </w:r>
      <w:r w:rsidRPr="00AA5065">
        <w:rPr>
          <w:rFonts w:ascii="David" w:eastAsia="Calibri" w:hAnsi="David" w:hint="cs"/>
          <w:b/>
          <w:bCs/>
          <w:rtl/>
        </w:rPr>
        <w:t>עד</w:t>
      </w:r>
      <w:r w:rsidRPr="00AA5065">
        <w:rPr>
          <w:rFonts w:ascii="David" w:eastAsia="Calibri" w:hAnsi="David"/>
          <w:b/>
          <w:bCs/>
          <w:rtl/>
        </w:rPr>
        <w:t xml:space="preserve"> 2024 </w:t>
      </w:r>
      <w:r w:rsidRPr="00AA5065">
        <w:rPr>
          <w:rFonts w:ascii="David" w:eastAsia="Calibri" w:hAnsi="David" w:hint="cs"/>
          <w:b/>
          <w:bCs/>
          <w:rtl/>
        </w:rPr>
        <w:t>היו במרחב נגב</w:t>
      </w:r>
      <w:r w:rsidRPr="00AA5065">
        <w:rPr>
          <w:rFonts w:ascii="David" w:eastAsia="Calibri" w:hAnsi="David"/>
          <w:b/>
          <w:bCs/>
          <w:rtl/>
        </w:rPr>
        <w:t xml:space="preserve"> </w:t>
      </w:r>
      <w:r w:rsidRPr="00AA5065">
        <w:rPr>
          <w:rFonts w:ascii="David" w:eastAsia="Calibri" w:hAnsi="David" w:hint="cs"/>
          <w:b/>
          <w:bCs/>
          <w:rtl/>
        </w:rPr>
        <w:t xml:space="preserve">344 תאונות קטלניות, 594 תאונות קשות ו-2,359 תאונות קלות; מתוכן מספר התאונות של נהגים מהאוכלוסייה הלא-יהודית (במרחב נגב) היה 197, 291 ו-933 בהתאמה. </w:t>
      </w:r>
      <w:r w:rsidRPr="00AA5065">
        <w:rPr>
          <w:rFonts w:ascii="David" w:eastAsia="Calibri" w:hAnsi="David"/>
          <w:b/>
          <w:bCs/>
          <w:rtl/>
        </w:rPr>
        <w:t>שיעור מעורבותם של נהגים מהאוכלוסייה הלא</w:t>
      </w:r>
      <w:r w:rsidRPr="00AA5065">
        <w:rPr>
          <w:rFonts w:ascii="David" w:eastAsia="Calibri" w:hAnsi="David" w:hint="cs"/>
          <w:b/>
          <w:bCs/>
          <w:rtl/>
        </w:rPr>
        <w:t>-</w:t>
      </w:r>
      <w:r w:rsidRPr="00AA5065">
        <w:rPr>
          <w:rFonts w:ascii="David" w:eastAsia="Calibri" w:hAnsi="David"/>
          <w:b/>
          <w:bCs/>
          <w:rtl/>
        </w:rPr>
        <w:t xml:space="preserve">יהודית בתאונות אלו היה </w:t>
      </w:r>
      <w:r w:rsidRPr="00AA5065">
        <w:rPr>
          <w:rFonts w:ascii="David" w:eastAsia="Calibri" w:hAnsi="David" w:hint="cs"/>
          <w:b/>
          <w:bCs/>
          <w:rtl/>
        </w:rPr>
        <w:t xml:space="preserve">57% בתאונות קטלניות, 49% בתאונות קשות ו-39% בתאונות קלות, </w:t>
      </w:r>
      <w:r w:rsidRPr="00AA5065">
        <w:rPr>
          <w:rFonts w:ascii="David" w:eastAsia="Calibri" w:hAnsi="David"/>
          <w:b/>
          <w:bCs/>
          <w:rtl/>
        </w:rPr>
        <w:t>שיעור הגבוה מחלקם באוכלוסיי</w:t>
      </w:r>
      <w:r w:rsidRPr="00AA5065">
        <w:rPr>
          <w:rFonts w:ascii="David" w:eastAsia="Calibri" w:hAnsi="David" w:hint="cs"/>
          <w:b/>
          <w:bCs/>
          <w:rtl/>
        </w:rPr>
        <w:t>ת מחוז דרום (19.7%)</w:t>
      </w:r>
      <w:r w:rsidRPr="00AA5065">
        <w:rPr>
          <w:rFonts w:ascii="David" w:eastAsia="Calibri" w:hAnsi="David"/>
          <w:b/>
          <w:bCs/>
          <w:rtl/>
        </w:rPr>
        <w:t xml:space="preserve"> ומחלקם בקרב הנהגים</w:t>
      </w:r>
      <w:r w:rsidRPr="00AA5065">
        <w:rPr>
          <w:rFonts w:ascii="David" w:eastAsia="Calibri" w:hAnsi="David" w:hint="cs"/>
          <w:b/>
          <w:bCs/>
          <w:rtl/>
        </w:rPr>
        <w:t xml:space="preserve"> במרחב נגב (</w:t>
      </w:r>
      <w:r w:rsidRPr="00AA5065">
        <w:rPr>
          <w:rFonts w:ascii="David" w:eastAsia="Calibri" w:hAnsi="David"/>
          <w:b/>
          <w:bCs/>
          <w:rtl/>
        </w:rPr>
        <w:t>‏</w:t>
      </w:r>
      <w:r w:rsidRPr="00AA5065">
        <w:rPr>
          <w:rFonts w:ascii="David" w:eastAsia="Calibri" w:hAnsi="David" w:hint="cs"/>
          <w:b/>
          <w:bCs/>
          <w:rtl/>
        </w:rPr>
        <w:t>15%)</w:t>
      </w:r>
      <w:r>
        <w:rPr>
          <w:rFonts w:ascii="David" w:eastAsia="Calibri" w:hAnsi="David"/>
          <w:b/>
          <w:bCs/>
          <w:vertAlign w:val="superscript"/>
          <w:rtl/>
        </w:rPr>
        <w:footnoteReference w:id="133"/>
      </w:r>
      <w:r w:rsidRPr="00AA5065">
        <w:rPr>
          <w:rFonts w:ascii="David" w:eastAsia="Calibri" w:hAnsi="David"/>
          <w:b/>
          <w:bCs/>
          <w:rtl/>
        </w:rPr>
        <w:t>.</w:t>
      </w:r>
    </w:p>
    <w:p w:rsidR="00AA5065" w:rsidRPr="00AA5065" w:rsidP="00860D89">
      <w:pPr>
        <w:spacing w:line="269" w:lineRule="auto"/>
        <w:ind w:left="-567"/>
        <w:rPr>
          <w:rFonts w:eastAsia="Calibri"/>
          <w:szCs w:val="20"/>
          <w:rtl/>
        </w:rPr>
      </w:pPr>
    </w:p>
    <w:p w:rsidR="00AA5065" w:rsidRPr="00AA5065" w:rsidP="00246618">
      <w:pPr>
        <w:spacing w:after="120" w:line="269" w:lineRule="auto"/>
        <w:rPr>
          <w:rFonts w:ascii="David" w:eastAsia="Calibri" w:hAnsi="David"/>
          <w:b/>
          <w:bCs/>
          <w:rtl/>
        </w:rPr>
      </w:pPr>
      <w:r w:rsidRPr="00AA5065">
        <w:rPr>
          <w:rFonts w:ascii="David" w:eastAsia="Calibri" w:hAnsi="David" w:hint="cs"/>
          <w:b/>
          <w:bCs/>
          <w:rtl/>
        </w:rPr>
        <w:t xml:space="preserve">בביקורת הקודמת עלה כי </w:t>
      </w:r>
      <w:r w:rsidRPr="00AA5065">
        <w:rPr>
          <w:rFonts w:ascii="David" w:eastAsia="Calibri" w:hAnsi="David"/>
          <w:b/>
          <w:bCs/>
          <w:rtl/>
        </w:rPr>
        <w:t>שיעור מעורבותם של נהגים מהאוכלוסייה הלא</w:t>
      </w:r>
      <w:r w:rsidRPr="00AA5065">
        <w:rPr>
          <w:rFonts w:ascii="David" w:eastAsia="Calibri" w:hAnsi="David" w:hint="cs"/>
          <w:b/>
          <w:bCs/>
          <w:rtl/>
        </w:rPr>
        <w:t>-</w:t>
      </w:r>
      <w:r w:rsidRPr="00AA5065">
        <w:rPr>
          <w:rFonts w:ascii="David" w:eastAsia="Calibri" w:hAnsi="David"/>
          <w:b/>
          <w:bCs/>
          <w:rtl/>
        </w:rPr>
        <w:t>יהודית ב</w:t>
      </w:r>
      <w:r w:rsidRPr="00AA5065">
        <w:rPr>
          <w:rFonts w:ascii="David" w:eastAsia="Calibri" w:hAnsi="David" w:hint="cs"/>
          <w:b/>
          <w:bCs/>
          <w:rtl/>
        </w:rPr>
        <w:t xml:space="preserve">כל סוגי </w:t>
      </w:r>
      <w:r w:rsidRPr="00AA5065">
        <w:rPr>
          <w:rFonts w:ascii="David" w:eastAsia="Calibri" w:hAnsi="David"/>
          <w:b/>
          <w:bCs/>
          <w:rtl/>
        </w:rPr>
        <w:t xml:space="preserve">תאונות </w:t>
      </w:r>
      <w:r w:rsidRPr="00AA5065">
        <w:rPr>
          <w:rFonts w:ascii="David" w:eastAsia="Calibri" w:hAnsi="David" w:hint="cs"/>
          <w:b/>
          <w:bCs/>
          <w:rtl/>
        </w:rPr>
        <w:t>הדרכים</w:t>
      </w:r>
      <w:r w:rsidRPr="00AA5065">
        <w:rPr>
          <w:rFonts w:ascii="David" w:eastAsia="Calibri" w:hAnsi="David"/>
          <w:b/>
          <w:bCs/>
          <w:rtl/>
        </w:rPr>
        <w:t xml:space="preserve"> </w:t>
      </w:r>
      <w:r w:rsidRPr="00AA5065">
        <w:rPr>
          <w:rFonts w:ascii="David" w:eastAsia="Calibri" w:hAnsi="David" w:hint="cs"/>
          <w:b/>
          <w:bCs/>
          <w:rtl/>
        </w:rPr>
        <w:t xml:space="preserve">במרחב נגב היה גבוה מחלקם בקרב הנהגים במחוז דרום (10%). בביקורת המעקב עלה כי הליקוי לא תוקן; </w:t>
      </w:r>
      <w:r w:rsidRPr="00AA5065">
        <w:rPr>
          <w:rFonts w:ascii="David" w:eastAsia="Calibri" w:hAnsi="David"/>
          <w:b/>
          <w:bCs/>
          <w:rtl/>
        </w:rPr>
        <w:t>שיעור מעורבותם של נהגים מהאוכלוסייה הלא</w:t>
      </w:r>
      <w:r w:rsidRPr="00AA5065">
        <w:rPr>
          <w:rFonts w:ascii="David" w:eastAsia="Calibri" w:hAnsi="David" w:hint="cs"/>
          <w:b/>
          <w:bCs/>
          <w:rtl/>
        </w:rPr>
        <w:t>-</w:t>
      </w:r>
      <w:r w:rsidRPr="00AA5065">
        <w:rPr>
          <w:rFonts w:ascii="David" w:eastAsia="Calibri" w:hAnsi="David"/>
          <w:b/>
          <w:bCs/>
          <w:rtl/>
        </w:rPr>
        <w:t xml:space="preserve">יהודית בכלל סוגי תאונות הדרכים </w:t>
      </w:r>
      <w:r w:rsidRPr="00AA5065">
        <w:rPr>
          <w:rFonts w:ascii="David" w:eastAsia="Calibri" w:hAnsi="David" w:hint="cs"/>
          <w:b/>
          <w:bCs/>
          <w:rtl/>
        </w:rPr>
        <w:t xml:space="preserve">במרחב נגב (49% בממוצע) היה </w:t>
      </w:r>
      <w:r w:rsidRPr="00AA5065">
        <w:rPr>
          <w:rFonts w:ascii="David" w:eastAsia="Calibri" w:hAnsi="David"/>
          <w:b/>
          <w:bCs/>
          <w:rtl/>
        </w:rPr>
        <w:t>גבוה משיעורם באוכלוסיית מחוז דרום (19.7%) ומחלקם בקרב הנהגים במרחב נגב (‏15%).‏</w:t>
      </w:r>
      <w:r w:rsidRPr="00AA5065">
        <w:rPr>
          <w:rFonts w:ascii="David" w:eastAsia="Calibri" w:hAnsi="David" w:hint="cs"/>
          <w:b/>
          <w:bCs/>
          <w:rtl/>
        </w:rPr>
        <w:t xml:space="preserve"> עוד עלה כי אף שבמעורבות בתאונות קטלניות מסתמנת ירידה של כ-5%, נמצאה עלייה מתונה במעורבות ב</w:t>
      </w:r>
      <w:r w:rsidRPr="00AA5065">
        <w:rPr>
          <w:rFonts w:ascii="David" w:eastAsia="Calibri" w:hAnsi="David"/>
          <w:b/>
          <w:bCs/>
          <w:rtl/>
        </w:rPr>
        <w:t>תאונות קשות</w:t>
      </w:r>
      <w:r w:rsidRPr="00AA5065">
        <w:rPr>
          <w:rFonts w:ascii="David" w:eastAsia="Calibri" w:hAnsi="David" w:hint="cs"/>
          <w:b/>
          <w:bCs/>
          <w:rtl/>
        </w:rPr>
        <w:t xml:space="preserve"> (4%) ועלייה קלה (כ-1%)</w:t>
      </w:r>
      <w:r w:rsidRPr="00AA5065">
        <w:rPr>
          <w:rFonts w:ascii="David" w:eastAsia="Calibri" w:hAnsi="David" w:hint="cs"/>
          <w:b/>
          <w:bCs/>
        </w:rPr>
        <w:t xml:space="preserve"> </w:t>
      </w:r>
      <w:r w:rsidRPr="00AA5065">
        <w:rPr>
          <w:rFonts w:ascii="David" w:eastAsia="Calibri" w:hAnsi="David" w:hint="cs"/>
          <w:b/>
          <w:bCs/>
          <w:rtl/>
        </w:rPr>
        <w:t>במעורבות בתאונות קלות.</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eastAsia="Calibri"/>
          <w:b/>
          <w:bCs/>
          <w:rtl/>
        </w:rPr>
      </w:pPr>
      <w:r w:rsidRPr="00AA5065">
        <w:rPr>
          <w:rFonts w:eastAsia="Calibri"/>
          <w:b/>
          <w:bCs/>
          <w:rtl/>
        </w:rPr>
        <w:t>מידת תיקון הליקוי</w:t>
      </w:r>
    </w:p>
    <w:p w:rsidR="00AA5065" w:rsidRPr="00AA5065" w:rsidP="00860D89">
      <w:pPr>
        <w:spacing w:line="269" w:lineRule="auto"/>
        <w:ind w:left="397"/>
        <w:jc w:val="center"/>
        <w:rPr>
          <w:rFonts w:ascii="David" w:eastAsia="Calibri" w:hAnsi="David"/>
          <w:b/>
          <w:rtl/>
        </w:rPr>
      </w:pPr>
      <w:r w:rsidRPr="00AA5065">
        <w:rPr>
          <w:rFonts w:ascii="David" w:eastAsia="Calibri" w:hAnsi="David"/>
          <w:noProof/>
        </w:rPr>
        <w:drawing>
          <wp:inline distT="0" distB="0" distL="0" distR="0">
            <wp:extent cx="3960000" cy="740487"/>
            <wp:effectExtent l="0" t="0" r="0" b="0"/>
            <wp:docPr id="50" name="תמונה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תמונה 1095261540"/>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0000" cy="740487"/>
                    </a:xfrm>
                    <a:prstGeom prst="rect">
                      <a:avLst/>
                    </a:prstGeom>
                    <a:noFill/>
                    <a:ln>
                      <a:noFill/>
                    </a:ln>
                  </pic:spPr>
                </pic:pic>
              </a:graphicData>
            </a:graphic>
          </wp:inline>
        </w:drawing>
      </w:r>
    </w:p>
    <w:p w:rsidR="00AA5065" w:rsidRPr="00AA5065" w:rsidP="00246618">
      <w:pPr>
        <w:spacing w:before="120" w:line="269" w:lineRule="auto"/>
        <w:ind w:left="-567"/>
        <w:rPr>
          <w:rFonts w:eastAsia="Calibri"/>
          <w:szCs w:val="20"/>
          <w:rtl/>
        </w:rPr>
      </w:pPr>
    </w:p>
    <w:p w:rsidR="00AA5065" w:rsidRPr="00AA5065" w:rsidP="00860D89">
      <w:pPr>
        <w:spacing w:line="269" w:lineRule="auto"/>
        <w:ind w:left="-1"/>
        <w:rPr>
          <w:rFonts w:eastAsia="Calibri"/>
          <w:szCs w:val="20"/>
          <w:rtl/>
        </w:rPr>
      </w:pPr>
      <w:r w:rsidRPr="00AA5065">
        <w:rPr>
          <w:rFonts w:ascii="David" w:eastAsia="Calibri" w:hAnsi="David" w:hint="eastAsia"/>
          <w:rtl/>
        </w:rPr>
        <w:t>אגף</w:t>
      </w:r>
      <w:r w:rsidRPr="00AA5065">
        <w:rPr>
          <w:rFonts w:ascii="David" w:eastAsia="Calibri" w:hAnsi="David"/>
          <w:rtl/>
        </w:rPr>
        <w:t xml:space="preserve"> </w:t>
      </w:r>
      <w:r w:rsidRPr="00AA5065">
        <w:rPr>
          <w:rFonts w:ascii="David" w:eastAsia="Calibri" w:hAnsi="David" w:hint="eastAsia"/>
          <w:rtl/>
        </w:rPr>
        <w:t>המיעוטים</w:t>
      </w:r>
      <w:r w:rsidRPr="00AA5065">
        <w:rPr>
          <w:rFonts w:ascii="David" w:eastAsia="Calibri" w:hAnsi="David"/>
          <w:rtl/>
        </w:rPr>
        <w:t xml:space="preserve"> במשרד התחבורה מסר בתשובת</w:t>
      </w:r>
      <w:r w:rsidRPr="00AA5065">
        <w:rPr>
          <w:rFonts w:ascii="David" w:eastAsia="Calibri" w:hAnsi="David" w:hint="cs"/>
          <w:rtl/>
        </w:rPr>
        <w:t xml:space="preserve">ו </w:t>
      </w:r>
      <w:r w:rsidRPr="00AA5065">
        <w:rPr>
          <w:rFonts w:ascii="David" w:eastAsia="Calibri" w:hAnsi="David"/>
          <w:rtl/>
        </w:rPr>
        <w:t>‏</w:t>
      </w:r>
      <w:r w:rsidRPr="00AA5065">
        <w:rPr>
          <w:rFonts w:ascii="David" w:eastAsia="Calibri" w:hAnsi="David" w:hint="cs"/>
          <w:rtl/>
        </w:rPr>
        <w:t>מ-</w:t>
      </w:r>
      <w:r w:rsidRPr="00AA5065">
        <w:rPr>
          <w:rFonts w:ascii="David" w:eastAsia="Calibri" w:hAnsi="David"/>
          <w:rtl/>
        </w:rPr>
        <w:t xml:space="preserve">25.8.25 </w:t>
      </w:r>
      <w:r w:rsidRPr="00AA5065">
        <w:rPr>
          <w:rFonts w:ascii="David" w:eastAsia="Calibri" w:hAnsi="David" w:hint="eastAsia"/>
          <w:rtl/>
        </w:rPr>
        <w:t>כי</w:t>
      </w:r>
      <w:r w:rsidRPr="00AA5065">
        <w:rPr>
          <w:rFonts w:ascii="David" w:eastAsia="Calibri" w:hAnsi="David"/>
          <w:rtl/>
        </w:rPr>
        <w:t xml:space="preserve"> "מאז שנת 2022 משרד התחבורה משקיע בפרויקטי תשתיות בהתאם להחלטת ממשלה מס׳ </w:t>
      </w:r>
      <w:r w:rsidRPr="00AA5065">
        <w:rPr>
          <w:rFonts w:ascii="David" w:eastAsia="Calibri" w:hAnsi="David"/>
          <w:cs/>
        </w:rPr>
        <w:t>‎‎</w:t>
      </w:r>
      <w:r w:rsidRPr="00AA5065">
        <w:rPr>
          <w:rFonts w:ascii="David" w:eastAsia="Calibri" w:hAnsi="David"/>
          <w:sz w:val="24"/>
        </w:rPr>
        <w:t>550</w:t>
      </w:r>
      <w:r w:rsidRPr="00AA5065">
        <w:rPr>
          <w:rFonts w:ascii="David" w:eastAsia="Calibri" w:hAnsi="David"/>
          <w:rtl/>
        </w:rPr>
        <w:t>, שמטרתה פיתוח יישובי הנגב עד שנת 2024, בהיקף של כ</w:t>
      </w:r>
      <w:r w:rsidRPr="00AA5065">
        <w:rPr>
          <w:rFonts w:ascii="David" w:eastAsia="Calibri" w:hAnsi="David" w:hint="cs"/>
          <w:rtl/>
        </w:rPr>
        <w:t>-</w:t>
      </w:r>
      <w:r w:rsidRPr="00AA5065">
        <w:rPr>
          <w:rFonts w:ascii="David" w:eastAsia="Calibri" w:hAnsi="David"/>
          <w:rtl/>
        </w:rPr>
        <w:t xml:space="preserve">420 מיליון ש״ח. התוכנית </w:t>
      </w:r>
      <w:r w:rsidRPr="00AA5065">
        <w:rPr>
          <w:rFonts w:ascii="David" w:eastAsia="Calibri" w:hAnsi="David"/>
          <w:cs/>
        </w:rPr>
        <w:t>‎</w:t>
      </w:r>
      <w:r w:rsidRPr="00AA5065">
        <w:rPr>
          <w:rFonts w:ascii="David" w:eastAsia="Calibri" w:hAnsi="David"/>
          <w:rtl/>
        </w:rPr>
        <w:t xml:space="preserve">הוארכה גם לשנת 2025 וצפויה להסתיים בשנת 2026. במסגרת ההחלטה, היישובים </w:t>
      </w:r>
      <w:r w:rsidRPr="00AA5065">
        <w:rPr>
          <w:rFonts w:ascii="David" w:eastAsia="Calibri" w:hAnsi="David"/>
          <w:cs/>
        </w:rPr>
        <w:t>‎</w:t>
      </w:r>
      <w:r w:rsidRPr="00AA5065">
        <w:rPr>
          <w:rFonts w:ascii="David" w:eastAsia="Calibri" w:hAnsi="David"/>
          <w:rtl/>
        </w:rPr>
        <w:t>הבדואיים בדרום מקבלים מדי שנה כ</w:t>
      </w:r>
      <w:r w:rsidRPr="00AA5065">
        <w:rPr>
          <w:rFonts w:ascii="David" w:eastAsia="Calibri" w:hAnsi="David" w:hint="cs"/>
          <w:rtl/>
        </w:rPr>
        <w:t>-</w:t>
      </w:r>
      <w:r w:rsidRPr="00AA5065">
        <w:rPr>
          <w:rFonts w:ascii="David" w:eastAsia="Calibri" w:hAnsi="David"/>
          <w:rtl/>
        </w:rPr>
        <w:t>18% מסך התקציב השנתי המאושר".</w:t>
      </w:r>
      <w:r w:rsidRPr="00AA5065">
        <w:rPr>
          <w:rFonts w:ascii="David" w:eastAsia="Calibri" w:hAnsi="David"/>
          <w:cs/>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b/>
          <w:bCs/>
          <w:rtl/>
        </w:rPr>
        <w:t>מומלץ כי משטרת ישראל, המשרד לביטחון לאומי ומשרד התחבורה יגבש</w:t>
      </w:r>
      <w:r w:rsidRPr="00AA5065">
        <w:rPr>
          <w:rFonts w:ascii="David" w:eastAsia="Calibri" w:hAnsi="David" w:hint="cs"/>
          <w:b/>
          <w:bCs/>
          <w:rtl/>
        </w:rPr>
        <w:t>ו</w:t>
      </w:r>
      <w:r w:rsidRPr="00AA5065">
        <w:rPr>
          <w:rFonts w:ascii="David" w:eastAsia="Calibri" w:hAnsi="David"/>
          <w:b/>
          <w:bCs/>
          <w:rtl/>
        </w:rPr>
        <w:t xml:space="preserve"> תוכנית פעולה משולבת לצמצום התופעה, בשיתוף הרשויות האזוריות והמקומיות ו</w:t>
      </w:r>
      <w:r w:rsidRPr="00AA5065">
        <w:rPr>
          <w:rFonts w:ascii="David" w:eastAsia="Calibri" w:hAnsi="David" w:hint="cs"/>
          <w:b/>
          <w:bCs/>
          <w:rtl/>
        </w:rPr>
        <w:t>ה</w:t>
      </w:r>
      <w:r w:rsidRPr="00AA5065">
        <w:rPr>
          <w:rFonts w:ascii="David" w:eastAsia="Calibri" w:hAnsi="David"/>
          <w:b/>
          <w:bCs/>
          <w:rtl/>
        </w:rPr>
        <w:t xml:space="preserve">הנהגה </w:t>
      </w:r>
      <w:r w:rsidRPr="00AA5065">
        <w:rPr>
          <w:rFonts w:ascii="David" w:eastAsia="Calibri" w:hAnsi="David" w:hint="cs"/>
          <w:b/>
          <w:bCs/>
          <w:rtl/>
        </w:rPr>
        <w:t>ה</w:t>
      </w:r>
      <w:r w:rsidRPr="00AA5065">
        <w:rPr>
          <w:rFonts w:ascii="David" w:eastAsia="Calibri" w:hAnsi="David"/>
          <w:b/>
          <w:bCs/>
          <w:rtl/>
        </w:rPr>
        <w:t xml:space="preserve">מקומית מקרב האוכלוסייה הלא-יהודית. </w:t>
      </w:r>
      <w:r w:rsidRPr="00AA5065">
        <w:rPr>
          <w:rFonts w:ascii="David" w:eastAsia="Calibri" w:hAnsi="David" w:hint="cs"/>
          <w:b/>
          <w:bCs/>
          <w:rtl/>
        </w:rPr>
        <w:t xml:space="preserve">מומלץ כי </w:t>
      </w:r>
      <w:r w:rsidRPr="00AA5065">
        <w:rPr>
          <w:rFonts w:ascii="David" w:eastAsia="Calibri" w:hAnsi="David"/>
          <w:b/>
          <w:bCs/>
          <w:rtl/>
        </w:rPr>
        <w:t>התוכנית תכלול פעולות חינוך והסברה, הגברת האכיפה, שיפור התשתיות והנגשת מידע בשפות הרלוונטיות, תוך התאמה תרבותית וחברתית. שיתוף פעולה זה חיוני לקידום שינוי התנהגותי ולצמצום תאונות הדרכים החמורות והקטלניות ב</w:t>
      </w:r>
      <w:r w:rsidRPr="00AA5065">
        <w:rPr>
          <w:rFonts w:ascii="David" w:eastAsia="Calibri" w:hAnsi="David" w:hint="eastAsia"/>
          <w:b/>
          <w:bCs/>
          <w:rtl/>
        </w:rPr>
        <w:t>נגב</w:t>
      </w:r>
      <w:r w:rsidRPr="00AA5065">
        <w:rPr>
          <w:rFonts w:ascii="David" w:eastAsia="Calibri" w:hAnsi="David"/>
          <w:b/>
          <w:bCs/>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Times New Roman" w:hAnsi="David"/>
          <w:color w:val="000000"/>
          <w:sz w:val="24"/>
          <w:rtl/>
          <w:lang w:eastAsia="he-IL"/>
        </w:rPr>
      </w:pPr>
      <w:r w:rsidRPr="00AA5065">
        <w:rPr>
          <w:rFonts w:ascii="David" w:eastAsia="Calibri" w:hAnsi="David"/>
          <w:rtl/>
        </w:rPr>
        <w:t>‏</w:t>
      </w:r>
      <w:r w:rsidRPr="00AA5065">
        <w:rPr>
          <w:rFonts w:ascii="David" w:eastAsia="Times New Roman" w:hAnsi="David" w:hint="cs"/>
          <w:color w:val="000000"/>
          <w:sz w:val="24"/>
          <w:rtl/>
          <w:lang w:eastAsia="he-IL"/>
        </w:rPr>
        <w:t>משטרת ישראל מסרה בתשובתה כי "</w:t>
      </w:r>
      <w:r w:rsidRPr="00AA5065">
        <w:rPr>
          <w:rFonts w:ascii="David" w:eastAsia="Times New Roman" w:hAnsi="David"/>
          <w:color w:val="000000"/>
          <w:sz w:val="24"/>
          <w:rtl/>
          <w:lang w:eastAsia="he-IL"/>
        </w:rPr>
        <w:t>למרות שהאחריות על הירידה בתאונות הדרכים וההרוגים אינה מוטלת על המשטרה, רואה המפכ"ל חשיבות רבה במדידת אפקטיביות פעילות האכיפה</w:t>
      </w:r>
      <w:r w:rsidRPr="00AA5065">
        <w:rPr>
          <w:rFonts w:ascii="David" w:eastAsia="Times New Roman" w:hAnsi="David" w:hint="cs"/>
          <w:color w:val="000000"/>
          <w:sz w:val="24"/>
          <w:rtl/>
          <w:lang w:eastAsia="he-IL"/>
        </w:rPr>
        <w:t xml:space="preserve"> </w:t>
      </w:r>
      <w:r w:rsidRPr="00AA5065">
        <w:rPr>
          <w:rFonts w:ascii="David" w:eastAsia="Times New Roman" w:hAnsi="David"/>
          <w:color w:val="000000"/>
          <w:sz w:val="24"/>
          <w:rtl/>
          <w:lang w:eastAsia="he-IL"/>
        </w:rPr>
        <w:t xml:space="preserve">באמצעות מבחן התוצאה, קרי ירידה בפועל במספר ההרוגים </w:t>
      </w:r>
      <w:r w:rsidRPr="00AA5065">
        <w:rPr>
          <w:rFonts w:ascii="David" w:eastAsia="Times New Roman" w:hAnsi="David" w:hint="cs"/>
          <w:color w:val="000000"/>
          <w:sz w:val="24"/>
          <w:rtl/>
          <w:lang w:eastAsia="he-IL"/>
        </w:rPr>
        <w:t>ו</w:t>
      </w:r>
      <w:r w:rsidRPr="00AA5065">
        <w:rPr>
          <w:rFonts w:ascii="David" w:eastAsia="Times New Roman" w:hAnsi="David"/>
          <w:color w:val="000000"/>
          <w:sz w:val="24"/>
          <w:rtl/>
          <w:lang w:eastAsia="he-IL"/>
        </w:rPr>
        <w:t>התאונות</w:t>
      </w:r>
      <w:r w:rsidRPr="00AA5065">
        <w:rPr>
          <w:rFonts w:ascii="David" w:eastAsia="Times New Roman" w:hAnsi="David" w:hint="cs"/>
          <w:color w:val="000000"/>
          <w:sz w:val="24"/>
          <w:rtl/>
          <w:lang w:eastAsia="he-IL"/>
        </w:rPr>
        <w:t>".</w:t>
      </w:r>
      <w:r w:rsidRPr="00AA5065">
        <w:rPr>
          <w:rFonts w:ascii="David" w:eastAsia="Times New Roman" w:hAnsi="David"/>
          <w:color w:val="000000"/>
          <w:sz w:val="24"/>
          <w:rtl/>
          <w:lang w:eastAsia="he-IL"/>
        </w:rPr>
        <w:t xml:space="preserve"> </w:t>
      </w:r>
      <w:r w:rsidRPr="00AA5065">
        <w:rPr>
          <w:rFonts w:ascii="David" w:eastAsia="Times New Roman" w:hAnsi="David" w:hint="cs"/>
          <w:color w:val="000000"/>
          <w:sz w:val="24"/>
          <w:rtl/>
          <w:lang w:eastAsia="he-IL"/>
        </w:rPr>
        <w:t>עוד מסרה המשטרה כי היא הכינה</w:t>
      </w:r>
      <w:r w:rsidRPr="00AA5065">
        <w:rPr>
          <w:rFonts w:ascii="David" w:eastAsia="Times New Roman" w:hAnsi="David"/>
          <w:color w:val="000000"/>
          <w:sz w:val="24"/>
          <w:rtl/>
          <w:lang w:eastAsia="he-IL"/>
        </w:rPr>
        <w:t xml:space="preserve"> ת</w:t>
      </w:r>
      <w:r w:rsidRPr="00AA5065">
        <w:rPr>
          <w:rFonts w:ascii="David" w:eastAsia="Times New Roman" w:hAnsi="David" w:hint="cs"/>
          <w:color w:val="000000"/>
          <w:sz w:val="24"/>
          <w:rtl/>
          <w:lang w:eastAsia="he-IL"/>
        </w:rPr>
        <w:t>ו</w:t>
      </w:r>
      <w:r w:rsidRPr="00AA5065">
        <w:rPr>
          <w:rFonts w:ascii="David" w:eastAsia="Times New Roman" w:hAnsi="David"/>
          <w:color w:val="000000"/>
          <w:sz w:val="24"/>
          <w:rtl/>
          <w:lang w:eastAsia="he-IL"/>
        </w:rPr>
        <w:t>כניות עבודה רב</w:t>
      </w:r>
      <w:r w:rsidRPr="00AA5065">
        <w:rPr>
          <w:rFonts w:ascii="David" w:eastAsia="Times New Roman" w:hAnsi="David" w:hint="cs"/>
          <w:color w:val="000000"/>
          <w:sz w:val="24"/>
          <w:rtl/>
          <w:lang w:eastAsia="he-IL"/>
        </w:rPr>
        <w:t>-</w:t>
      </w:r>
      <w:r w:rsidRPr="00AA5065">
        <w:rPr>
          <w:rFonts w:ascii="David" w:eastAsia="Times New Roman" w:hAnsi="David"/>
          <w:color w:val="000000"/>
          <w:sz w:val="24"/>
          <w:rtl/>
          <w:lang w:eastAsia="he-IL"/>
        </w:rPr>
        <w:t>שנתיות לבניין הכוח ו</w:t>
      </w:r>
      <w:r w:rsidRPr="00AA5065">
        <w:rPr>
          <w:rFonts w:ascii="David" w:eastAsia="Times New Roman" w:hAnsi="David" w:hint="cs"/>
          <w:color w:val="000000"/>
          <w:sz w:val="24"/>
          <w:rtl/>
          <w:lang w:eastAsia="he-IL"/>
        </w:rPr>
        <w:t xml:space="preserve">אף קבעה יעד של </w:t>
      </w:r>
      <w:r w:rsidRPr="00AA5065">
        <w:rPr>
          <w:rFonts w:ascii="David" w:eastAsia="Times New Roman" w:hAnsi="David"/>
          <w:color w:val="000000"/>
          <w:sz w:val="24"/>
          <w:rtl/>
          <w:lang w:eastAsia="he-IL"/>
        </w:rPr>
        <w:t>ירידה ב-15% במספר תאונות הדרכים ביחס לממוצע תאונות הדרכים ב</w:t>
      </w:r>
      <w:r w:rsidRPr="00AA5065">
        <w:rPr>
          <w:rFonts w:ascii="David" w:eastAsia="Times New Roman" w:hAnsi="David" w:hint="cs"/>
          <w:color w:val="000000"/>
          <w:sz w:val="24"/>
          <w:rtl/>
          <w:lang w:eastAsia="he-IL"/>
        </w:rPr>
        <w:t>ארבע</w:t>
      </w:r>
      <w:r w:rsidRPr="00AA5065">
        <w:rPr>
          <w:rFonts w:ascii="David" w:eastAsia="Times New Roman" w:hAnsi="David"/>
          <w:color w:val="000000"/>
          <w:sz w:val="24"/>
          <w:rtl/>
          <w:lang w:eastAsia="he-IL"/>
        </w:rPr>
        <w:t xml:space="preserve"> השנים הקודמות</w:t>
      </w:r>
      <w:r w:rsidRPr="00AA5065">
        <w:rPr>
          <w:rFonts w:ascii="David" w:eastAsia="Times New Roman" w:hAnsi="David" w:hint="cs"/>
          <w:color w:val="000000"/>
          <w:sz w:val="24"/>
          <w:rtl/>
          <w:lang w:eastAsia="he-IL"/>
        </w:rPr>
        <w:t xml:space="preserve">. </w:t>
      </w:r>
      <w:r w:rsidRPr="00AA5065">
        <w:rPr>
          <w:rFonts w:ascii="David" w:eastAsia="Times New Roman" w:hAnsi="David"/>
          <w:color w:val="000000"/>
          <w:sz w:val="24"/>
          <w:rtl/>
          <w:lang w:eastAsia="he-IL"/>
        </w:rPr>
        <w:t>ת</w:t>
      </w:r>
      <w:r w:rsidRPr="00AA5065">
        <w:rPr>
          <w:rFonts w:ascii="David" w:eastAsia="Times New Roman" w:hAnsi="David" w:hint="cs"/>
          <w:color w:val="000000"/>
          <w:sz w:val="24"/>
          <w:rtl/>
          <w:lang w:eastAsia="he-IL"/>
        </w:rPr>
        <w:t>ו</w:t>
      </w:r>
      <w:r w:rsidRPr="00AA5065">
        <w:rPr>
          <w:rFonts w:ascii="David" w:eastAsia="Times New Roman" w:hAnsi="David"/>
          <w:color w:val="000000"/>
          <w:sz w:val="24"/>
          <w:rtl/>
          <w:lang w:eastAsia="he-IL"/>
        </w:rPr>
        <w:t xml:space="preserve">כניות העבודה </w:t>
      </w:r>
      <w:r w:rsidRPr="00AA5065">
        <w:rPr>
          <w:rFonts w:ascii="David" w:eastAsia="Times New Roman" w:hAnsi="David" w:hint="cs"/>
          <w:color w:val="000000"/>
          <w:sz w:val="24"/>
          <w:rtl/>
          <w:lang w:eastAsia="he-IL"/>
        </w:rPr>
        <w:t xml:space="preserve">הללו כוללות בין היתר </w:t>
      </w:r>
      <w:r w:rsidRPr="00AA5065">
        <w:rPr>
          <w:rFonts w:ascii="David" w:eastAsia="Times New Roman" w:hAnsi="David"/>
          <w:color w:val="000000"/>
          <w:sz w:val="24"/>
          <w:rtl/>
          <w:lang w:eastAsia="he-IL"/>
        </w:rPr>
        <w:t>מיקוד אכיפה</w:t>
      </w:r>
      <w:r w:rsidRPr="00AA5065">
        <w:rPr>
          <w:rFonts w:ascii="David" w:eastAsia="Times New Roman" w:hAnsi="David" w:hint="cs"/>
          <w:color w:val="000000"/>
          <w:sz w:val="24"/>
          <w:rtl/>
          <w:lang w:eastAsia="he-IL"/>
        </w:rPr>
        <w:t xml:space="preserve">, שימוש מוגבר בסמכויות מינהליות, הגברת נוכחות ובולטות וביצוע הדרכות בקרב צעירים. </w:t>
      </w:r>
      <w:r w:rsidRPr="00AA5065">
        <w:rPr>
          <w:rFonts w:ascii="David" w:eastAsia="Times New Roman" w:hAnsi="David" w:hint="cs"/>
          <w:sz w:val="24"/>
          <w:rtl/>
          <w:lang w:eastAsia="he-IL"/>
        </w:rPr>
        <w:t xml:space="preserve">כמו כן מסרה המשטרה </w:t>
      </w:r>
      <w:r w:rsidRPr="00AA5065">
        <w:rPr>
          <w:rFonts w:ascii="David" w:eastAsia="Times New Roman" w:hAnsi="David" w:hint="eastAsia"/>
          <w:sz w:val="24"/>
          <w:rtl/>
          <w:lang w:eastAsia="he-IL"/>
        </w:rPr>
        <w:t>כי</w:t>
      </w:r>
      <w:r w:rsidRPr="00AA5065">
        <w:rPr>
          <w:rFonts w:ascii="David" w:eastAsia="Times New Roman" w:hAnsi="David" w:hint="cs"/>
          <w:sz w:val="24"/>
          <w:rtl/>
          <w:lang w:eastAsia="he-IL"/>
        </w:rPr>
        <w:t xml:space="preserve"> מחוז דרום משתף פעולה בנושא עם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הרשויות</w:t>
      </w:r>
      <w:r w:rsidRPr="00AA5065">
        <w:rPr>
          <w:rFonts w:ascii="David" w:eastAsia="Times New Roman" w:hAnsi="David"/>
          <w:sz w:val="24"/>
          <w:rtl/>
          <w:lang w:eastAsia="he-IL"/>
        </w:rPr>
        <w:t xml:space="preserve"> </w:t>
      </w:r>
      <w:r w:rsidRPr="00AA5065">
        <w:rPr>
          <w:rFonts w:ascii="David" w:eastAsia="Times New Roman" w:hAnsi="David" w:hint="cs"/>
          <w:sz w:val="24"/>
          <w:rtl/>
          <w:lang w:eastAsia="he-IL"/>
        </w:rPr>
        <w:t>המקומיות ו</w:t>
      </w:r>
      <w:r w:rsidRPr="00AA5065">
        <w:rPr>
          <w:rFonts w:ascii="David" w:eastAsia="Times New Roman" w:hAnsi="David" w:hint="eastAsia"/>
          <w:sz w:val="24"/>
          <w:rtl/>
          <w:lang w:eastAsia="he-IL"/>
        </w:rPr>
        <w:t>הרלב</w:t>
      </w:r>
      <w:r w:rsidRPr="00AA5065">
        <w:rPr>
          <w:rFonts w:ascii="David" w:eastAsia="Times New Roman" w:hAnsi="David"/>
          <w:sz w:val="24"/>
          <w:rtl/>
          <w:lang w:eastAsia="he-IL"/>
        </w:rPr>
        <w:t>"</w:t>
      </w:r>
      <w:r w:rsidRPr="00AA5065">
        <w:rPr>
          <w:rFonts w:ascii="David" w:eastAsia="Times New Roman" w:hAnsi="David" w:hint="eastAsia"/>
          <w:sz w:val="24"/>
          <w:rtl/>
          <w:lang w:eastAsia="he-IL"/>
        </w:rPr>
        <w:t>ד</w:t>
      </w:r>
      <w:r w:rsidRPr="00AA5065">
        <w:rPr>
          <w:rFonts w:ascii="David" w:eastAsia="Times New Roman" w:hAnsi="David" w:hint="cs"/>
          <w:sz w:val="24"/>
          <w:rtl/>
          <w:lang w:eastAsia="he-IL"/>
        </w:rPr>
        <w:t>.</w:t>
      </w:r>
      <w:r w:rsidRPr="00AA5065">
        <w:rPr>
          <w:rFonts w:ascii="David" w:eastAsia="Times New Roman" w:hAnsi="David"/>
          <w:sz w:val="24"/>
          <w:rtl/>
          <w:lang w:eastAsia="he-IL"/>
        </w:rPr>
        <w:t xml:space="preserve"> </w:t>
      </w:r>
    </w:p>
    <w:p w:rsidR="00AA5065" w:rsidRPr="00AA5065" w:rsidP="00860D89">
      <w:pPr>
        <w:spacing w:line="269" w:lineRule="auto"/>
        <w:rPr>
          <w:rFonts w:eastAsia="Calibri"/>
          <w:rtl/>
        </w:rPr>
      </w:pPr>
    </w:p>
    <w:p w:rsidR="00AE73D8">
      <w:pPr>
        <w:bidi w:val="0"/>
        <w:spacing w:after="200" w:line="276" w:lineRule="auto"/>
        <w:rPr>
          <w:rFonts w:eastAsia="Times New Roman"/>
          <w:bCs/>
          <w:szCs w:val="26"/>
          <w:rtl/>
        </w:rPr>
      </w:pPr>
      <w:r>
        <w:rPr>
          <w:rFonts w:eastAsia="Times New Roman"/>
          <w:bCs/>
          <w:szCs w:val="26"/>
          <w:rtl/>
        </w:rPr>
        <w:br w:type="page"/>
      </w:r>
    </w:p>
    <w:p w:rsidR="00AA5065" w:rsidRPr="00AA5065" w:rsidP="00860D89">
      <w:pPr>
        <w:keepNext/>
        <w:keepLines/>
        <w:spacing w:line="269" w:lineRule="auto"/>
        <w:outlineLvl w:val="3"/>
        <w:rPr>
          <w:rFonts w:eastAsia="Times New Roman"/>
          <w:bCs/>
          <w:szCs w:val="26"/>
          <w:rtl/>
        </w:rPr>
      </w:pPr>
      <w:r w:rsidRPr="00AA5065">
        <w:rPr>
          <w:rFonts w:eastAsia="Times New Roman"/>
          <w:bCs/>
          <w:szCs w:val="26"/>
          <w:rtl/>
        </w:rPr>
        <w:t>מעורבות נהגים בתאונות דרכים לפי גיל הנהג</w:t>
      </w:r>
      <w:r w:rsidRPr="00AA5065">
        <w:rPr>
          <w:rFonts w:eastAsia="Times New Roman" w:hint="cs"/>
          <w:bCs/>
          <w:szCs w:val="26"/>
          <w:rtl/>
        </w:rPr>
        <w:t xml:space="preserve"> במרחב נגב</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בדוח הקודם הוצג פירוט‏ שיעורי הנהגים הצעירים מהאוכלוסייה הלא-יהודית המעורבים בתאונות דרכים, בשנים 2016 </w:t>
      </w:r>
      <w:r w:rsidRPr="00AA5065">
        <w:rPr>
          <w:rFonts w:ascii="David" w:eastAsia="Calibri" w:hAnsi="David" w:hint="cs"/>
          <w:rtl/>
        </w:rPr>
        <w:t>עד</w:t>
      </w:r>
      <w:r w:rsidRPr="00AA5065">
        <w:rPr>
          <w:rFonts w:ascii="David" w:eastAsia="Calibri" w:hAnsi="David"/>
          <w:rtl/>
        </w:rPr>
        <w:t xml:space="preserve"> 2019, לפי ‏קבוצות גיל ותחום גיאוגרפי,‏ ועלה </w:t>
      </w:r>
      <w:r w:rsidRPr="00AA5065">
        <w:rPr>
          <w:rFonts w:ascii="David" w:eastAsia="Calibri" w:hAnsi="David" w:hint="cs"/>
          <w:rtl/>
        </w:rPr>
        <w:t>ששיעור</w:t>
      </w:r>
      <w:r w:rsidRPr="00AA5065">
        <w:rPr>
          <w:rFonts w:ascii="David" w:eastAsia="Calibri" w:hAnsi="David"/>
          <w:rtl/>
        </w:rPr>
        <w:t xml:space="preserve"> הנהגים מהאוכלוסייה הלא-יהודית</w:t>
      </w:r>
      <w:r w:rsidRPr="00AA5065">
        <w:rPr>
          <w:rFonts w:ascii="David" w:eastAsia="Calibri" w:hAnsi="David" w:hint="cs"/>
          <w:rtl/>
        </w:rPr>
        <w:t xml:space="preserve"> </w:t>
      </w:r>
      <w:r w:rsidRPr="00AA5065">
        <w:rPr>
          <w:rFonts w:ascii="David" w:eastAsia="Calibri" w:hAnsi="David"/>
          <w:rtl/>
        </w:rPr>
        <w:t xml:space="preserve">המעורבים בתאונות דרכים במרחב נגב שגילם 13 </w:t>
      </w:r>
      <w:r w:rsidRPr="00AA5065">
        <w:rPr>
          <w:rFonts w:ascii="David" w:eastAsia="Calibri" w:hAnsi="David" w:hint="cs"/>
          <w:rtl/>
        </w:rPr>
        <w:t>עד</w:t>
      </w:r>
      <w:r w:rsidRPr="00AA5065">
        <w:rPr>
          <w:rFonts w:ascii="David" w:eastAsia="Calibri" w:hAnsi="David"/>
          <w:rtl/>
        </w:rPr>
        <w:t xml:space="preserve"> ‏‏1</w:t>
      </w:r>
      <w:r w:rsidRPr="00AA5065">
        <w:rPr>
          <w:rFonts w:ascii="David" w:eastAsia="Calibri" w:hAnsi="David" w:hint="cs"/>
          <w:rtl/>
        </w:rPr>
        <w:t xml:space="preserve">6 ו-17 עד 18 היה 50% ו-48% בהתאמה. </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בביקורת</w:t>
      </w:r>
      <w:r w:rsidRPr="00AA5065">
        <w:rPr>
          <w:rFonts w:ascii="David" w:eastAsia="Calibri" w:hAnsi="David" w:hint="cs"/>
          <w:rtl/>
        </w:rPr>
        <w:t xml:space="preserve"> המעקב נבחן שיעור </w:t>
      </w:r>
      <w:r w:rsidRPr="00AA5065">
        <w:rPr>
          <w:rFonts w:ascii="David" w:eastAsia="Calibri" w:hAnsi="David"/>
          <w:rtl/>
        </w:rPr>
        <w:t xml:space="preserve">תאונות הדרכים </w:t>
      </w:r>
      <w:r w:rsidRPr="00AA5065">
        <w:rPr>
          <w:rFonts w:ascii="David" w:eastAsia="Calibri" w:hAnsi="David" w:hint="cs"/>
          <w:rtl/>
        </w:rPr>
        <w:t>במרחב נגב שבהן היו מעורבים נהגים צעירים.</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בלוח </w:t>
      </w:r>
      <w:r w:rsidRPr="00AA5065">
        <w:rPr>
          <w:rFonts w:ascii="David" w:eastAsia="Calibri" w:hAnsi="David" w:hint="cs"/>
          <w:rtl/>
        </w:rPr>
        <w:t>15 ש</w:t>
      </w:r>
      <w:r w:rsidRPr="00AA5065">
        <w:rPr>
          <w:rFonts w:ascii="David" w:eastAsia="Calibri" w:hAnsi="David"/>
          <w:rtl/>
        </w:rPr>
        <w:t xml:space="preserve">להלן מוצגים נתונים על תאונות הדרכים </w:t>
      </w:r>
      <w:r w:rsidRPr="00AA5065">
        <w:rPr>
          <w:rFonts w:ascii="David" w:eastAsia="Calibri" w:hAnsi="David" w:hint="cs"/>
          <w:rtl/>
        </w:rPr>
        <w:t>במרחב נגב</w:t>
      </w:r>
      <w:r w:rsidRPr="00AA5065">
        <w:rPr>
          <w:rFonts w:ascii="David" w:eastAsia="Calibri" w:hAnsi="David"/>
          <w:rtl/>
        </w:rPr>
        <w:t xml:space="preserve"> לפי קבוצות הגיל של הנהגים ‏</w:t>
      </w:r>
      <w:r w:rsidRPr="00AA5065">
        <w:rPr>
          <w:rFonts w:ascii="David" w:eastAsia="Calibri" w:hAnsi="David" w:hint="cs"/>
          <w:rtl/>
        </w:rPr>
        <w:t xml:space="preserve">שהיו </w:t>
      </w:r>
      <w:r w:rsidRPr="00AA5065">
        <w:rPr>
          <w:rFonts w:ascii="David" w:eastAsia="Calibri" w:hAnsi="David"/>
          <w:rtl/>
        </w:rPr>
        <w:t xml:space="preserve">מעורבים בתאונה בכל אחת מהשנים 2020 </w:t>
      </w:r>
      <w:r w:rsidRPr="00AA5065">
        <w:rPr>
          <w:rFonts w:ascii="David" w:eastAsia="Calibri" w:hAnsi="David" w:hint="cs"/>
          <w:rtl/>
        </w:rPr>
        <w:t>עד</w:t>
      </w:r>
      <w:r w:rsidRPr="00AA5065">
        <w:rPr>
          <w:rFonts w:ascii="David" w:eastAsia="Calibri" w:hAnsi="David"/>
          <w:rtl/>
        </w:rPr>
        <w:t xml:space="preserve"> 2024.</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ascii="David" w:eastAsia="Calibri" w:hAnsi="David"/>
          <w:b/>
          <w:bCs/>
          <w:rtl/>
        </w:rPr>
      </w:pPr>
      <w:r w:rsidRPr="00AA5065">
        <w:rPr>
          <w:rFonts w:ascii="David" w:eastAsia="Calibri" w:hAnsi="David"/>
          <w:rtl/>
        </w:rPr>
        <w:t xml:space="preserve">לוח </w:t>
      </w:r>
      <w:r w:rsidRPr="00AA5065">
        <w:rPr>
          <w:rFonts w:ascii="David" w:eastAsia="Calibri" w:hAnsi="David" w:hint="cs"/>
          <w:rtl/>
        </w:rPr>
        <w:t>15</w:t>
      </w:r>
      <w:r w:rsidRPr="00AA5065">
        <w:rPr>
          <w:rFonts w:ascii="David" w:eastAsia="Calibri" w:hAnsi="David"/>
          <w:rtl/>
        </w:rPr>
        <w:t xml:space="preserve">: </w:t>
      </w:r>
      <w:r w:rsidRPr="00AA5065">
        <w:rPr>
          <w:rFonts w:ascii="David" w:eastAsia="Calibri" w:hAnsi="David"/>
          <w:b/>
          <w:bCs/>
          <w:rtl/>
        </w:rPr>
        <w:t xml:space="preserve">מספר תאונות הדרכים </w:t>
      </w:r>
      <w:r w:rsidRPr="00AA5065">
        <w:rPr>
          <w:rFonts w:ascii="David" w:eastAsia="Calibri" w:hAnsi="David" w:hint="cs"/>
          <w:b/>
          <w:bCs/>
          <w:rtl/>
        </w:rPr>
        <w:t>במרחב נגב</w:t>
      </w:r>
      <w:r w:rsidRPr="00AA5065">
        <w:rPr>
          <w:rFonts w:ascii="David" w:eastAsia="Calibri" w:hAnsi="David"/>
          <w:b/>
          <w:bCs/>
          <w:rtl/>
        </w:rPr>
        <w:t xml:space="preserve">, לפי קבוצות הגיל של הנהגים המעורבים, </w:t>
      </w:r>
      <w:r w:rsidRPr="00AA5065">
        <w:rPr>
          <w:rFonts w:ascii="David" w:eastAsia="Calibri" w:hAnsi="David"/>
          <w:b/>
          <w:bCs/>
          <w:rtl/>
        </w:rPr>
        <w:br/>
        <w:t>‏2020 - 2024</w:t>
      </w:r>
    </w:p>
    <w:tbl>
      <w:tblPr>
        <w:tblStyle w:val="5-11"/>
        <w:bidiVisual/>
        <w:tblW w:w="6660" w:type="dxa"/>
        <w:jc w:val="center"/>
        <w:tblLook w:val="04A0"/>
      </w:tblPr>
      <w:tblGrid>
        <w:gridCol w:w="1588"/>
        <w:gridCol w:w="964"/>
        <w:gridCol w:w="850"/>
        <w:gridCol w:w="851"/>
        <w:gridCol w:w="855"/>
        <w:gridCol w:w="1552"/>
      </w:tblGrid>
      <w:tr w:rsidTr="00AA5065">
        <w:tblPrEx>
          <w:tblW w:w="6660" w:type="dxa"/>
          <w:jc w:val="center"/>
          <w:tblLook w:val="04A0"/>
        </w:tblPrEx>
        <w:trPr>
          <w:trHeight w:val="399"/>
          <w:jc w:val="center"/>
        </w:trPr>
        <w:tc>
          <w:tcPr>
            <w:tcW w:w="1588" w:type="dxa"/>
            <w:noWrap/>
            <w:hideMark/>
          </w:tcPr>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ה</w:t>
            </w:r>
            <w:r w:rsidRPr="00AA5065">
              <w:rPr>
                <w:rFonts w:ascii="David" w:eastAsia="Calibri" w:hAnsi="David"/>
                <w:color w:val="000000"/>
                <w:sz w:val="22"/>
                <w:szCs w:val="22"/>
                <w:rtl/>
              </w:rPr>
              <w:t>שנה</w:t>
            </w:r>
            <w:r w:rsidRPr="00AA5065">
              <w:rPr>
                <w:rFonts w:ascii="David" w:eastAsia="Calibri" w:hAnsi="David" w:hint="cs"/>
                <w:color w:val="000000"/>
                <w:sz w:val="22"/>
                <w:szCs w:val="22"/>
                <w:rtl/>
              </w:rPr>
              <w:t xml:space="preserve"> / גיל הנהג</w:t>
            </w:r>
          </w:p>
        </w:tc>
        <w:tc>
          <w:tcPr>
            <w:tcW w:w="964" w:type="dxa"/>
            <w:noWrap/>
            <w:hideMark/>
          </w:tcPr>
          <w:p w:rsidR="00AA5065" w:rsidRPr="00AA5065" w:rsidP="000E5D43">
            <w:pPr>
              <w:bidi w:val="0"/>
              <w:spacing w:before="60" w:line="269" w:lineRule="auto"/>
              <w:jc w:val="center"/>
              <w:rPr>
                <w:rFonts w:ascii="David" w:eastAsia="Calibri" w:hAnsi="David"/>
                <w:color w:val="000000"/>
                <w:sz w:val="22"/>
                <w:szCs w:val="22"/>
                <w:rtl/>
              </w:rPr>
            </w:pPr>
            <w:r w:rsidRPr="00AA5065">
              <w:rPr>
                <w:rFonts w:ascii="David" w:eastAsia="Calibri" w:hAnsi="David"/>
                <w:color w:val="000000"/>
                <w:sz w:val="22"/>
                <w:szCs w:val="22"/>
              </w:rPr>
              <w:t>12 - 0</w:t>
            </w:r>
            <w:r>
              <w:rPr>
                <w:rFonts w:ascii="David" w:eastAsia="Calibri" w:hAnsi="David"/>
                <w:color w:val="000000"/>
                <w:sz w:val="22"/>
                <w:szCs w:val="22"/>
                <w:vertAlign w:val="superscript"/>
              </w:rPr>
              <w:footnoteReference w:id="134"/>
            </w:r>
          </w:p>
        </w:tc>
        <w:tc>
          <w:tcPr>
            <w:tcW w:w="850" w:type="dxa"/>
            <w:noWrap/>
            <w:hideMark/>
          </w:tcPr>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color w:val="000000"/>
                <w:sz w:val="22"/>
                <w:szCs w:val="22"/>
              </w:rPr>
              <w:t>16 - 13</w:t>
            </w:r>
          </w:p>
        </w:tc>
        <w:tc>
          <w:tcPr>
            <w:tcW w:w="851" w:type="dxa"/>
            <w:noWrap/>
            <w:hideMark/>
          </w:tcPr>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color w:val="000000"/>
                <w:sz w:val="22"/>
                <w:szCs w:val="22"/>
              </w:rPr>
              <w:t>18 - 17</w:t>
            </w:r>
          </w:p>
        </w:tc>
        <w:tc>
          <w:tcPr>
            <w:tcW w:w="855" w:type="dxa"/>
            <w:noWrap/>
            <w:hideMark/>
          </w:tcPr>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color w:val="000000"/>
                <w:sz w:val="22"/>
                <w:szCs w:val="22"/>
              </w:rPr>
              <w:t>19+</w:t>
            </w:r>
          </w:p>
        </w:tc>
        <w:tc>
          <w:tcPr>
            <w:tcW w:w="1552" w:type="dxa"/>
            <w:noWrap/>
            <w:hideMark/>
          </w:tcPr>
          <w:p w:rsidR="00AA5065" w:rsidRPr="00AA5065" w:rsidP="000E5D43">
            <w:pPr>
              <w:bidi w:val="0"/>
              <w:spacing w:before="60" w:line="269" w:lineRule="auto"/>
              <w:jc w:val="center"/>
              <w:rPr>
                <w:rFonts w:ascii="David" w:eastAsia="Calibri" w:hAnsi="David"/>
                <w:color w:val="000000"/>
                <w:sz w:val="22"/>
                <w:szCs w:val="22"/>
              </w:rPr>
            </w:pPr>
            <w:r w:rsidRPr="00AA5065">
              <w:rPr>
                <w:rFonts w:ascii="David" w:eastAsia="Calibri" w:hAnsi="David"/>
                <w:color w:val="000000"/>
                <w:sz w:val="22"/>
                <w:szCs w:val="22"/>
                <w:rtl/>
              </w:rPr>
              <w:t xml:space="preserve">מספר </w:t>
            </w:r>
            <w:r w:rsidRPr="00AA5065">
              <w:rPr>
                <w:rFonts w:ascii="David" w:eastAsia="Calibri" w:hAnsi="David" w:hint="cs"/>
                <w:color w:val="000000"/>
                <w:sz w:val="22"/>
                <w:szCs w:val="22"/>
                <w:rtl/>
              </w:rPr>
              <w:t>ה</w:t>
            </w:r>
            <w:r w:rsidRPr="00AA5065">
              <w:rPr>
                <w:rFonts w:ascii="David" w:eastAsia="Calibri" w:hAnsi="David"/>
                <w:color w:val="000000"/>
                <w:sz w:val="22"/>
                <w:szCs w:val="22"/>
                <w:rtl/>
              </w:rPr>
              <w:t>תאונות</w:t>
            </w:r>
          </w:p>
        </w:tc>
      </w:tr>
      <w:tr w:rsidTr="00AA5065">
        <w:tblPrEx>
          <w:tblW w:w="6660" w:type="dxa"/>
          <w:jc w:val="center"/>
          <w:tblLook w:val="04A0"/>
        </w:tblPrEx>
        <w:trPr>
          <w:trHeight w:val="379"/>
          <w:jc w:val="center"/>
        </w:trPr>
        <w:tc>
          <w:tcPr>
            <w:tcW w:w="1588" w:type="dxa"/>
            <w:noWrap/>
            <w:hideMark/>
          </w:tcPr>
          <w:p w:rsidR="00AA5065" w:rsidRPr="00AA5065" w:rsidP="000E5D43">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2020</w:t>
            </w:r>
          </w:p>
        </w:tc>
        <w:tc>
          <w:tcPr>
            <w:tcW w:w="96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31</w:t>
            </w:r>
          </w:p>
        </w:tc>
        <w:tc>
          <w:tcPr>
            <w:tcW w:w="85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553</w:t>
            </w:r>
          </w:p>
        </w:tc>
        <w:tc>
          <w:tcPr>
            <w:tcW w:w="155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597</w:t>
            </w:r>
          </w:p>
        </w:tc>
      </w:tr>
      <w:tr w:rsidTr="00AA5065">
        <w:tblPrEx>
          <w:tblW w:w="6660" w:type="dxa"/>
          <w:jc w:val="center"/>
          <w:tblLook w:val="04A0"/>
        </w:tblPrEx>
        <w:trPr>
          <w:trHeight w:val="379"/>
          <w:jc w:val="center"/>
        </w:trPr>
        <w:tc>
          <w:tcPr>
            <w:tcW w:w="1588" w:type="dxa"/>
            <w:noWrap/>
            <w:hideMark/>
          </w:tcPr>
          <w:p w:rsidR="00AA5065" w:rsidRPr="00AA5065" w:rsidP="000E5D43">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2021</w:t>
            </w:r>
          </w:p>
        </w:tc>
        <w:tc>
          <w:tcPr>
            <w:tcW w:w="96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41</w:t>
            </w:r>
          </w:p>
        </w:tc>
        <w:tc>
          <w:tcPr>
            <w:tcW w:w="85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659</w:t>
            </w:r>
          </w:p>
        </w:tc>
        <w:tc>
          <w:tcPr>
            <w:tcW w:w="155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713</w:t>
            </w:r>
          </w:p>
        </w:tc>
      </w:tr>
      <w:tr w:rsidTr="00AA5065">
        <w:tblPrEx>
          <w:tblW w:w="6660" w:type="dxa"/>
          <w:jc w:val="center"/>
          <w:tblLook w:val="04A0"/>
        </w:tblPrEx>
        <w:trPr>
          <w:trHeight w:val="379"/>
          <w:jc w:val="center"/>
        </w:trPr>
        <w:tc>
          <w:tcPr>
            <w:tcW w:w="1588" w:type="dxa"/>
            <w:noWrap/>
            <w:hideMark/>
          </w:tcPr>
          <w:p w:rsidR="00AA5065" w:rsidRPr="00AA5065" w:rsidP="000E5D43">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2022</w:t>
            </w:r>
          </w:p>
        </w:tc>
        <w:tc>
          <w:tcPr>
            <w:tcW w:w="96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28</w:t>
            </w:r>
          </w:p>
        </w:tc>
        <w:tc>
          <w:tcPr>
            <w:tcW w:w="85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459</w:t>
            </w:r>
          </w:p>
        </w:tc>
        <w:tc>
          <w:tcPr>
            <w:tcW w:w="155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495</w:t>
            </w:r>
          </w:p>
        </w:tc>
      </w:tr>
      <w:tr w:rsidTr="00AA5065">
        <w:tblPrEx>
          <w:tblW w:w="6660" w:type="dxa"/>
          <w:jc w:val="center"/>
          <w:tblLook w:val="04A0"/>
        </w:tblPrEx>
        <w:trPr>
          <w:trHeight w:val="379"/>
          <w:jc w:val="center"/>
        </w:trPr>
        <w:tc>
          <w:tcPr>
            <w:tcW w:w="1588" w:type="dxa"/>
            <w:noWrap/>
            <w:hideMark/>
          </w:tcPr>
          <w:p w:rsidR="00AA5065" w:rsidRPr="00AA5065" w:rsidP="000E5D43">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2023</w:t>
            </w:r>
          </w:p>
        </w:tc>
        <w:tc>
          <w:tcPr>
            <w:tcW w:w="96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26</w:t>
            </w:r>
          </w:p>
        </w:tc>
        <w:tc>
          <w:tcPr>
            <w:tcW w:w="85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507</w:t>
            </w:r>
          </w:p>
        </w:tc>
        <w:tc>
          <w:tcPr>
            <w:tcW w:w="155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543</w:t>
            </w:r>
          </w:p>
        </w:tc>
      </w:tr>
      <w:tr w:rsidTr="00AA5065">
        <w:tblPrEx>
          <w:tblW w:w="6660" w:type="dxa"/>
          <w:jc w:val="center"/>
          <w:tblLook w:val="04A0"/>
        </w:tblPrEx>
        <w:trPr>
          <w:trHeight w:val="379"/>
          <w:jc w:val="center"/>
        </w:trPr>
        <w:tc>
          <w:tcPr>
            <w:tcW w:w="1588" w:type="dxa"/>
            <w:noWrap/>
            <w:hideMark/>
          </w:tcPr>
          <w:p w:rsidR="00AA5065" w:rsidRPr="00AA5065" w:rsidP="000E5D43">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2024</w:t>
            </w:r>
          </w:p>
        </w:tc>
        <w:tc>
          <w:tcPr>
            <w:tcW w:w="96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24</w:t>
            </w:r>
          </w:p>
        </w:tc>
        <w:tc>
          <w:tcPr>
            <w:tcW w:w="85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589</w:t>
            </w:r>
          </w:p>
        </w:tc>
        <w:tc>
          <w:tcPr>
            <w:tcW w:w="155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632</w:t>
            </w:r>
          </w:p>
        </w:tc>
      </w:tr>
      <w:tr w:rsidTr="00AA5065">
        <w:tblPrEx>
          <w:tblW w:w="6660" w:type="dxa"/>
          <w:jc w:val="center"/>
          <w:tblLook w:val="04A0"/>
        </w:tblPrEx>
        <w:trPr>
          <w:trHeight w:val="399"/>
          <w:jc w:val="center"/>
        </w:trPr>
        <w:tc>
          <w:tcPr>
            <w:tcW w:w="1588" w:type="dxa"/>
            <w:noWrap/>
            <w:hideMark/>
          </w:tcPr>
          <w:p w:rsidR="00AA5065" w:rsidRPr="00AA5065" w:rsidP="000E5D43">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סה"כ</w:t>
            </w:r>
          </w:p>
        </w:tc>
        <w:tc>
          <w:tcPr>
            <w:tcW w:w="964"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46</w:t>
            </w:r>
          </w:p>
        </w:tc>
        <w:tc>
          <w:tcPr>
            <w:tcW w:w="850"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17</w:t>
            </w:r>
          </w:p>
        </w:tc>
        <w:tc>
          <w:tcPr>
            <w:tcW w:w="85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150</w:t>
            </w:r>
          </w:p>
        </w:tc>
        <w:tc>
          <w:tcPr>
            <w:tcW w:w="85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2,767</w:t>
            </w:r>
          </w:p>
        </w:tc>
        <w:tc>
          <w:tcPr>
            <w:tcW w:w="155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2,980</w:t>
            </w:r>
          </w:p>
        </w:tc>
      </w:tr>
    </w:tbl>
    <w:p w:rsidR="00AA5065" w:rsidRPr="00AA5065" w:rsidP="00860D89">
      <w:pPr>
        <w:spacing w:line="269" w:lineRule="auto"/>
        <w:rPr>
          <w:rFonts w:ascii="David" w:eastAsia="Calibri" w:hAnsi="David"/>
          <w:sz w:val="16"/>
          <w:szCs w:val="20"/>
          <w:rtl/>
        </w:rPr>
      </w:pPr>
      <w:r w:rsidRPr="00AA5065">
        <w:rPr>
          <w:rFonts w:ascii="David" w:eastAsia="Calibri" w:hAnsi="David"/>
          <w:sz w:val="16"/>
          <w:szCs w:val="20"/>
          <w:rtl/>
        </w:rPr>
        <w:t>על פי נתוני משטרת התנועה הארצית, בעיבוד משרד מבקר המדינה.‏</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b/>
          <w:bCs/>
          <w:rtl/>
        </w:rPr>
        <w:t>מהלוח</w:t>
      </w:r>
      <w:r>
        <w:rPr>
          <w:rFonts w:ascii="David" w:eastAsia="Calibri" w:hAnsi="David"/>
          <w:b/>
          <w:bCs/>
          <w:vertAlign w:val="superscript"/>
          <w:rtl/>
        </w:rPr>
        <w:footnoteReference w:id="135"/>
      </w:r>
      <w:r w:rsidRPr="00AA5065">
        <w:rPr>
          <w:rFonts w:ascii="David" w:eastAsia="Calibri" w:hAnsi="David"/>
          <w:b/>
          <w:bCs/>
          <w:rtl/>
        </w:rPr>
        <w:t xml:space="preserve"> עולה כי בשנים 2020 </w:t>
      </w:r>
      <w:r w:rsidRPr="00AA5065">
        <w:rPr>
          <w:rFonts w:ascii="David" w:eastAsia="Calibri" w:hAnsi="David" w:hint="cs"/>
          <w:b/>
          <w:bCs/>
          <w:rtl/>
        </w:rPr>
        <w:t>עד</w:t>
      </w:r>
      <w:r w:rsidRPr="00AA5065">
        <w:rPr>
          <w:rFonts w:ascii="David" w:eastAsia="Calibri" w:hAnsi="David"/>
          <w:b/>
          <w:bCs/>
          <w:rtl/>
        </w:rPr>
        <w:t xml:space="preserve"> 2024 אירעו</w:t>
      </w:r>
      <w:r w:rsidRPr="00AA5065">
        <w:rPr>
          <w:rFonts w:ascii="David" w:eastAsia="Calibri" w:hAnsi="David" w:hint="cs"/>
          <w:b/>
          <w:bCs/>
          <w:rtl/>
        </w:rPr>
        <w:t xml:space="preserve"> במרחב נגב</w:t>
      </w:r>
      <w:r w:rsidRPr="00AA5065">
        <w:rPr>
          <w:rFonts w:ascii="David" w:eastAsia="Calibri" w:hAnsi="David"/>
          <w:b/>
          <w:bCs/>
          <w:rtl/>
        </w:rPr>
        <w:t xml:space="preserve"> </w:t>
      </w:r>
      <w:r w:rsidRPr="00AA5065">
        <w:rPr>
          <w:rFonts w:ascii="David" w:eastAsia="Calibri" w:hAnsi="David" w:hint="cs"/>
          <w:b/>
          <w:bCs/>
          <w:rtl/>
        </w:rPr>
        <w:t xml:space="preserve">2,980 </w:t>
      </w:r>
      <w:r w:rsidRPr="00AA5065">
        <w:rPr>
          <w:rFonts w:ascii="David" w:eastAsia="Calibri" w:hAnsi="David"/>
          <w:b/>
          <w:bCs/>
          <w:rtl/>
        </w:rPr>
        <w:t>תאונות</w:t>
      </w:r>
      <w:r w:rsidRPr="00AA5065">
        <w:rPr>
          <w:rFonts w:ascii="David" w:eastAsia="Calibri" w:hAnsi="David" w:hint="cs"/>
          <w:b/>
          <w:bCs/>
          <w:rtl/>
        </w:rPr>
        <w:t xml:space="preserve"> בסך הכול. מהן 46 תאונות ש</w:t>
      </w:r>
      <w:r w:rsidRPr="00AA5065">
        <w:rPr>
          <w:rFonts w:ascii="David" w:eastAsia="Calibri" w:hAnsi="David"/>
          <w:b/>
          <w:bCs/>
          <w:rtl/>
        </w:rPr>
        <w:t>בהן היו מעורבים נהגים ‏שגילם עד 12</w:t>
      </w:r>
      <w:r w:rsidRPr="00AA5065">
        <w:rPr>
          <w:rFonts w:ascii="David" w:eastAsia="Calibri" w:hAnsi="David" w:hint="cs"/>
          <w:b/>
          <w:bCs/>
          <w:rtl/>
        </w:rPr>
        <w:t>;</w:t>
      </w:r>
      <w:r w:rsidRPr="00AA5065">
        <w:rPr>
          <w:rFonts w:ascii="David" w:eastAsia="Calibri" w:hAnsi="David"/>
          <w:b/>
          <w:bCs/>
          <w:rtl/>
        </w:rPr>
        <w:t xml:space="preserve"> </w:t>
      </w:r>
      <w:r w:rsidRPr="00AA5065">
        <w:rPr>
          <w:rFonts w:ascii="David" w:eastAsia="Calibri" w:hAnsi="David" w:hint="cs"/>
          <w:b/>
          <w:bCs/>
          <w:rtl/>
        </w:rPr>
        <w:t>17</w:t>
      </w:r>
      <w:r w:rsidRPr="00AA5065">
        <w:rPr>
          <w:rFonts w:ascii="David" w:eastAsia="Calibri" w:hAnsi="David"/>
          <w:b/>
          <w:bCs/>
          <w:rtl/>
        </w:rPr>
        <w:t xml:space="preserve"> תאונות </w:t>
      </w:r>
      <w:r w:rsidRPr="00AA5065">
        <w:rPr>
          <w:rFonts w:ascii="David" w:eastAsia="Calibri" w:hAnsi="David" w:hint="cs"/>
          <w:b/>
          <w:bCs/>
          <w:rtl/>
        </w:rPr>
        <w:t xml:space="preserve">שבהן היו מעורבים </w:t>
      </w:r>
      <w:r w:rsidRPr="00AA5065">
        <w:rPr>
          <w:rFonts w:ascii="David" w:eastAsia="Calibri" w:hAnsi="David"/>
          <w:b/>
          <w:bCs/>
          <w:rtl/>
        </w:rPr>
        <w:t xml:space="preserve">נהגים </w:t>
      </w:r>
      <w:r w:rsidRPr="00AA5065">
        <w:rPr>
          <w:rFonts w:ascii="David" w:eastAsia="Calibri" w:hAnsi="David" w:hint="cs"/>
          <w:b/>
          <w:bCs/>
          <w:rtl/>
        </w:rPr>
        <w:t>שגילם</w:t>
      </w:r>
      <w:r w:rsidRPr="00AA5065">
        <w:rPr>
          <w:rFonts w:ascii="David" w:eastAsia="Calibri" w:hAnsi="David"/>
          <w:b/>
          <w:bCs/>
          <w:rtl/>
        </w:rPr>
        <w:t xml:space="preserve"> 13 </w:t>
      </w:r>
      <w:r w:rsidRPr="00AA5065">
        <w:rPr>
          <w:rFonts w:ascii="David" w:eastAsia="Calibri" w:hAnsi="David" w:hint="cs"/>
          <w:b/>
          <w:bCs/>
          <w:rtl/>
        </w:rPr>
        <w:t>עד</w:t>
      </w:r>
      <w:r w:rsidRPr="00AA5065">
        <w:rPr>
          <w:rFonts w:ascii="David" w:eastAsia="Calibri" w:hAnsi="David"/>
          <w:b/>
          <w:bCs/>
          <w:rtl/>
        </w:rPr>
        <w:t xml:space="preserve"> 16</w:t>
      </w:r>
      <w:r w:rsidRPr="00AA5065">
        <w:rPr>
          <w:rFonts w:ascii="David" w:eastAsia="Calibri" w:hAnsi="David" w:hint="cs"/>
          <w:b/>
          <w:bCs/>
          <w:rtl/>
        </w:rPr>
        <w:t>;</w:t>
      </w:r>
      <w:r w:rsidRPr="00AA5065">
        <w:rPr>
          <w:rFonts w:ascii="David" w:eastAsia="Calibri" w:hAnsi="David"/>
          <w:b/>
          <w:bCs/>
          <w:rtl/>
        </w:rPr>
        <w:t xml:space="preserve"> </w:t>
      </w:r>
      <w:r w:rsidRPr="00AA5065">
        <w:rPr>
          <w:rFonts w:ascii="David" w:eastAsia="Calibri" w:hAnsi="David" w:hint="cs"/>
          <w:b/>
          <w:bCs/>
          <w:rtl/>
        </w:rPr>
        <w:t>150</w:t>
      </w:r>
      <w:r w:rsidRPr="00AA5065">
        <w:rPr>
          <w:rFonts w:ascii="David" w:eastAsia="Calibri" w:hAnsi="David"/>
          <w:b/>
          <w:bCs/>
          <w:rtl/>
        </w:rPr>
        <w:t xml:space="preserve"> תאונות </w:t>
      </w:r>
      <w:r w:rsidRPr="00AA5065">
        <w:rPr>
          <w:rFonts w:ascii="David" w:eastAsia="Calibri" w:hAnsi="David" w:hint="cs"/>
          <w:b/>
          <w:bCs/>
          <w:rtl/>
        </w:rPr>
        <w:t xml:space="preserve">שבהן היו מעורבים </w:t>
      </w:r>
      <w:r w:rsidRPr="00AA5065">
        <w:rPr>
          <w:rFonts w:ascii="David" w:eastAsia="Calibri" w:hAnsi="David"/>
          <w:b/>
          <w:bCs/>
          <w:rtl/>
        </w:rPr>
        <w:t xml:space="preserve">נהגים </w:t>
      </w:r>
      <w:r w:rsidRPr="00AA5065">
        <w:rPr>
          <w:rFonts w:ascii="David" w:eastAsia="Calibri" w:hAnsi="David" w:hint="cs"/>
          <w:b/>
          <w:bCs/>
          <w:rtl/>
        </w:rPr>
        <w:t>שגילם</w:t>
      </w:r>
      <w:r w:rsidRPr="00AA5065">
        <w:rPr>
          <w:rFonts w:ascii="David" w:eastAsia="Calibri" w:hAnsi="David"/>
          <w:b/>
          <w:bCs/>
          <w:rtl/>
        </w:rPr>
        <w:t xml:space="preserve"> 17 </w:t>
      </w:r>
      <w:r w:rsidRPr="00AA5065">
        <w:rPr>
          <w:rFonts w:ascii="David" w:eastAsia="Calibri" w:hAnsi="David" w:hint="cs"/>
          <w:b/>
          <w:bCs/>
          <w:rtl/>
        </w:rPr>
        <w:t>עד</w:t>
      </w:r>
      <w:r w:rsidRPr="00AA5065">
        <w:rPr>
          <w:rFonts w:ascii="David" w:eastAsia="Calibri" w:hAnsi="David"/>
          <w:b/>
          <w:bCs/>
          <w:rtl/>
        </w:rPr>
        <w:t xml:space="preserve"> 18</w:t>
      </w:r>
      <w:r w:rsidRPr="00AA5065">
        <w:rPr>
          <w:rFonts w:ascii="David" w:eastAsia="Calibri" w:hAnsi="David" w:hint="cs"/>
          <w:b/>
          <w:bCs/>
          <w:rtl/>
        </w:rPr>
        <w:t>;</w:t>
      </w:r>
      <w:r w:rsidRPr="00AA5065">
        <w:rPr>
          <w:rFonts w:ascii="David" w:eastAsia="Calibri" w:hAnsi="David"/>
          <w:b/>
          <w:bCs/>
          <w:rtl/>
        </w:rPr>
        <w:t xml:space="preserve"> ו-</w:t>
      </w:r>
      <w:r w:rsidRPr="00AA5065">
        <w:rPr>
          <w:rFonts w:ascii="David" w:eastAsia="Calibri" w:hAnsi="David" w:hint="cs"/>
          <w:b/>
          <w:bCs/>
          <w:rtl/>
        </w:rPr>
        <w:t>2,767</w:t>
      </w:r>
      <w:r w:rsidRPr="00AA5065">
        <w:rPr>
          <w:rFonts w:ascii="David" w:eastAsia="Calibri" w:hAnsi="David"/>
          <w:b/>
          <w:bCs/>
          <w:rtl/>
        </w:rPr>
        <w:t xml:space="preserve"> תאונות שבהן היו מעורבים נהגים </w:t>
      </w:r>
      <w:r w:rsidRPr="00AA5065">
        <w:rPr>
          <w:rFonts w:ascii="David" w:eastAsia="Calibri" w:hAnsi="David" w:hint="cs"/>
          <w:b/>
          <w:bCs/>
          <w:rtl/>
        </w:rPr>
        <w:t>ש</w:t>
      </w:r>
      <w:r w:rsidRPr="00AA5065">
        <w:rPr>
          <w:rFonts w:ascii="David" w:eastAsia="Calibri" w:hAnsi="David"/>
          <w:b/>
          <w:bCs/>
          <w:rtl/>
        </w:rPr>
        <w:t>גיל</w:t>
      </w:r>
      <w:r w:rsidRPr="00AA5065">
        <w:rPr>
          <w:rFonts w:ascii="David" w:eastAsia="Calibri" w:hAnsi="David" w:hint="cs"/>
          <w:b/>
          <w:bCs/>
          <w:rtl/>
        </w:rPr>
        <w:t>ם יותר</w:t>
      </w:r>
      <w:r w:rsidRPr="00AA5065">
        <w:rPr>
          <w:rFonts w:ascii="David" w:eastAsia="Calibri" w:hAnsi="David"/>
          <w:b/>
          <w:bCs/>
          <w:rtl/>
        </w:rPr>
        <w:t xml:space="preserve"> 19</w:t>
      </w:r>
      <w:r w:rsidRPr="00AA5065">
        <w:rPr>
          <w:rFonts w:ascii="David" w:eastAsia="Calibri" w:hAnsi="David" w:hint="cs"/>
          <w:b/>
          <w:bCs/>
          <w:rtl/>
        </w:rPr>
        <w:t xml:space="preserve"> ומעלה</w:t>
      </w:r>
      <w:r w:rsidRPr="00AA5065">
        <w:rPr>
          <w:rFonts w:ascii="David" w:eastAsia="Calibri" w:hAnsi="David"/>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בלוח </w:t>
      </w:r>
      <w:r w:rsidRPr="00AA5065">
        <w:rPr>
          <w:rFonts w:ascii="David" w:eastAsia="Calibri" w:hAnsi="David" w:hint="cs"/>
          <w:rtl/>
        </w:rPr>
        <w:t>16 ש</w:t>
      </w:r>
      <w:r w:rsidRPr="00AA5065">
        <w:rPr>
          <w:rFonts w:ascii="David" w:eastAsia="Calibri" w:hAnsi="David"/>
          <w:rtl/>
        </w:rPr>
        <w:t>להלן מוצגים נתונים על תאונות הדרכים ב</w:t>
      </w:r>
      <w:r w:rsidRPr="00AA5065">
        <w:rPr>
          <w:rFonts w:ascii="David" w:eastAsia="Calibri" w:hAnsi="David" w:hint="cs"/>
          <w:rtl/>
        </w:rPr>
        <w:t xml:space="preserve">מרחב נגב </w:t>
      </w:r>
      <w:r w:rsidRPr="00AA5065">
        <w:rPr>
          <w:rFonts w:ascii="David" w:eastAsia="Calibri" w:hAnsi="David"/>
          <w:rtl/>
        </w:rPr>
        <w:t>לפי קבוצות הגיל של הנהגים ‏המעורבים בתאונה ו</w:t>
      </w:r>
      <w:r w:rsidRPr="00AA5065">
        <w:rPr>
          <w:rFonts w:ascii="David" w:eastAsia="Calibri" w:hAnsi="David" w:hint="cs"/>
          <w:rtl/>
        </w:rPr>
        <w:t xml:space="preserve">שיעורם בקרב </w:t>
      </w:r>
      <w:r w:rsidRPr="00AA5065">
        <w:rPr>
          <w:rFonts w:ascii="David" w:eastAsia="Calibri" w:hAnsi="David"/>
          <w:rtl/>
        </w:rPr>
        <w:t>האוכלוסייה</w:t>
      </w:r>
      <w:r w:rsidRPr="00AA5065">
        <w:rPr>
          <w:rFonts w:ascii="David" w:eastAsia="Calibri" w:hAnsi="David" w:hint="cs"/>
          <w:rtl/>
        </w:rPr>
        <w:t xml:space="preserve"> הלא-יהודית </w:t>
      </w:r>
      <w:r w:rsidRPr="00AA5065">
        <w:rPr>
          <w:rFonts w:ascii="David" w:eastAsia="Calibri" w:hAnsi="David"/>
          <w:rtl/>
        </w:rPr>
        <w:t xml:space="preserve">בשנים ‏2020 </w:t>
      </w:r>
      <w:r w:rsidRPr="00AA5065">
        <w:rPr>
          <w:rFonts w:ascii="David" w:eastAsia="Calibri" w:hAnsi="David" w:hint="cs"/>
          <w:rtl/>
        </w:rPr>
        <w:t>עד</w:t>
      </w:r>
      <w:r w:rsidRPr="00AA5065">
        <w:rPr>
          <w:rFonts w:ascii="David" w:eastAsia="Calibri" w:hAnsi="David"/>
          <w:rtl/>
        </w:rPr>
        <w:t xml:space="preserve"> 2024.</w:t>
      </w:r>
    </w:p>
    <w:p w:rsidR="00AA5065" w:rsidRPr="00AA5065" w:rsidP="00860D89">
      <w:pPr>
        <w:spacing w:line="269" w:lineRule="auto"/>
        <w:ind w:left="-567"/>
        <w:rPr>
          <w:rFonts w:eastAsia="Calibri"/>
          <w:szCs w:val="20"/>
          <w:rtl/>
        </w:rPr>
      </w:pPr>
    </w:p>
    <w:p w:rsidR="00AE73D8">
      <w:pPr>
        <w:bidi w:val="0"/>
        <w:spacing w:after="200" w:line="276" w:lineRule="auto"/>
        <w:rPr>
          <w:rFonts w:ascii="David" w:eastAsia="Calibri" w:hAnsi="David"/>
          <w:rtl/>
        </w:rPr>
      </w:pPr>
      <w:r>
        <w:rPr>
          <w:rFonts w:ascii="David" w:eastAsia="Calibri" w:hAnsi="David"/>
          <w:rtl/>
        </w:rPr>
        <w:br w:type="page"/>
      </w:r>
    </w:p>
    <w:p w:rsidR="00AA5065" w:rsidRPr="00AA5065" w:rsidP="00860D89">
      <w:pPr>
        <w:spacing w:line="269" w:lineRule="auto"/>
        <w:jc w:val="center"/>
        <w:rPr>
          <w:rFonts w:ascii="David" w:eastAsia="Calibri" w:hAnsi="David"/>
          <w:b/>
          <w:bCs/>
          <w:rtl/>
        </w:rPr>
      </w:pPr>
      <w:r w:rsidRPr="00AA5065">
        <w:rPr>
          <w:rFonts w:ascii="David" w:eastAsia="Calibri" w:hAnsi="David"/>
          <w:rtl/>
        </w:rPr>
        <w:t xml:space="preserve">לוח </w:t>
      </w:r>
      <w:r w:rsidRPr="00AA5065">
        <w:rPr>
          <w:rFonts w:ascii="David" w:eastAsia="Calibri" w:hAnsi="David" w:hint="cs"/>
          <w:rtl/>
        </w:rPr>
        <w:t>16</w:t>
      </w:r>
      <w:r w:rsidRPr="00AA5065">
        <w:rPr>
          <w:rFonts w:ascii="David" w:eastAsia="Calibri" w:hAnsi="David"/>
          <w:rtl/>
        </w:rPr>
        <w:t>:</w:t>
      </w:r>
      <w:r w:rsidRPr="00AA5065">
        <w:rPr>
          <w:rFonts w:ascii="David" w:eastAsia="Calibri" w:hAnsi="David"/>
          <w:b/>
          <w:bCs/>
          <w:rtl/>
        </w:rPr>
        <w:t xml:space="preserve"> מספר תאונות הדרכים </w:t>
      </w:r>
      <w:r w:rsidRPr="00AA5065">
        <w:rPr>
          <w:rFonts w:ascii="David" w:eastAsia="Calibri" w:hAnsi="David" w:hint="cs"/>
          <w:b/>
          <w:bCs/>
          <w:rtl/>
        </w:rPr>
        <w:t>במרחב נגב</w:t>
      </w:r>
      <w:r w:rsidRPr="00AA5065">
        <w:rPr>
          <w:rFonts w:ascii="David" w:eastAsia="Calibri" w:hAnsi="David"/>
          <w:b/>
          <w:bCs/>
          <w:rtl/>
        </w:rPr>
        <w:t>, לפי קבוצות הגיל של הנהגים המעורבים</w:t>
      </w:r>
      <w:r w:rsidRPr="00AA5065">
        <w:rPr>
          <w:rFonts w:ascii="David" w:eastAsia="Calibri" w:hAnsi="David" w:hint="cs"/>
          <w:b/>
          <w:bCs/>
          <w:rtl/>
        </w:rPr>
        <w:t>,</w:t>
      </w:r>
      <w:r w:rsidRPr="00AA5065">
        <w:rPr>
          <w:rFonts w:ascii="David" w:eastAsia="Calibri" w:hAnsi="David"/>
          <w:b/>
          <w:bCs/>
          <w:rtl/>
        </w:rPr>
        <w:t xml:space="preserve"> </w:t>
      </w:r>
      <w:r w:rsidRPr="00AA5065">
        <w:rPr>
          <w:rFonts w:ascii="David" w:eastAsia="Calibri" w:hAnsi="David" w:hint="cs"/>
          <w:b/>
          <w:bCs/>
          <w:rtl/>
        </w:rPr>
        <w:t>ושיעורם בקרב האוכלוסייה הלא-יהודית,</w:t>
      </w:r>
      <w:r w:rsidRPr="00AA5065">
        <w:rPr>
          <w:rFonts w:ascii="David" w:eastAsia="Calibri" w:hAnsi="David"/>
          <w:b/>
          <w:bCs/>
          <w:rtl/>
        </w:rPr>
        <w:t>‏ 2020 - 2024</w:t>
      </w:r>
    </w:p>
    <w:tbl>
      <w:tblPr>
        <w:tblStyle w:val="5-11"/>
        <w:bidiVisual/>
        <w:tblW w:w="5860" w:type="dxa"/>
        <w:jc w:val="center"/>
        <w:tblLook w:val="04A0"/>
      </w:tblPr>
      <w:tblGrid>
        <w:gridCol w:w="1224"/>
        <w:gridCol w:w="1094"/>
        <w:gridCol w:w="1094"/>
        <w:gridCol w:w="1143"/>
        <w:gridCol w:w="1305"/>
      </w:tblGrid>
      <w:tr w:rsidTr="00AA5065">
        <w:tblPrEx>
          <w:tblW w:w="5860" w:type="dxa"/>
          <w:jc w:val="center"/>
          <w:tblLook w:val="04A0"/>
        </w:tblPrEx>
        <w:trPr>
          <w:trHeight w:val="900"/>
          <w:jc w:val="center"/>
        </w:trPr>
        <w:tc>
          <w:tcPr>
            <w:tcW w:w="1224"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tl/>
              </w:rPr>
              <w:t xml:space="preserve">קבוצת </w:t>
            </w:r>
            <w:r w:rsidRPr="00AA5065">
              <w:rPr>
                <w:rFonts w:ascii="David" w:eastAsia="Calibri" w:hAnsi="David" w:hint="cs"/>
                <w:color w:val="000000"/>
                <w:sz w:val="22"/>
                <w:szCs w:val="22"/>
                <w:rtl/>
              </w:rPr>
              <w:t>ה</w:t>
            </w:r>
            <w:r w:rsidRPr="00AA5065">
              <w:rPr>
                <w:rFonts w:ascii="David" w:eastAsia="Calibri" w:hAnsi="David"/>
                <w:color w:val="000000"/>
                <w:sz w:val="22"/>
                <w:szCs w:val="22"/>
                <w:rtl/>
              </w:rPr>
              <w:t>גיל</w:t>
            </w:r>
          </w:p>
        </w:tc>
        <w:tc>
          <w:tcPr>
            <w:tcW w:w="1094"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color w:val="000000"/>
                <w:sz w:val="22"/>
                <w:szCs w:val="22"/>
                <w:rtl/>
              </w:rPr>
              <w:t>נהג יהודי</w:t>
            </w:r>
          </w:p>
        </w:tc>
        <w:tc>
          <w:tcPr>
            <w:tcW w:w="1094"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color w:val="000000"/>
                <w:sz w:val="22"/>
                <w:szCs w:val="22"/>
                <w:rtl/>
              </w:rPr>
              <w:t>נהג לא יהודי</w:t>
            </w:r>
          </w:p>
        </w:tc>
        <w:tc>
          <w:tcPr>
            <w:tcW w:w="1143"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color w:val="000000"/>
                <w:sz w:val="22"/>
                <w:szCs w:val="22"/>
                <w:rtl/>
              </w:rPr>
              <w:t>סה"כ</w:t>
            </w:r>
          </w:p>
        </w:tc>
        <w:tc>
          <w:tcPr>
            <w:tcW w:w="1305" w:type="dxa"/>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color w:val="000000"/>
                <w:sz w:val="22"/>
                <w:szCs w:val="22"/>
                <w:rtl/>
              </w:rPr>
              <w:t>שיעור הלא</w:t>
            </w:r>
            <w:r w:rsidRPr="00AA5065">
              <w:rPr>
                <w:rFonts w:ascii="David" w:eastAsia="Calibri" w:hAnsi="David" w:hint="cs"/>
                <w:color w:val="000000"/>
                <w:sz w:val="22"/>
                <w:szCs w:val="22"/>
                <w:rtl/>
              </w:rPr>
              <w:t>-</w:t>
            </w:r>
            <w:r w:rsidRPr="00AA5065">
              <w:rPr>
                <w:rFonts w:ascii="David" w:eastAsia="Calibri" w:hAnsi="David"/>
                <w:color w:val="000000"/>
                <w:sz w:val="22"/>
                <w:szCs w:val="22"/>
                <w:rtl/>
              </w:rPr>
              <w:t>יהודים</w:t>
            </w:r>
          </w:p>
        </w:tc>
      </w:tr>
      <w:tr w:rsidTr="00AA5065">
        <w:tblPrEx>
          <w:tblW w:w="5860" w:type="dxa"/>
          <w:jc w:val="center"/>
          <w:tblLook w:val="04A0"/>
        </w:tblPrEx>
        <w:trPr>
          <w:trHeight w:val="285"/>
          <w:jc w:val="center"/>
        </w:trPr>
        <w:tc>
          <w:tcPr>
            <w:tcW w:w="1224"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color w:val="000000"/>
                <w:sz w:val="22"/>
                <w:szCs w:val="22"/>
              </w:rPr>
              <w:t>0-12</w:t>
            </w:r>
            <w:r>
              <w:rPr>
                <w:rFonts w:ascii="David" w:eastAsia="Calibri" w:hAnsi="David"/>
                <w:color w:val="000000"/>
                <w:sz w:val="22"/>
                <w:szCs w:val="22"/>
                <w:vertAlign w:val="superscript"/>
              </w:rPr>
              <w:footnoteReference w:id="136"/>
            </w:r>
          </w:p>
        </w:tc>
        <w:tc>
          <w:tcPr>
            <w:tcW w:w="109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w:t>
            </w:r>
          </w:p>
        </w:tc>
        <w:tc>
          <w:tcPr>
            <w:tcW w:w="109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45</w:t>
            </w:r>
          </w:p>
        </w:tc>
        <w:tc>
          <w:tcPr>
            <w:tcW w:w="1143"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46</w:t>
            </w:r>
          </w:p>
        </w:tc>
        <w:tc>
          <w:tcPr>
            <w:tcW w:w="130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98%</w:t>
            </w:r>
          </w:p>
        </w:tc>
      </w:tr>
      <w:tr w:rsidTr="00AA5065">
        <w:tblPrEx>
          <w:tblW w:w="5860" w:type="dxa"/>
          <w:jc w:val="center"/>
          <w:tblLook w:val="04A0"/>
        </w:tblPrEx>
        <w:trPr>
          <w:trHeight w:val="285"/>
          <w:jc w:val="center"/>
        </w:trPr>
        <w:tc>
          <w:tcPr>
            <w:tcW w:w="1224"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13-16</w:t>
            </w:r>
          </w:p>
        </w:tc>
        <w:tc>
          <w:tcPr>
            <w:tcW w:w="109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7</w:t>
            </w:r>
          </w:p>
        </w:tc>
        <w:tc>
          <w:tcPr>
            <w:tcW w:w="109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10</w:t>
            </w:r>
          </w:p>
        </w:tc>
        <w:tc>
          <w:tcPr>
            <w:tcW w:w="1143"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17</w:t>
            </w:r>
          </w:p>
        </w:tc>
        <w:tc>
          <w:tcPr>
            <w:tcW w:w="130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59%</w:t>
            </w:r>
          </w:p>
        </w:tc>
      </w:tr>
      <w:tr w:rsidTr="00AA5065">
        <w:tblPrEx>
          <w:tblW w:w="5860" w:type="dxa"/>
          <w:jc w:val="center"/>
          <w:tblLook w:val="04A0"/>
        </w:tblPrEx>
        <w:trPr>
          <w:trHeight w:val="285"/>
          <w:jc w:val="center"/>
        </w:trPr>
        <w:tc>
          <w:tcPr>
            <w:tcW w:w="1224"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17-18</w:t>
            </w:r>
          </w:p>
        </w:tc>
        <w:tc>
          <w:tcPr>
            <w:tcW w:w="109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87</w:t>
            </w:r>
          </w:p>
        </w:tc>
        <w:tc>
          <w:tcPr>
            <w:tcW w:w="109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63</w:t>
            </w:r>
          </w:p>
        </w:tc>
        <w:tc>
          <w:tcPr>
            <w:tcW w:w="1143"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150</w:t>
            </w:r>
          </w:p>
        </w:tc>
        <w:tc>
          <w:tcPr>
            <w:tcW w:w="130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42%</w:t>
            </w:r>
          </w:p>
        </w:tc>
      </w:tr>
      <w:tr w:rsidTr="00AA5065">
        <w:tblPrEx>
          <w:tblW w:w="5860" w:type="dxa"/>
          <w:jc w:val="center"/>
          <w:tblLook w:val="04A0"/>
        </w:tblPrEx>
        <w:trPr>
          <w:trHeight w:val="285"/>
          <w:jc w:val="center"/>
        </w:trPr>
        <w:tc>
          <w:tcPr>
            <w:tcW w:w="1224"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19+</w:t>
            </w:r>
          </w:p>
        </w:tc>
        <w:tc>
          <w:tcPr>
            <w:tcW w:w="109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1,700</w:t>
            </w:r>
          </w:p>
        </w:tc>
        <w:tc>
          <w:tcPr>
            <w:tcW w:w="109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1,067</w:t>
            </w:r>
          </w:p>
        </w:tc>
        <w:tc>
          <w:tcPr>
            <w:tcW w:w="1143"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2,767</w:t>
            </w:r>
          </w:p>
        </w:tc>
        <w:tc>
          <w:tcPr>
            <w:tcW w:w="130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39%</w:t>
            </w:r>
          </w:p>
        </w:tc>
      </w:tr>
      <w:tr w:rsidTr="00AA5065">
        <w:tblPrEx>
          <w:tblW w:w="5860" w:type="dxa"/>
          <w:jc w:val="center"/>
          <w:tblLook w:val="04A0"/>
        </w:tblPrEx>
        <w:trPr>
          <w:trHeight w:val="300"/>
          <w:jc w:val="center"/>
        </w:trPr>
        <w:tc>
          <w:tcPr>
            <w:tcW w:w="1224"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tl/>
              </w:rPr>
              <w:t>סה"כ</w:t>
            </w:r>
          </w:p>
        </w:tc>
        <w:tc>
          <w:tcPr>
            <w:tcW w:w="1094"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1,795</w:t>
            </w:r>
          </w:p>
        </w:tc>
        <w:tc>
          <w:tcPr>
            <w:tcW w:w="1094"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1,185</w:t>
            </w:r>
          </w:p>
        </w:tc>
        <w:tc>
          <w:tcPr>
            <w:tcW w:w="1143"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2,980</w:t>
            </w:r>
          </w:p>
        </w:tc>
        <w:tc>
          <w:tcPr>
            <w:tcW w:w="1305"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40%</w:t>
            </w:r>
          </w:p>
        </w:tc>
      </w:tr>
    </w:tbl>
    <w:p w:rsidR="00AA5065" w:rsidRPr="00AA5065" w:rsidP="00860D89">
      <w:pPr>
        <w:spacing w:line="269" w:lineRule="auto"/>
        <w:rPr>
          <w:rFonts w:ascii="David" w:eastAsia="Calibri" w:hAnsi="David"/>
          <w:sz w:val="16"/>
          <w:szCs w:val="20"/>
          <w:rtl/>
        </w:rPr>
      </w:pPr>
      <w:r w:rsidRPr="00AA5065">
        <w:rPr>
          <w:rFonts w:ascii="David" w:eastAsia="Calibri" w:hAnsi="David"/>
          <w:sz w:val="16"/>
          <w:szCs w:val="20"/>
          <w:rtl/>
        </w:rPr>
        <w:t>על פי נתוני משטרת התנועה הארצית, בעיבוד משרד מבקר המדינה.‏</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b/>
          <w:bCs/>
          <w:rtl/>
        </w:rPr>
        <w:t xml:space="preserve">מנתוני הלוח עולה כי בשנים 2020 </w:t>
      </w:r>
      <w:r w:rsidRPr="00AA5065">
        <w:rPr>
          <w:rFonts w:ascii="David" w:eastAsia="Calibri" w:hAnsi="David" w:hint="cs"/>
          <w:b/>
          <w:bCs/>
          <w:rtl/>
        </w:rPr>
        <w:t>עד</w:t>
      </w:r>
      <w:r w:rsidRPr="00AA5065">
        <w:rPr>
          <w:rFonts w:ascii="David" w:eastAsia="Calibri" w:hAnsi="David"/>
          <w:b/>
          <w:bCs/>
          <w:rtl/>
        </w:rPr>
        <w:t xml:space="preserve"> 2024 נהגים מהאוכלוסייה הלא-יהודית שגילם 0 </w:t>
      </w:r>
      <w:r w:rsidRPr="00AA5065">
        <w:rPr>
          <w:rFonts w:ascii="David" w:eastAsia="Calibri" w:hAnsi="David" w:hint="cs"/>
          <w:b/>
          <w:bCs/>
          <w:rtl/>
        </w:rPr>
        <w:t>עד</w:t>
      </w:r>
      <w:r w:rsidRPr="00AA5065">
        <w:rPr>
          <w:rFonts w:ascii="David" w:eastAsia="Calibri" w:hAnsi="David"/>
          <w:b/>
          <w:bCs/>
          <w:rtl/>
        </w:rPr>
        <w:t xml:space="preserve"> 12 היו מעורבים ב-98% ‏מהתאונות בקבוצת גיל זו; בני 13 </w:t>
      </w:r>
      <w:r w:rsidRPr="00AA5065">
        <w:rPr>
          <w:rFonts w:ascii="David" w:eastAsia="Calibri" w:hAnsi="David" w:hint="cs"/>
          <w:b/>
          <w:bCs/>
          <w:rtl/>
        </w:rPr>
        <w:t>עד</w:t>
      </w:r>
      <w:r w:rsidRPr="00AA5065">
        <w:rPr>
          <w:rFonts w:ascii="David" w:eastAsia="Calibri" w:hAnsi="David"/>
          <w:b/>
          <w:bCs/>
          <w:rtl/>
        </w:rPr>
        <w:t xml:space="preserve"> 16 </w:t>
      </w:r>
      <w:r w:rsidRPr="00AA5065">
        <w:rPr>
          <w:rFonts w:ascii="David" w:eastAsia="Calibri" w:hAnsi="David" w:hint="cs"/>
          <w:b/>
          <w:bCs/>
          <w:rtl/>
        </w:rPr>
        <w:t xml:space="preserve">מהאוכלוסייה </w:t>
      </w:r>
      <w:r w:rsidRPr="00AA5065">
        <w:rPr>
          <w:rFonts w:ascii="David" w:eastAsia="Calibri" w:hAnsi="David"/>
          <w:b/>
          <w:bCs/>
          <w:rtl/>
        </w:rPr>
        <w:t>הלא-יהודי</w:t>
      </w:r>
      <w:r w:rsidRPr="00AA5065">
        <w:rPr>
          <w:rFonts w:ascii="David" w:eastAsia="Calibri" w:hAnsi="David" w:hint="cs"/>
          <w:b/>
          <w:bCs/>
          <w:rtl/>
        </w:rPr>
        <w:t xml:space="preserve">ת </w:t>
      </w:r>
      <w:r w:rsidRPr="00AA5065">
        <w:rPr>
          <w:rFonts w:ascii="David" w:eastAsia="Calibri" w:hAnsi="David"/>
          <w:b/>
          <w:bCs/>
          <w:rtl/>
        </w:rPr>
        <w:t>היו מעורבים ב-</w:t>
      </w:r>
      <w:r w:rsidRPr="00AA5065">
        <w:rPr>
          <w:rFonts w:ascii="David" w:eastAsia="Calibri" w:hAnsi="David" w:hint="cs"/>
          <w:b/>
          <w:bCs/>
          <w:rtl/>
        </w:rPr>
        <w:t>59</w:t>
      </w:r>
      <w:r w:rsidRPr="00AA5065">
        <w:rPr>
          <w:rFonts w:ascii="David" w:eastAsia="Calibri" w:hAnsi="David"/>
          <w:b/>
          <w:bCs/>
          <w:rtl/>
        </w:rPr>
        <w:t xml:space="preserve">% מהתאונות באותה קבוצת גיל; בני 17 </w:t>
      </w:r>
      <w:r w:rsidRPr="00AA5065">
        <w:rPr>
          <w:rFonts w:ascii="David" w:eastAsia="Calibri" w:hAnsi="David" w:hint="cs"/>
          <w:b/>
          <w:bCs/>
          <w:rtl/>
        </w:rPr>
        <w:t>עד</w:t>
      </w:r>
      <w:r w:rsidRPr="00AA5065">
        <w:rPr>
          <w:rFonts w:ascii="David" w:eastAsia="Calibri" w:hAnsi="David"/>
          <w:b/>
          <w:bCs/>
          <w:rtl/>
        </w:rPr>
        <w:t xml:space="preserve"> 18 ב-42%</w:t>
      </w:r>
      <w:r w:rsidRPr="00AA5065">
        <w:rPr>
          <w:rFonts w:ascii="David" w:eastAsia="Calibri" w:hAnsi="David" w:hint="cs"/>
          <w:b/>
          <w:bCs/>
          <w:rtl/>
        </w:rPr>
        <w:t>;</w:t>
      </w:r>
      <w:r w:rsidRPr="00AA5065">
        <w:rPr>
          <w:rFonts w:ascii="David" w:eastAsia="Calibri" w:hAnsi="David"/>
          <w:b/>
          <w:bCs/>
          <w:rtl/>
        </w:rPr>
        <w:t xml:space="preserve"> ונהגים מגיל 19 </w:t>
      </w:r>
      <w:r w:rsidRPr="00AA5065">
        <w:rPr>
          <w:rFonts w:ascii="David" w:eastAsia="Calibri" w:hAnsi="David" w:hint="cs"/>
          <w:b/>
          <w:bCs/>
          <w:rtl/>
        </w:rPr>
        <w:t xml:space="preserve">ומעלה </w:t>
      </w:r>
      <w:r w:rsidRPr="00AA5065">
        <w:rPr>
          <w:rFonts w:ascii="David" w:eastAsia="Calibri" w:hAnsi="David"/>
          <w:b/>
          <w:bCs/>
          <w:rtl/>
        </w:rPr>
        <w:t>היו מעורבים ב-</w:t>
      </w:r>
      <w:r w:rsidRPr="00AA5065">
        <w:rPr>
          <w:rFonts w:ascii="David" w:eastAsia="Calibri" w:hAnsi="David" w:hint="cs"/>
          <w:b/>
          <w:bCs/>
          <w:rtl/>
        </w:rPr>
        <w:t>39</w:t>
      </w:r>
      <w:r w:rsidRPr="00AA5065">
        <w:rPr>
          <w:rFonts w:ascii="David" w:eastAsia="Calibri" w:hAnsi="David"/>
          <w:b/>
          <w:bCs/>
          <w:rtl/>
        </w:rPr>
        <w:t>% מהתאונות באותה קבוצה‏</w:t>
      </w:r>
      <w:r w:rsidRPr="00AA5065">
        <w:rPr>
          <w:rFonts w:ascii="David" w:eastAsia="Calibri" w:hAnsi="David" w:hint="cs"/>
          <w:b/>
          <w:bCs/>
          <w:rtl/>
        </w:rPr>
        <w:t>,</w:t>
      </w:r>
      <w:r w:rsidRPr="00AA5065">
        <w:rPr>
          <w:rFonts w:ascii="David" w:eastAsia="Calibri" w:hAnsi="David"/>
          <w:b/>
          <w:bCs/>
          <w:rtl/>
        </w:rPr>
        <w:t xml:space="preserve"> ‏שיעורים גבוהים באופן </w:t>
      </w:r>
      <w:r w:rsidRPr="00AA5065">
        <w:rPr>
          <w:rFonts w:ascii="David" w:eastAsia="Calibri" w:hAnsi="David" w:hint="cs"/>
          <w:b/>
          <w:bCs/>
          <w:rtl/>
        </w:rPr>
        <w:t>ניכר</w:t>
      </w:r>
      <w:r w:rsidRPr="00AA5065">
        <w:rPr>
          <w:rFonts w:ascii="David" w:eastAsia="Calibri" w:hAnsi="David"/>
          <w:b/>
          <w:bCs/>
          <w:rtl/>
        </w:rPr>
        <w:t xml:space="preserve"> מחלקם היחסי ‏</w:t>
      </w:r>
      <w:r w:rsidRPr="00AA5065">
        <w:rPr>
          <w:rFonts w:ascii="David" w:eastAsia="Calibri" w:hAnsi="David" w:hint="cs"/>
          <w:b/>
          <w:bCs/>
          <w:rtl/>
        </w:rPr>
        <w:t xml:space="preserve">של המעורבים בתאונות </w:t>
      </w:r>
      <w:r w:rsidRPr="00AA5065">
        <w:rPr>
          <w:rFonts w:ascii="David" w:eastAsia="Calibri" w:hAnsi="David"/>
          <w:b/>
          <w:bCs/>
          <w:rtl/>
        </w:rPr>
        <w:t>באוכלוסייה</w:t>
      </w:r>
      <w:r w:rsidRPr="00AA5065">
        <w:rPr>
          <w:rFonts w:ascii="David" w:eastAsia="Calibri" w:hAnsi="David" w:hint="cs"/>
          <w:b/>
          <w:bCs/>
          <w:rtl/>
        </w:rPr>
        <w:t xml:space="preserve"> בכלל ובאוכלוסיית הנהגים במרחב נגב בפרט</w:t>
      </w:r>
      <w:r w:rsidRPr="00AA5065">
        <w:rPr>
          <w:rFonts w:ascii="David" w:eastAsia="Calibri" w:hAnsi="David"/>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 xml:space="preserve">בתרשים </w:t>
      </w:r>
      <w:r w:rsidRPr="00AA5065">
        <w:rPr>
          <w:rFonts w:ascii="David" w:eastAsia="Calibri" w:hAnsi="David" w:hint="cs"/>
          <w:rtl/>
        </w:rPr>
        <w:t>5 ש</w:t>
      </w:r>
      <w:r w:rsidRPr="00AA5065">
        <w:rPr>
          <w:rFonts w:ascii="David" w:eastAsia="Calibri" w:hAnsi="David"/>
          <w:rtl/>
        </w:rPr>
        <w:t xml:space="preserve">להלן מוצגים נתונים על שיעורי הנהגים הצעירים מהאוכלוסייה הלא-יהודית </w:t>
      </w:r>
      <w:r w:rsidRPr="00AA5065">
        <w:rPr>
          <w:rFonts w:ascii="David" w:eastAsia="Calibri" w:hAnsi="David" w:hint="cs"/>
          <w:rtl/>
        </w:rPr>
        <w:t xml:space="preserve">במרחב נגב </w:t>
      </w:r>
      <w:r w:rsidRPr="00AA5065">
        <w:rPr>
          <w:rFonts w:ascii="David" w:eastAsia="Calibri" w:hAnsi="David"/>
          <w:rtl/>
        </w:rPr>
        <w:t xml:space="preserve">שהיו מעורבים בתאונות דרכים בשנים 2020 </w:t>
      </w:r>
      <w:r w:rsidRPr="00AA5065">
        <w:rPr>
          <w:rFonts w:ascii="David" w:eastAsia="Calibri" w:hAnsi="David" w:hint="cs"/>
          <w:rtl/>
        </w:rPr>
        <w:t>עד</w:t>
      </w:r>
      <w:r w:rsidRPr="00AA5065">
        <w:rPr>
          <w:rFonts w:ascii="David" w:eastAsia="Calibri" w:hAnsi="David"/>
          <w:rtl/>
        </w:rPr>
        <w:t xml:space="preserve"> 2024.</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jc w:val="center"/>
        <w:rPr>
          <w:rFonts w:ascii="David" w:eastAsia="Calibri" w:hAnsi="David"/>
          <w:b/>
          <w:bCs/>
          <w:rtl/>
        </w:rPr>
      </w:pPr>
      <w:r w:rsidRPr="00AA5065">
        <w:rPr>
          <w:rFonts w:ascii="David" w:eastAsia="Calibri" w:hAnsi="David"/>
          <w:rtl/>
        </w:rPr>
        <w:t xml:space="preserve">תרשים </w:t>
      </w:r>
      <w:r w:rsidRPr="00AA5065">
        <w:rPr>
          <w:rFonts w:ascii="David" w:eastAsia="Calibri" w:hAnsi="David" w:hint="cs"/>
          <w:rtl/>
        </w:rPr>
        <w:t>5</w:t>
      </w:r>
      <w:r w:rsidRPr="00AA5065">
        <w:rPr>
          <w:rFonts w:ascii="David" w:eastAsia="Calibri" w:hAnsi="David"/>
          <w:rtl/>
        </w:rPr>
        <w:t>:</w:t>
      </w:r>
      <w:r w:rsidRPr="00AA5065">
        <w:rPr>
          <w:rFonts w:ascii="David" w:eastAsia="Calibri" w:hAnsi="David"/>
          <w:b/>
          <w:bCs/>
          <w:rtl/>
        </w:rPr>
        <w:t xml:space="preserve"> שיעורי הנהגים הצעירים מהאוכלוסייה הלא-יהודית המעורבים בתאונות דרכים</w:t>
      </w:r>
      <w:r w:rsidRPr="00AA5065">
        <w:rPr>
          <w:rFonts w:ascii="David" w:eastAsia="Calibri" w:hAnsi="David" w:hint="cs"/>
          <w:b/>
          <w:bCs/>
          <w:rtl/>
        </w:rPr>
        <w:t xml:space="preserve"> במרחב נגב</w:t>
      </w:r>
      <w:r w:rsidRPr="00AA5065">
        <w:rPr>
          <w:rFonts w:ascii="David" w:eastAsia="Calibri" w:hAnsi="David"/>
          <w:b/>
          <w:bCs/>
          <w:rtl/>
        </w:rPr>
        <w:t>, לפי קבוצות גיל, 2020 - 2024</w:t>
      </w:r>
    </w:p>
    <w:p w:rsidR="00AA5065" w:rsidRPr="00AA5065" w:rsidP="00860D89">
      <w:pPr>
        <w:spacing w:line="269" w:lineRule="auto"/>
        <w:ind w:left="-567"/>
        <w:jc w:val="center"/>
        <w:rPr>
          <w:rFonts w:eastAsia="Calibri"/>
          <w:szCs w:val="20"/>
          <w:rtl/>
        </w:rPr>
      </w:pPr>
      <w:r w:rsidRPr="00AA5065">
        <w:rPr>
          <w:rFonts w:eastAsia="Calibri"/>
          <w:noProof/>
        </w:rPr>
        <w:drawing>
          <wp:inline distT="0" distB="0" distL="0" distR="0">
            <wp:extent cx="5220260" cy="3705308"/>
            <wp:effectExtent l="0" t="0" r="0" b="0"/>
            <wp:docPr id="344773234" name="תמונה 344773234" descr="תוכן התרשים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73234" name=""/>
                    <pic:cNvPicPr/>
                  </pic:nvPicPr>
                  <pic:blipFill>
                    <a:blip xmlns:r="http://schemas.openxmlformats.org/officeDocument/2006/relationships" r:embed="rId32"/>
                    <a:srcRect t="8066" b="2437"/>
                    <a:stretch>
                      <a:fillRect/>
                    </a:stretch>
                  </pic:blipFill>
                  <pic:spPr bwMode="auto">
                    <a:xfrm>
                      <a:off x="0" y="0"/>
                      <a:ext cx="5220335" cy="37053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A5065" w:rsidRPr="00AA5065" w:rsidP="00246618">
      <w:pPr>
        <w:spacing w:before="120" w:line="269" w:lineRule="auto"/>
        <w:rPr>
          <w:rFonts w:ascii="David" w:eastAsia="Calibri" w:hAnsi="David"/>
          <w:sz w:val="16"/>
          <w:szCs w:val="20"/>
          <w:rtl/>
        </w:rPr>
      </w:pPr>
      <w:r w:rsidRPr="00AA5065">
        <w:rPr>
          <w:rFonts w:ascii="David" w:eastAsia="Calibri" w:hAnsi="David"/>
          <w:sz w:val="16"/>
          <w:szCs w:val="20"/>
          <w:rtl/>
        </w:rPr>
        <w:t>על פי נתוני משטרת התנועה הארצית, בעיבוד משרד מבקר המדינה.‏</w:t>
      </w:r>
    </w:p>
    <w:p w:rsidR="00AA5065" w:rsidRPr="00AA5065" w:rsidP="00860D89">
      <w:pPr>
        <w:spacing w:line="269" w:lineRule="auto"/>
        <w:ind w:left="-567"/>
        <w:rPr>
          <w:rFonts w:eastAsia="Calibri"/>
          <w:szCs w:val="20"/>
        </w:rPr>
      </w:pPr>
    </w:p>
    <w:p w:rsidR="00AA5065" w:rsidRPr="00AA5065" w:rsidP="00860D89">
      <w:pPr>
        <w:spacing w:line="269" w:lineRule="auto"/>
        <w:rPr>
          <w:rFonts w:ascii="David" w:eastAsia="Calibri" w:hAnsi="David"/>
          <w:b/>
          <w:bCs/>
          <w:rtl/>
        </w:rPr>
      </w:pPr>
      <w:r w:rsidRPr="00AA5065">
        <w:rPr>
          <w:rFonts w:ascii="David" w:eastAsia="Calibri" w:hAnsi="David"/>
          <w:b/>
          <w:bCs/>
          <w:rtl/>
        </w:rPr>
        <w:t>מנתוני התרשים עולה כי ‏בשנים 2016</w:t>
      </w:r>
      <w:r w:rsidRPr="00AA5065">
        <w:rPr>
          <w:rFonts w:ascii="David" w:eastAsia="Calibri" w:hAnsi="David" w:hint="cs"/>
          <w:b/>
          <w:bCs/>
          <w:rtl/>
        </w:rPr>
        <w:t xml:space="preserve"> -</w:t>
      </w:r>
      <w:r w:rsidRPr="00AA5065">
        <w:rPr>
          <w:rFonts w:ascii="David" w:eastAsia="Calibri" w:hAnsi="David"/>
          <w:b/>
          <w:bCs/>
          <w:rtl/>
        </w:rPr>
        <w:t xml:space="preserve"> 2019 שיעור הנהגים הצעירים מהאוכלוסייה הלא</w:t>
      </w:r>
      <w:r w:rsidRPr="00AA5065">
        <w:rPr>
          <w:rFonts w:ascii="David" w:eastAsia="Calibri" w:hAnsi="David" w:hint="cs"/>
          <w:b/>
          <w:bCs/>
          <w:rtl/>
        </w:rPr>
        <w:t>-</w:t>
      </w:r>
      <w:r w:rsidRPr="00AA5065">
        <w:rPr>
          <w:rFonts w:ascii="David" w:eastAsia="Calibri" w:hAnsi="David"/>
          <w:b/>
          <w:bCs/>
          <w:rtl/>
        </w:rPr>
        <w:t xml:space="preserve">יהודית בגילאי 13 </w:t>
      </w:r>
      <w:r w:rsidRPr="00AA5065">
        <w:rPr>
          <w:rFonts w:ascii="David" w:eastAsia="Calibri" w:hAnsi="David" w:hint="cs"/>
          <w:b/>
          <w:bCs/>
          <w:rtl/>
        </w:rPr>
        <w:t>עד</w:t>
      </w:r>
      <w:r w:rsidRPr="00AA5065">
        <w:rPr>
          <w:rFonts w:ascii="David" w:eastAsia="Calibri" w:hAnsi="David"/>
          <w:b/>
          <w:bCs/>
          <w:rtl/>
        </w:rPr>
        <w:t xml:space="preserve"> 16 </w:t>
      </w:r>
      <w:r w:rsidRPr="00AA5065">
        <w:rPr>
          <w:rFonts w:ascii="David" w:eastAsia="Calibri" w:hAnsi="David" w:hint="cs"/>
          <w:b/>
          <w:bCs/>
          <w:rtl/>
        </w:rPr>
        <w:t xml:space="preserve">שהיו </w:t>
      </w:r>
      <w:r w:rsidRPr="00AA5065">
        <w:rPr>
          <w:rFonts w:ascii="David" w:eastAsia="Calibri" w:hAnsi="David"/>
          <w:b/>
          <w:bCs/>
          <w:rtl/>
        </w:rPr>
        <w:t xml:space="preserve">מעורבים ‏בתאונות דרכים במרחב נגב </w:t>
      </w:r>
      <w:r w:rsidRPr="00AA5065">
        <w:rPr>
          <w:rFonts w:ascii="David" w:eastAsia="Calibri" w:hAnsi="David" w:hint="cs"/>
          <w:b/>
          <w:bCs/>
          <w:rtl/>
        </w:rPr>
        <w:t>היה</w:t>
      </w:r>
      <w:r w:rsidRPr="00AA5065">
        <w:rPr>
          <w:rFonts w:ascii="David" w:eastAsia="Calibri" w:hAnsi="David"/>
          <w:b/>
          <w:bCs/>
          <w:rtl/>
        </w:rPr>
        <w:t xml:space="preserve"> כ-5</w:t>
      </w:r>
      <w:r w:rsidRPr="00AA5065">
        <w:rPr>
          <w:rFonts w:ascii="David" w:eastAsia="Calibri" w:hAnsi="David" w:hint="cs"/>
          <w:b/>
          <w:bCs/>
          <w:rtl/>
        </w:rPr>
        <w:t>9</w:t>
      </w:r>
      <w:r w:rsidRPr="00AA5065">
        <w:rPr>
          <w:rFonts w:ascii="David" w:eastAsia="Calibri" w:hAnsi="David"/>
          <w:b/>
          <w:bCs/>
          <w:rtl/>
        </w:rPr>
        <w:t>%, ‏</w:t>
      </w:r>
      <w:r w:rsidRPr="00AA5065">
        <w:rPr>
          <w:rFonts w:ascii="David" w:eastAsia="Calibri" w:hAnsi="David" w:hint="cs"/>
          <w:b/>
          <w:bCs/>
          <w:rtl/>
        </w:rPr>
        <w:t xml:space="preserve">ושיעור </w:t>
      </w:r>
      <w:r w:rsidRPr="00AA5065">
        <w:rPr>
          <w:rFonts w:ascii="David" w:eastAsia="Calibri" w:hAnsi="David"/>
          <w:b/>
          <w:bCs/>
          <w:rtl/>
        </w:rPr>
        <w:t>מעורבותם של הנהגים מהאוכלוסייה הלא</w:t>
      </w:r>
      <w:r w:rsidRPr="00AA5065">
        <w:rPr>
          <w:rFonts w:ascii="David" w:eastAsia="Calibri" w:hAnsi="David" w:hint="cs"/>
          <w:b/>
          <w:bCs/>
          <w:rtl/>
        </w:rPr>
        <w:t>-</w:t>
      </w:r>
      <w:r w:rsidRPr="00AA5065">
        <w:rPr>
          <w:rFonts w:ascii="David" w:eastAsia="Calibri" w:hAnsi="David"/>
          <w:b/>
          <w:bCs/>
          <w:rtl/>
        </w:rPr>
        <w:t xml:space="preserve">יהודית בגילאי 17 </w:t>
      </w:r>
      <w:r w:rsidRPr="00AA5065">
        <w:rPr>
          <w:rFonts w:ascii="David" w:eastAsia="Calibri" w:hAnsi="David" w:hint="cs"/>
          <w:b/>
          <w:bCs/>
          <w:rtl/>
        </w:rPr>
        <w:t>עד</w:t>
      </w:r>
      <w:r w:rsidRPr="00AA5065">
        <w:rPr>
          <w:rFonts w:ascii="David" w:eastAsia="Calibri" w:hAnsi="David"/>
          <w:b/>
          <w:bCs/>
          <w:rtl/>
        </w:rPr>
        <w:t xml:space="preserve"> 18 ‏</w:t>
      </w:r>
      <w:r w:rsidRPr="00AA5065">
        <w:rPr>
          <w:rFonts w:ascii="David" w:eastAsia="Calibri" w:hAnsi="David" w:hint="cs"/>
          <w:b/>
          <w:bCs/>
          <w:rtl/>
        </w:rPr>
        <w:t>היה 42%.</w:t>
      </w:r>
    </w:p>
    <w:p w:rsidR="00AA5065" w:rsidRPr="00AA5065" w:rsidP="00860D89">
      <w:pPr>
        <w:spacing w:line="269" w:lineRule="auto"/>
        <w:ind w:left="-567"/>
        <w:rPr>
          <w:rFonts w:eastAsia="Calibri"/>
          <w:szCs w:val="20"/>
          <w:rtl/>
        </w:rPr>
      </w:pPr>
    </w:p>
    <w:p w:rsidR="00AA5065" w:rsidRPr="00AA5065" w:rsidP="00246618">
      <w:pPr>
        <w:spacing w:after="120" w:line="269" w:lineRule="auto"/>
        <w:rPr>
          <w:rFonts w:ascii="David" w:eastAsia="Calibri" w:hAnsi="David"/>
          <w:b/>
          <w:bCs/>
          <w:rtl/>
        </w:rPr>
      </w:pPr>
      <w:r w:rsidRPr="00AA5065">
        <w:rPr>
          <w:rFonts w:ascii="David" w:eastAsia="Calibri" w:hAnsi="David" w:hint="cs"/>
          <w:b/>
          <w:bCs/>
          <w:rtl/>
        </w:rPr>
        <w:t xml:space="preserve">בביקורת הקודמת עלה כי בשנים 2016 - 2019 </w:t>
      </w:r>
      <w:r w:rsidRPr="00AA5065">
        <w:rPr>
          <w:rFonts w:ascii="David" w:eastAsia="Calibri" w:hAnsi="David"/>
          <w:b/>
          <w:bCs/>
          <w:rtl/>
        </w:rPr>
        <w:t xml:space="preserve">שיעור הנהגים מהאוכלוסייה הלא-יהודית שגילם ‏‏13 </w:t>
      </w:r>
      <w:r w:rsidRPr="00AA5065">
        <w:rPr>
          <w:rFonts w:ascii="David" w:eastAsia="Calibri" w:hAnsi="David" w:hint="cs"/>
          <w:b/>
          <w:bCs/>
          <w:rtl/>
        </w:rPr>
        <w:t>עד</w:t>
      </w:r>
      <w:r w:rsidRPr="00AA5065">
        <w:rPr>
          <w:rFonts w:ascii="David" w:eastAsia="Calibri" w:hAnsi="David"/>
          <w:b/>
          <w:bCs/>
          <w:rtl/>
        </w:rPr>
        <w:t xml:space="preserve"> ‏‏16 ו</w:t>
      </w:r>
      <w:r w:rsidRPr="00AA5065">
        <w:rPr>
          <w:rFonts w:ascii="David" w:eastAsia="Calibri" w:hAnsi="David" w:hint="cs"/>
          <w:b/>
          <w:bCs/>
          <w:rtl/>
        </w:rPr>
        <w:t>-</w:t>
      </w:r>
      <w:r w:rsidRPr="00AA5065">
        <w:rPr>
          <w:rFonts w:ascii="David" w:eastAsia="Calibri" w:hAnsi="David"/>
          <w:b/>
          <w:bCs/>
          <w:rtl/>
        </w:rPr>
        <w:t xml:space="preserve">17 </w:t>
      </w:r>
      <w:r w:rsidRPr="00AA5065">
        <w:rPr>
          <w:rFonts w:ascii="David" w:eastAsia="Calibri" w:hAnsi="David" w:hint="cs"/>
          <w:b/>
          <w:bCs/>
          <w:rtl/>
        </w:rPr>
        <w:t>עד</w:t>
      </w:r>
      <w:r w:rsidRPr="00AA5065">
        <w:rPr>
          <w:rFonts w:ascii="David" w:eastAsia="Calibri" w:hAnsi="David"/>
          <w:b/>
          <w:bCs/>
          <w:rtl/>
        </w:rPr>
        <w:t xml:space="preserve"> 18 </w:t>
      </w:r>
      <w:r w:rsidRPr="00AA5065">
        <w:rPr>
          <w:rFonts w:ascii="David" w:eastAsia="Calibri" w:hAnsi="David" w:hint="cs"/>
          <w:b/>
          <w:bCs/>
          <w:rtl/>
        </w:rPr>
        <w:t xml:space="preserve">שהיו </w:t>
      </w:r>
      <w:r w:rsidRPr="00AA5065">
        <w:rPr>
          <w:rFonts w:ascii="David" w:eastAsia="Calibri" w:hAnsi="David"/>
          <w:b/>
          <w:bCs/>
          <w:rtl/>
        </w:rPr>
        <w:t xml:space="preserve">מעורבים בתאונות דרכים במרחב נגב </w:t>
      </w:r>
      <w:r w:rsidRPr="00AA5065">
        <w:rPr>
          <w:rFonts w:ascii="David" w:eastAsia="Calibri" w:hAnsi="David" w:hint="cs"/>
          <w:b/>
          <w:bCs/>
          <w:rtl/>
        </w:rPr>
        <w:t>היה</w:t>
      </w:r>
      <w:r w:rsidRPr="00AA5065">
        <w:rPr>
          <w:rFonts w:ascii="David" w:eastAsia="Calibri" w:hAnsi="David"/>
          <w:b/>
          <w:bCs/>
          <w:rtl/>
        </w:rPr>
        <w:t xml:space="preserve"> 50%‏</w:t>
      </w:r>
      <w:r w:rsidRPr="00AA5065">
        <w:rPr>
          <w:rFonts w:ascii="David" w:eastAsia="Calibri" w:hAnsi="David"/>
          <w:b/>
          <w:bCs/>
          <w:cs/>
        </w:rPr>
        <w:t>‎</w:t>
      </w:r>
      <w:r w:rsidRPr="00AA5065">
        <w:rPr>
          <w:rFonts w:ascii="David" w:eastAsia="Calibri" w:hAnsi="David"/>
          <w:b/>
          <w:bCs/>
        </w:rPr>
        <w:t xml:space="preserve"> </w:t>
      </w:r>
      <w:r w:rsidRPr="00AA5065">
        <w:rPr>
          <w:rFonts w:ascii="David" w:eastAsia="Calibri" w:hAnsi="David"/>
          <w:b/>
          <w:bCs/>
          <w:cs/>
        </w:rPr>
        <w:t>‎</w:t>
      </w:r>
      <w:r w:rsidRPr="00AA5065">
        <w:rPr>
          <w:rFonts w:ascii="David" w:eastAsia="Calibri" w:hAnsi="David"/>
          <w:b/>
          <w:bCs/>
          <w:rtl/>
        </w:rPr>
        <w:t>‏ ו-48% בהתאמה. ‏</w:t>
      </w:r>
      <w:r w:rsidRPr="00AA5065">
        <w:rPr>
          <w:rFonts w:ascii="David" w:eastAsia="Calibri" w:hAnsi="David" w:hint="cs"/>
          <w:b/>
          <w:bCs/>
          <w:rtl/>
        </w:rPr>
        <w:t>ב</w:t>
      </w:r>
      <w:r w:rsidRPr="00AA5065">
        <w:rPr>
          <w:rFonts w:ascii="David" w:eastAsia="Calibri" w:hAnsi="David"/>
          <w:b/>
          <w:bCs/>
          <w:rtl/>
        </w:rPr>
        <w:t>ביקורת המעקב</w:t>
      </w:r>
      <w:r w:rsidRPr="00AA5065">
        <w:rPr>
          <w:rFonts w:ascii="David" w:eastAsia="Calibri" w:hAnsi="David" w:hint="cs"/>
          <w:b/>
          <w:bCs/>
          <w:rtl/>
        </w:rPr>
        <w:t xml:space="preserve"> נמצא כי הליקוי לא תוקן; בשנים 2020 עד 2024 </w:t>
      </w:r>
      <w:r w:rsidRPr="00AA5065">
        <w:rPr>
          <w:rFonts w:ascii="David" w:eastAsia="Calibri" w:hAnsi="David"/>
          <w:b/>
          <w:bCs/>
          <w:rtl/>
        </w:rPr>
        <w:t>שיעור הנהגים הצעירים מהאוכלוסייה הלא-יהודית</w:t>
      </w:r>
      <w:r w:rsidRPr="00AA5065">
        <w:rPr>
          <w:rFonts w:ascii="David" w:eastAsia="Calibri" w:hAnsi="David" w:hint="cs"/>
          <w:b/>
          <w:bCs/>
          <w:rtl/>
        </w:rPr>
        <w:t xml:space="preserve"> שגילם 13 עד 16</w:t>
      </w:r>
      <w:r w:rsidRPr="00AA5065">
        <w:rPr>
          <w:rFonts w:ascii="David" w:eastAsia="Calibri" w:hAnsi="David"/>
          <w:b/>
          <w:bCs/>
          <w:rtl/>
        </w:rPr>
        <w:t xml:space="preserve"> </w:t>
      </w:r>
      <w:r w:rsidRPr="00AA5065">
        <w:rPr>
          <w:rFonts w:ascii="David" w:eastAsia="Calibri" w:hAnsi="David" w:hint="cs"/>
          <w:b/>
          <w:bCs/>
          <w:rtl/>
        </w:rPr>
        <w:t xml:space="preserve">שהיו </w:t>
      </w:r>
      <w:r w:rsidRPr="00AA5065">
        <w:rPr>
          <w:rFonts w:ascii="David" w:eastAsia="Calibri" w:hAnsi="David"/>
          <w:b/>
          <w:bCs/>
          <w:rtl/>
        </w:rPr>
        <w:t>מעורבים בתאונות דרכים‏ במרחב נגב</w:t>
      </w:r>
      <w:r w:rsidRPr="00AA5065">
        <w:rPr>
          <w:rFonts w:ascii="David" w:eastAsia="Calibri" w:hAnsi="David" w:hint="cs"/>
          <w:b/>
          <w:bCs/>
          <w:rtl/>
        </w:rPr>
        <w:t xml:space="preserve"> עלה והיה בממוצע</w:t>
      </w:r>
      <w:r w:rsidRPr="00AA5065">
        <w:rPr>
          <w:rFonts w:ascii="David" w:eastAsia="Calibri" w:hAnsi="David"/>
          <w:b/>
          <w:bCs/>
          <w:rtl/>
        </w:rPr>
        <w:t xml:space="preserve"> 59% </w:t>
      </w:r>
      <w:r w:rsidRPr="00AA5065">
        <w:rPr>
          <w:rFonts w:ascii="David" w:eastAsia="Calibri" w:hAnsi="David" w:hint="cs"/>
          <w:b/>
          <w:bCs/>
          <w:rtl/>
        </w:rPr>
        <w:t xml:space="preserve">- </w:t>
      </w:r>
      <w:r w:rsidRPr="00AA5065">
        <w:rPr>
          <w:rFonts w:ascii="David" w:eastAsia="Calibri" w:hAnsi="David"/>
          <w:b/>
          <w:bCs/>
          <w:rtl/>
        </w:rPr>
        <w:t xml:space="preserve">נתון </w:t>
      </w:r>
      <w:r w:rsidRPr="00AA5065">
        <w:rPr>
          <w:rFonts w:ascii="David" w:eastAsia="Calibri" w:hAnsi="David" w:hint="cs"/>
          <w:b/>
          <w:bCs/>
          <w:rtl/>
        </w:rPr>
        <w:t xml:space="preserve">הגבוה משמעותית משיעורם באוכלוסייה (19.7%), </w:t>
      </w:r>
      <w:r w:rsidRPr="00AA5065">
        <w:rPr>
          <w:rFonts w:ascii="David" w:eastAsia="Calibri" w:hAnsi="David"/>
          <w:b/>
          <w:bCs/>
          <w:rtl/>
        </w:rPr>
        <w:t>עלי</w:t>
      </w:r>
      <w:r w:rsidRPr="00AA5065">
        <w:rPr>
          <w:rFonts w:ascii="David" w:eastAsia="Calibri" w:hAnsi="David" w:hint="cs"/>
          <w:b/>
          <w:bCs/>
          <w:rtl/>
        </w:rPr>
        <w:t>י</w:t>
      </w:r>
      <w:r w:rsidRPr="00AA5065">
        <w:rPr>
          <w:rFonts w:ascii="David" w:eastAsia="Calibri" w:hAnsi="David"/>
          <w:b/>
          <w:bCs/>
          <w:rtl/>
        </w:rPr>
        <w:t>ה של 9%</w:t>
      </w:r>
      <w:r w:rsidRPr="00AA5065">
        <w:rPr>
          <w:rFonts w:ascii="David" w:eastAsia="Calibri" w:hAnsi="David"/>
          <w:b/>
          <w:bCs/>
        </w:rPr>
        <w:t xml:space="preserve"> </w:t>
      </w:r>
      <w:r w:rsidRPr="00AA5065">
        <w:rPr>
          <w:rFonts w:ascii="David" w:eastAsia="Calibri" w:hAnsi="David"/>
          <w:b/>
          <w:bCs/>
          <w:rtl/>
        </w:rPr>
        <w:t xml:space="preserve">מהממוצע בשנים 2016 </w:t>
      </w:r>
      <w:r w:rsidRPr="00AA5065">
        <w:rPr>
          <w:rFonts w:ascii="David" w:eastAsia="Calibri" w:hAnsi="David" w:hint="cs"/>
          <w:b/>
          <w:bCs/>
          <w:rtl/>
        </w:rPr>
        <w:t>עד</w:t>
      </w:r>
      <w:r w:rsidRPr="00AA5065">
        <w:rPr>
          <w:rFonts w:ascii="David" w:eastAsia="Calibri" w:hAnsi="David"/>
          <w:b/>
          <w:bCs/>
          <w:rtl/>
        </w:rPr>
        <w:t xml:space="preserve"> 2019</w:t>
      </w:r>
      <w:r w:rsidRPr="00AA5065">
        <w:rPr>
          <w:rFonts w:ascii="David" w:eastAsia="Calibri" w:hAnsi="David" w:hint="cs"/>
          <w:b/>
          <w:bCs/>
          <w:rtl/>
        </w:rPr>
        <w:t xml:space="preserve">. </w:t>
      </w:r>
      <w:r w:rsidRPr="00AA5065">
        <w:rPr>
          <w:rFonts w:ascii="David" w:eastAsia="Calibri" w:hAnsi="David"/>
          <w:b/>
          <w:bCs/>
          <w:rtl/>
        </w:rPr>
        <w:t xml:space="preserve">לעומת זאת, </w:t>
      </w:r>
      <w:r w:rsidRPr="00AA5065">
        <w:rPr>
          <w:rFonts w:ascii="David" w:eastAsia="Calibri" w:hAnsi="David" w:hint="cs"/>
          <w:b/>
          <w:bCs/>
          <w:rtl/>
        </w:rPr>
        <w:t>נרשם קיטון של כ-6%</w:t>
      </w:r>
      <w:r w:rsidRPr="00AA5065">
        <w:rPr>
          <w:rFonts w:ascii="David" w:eastAsia="Calibri" w:hAnsi="David" w:hint="cs"/>
          <w:b/>
          <w:bCs/>
        </w:rPr>
        <w:t xml:space="preserve"> </w:t>
      </w:r>
      <w:r w:rsidRPr="00AA5065">
        <w:rPr>
          <w:rFonts w:ascii="David" w:eastAsia="Calibri" w:hAnsi="David" w:hint="cs"/>
          <w:b/>
          <w:bCs/>
          <w:rtl/>
        </w:rPr>
        <w:t xml:space="preserve">בשיעור </w:t>
      </w:r>
      <w:r w:rsidRPr="00AA5065">
        <w:rPr>
          <w:rFonts w:ascii="David" w:eastAsia="Calibri" w:hAnsi="David"/>
          <w:b/>
          <w:bCs/>
          <w:rtl/>
        </w:rPr>
        <w:t xml:space="preserve">מעורבותם של הנהגים </w:t>
      </w:r>
      <w:r w:rsidRPr="00AA5065">
        <w:rPr>
          <w:rFonts w:ascii="David" w:eastAsia="Calibri" w:hAnsi="David" w:hint="cs"/>
          <w:b/>
          <w:bCs/>
          <w:rtl/>
        </w:rPr>
        <w:t xml:space="preserve">מהאוכלוסייה הלא-יהודית שגילם 17 עד 18 במרחב נגב (42%). </w:t>
      </w:r>
      <w:r w:rsidRPr="00AA5065">
        <w:rPr>
          <w:rFonts w:ascii="David" w:eastAsia="Calibri" w:hAnsi="David" w:hint="eastAsia"/>
          <w:b/>
          <w:bCs/>
          <w:rtl/>
        </w:rPr>
        <w:t>ניכר</w:t>
      </w:r>
      <w:r w:rsidRPr="00AA5065">
        <w:rPr>
          <w:rFonts w:ascii="David" w:eastAsia="Calibri" w:hAnsi="David"/>
          <w:b/>
          <w:bCs/>
          <w:rtl/>
        </w:rPr>
        <w:t xml:space="preserve"> </w:t>
      </w:r>
      <w:r w:rsidRPr="00AA5065">
        <w:rPr>
          <w:rFonts w:ascii="David" w:eastAsia="Calibri" w:hAnsi="David" w:hint="eastAsia"/>
          <w:b/>
          <w:bCs/>
          <w:rtl/>
        </w:rPr>
        <w:t>כי</w:t>
      </w:r>
      <w:r w:rsidRPr="00AA5065">
        <w:rPr>
          <w:rFonts w:ascii="David" w:eastAsia="Calibri" w:hAnsi="David" w:hint="cs"/>
          <w:b/>
          <w:bCs/>
          <w:rtl/>
        </w:rPr>
        <w:t xml:space="preserve"> שיעורים אלו של המעורבים בתאונות עדיין גבוהים </w:t>
      </w:r>
      <w:r w:rsidRPr="00AA5065">
        <w:rPr>
          <w:rFonts w:ascii="David" w:eastAsia="Calibri" w:hAnsi="David" w:hint="eastAsia"/>
          <w:b/>
          <w:bCs/>
          <w:rtl/>
        </w:rPr>
        <w:t>משמעותית</w:t>
      </w:r>
      <w:r w:rsidRPr="00AA5065">
        <w:rPr>
          <w:rFonts w:ascii="David" w:eastAsia="Calibri" w:hAnsi="David" w:hint="cs"/>
          <w:b/>
          <w:bCs/>
          <w:rtl/>
        </w:rPr>
        <w:t xml:space="preserve"> משיעורם היחסי באוכלוסייה הכללית העומד על 15%.</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ind w:left="-1"/>
        <w:jc w:val="center"/>
        <w:rPr>
          <w:rFonts w:ascii="David" w:eastAsia="Calibri" w:hAnsi="David"/>
          <w:b/>
          <w:bCs/>
          <w:color w:val="0D0D0D"/>
          <w:sz w:val="24"/>
          <w:rtl/>
        </w:rPr>
      </w:pPr>
      <w:r w:rsidRPr="00AA5065">
        <w:rPr>
          <w:rFonts w:ascii="David" w:eastAsia="Calibri" w:hAnsi="David"/>
          <w:b/>
          <w:bCs/>
          <w:color w:val="0D0D0D"/>
          <w:sz w:val="24"/>
          <w:rtl/>
        </w:rPr>
        <w:t>מידת תיקון הליקוי</w:t>
      </w:r>
    </w:p>
    <w:p w:rsidR="00AA5065" w:rsidRPr="00AA5065" w:rsidP="00860D89">
      <w:pPr>
        <w:spacing w:line="269" w:lineRule="auto"/>
        <w:ind w:left="-1"/>
        <w:jc w:val="center"/>
        <w:rPr>
          <w:rFonts w:ascii="David" w:eastAsia="Calibri" w:hAnsi="David"/>
          <w:b/>
          <w:rtl/>
        </w:rPr>
      </w:pPr>
      <w:r w:rsidRPr="00AA5065">
        <w:rPr>
          <w:rFonts w:ascii="David" w:eastAsia="Calibri" w:hAnsi="David"/>
          <w:noProof/>
        </w:rPr>
        <w:drawing>
          <wp:inline distT="0" distB="0" distL="0" distR="0">
            <wp:extent cx="3960000" cy="740487"/>
            <wp:effectExtent l="0" t="0" r="0" b="0"/>
            <wp:docPr id="52" name="תמונה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תמונה 1095261540"/>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0000" cy="740487"/>
                    </a:xfrm>
                    <a:prstGeom prst="rect">
                      <a:avLst/>
                    </a:prstGeom>
                    <a:noFill/>
                    <a:ln>
                      <a:noFill/>
                    </a:ln>
                  </pic:spPr>
                </pic:pic>
              </a:graphicData>
            </a:graphic>
          </wp:inline>
        </w:drawing>
      </w:r>
    </w:p>
    <w:p w:rsidR="00AA5065" w:rsidRPr="00AA5065" w:rsidP="00246618">
      <w:pPr>
        <w:spacing w:after="120"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b/>
          <w:bCs/>
          <w:rtl/>
        </w:rPr>
        <w:t xml:space="preserve">מומלץ כי </w:t>
      </w:r>
      <w:r w:rsidRPr="00AA5065">
        <w:rPr>
          <w:rFonts w:ascii="David" w:eastAsia="Calibri" w:hAnsi="David" w:hint="cs"/>
          <w:b/>
          <w:bCs/>
          <w:rtl/>
        </w:rPr>
        <w:t>משטרת ישראל ומשרד התחבורה יפעלו</w:t>
      </w:r>
      <w:r w:rsidRPr="00AA5065">
        <w:rPr>
          <w:rFonts w:ascii="David" w:eastAsia="Calibri" w:hAnsi="David"/>
          <w:b/>
          <w:bCs/>
          <w:rtl/>
        </w:rPr>
        <w:t xml:space="preserve"> בצעדים מתואמים להפחתת שיעור תאונות ‏הדרכים בקרב נהגים צעירים מהאוכלוסייה הלא-יהודית, ובפרט במרחב נגב. </w:t>
      </w:r>
      <w:r w:rsidRPr="00AA5065">
        <w:rPr>
          <w:rFonts w:ascii="David" w:eastAsia="Calibri" w:hAnsi="David" w:hint="eastAsia"/>
          <w:b/>
          <w:bCs/>
          <w:rtl/>
        </w:rPr>
        <w:t>מומלץ</w:t>
      </w:r>
      <w:r w:rsidRPr="00AA5065">
        <w:rPr>
          <w:rFonts w:ascii="David" w:eastAsia="Calibri" w:hAnsi="David"/>
          <w:b/>
          <w:bCs/>
          <w:rtl/>
        </w:rPr>
        <w:t xml:space="preserve"> ל</w:t>
      </w:r>
      <w:r w:rsidRPr="00AA5065">
        <w:rPr>
          <w:rFonts w:ascii="David" w:eastAsia="Calibri" w:hAnsi="David" w:hint="eastAsia"/>
          <w:b/>
          <w:bCs/>
          <w:rtl/>
        </w:rPr>
        <w:t>פעול</w:t>
      </w:r>
      <w:r w:rsidRPr="00AA5065">
        <w:rPr>
          <w:rFonts w:ascii="David" w:eastAsia="Calibri" w:hAnsi="David"/>
          <w:b/>
          <w:bCs/>
          <w:rtl/>
        </w:rPr>
        <w:t xml:space="preserve"> </w:t>
      </w:r>
      <w:r w:rsidRPr="00AA5065">
        <w:rPr>
          <w:rFonts w:ascii="David" w:eastAsia="Calibri" w:hAnsi="David" w:hint="eastAsia"/>
          <w:b/>
          <w:bCs/>
          <w:rtl/>
        </w:rPr>
        <w:t>לגיבוש</w:t>
      </w:r>
      <w:r w:rsidRPr="00AA5065">
        <w:rPr>
          <w:rFonts w:ascii="David" w:eastAsia="Calibri" w:hAnsi="David"/>
          <w:b/>
          <w:bCs/>
          <w:rtl/>
        </w:rPr>
        <w:t xml:space="preserve"> ‏ת</w:t>
      </w:r>
      <w:r w:rsidRPr="00AA5065">
        <w:rPr>
          <w:rFonts w:ascii="David" w:eastAsia="Calibri" w:hAnsi="David" w:hint="cs"/>
          <w:b/>
          <w:bCs/>
          <w:rtl/>
        </w:rPr>
        <w:t>ו</w:t>
      </w:r>
      <w:r w:rsidRPr="00AA5065">
        <w:rPr>
          <w:rFonts w:ascii="David" w:eastAsia="Calibri" w:hAnsi="David"/>
          <w:b/>
          <w:bCs/>
          <w:rtl/>
        </w:rPr>
        <w:t xml:space="preserve">כניות חינוך והסברה ייעודיות, </w:t>
      </w:r>
      <w:r w:rsidRPr="00AA5065">
        <w:rPr>
          <w:rFonts w:ascii="David" w:eastAsia="Calibri" w:hAnsi="David" w:hint="cs"/>
          <w:b/>
          <w:bCs/>
          <w:rtl/>
        </w:rPr>
        <w:t>ל</w:t>
      </w:r>
      <w:r w:rsidRPr="00AA5065">
        <w:rPr>
          <w:rFonts w:ascii="David" w:eastAsia="Calibri" w:hAnsi="David"/>
          <w:b/>
          <w:bCs/>
          <w:rtl/>
        </w:rPr>
        <w:t xml:space="preserve">הגברת האכיפה, </w:t>
      </w:r>
      <w:r w:rsidRPr="00AA5065">
        <w:rPr>
          <w:rFonts w:ascii="David" w:eastAsia="Calibri" w:hAnsi="David" w:hint="eastAsia"/>
          <w:b/>
          <w:bCs/>
          <w:rtl/>
        </w:rPr>
        <w:t>ל</w:t>
      </w:r>
      <w:r w:rsidRPr="00AA5065">
        <w:rPr>
          <w:rFonts w:ascii="David" w:eastAsia="Calibri" w:hAnsi="David"/>
          <w:b/>
          <w:bCs/>
          <w:rtl/>
        </w:rPr>
        <w:t xml:space="preserve">שיפור תשתיות הכבישים באזורים מועדים ‏לפורענות, </w:t>
      </w:r>
      <w:r w:rsidRPr="00AA5065">
        <w:rPr>
          <w:rFonts w:ascii="David" w:eastAsia="Calibri" w:hAnsi="David" w:hint="eastAsia"/>
          <w:b/>
          <w:bCs/>
          <w:rtl/>
        </w:rPr>
        <w:t>ולקידום</w:t>
      </w:r>
      <w:r w:rsidRPr="00AA5065">
        <w:rPr>
          <w:rFonts w:ascii="David" w:eastAsia="Calibri" w:hAnsi="David"/>
          <w:b/>
          <w:bCs/>
          <w:rtl/>
        </w:rPr>
        <w:t xml:space="preserve"> שיתופי פעולה </w:t>
      </w:r>
      <w:r w:rsidRPr="00AA5065">
        <w:rPr>
          <w:rFonts w:ascii="David" w:eastAsia="Calibri" w:hAnsi="David" w:hint="cs"/>
          <w:b/>
          <w:bCs/>
          <w:rtl/>
        </w:rPr>
        <w:t>ביניהם.</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eastAsia"/>
          <w:rtl/>
        </w:rPr>
        <w:t>משטרת</w:t>
      </w:r>
      <w:r w:rsidRPr="00AA5065">
        <w:rPr>
          <w:rFonts w:ascii="David" w:eastAsia="Calibri" w:hAnsi="David"/>
          <w:rtl/>
        </w:rPr>
        <w:t xml:space="preserve"> ישראל </w:t>
      </w:r>
      <w:r w:rsidRPr="00AA5065">
        <w:rPr>
          <w:rFonts w:ascii="David" w:eastAsia="Calibri" w:hAnsi="David" w:hint="eastAsia"/>
          <w:rtl/>
        </w:rPr>
        <w:t>מסרה</w:t>
      </w:r>
      <w:r w:rsidRPr="00AA5065">
        <w:rPr>
          <w:rFonts w:ascii="David" w:eastAsia="Calibri" w:hAnsi="David"/>
          <w:rtl/>
        </w:rPr>
        <w:t xml:space="preserve"> בתשובתה </w:t>
      </w:r>
      <w:r w:rsidRPr="00AA5065">
        <w:rPr>
          <w:rFonts w:ascii="David" w:eastAsia="Calibri" w:hAnsi="David" w:hint="eastAsia"/>
          <w:rtl/>
        </w:rPr>
        <w:t>כי</w:t>
      </w:r>
      <w:r w:rsidRPr="00AA5065">
        <w:rPr>
          <w:rFonts w:ascii="David" w:eastAsia="Calibri" w:hAnsi="David"/>
          <w:rtl/>
        </w:rPr>
        <w:t xml:space="preserve"> </w:t>
      </w:r>
      <w:r w:rsidRPr="00AA5065">
        <w:rPr>
          <w:rFonts w:ascii="David" w:eastAsia="Calibri" w:hAnsi="David" w:hint="eastAsia"/>
          <w:rtl/>
        </w:rPr>
        <w:t>נתוני</w:t>
      </w:r>
      <w:r w:rsidRPr="00AA5065">
        <w:rPr>
          <w:rFonts w:ascii="David" w:eastAsia="Calibri" w:hAnsi="David"/>
          <w:rtl/>
        </w:rPr>
        <w:t xml:space="preserve"> </w:t>
      </w:r>
      <w:r w:rsidRPr="00AA5065">
        <w:rPr>
          <w:rFonts w:ascii="David" w:eastAsia="Calibri" w:hAnsi="David" w:hint="eastAsia"/>
          <w:rtl/>
        </w:rPr>
        <w:t>מעורבותם</w:t>
      </w:r>
      <w:r w:rsidRPr="00AA5065">
        <w:rPr>
          <w:rFonts w:ascii="David" w:eastAsia="Calibri" w:hAnsi="David"/>
          <w:rtl/>
        </w:rPr>
        <w:t xml:space="preserve"> </w:t>
      </w:r>
      <w:r w:rsidRPr="00AA5065">
        <w:rPr>
          <w:rFonts w:ascii="David" w:eastAsia="Calibri" w:hAnsi="David" w:hint="eastAsia"/>
          <w:rtl/>
        </w:rPr>
        <w:t>הכוללת</w:t>
      </w:r>
      <w:r w:rsidRPr="00AA5065">
        <w:rPr>
          <w:rFonts w:ascii="David" w:eastAsia="Calibri" w:hAnsi="David"/>
          <w:rtl/>
        </w:rPr>
        <w:t xml:space="preserve"> </w:t>
      </w:r>
      <w:r w:rsidRPr="00AA5065">
        <w:rPr>
          <w:rFonts w:ascii="David" w:eastAsia="Calibri" w:hAnsi="David" w:hint="eastAsia"/>
          <w:rtl/>
        </w:rPr>
        <w:t>של</w:t>
      </w:r>
      <w:r w:rsidRPr="00AA5065">
        <w:rPr>
          <w:rFonts w:ascii="David" w:eastAsia="Calibri" w:hAnsi="David"/>
          <w:rtl/>
        </w:rPr>
        <w:t xml:space="preserve"> </w:t>
      </w:r>
      <w:r w:rsidRPr="00AA5065">
        <w:rPr>
          <w:rFonts w:ascii="David" w:eastAsia="Calibri" w:hAnsi="David" w:hint="eastAsia"/>
          <w:rtl/>
        </w:rPr>
        <w:t>נהגים</w:t>
      </w:r>
      <w:r w:rsidRPr="00AA5065">
        <w:rPr>
          <w:rFonts w:ascii="David" w:eastAsia="Calibri" w:hAnsi="David"/>
          <w:rtl/>
        </w:rPr>
        <w:t xml:space="preserve"> </w:t>
      </w:r>
      <w:r w:rsidRPr="00AA5065">
        <w:rPr>
          <w:rFonts w:ascii="David" w:eastAsia="Calibri" w:hAnsi="David" w:hint="eastAsia"/>
          <w:rtl/>
        </w:rPr>
        <w:t>מהאוכלוסייה</w:t>
      </w:r>
      <w:r w:rsidRPr="00AA5065">
        <w:rPr>
          <w:rFonts w:ascii="David" w:eastAsia="Calibri" w:hAnsi="David"/>
          <w:rtl/>
        </w:rPr>
        <w:t xml:space="preserve"> הלא</w:t>
      </w:r>
      <w:r w:rsidRPr="00AA5065">
        <w:rPr>
          <w:rFonts w:ascii="David" w:eastAsia="Calibri" w:hAnsi="David" w:hint="cs"/>
          <w:rtl/>
        </w:rPr>
        <w:t>-</w:t>
      </w:r>
      <w:r w:rsidRPr="00AA5065">
        <w:rPr>
          <w:rFonts w:ascii="David" w:eastAsia="Calibri" w:hAnsi="David"/>
          <w:rtl/>
        </w:rPr>
        <w:t xml:space="preserve">יהודית שגילם מתחת לגיל 16 </w:t>
      </w:r>
      <w:r w:rsidRPr="00AA5065">
        <w:rPr>
          <w:rFonts w:ascii="David" w:eastAsia="Calibri" w:hAnsi="David" w:hint="eastAsia"/>
          <w:rtl/>
        </w:rPr>
        <w:t>אינם</w:t>
      </w:r>
      <w:r w:rsidRPr="00AA5065">
        <w:rPr>
          <w:rFonts w:ascii="David" w:eastAsia="Calibri" w:hAnsi="David"/>
          <w:rtl/>
        </w:rPr>
        <w:t xml:space="preserve"> </w:t>
      </w:r>
      <w:r w:rsidRPr="00AA5065">
        <w:rPr>
          <w:rFonts w:ascii="David" w:eastAsia="Calibri" w:hAnsi="David" w:hint="eastAsia"/>
          <w:rtl/>
        </w:rPr>
        <w:t>כוללים</w:t>
      </w:r>
      <w:r w:rsidRPr="00AA5065">
        <w:rPr>
          <w:rFonts w:ascii="David" w:eastAsia="Calibri" w:hAnsi="David"/>
          <w:rtl/>
        </w:rPr>
        <w:t xml:space="preserve"> </w:t>
      </w:r>
      <w:r w:rsidRPr="00AA5065">
        <w:rPr>
          <w:rFonts w:ascii="David" w:eastAsia="Calibri" w:hAnsi="David" w:hint="eastAsia"/>
          <w:rtl/>
        </w:rPr>
        <w:t>תאונות</w:t>
      </w:r>
      <w:r w:rsidRPr="00AA5065">
        <w:rPr>
          <w:rFonts w:ascii="David" w:eastAsia="Calibri" w:hAnsi="David"/>
          <w:rtl/>
        </w:rPr>
        <w:t xml:space="preserve"> </w:t>
      </w:r>
      <w:r w:rsidRPr="00AA5065">
        <w:rPr>
          <w:rFonts w:ascii="David" w:eastAsia="Calibri" w:hAnsi="David" w:hint="cs"/>
          <w:rtl/>
        </w:rPr>
        <w:t>ש</w:t>
      </w:r>
      <w:r w:rsidRPr="00AA5065">
        <w:rPr>
          <w:rFonts w:ascii="David" w:eastAsia="Calibri" w:hAnsi="David" w:hint="eastAsia"/>
          <w:rtl/>
        </w:rPr>
        <w:t>בהן</w:t>
      </w:r>
      <w:r w:rsidRPr="00AA5065">
        <w:rPr>
          <w:rFonts w:ascii="David" w:eastAsia="Calibri" w:hAnsi="David"/>
          <w:rtl/>
        </w:rPr>
        <w:t xml:space="preserve"> </w:t>
      </w:r>
      <w:r w:rsidRPr="00AA5065">
        <w:rPr>
          <w:rFonts w:ascii="David" w:eastAsia="Calibri" w:hAnsi="David" w:hint="eastAsia"/>
          <w:rtl/>
        </w:rPr>
        <w:t>מעורבים</w:t>
      </w:r>
      <w:r w:rsidRPr="00AA5065">
        <w:rPr>
          <w:rFonts w:ascii="David" w:eastAsia="Calibri" w:hAnsi="David"/>
          <w:rtl/>
        </w:rPr>
        <w:t xml:space="preserve"> </w:t>
      </w:r>
      <w:r w:rsidRPr="00AA5065">
        <w:rPr>
          <w:rFonts w:ascii="David" w:eastAsia="Calibri" w:hAnsi="David" w:hint="eastAsia"/>
          <w:rtl/>
        </w:rPr>
        <w:t>אופניים</w:t>
      </w:r>
      <w:r w:rsidRPr="00AA5065">
        <w:rPr>
          <w:rFonts w:ascii="David" w:eastAsia="Calibri" w:hAnsi="David"/>
          <w:rtl/>
        </w:rPr>
        <w:t xml:space="preserve"> </w:t>
      </w:r>
      <w:r w:rsidRPr="00AA5065">
        <w:rPr>
          <w:rFonts w:ascii="David" w:eastAsia="Calibri" w:hAnsi="David" w:hint="eastAsia"/>
          <w:rtl/>
        </w:rPr>
        <w:t>וקורקינטים</w:t>
      </w:r>
      <w:r w:rsidRPr="00AA5065">
        <w:rPr>
          <w:rFonts w:ascii="David" w:eastAsia="Calibri" w:hAnsi="David"/>
          <w:rtl/>
        </w:rPr>
        <w:t xml:space="preserve"> </w:t>
      </w:r>
      <w:r w:rsidRPr="00AA5065">
        <w:rPr>
          <w:rFonts w:ascii="David" w:eastAsia="Calibri" w:hAnsi="David" w:hint="eastAsia"/>
          <w:rtl/>
        </w:rPr>
        <w:t>חשמליים</w:t>
      </w:r>
      <w:r w:rsidRPr="00AA5065">
        <w:rPr>
          <w:rFonts w:ascii="David" w:eastAsia="Calibri" w:hAnsi="David"/>
          <w:rtl/>
        </w:rPr>
        <w:t xml:space="preserve">. </w:t>
      </w:r>
      <w:r w:rsidRPr="00AA5065">
        <w:rPr>
          <w:rFonts w:ascii="David" w:eastAsia="Calibri" w:hAnsi="David" w:hint="eastAsia"/>
          <w:rtl/>
        </w:rPr>
        <w:t>כמו</w:t>
      </w:r>
      <w:r w:rsidRPr="00AA5065">
        <w:rPr>
          <w:rFonts w:ascii="David" w:eastAsia="Calibri" w:hAnsi="David"/>
          <w:rtl/>
        </w:rPr>
        <w:t xml:space="preserve"> </w:t>
      </w:r>
      <w:r w:rsidRPr="00AA5065">
        <w:rPr>
          <w:rFonts w:ascii="David" w:eastAsia="Calibri" w:hAnsi="David" w:hint="eastAsia"/>
          <w:rtl/>
        </w:rPr>
        <w:t>כן</w:t>
      </w:r>
      <w:r w:rsidRPr="00AA5065">
        <w:rPr>
          <w:rFonts w:ascii="David" w:eastAsia="Calibri" w:hAnsi="David"/>
          <w:rtl/>
        </w:rPr>
        <w:t xml:space="preserve">, </w:t>
      </w:r>
      <w:r w:rsidRPr="00AA5065">
        <w:rPr>
          <w:rFonts w:ascii="David" w:eastAsia="Calibri" w:hAnsi="David" w:hint="eastAsia"/>
          <w:rtl/>
        </w:rPr>
        <w:t>במגזר</w:t>
      </w:r>
      <w:r w:rsidRPr="00AA5065">
        <w:rPr>
          <w:rFonts w:ascii="David" w:eastAsia="Calibri" w:hAnsi="David"/>
          <w:rtl/>
        </w:rPr>
        <w:t xml:space="preserve"> </w:t>
      </w:r>
      <w:r w:rsidRPr="00AA5065">
        <w:rPr>
          <w:rFonts w:ascii="David" w:eastAsia="Calibri" w:hAnsi="David" w:hint="eastAsia"/>
          <w:rtl/>
        </w:rPr>
        <w:t>הלא</w:t>
      </w:r>
      <w:r w:rsidRPr="00AA5065">
        <w:rPr>
          <w:rFonts w:ascii="David" w:eastAsia="Calibri" w:hAnsi="David" w:hint="cs"/>
          <w:rtl/>
        </w:rPr>
        <w:t>-</w:t>
      </w:r>
      <w:r w:rsidRPr="00AA5065">
        <w:rPr>
          <w:rFonts w:ascii="David" w:eastAsia="Calibri" w:hAnsi="David" w:hint="eastAsia"/>
          <w:rtl/>
        </w:rPr>
        <w:t>יהודי</w:t>
      </w:r>
      <w:r w:rsidRPr="00AA5065">
        <w:rPr>
          <w:rFonts w:ascii="David" w:eastAsia="Calibri" w:hAnsi="David"/>
          <w:rtl/>
        </w:rPr>
        <w:t xml:space="preserve"> </w:t>
      </w:r>
      <w:r w:rsidRPr="00AA5065">
        <w:rPr>
          <w:rFonts w:ascii="David" w:eastAsia="Calibri" w:hAnsi="David" w:hint="eastAsia"/>
          <w:rtl/>
        </w:rPr>
        <w:t>חלק</w:t>
      </w:r>
      <w:r w:rsidRPr="00AA5065">
        <w:rPr>
          <w:rFonts w:ascii="David" w:eastAsia="Calibri" w:hAnsi="David"/>
          <w:rtl/>
        </w:rPr>
        <w:t xml:space="preserve"> </w:t>
      </w:r>
      <w:r w:rsidRPr="00AA5065">
        <w:rPr>
          <w:rFonts w:ascii="David" w:eastAsia="Calibri" w:hAnsi="David" w:hint="eastAsia"/>
          <w:rtl/>
        </w:rPr>
        <w:t>ניכר</w:t>
      </w:r>
      <w:r w:rsidRPr="00AA5065">
        <w:rPr>
          <w:rFonts w:ascii="David" w:eastAsia="Calibri" w:hAnsi="David"/>
          <w:rtl/>
        </w:rPr>
        <w:t xml:space="preserve"> </w:t>
      </w:r>
      <w:r w:rsidRPr="00AA5065">
        <w:rPr>
          <w:rFonts w:ascii="David" w:eastAsia="Calibri" w:hAnsi="David" w:hint="eastAsia"/>
          <w:rtl/>
        </w:rPr>
        <w:t>מתאונות</w:t>
      </w:r>
      <w:r w:rsidRPr="00AA5065">
        <w:rPr>
          <w:rFonts w:ascii="David" w:eastAsia="Calibri" w:hAnsi="David"/>
          <w:rtl/>
        </w:rPr>
        <w:t xml:space="preserve"> הדרכים הן תאונות שאינן בכבישים אלא תאונות שטח ו</w:t>
      </w:r>
      <w:r w:rsidRPr="00AA5065">
        <w:rPr>
          <w:rFonts w:ascii="David" w:eastAsia="Calibri" w:hAnsi="David" w:hint="cs"/>
          <w:rtl/>
        </w:rPr>
        <w:t xml:space="preserve">תאונות המתרחשות </w:t>
      </w:r>
      <w:r w:rsidRPr="00AA5065">
        <w:rPr>
          <w:rFonts w:ascii="David" w:eastAsia="Calibri" w:hAnsi="David"/>
          <w:rtl/>
        </w:rPr>
        <w:t xml:space="preserve">בחצרות הבתים. </w:t>
      </w:r>
      <w:r w:rsidRPr="00AA5065">
        <w:rPr>
          <w:rFonts w:ascii="David" w:eastAsia="Calibri" w:hAnsi="David" w:hint="eastAsia"/>
          <w:rtl/>
        </w:rPr>
        <w:t>המשטרה</w:t>
      </w:r>
      <w:r w:rsidRPr="00AA5065">
        <w:rPr>
          <w:rFonts w:ascii="David" w:eastAsia="Calibri" w:hAnsi="David"/>
          <w:rtl/>
        </w:rPr>
        <w:t xml:space="preserve"> מתמודדת עם תופעת הנהיגה ללא רישיון נהיגה באמצעות פתיחת תיקי </w:t>
      </w:r>
      <w:r w:rsidRPr="00AA5065">
        <w:rPr>
          <w:rFonts w:ascii="David" w:eastAsia="Calibri" w:hAnsi="David" w:hint="cs"/>
          <w:rtl/>
        </w:rPr>
        <w:t>עבירות תנועה חמורות</w:t>
      </w:r>
      <w:r w:rsidRPr="00AA5065">
        <w:rPr>
          <w:rFonts w:ascii="David" w:eastAsia="Calibri" w:hAnsi="David"/>
          <w:rtl/>
        </w:rPr>
        <w:t>, העמדה לדין של נהגים והשבתה מ</w:t>
      </w:r>
      <w:r w:rsidRPr="00AA5065">
        <w:rPr>
          <w:rFonts w:ascii="David" w:eastAsia="Calibri" w:hAnsi="David" w:hint="cs"/>
          <w:rtl/>
        </w:rPr>
        <w:t>י</w:t>
      </w:r>
      <w:r w:rsidRPr="00AA5065">
        <w:rPr>
          <w:rFonts w:ascii="David" w:eastAsia="Calibri" w:hAnsi="David"/>
          <w:rtl/>
        </w:rPr>
        <w:t>נהלית של כלי הרכב ל-30 יום. עם זאת, כיוון שמדובר בעבירת חשיפה, עבירה זו קשה לגילוי, והיא נאכפת במסגרת פעילות האכיפה השוטפת. המשטרה מסרה כי במקרים של עבירות של נהגים מתחת לגיל 16 ננקטים צעדים גם נגד הורי הנהג.</w:t>
      </w:r>
      <w:r w:rsidRPr="00AA5065">
        <w:rPr>
          <w:rFonts w:ascii="David" w:eastAsia="Calibri" w:hAnsi="David" w:hint="cs"/>
          <w:rtl/>
        </w:rPr>
        <w:t xml:space="preserve"> כמו כן, המשטרה מסרה כי היא "</w:t>
      </w:r>
      <w:r w:rsidRPr="00AA5065">
        <w:rPr>
          <w:rFonts w:ascii="David" w:eastAsia="Calibri" w:hAnsi="David"/>
          <w:rtl/>
        </w:rPr>
        <w:t>פועלת במגבלת המשאבים העומדים לרשותה על פי תכנית סדורה על מנת לצמצם מעורבות של אוכלוסיות פוגעות ונפגעות, ובכלל זה כנגד נהגים צעירים. במחוז דרום,</w:t>
      </w:r>
      <w:r w:rsidRPr="00AA5065">
        <w:rPr>
          <w:rFonts w:ascii="David" w:eastAsia="Calibri" w:hAnsi="David" w:hint="cs"/>
          <w:rtl/>
        </w:rPr>
        <w:t xml:space="preserve"> </w:t>
      </w:r>
      <w:r w:rsidRPr="00AA5065">
        <w:rPr>
          <w:rFonts w:ascii="David" w:eastAsia="Calibri" w:hAnsi="David"/>
          <w:rtl/>
        </w:rPr>
        <w:t xml:space="preserve">נערכות פעילויות משותפות עם הרלב"ד ברמת המרחב וע"י אגף התנועה, תוך גיבוש פעילויות הסברה בקרב האוכלוסייה הלא יהודית, באמצעות שילוב והסברה של מש"קים קהילתיים, רמ"תים, דוברות מקומית, </w:t>
      </w:r>
      <w:r w:rsidRPr="00AA5065">
        <w:rPr>
          <w:rFonts w:ascii="David" w:eastAsia="Calibri" w:hAnsi="David" w:hint="cs"/>
          <w:rtl/>
        </w:rPr>
        <w:t>ו</w:t>
      </w:r>
      <w:r w:rsidRPr="00AA5065">
        <w:rPr>
          <w:rFonts w:ascii="David" w:eastAsia="Calibri" w:hAnsi="David"/>
          <w:rtl/>
        </w:rPr>
        <w:t>שילוב מהנדסת תנועה בסוגיית התשתיות אל מול משרד התחבורה</w:t>
      </w:r>
      <w:r w:rsidRPr="00AA5065">
        <w:rPr>
          <w:rFonts w:ascii="David" w:eastAsia="Calibri" w:hAnsi="David" w:hint="cs"/>
          <w:rtl/>
        </w:rPr>
        <w:t>"</w:t>
      </w:r>
      <w:r w:rsidRPr="00AA5065">
        <w:rPr>
          <w:rFonts w:ascii="David" w:eastAsia="Calibri" w:hAnsi="David"/>
          <w:rtl/>
        </w:rPr>
        <w:t>.</w:t>
      </w:r>
      <w:r w:rsidRPr="00AA5065">
        <w:rPr>
          <w:rFonts w:ascii="David" w:eastAsia="Calibri" w:hAnsi="David" w:hint="cs"/>
          <w:rtl/>
        </w:rPr>
        <w:t xml:space="preserve"> עוד מסרה המשטרה כי "</w:t>
      </w:r>
      <w:r w:rsidRPr="00AA5065">
        <w:rPr>
          <w:rFonts w:ascii="David" w:eastAsia="Calibri" w:hAnsi="David"/>
          <w:rtl/>
        </w:rPr>
        <w:t>על מנת להביא לשינוי משמעותי נדרשים צעדים שאינם בתחום האכיפה, הדורשים הירתמות כלל הגופים:</w:t>
      </w:r>
      <w:r w:rsidRPr="00AA5065">
        <w:rPr>
          <w:rFonts w:ascii="David" w:eastAsia="Calibri" w:hAnsi="David" w:hint="cs"/>
          <w:rtl/>
        </w:rPr>
        <w:t xml:space="preserve"> </w:t>
      </w:r>
      <w:r w:rsidRPr="00AA5065">
        <w:rPr>
          <w:rFonts w:ascii="David" w:eastAsia="Calibri" w:hAnsi="David"/>
          <w:rtl/>
        </w:rPr>
        <w:t>הגדלת כמות שוטרי התנועה בתחום העירוני והבינעירוני</w:t>
      </w:r>
      <w:r w:rsidRPr="00AA5065">
        <w:rPr>
          <w:rFonts w:ascii="David" w:eastAsia="Calibri" w:hAnsi="David" w:hint="cs"/>
          <w:rtl/>
        </w:rPr>
        <w:t xml:space="preserve">, </w:t>
      </w:r>
      <w:r w:rsidRPr="00AA5065">
        <w:rPr>
          <w:rFonts w:ascii="David" w:eastAsia="Calibri" w:hAnsi="David"/>
          <w:rtl/>
        </w:rPr>
        <w:t>חיזוק ההרתעה באמצעות ענישה מחמירה</w:t>
      </w:r>
      <w:r w:rsidRPr="00AA5065">
        <w:rPr>
          <w:rFonts w:ascii="David" w:eastAsia="Calibri" w:hAnsi="David" w:hint="cs"/>
          <w:rtl/>
        </w:rPr>
        <w:t xml:space="preserve">, </w:t>
      </w:r>
      <w:r w:rsidRPr="00AA5065">
        <w:rPr>
          <w:rFonts w:ascii="David" w:eastAsia="Calibri" w:hAnsi="David"/>
          <w:rtl/>
        </w:rPr>
        <w:t xml:space="preserve">חינוך והסברה </w:t>
      </w:r>
      <w:r w:rsidRPr="00AA5065">
        <w:rPr>
          <w:rFonts w:ascii="David" w:eastAsia="Calibri" w:hAnsi="David" w:hint="cs"/>
          <w:rtl/>
        </w:rPr>
        <w:t>ו</w:t>
      </w:r>
      <w:r w:rsidRPr="00AA5065">
        <w:rPr>
          <w:rFonts w:ascii="David" w:eastAsia="Calibri" w:hAnsi="David"/>
          <w:rtl/>
        </w:rPr>
        <w:t>שיפור תשתיות</w:t>
      </w:r>
      <w:r w:rsidRPr="00AA5065">
        <w:rPr>
          <w:rFonts w:ascii="David" w:eastAsia="Calibri" w:hAnsi="David"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bookmarkStart w:id="109" w:name="_Hlk209684482"/>
      <w:r w:rsidRPr="00AA5065">
        <w:rPr>
          <w:rFonts w:eastAsia="Calibri"/>
          <w:rtl/>
        </w:rPr>
        <w:t>הרשות הלאומית לבטיחות בדרכים מסרה בתשובתה ‏מתאריך 27.8.25 (להלן - תשובת הרלב"ד‏) ‏‏</w:t>
      </w:r>
      <w:bookmarkEnd w:id="109"/>
      <w:r w:rsidRPr="00AA5065">
        <w:rPr>
          <w:rFonts w:eastAsia="Calibri" w:hint="cs"/>
          <w:rtl/>
        </w:rPr>
        <w:t xml:space="preserve"> כי היא "מפעילה</w:t>
      </w:r>
      <w:r w:rsidRPr="00AA5065">
        <w:rPr>
          <w:rFonts w:eastAsia="Calibri"/>
          <w:rtl/>
        </w:rPr>
        <w:t xml:space="preserve"> מטות בטיחות בדרכים בכלל הרשויות הבדואיות </w:t>
      </w:r>
      <w:r w:rsidRPr="00AA5065">
        <w:rPr>
          <w:rFonts w:eastAsia="Calibri"/>
          <w:cs/>
        </w:rPr>
        <w:t>‎</w:t>
      </w:r>
      <w:r w:rsidRPr="00AA5065">
        <w:rPr>
          <w:rFonts w:eastAsia="Calibri"/>
          <w:rtl/>
        </w:rPr>
        <w:t>בנגב</w:t>
      </w:r>
      <w:r w:rsidRPr="00AA5065">
        <w:rPr>
          <w:rFonts w:eastAsia="Calibri" w:hint="cs"/>
          <w:rtl/>
        </w:rPr>
        <w:t xml:space="preserve"> במטרה</w:t>
      </w:r>
      <w:r w:rsidRPr="00AA5065">
        <w:rPr>
          <w:rFonts w:eastAsia="Calibri"/>
          <w:rtl/>
        </w:rPr>
        <w:t xml:space="preserve"> להגביר את המחויבות והאחריות של בעלי התפקידים </w:t>
      </w:r>
      <w:r w:rsidRPr="00AA5065">
        <w:rPr>
          <w:rFonts w:eastAsia="Calibri"/>
          <w:cs/>
        </w:rPr>
        <w:t>‎</w:t>
      </w:r>
      <w:r w:rsidRPr="00AA5065">
        <w:rPr>
          <w:rFonts w:eastAsia="Calibri"/>
          <w:rtl/>
        </w:rPr>
        <w:t xml:space="preserve">ברשויות הבדואיות לבטיחות תושביהם, להקנות כלים ואמצעים לטיוב הטיפול </w:t>
      </w:r>
      <w:r w:rsidRPr="00AA5065">
        <w:rPr>
          <w:rFonts w:eastAsia="Calibri"/>
          <w:cs/>
        </w:rPr>
        <w:t>‎</w:t>
      </w:r>
      <w:r w:rsidRPr="00AA5065">
        <w:rPr>
          <w:rFonts w:eastAsia="Calibri"/>
          <w:rtl/>
        </w:rPr>
        <w:t>בתאונות דרכים</w:t>
      </w:r>
      <w:r w:rsidRPr="00AA5065">
        <w:rPr>
          <w:rFonts w:eastAsia="Calibri" w:hint="cs"/>
          <w:rtl/>
        </w:rPr>
        <w:t>,</w:t>
      </w:r>
      <w:r w:rsidRPr="00AA5065">
        <w:rPr>
          <w:rFonts w:eastAsia="Calibri"/>
          <w:rtl/>
        </w:rPr>
        <w:t xml:space="preserve"> ולהגביר את בטיחות משתמשי הדרך בתווך העירוני.</w:t>
      </w:r>
      <w:r w:rsidRPr="00AA5065">
        <w:rPr>
          <w:rFonts w:eastAsia="Calibri"/>
          <w:cs/>
        </w:rPr>
        <w:t>‎</w:t>
      </w:r>
      <w:r w:rsidRPr="00AA5065">
        <w:rPr>
          <w:rFonts w:eastAsia="Calibri" w:hint="cs"/>
          <w:rtl/>
        </w:rPr>
        <w:t xml:space="preserve"> </w:t>
      </w:r>
      <w:r w:rsidRPr="00AA5065">
        <w:rPr>
          <w:rFonts w:eastAsia="Calibri"/>
          <w:rtl/>
        </w:rPr>
        <w:t xml:space="preserve">במסגרת זו, מכשירה את מנהל מטה הבטיחות לעבודתו במסגרת קורס יעודי לניהול </w:t>
      </w:r>
      <w:r w:rsidRPr="00AA5065">
        <w:rPr>
          <w:rFonts w:eastAsia="Calibri"/>
          <w:cs/>
        </w:rPr>
        <w:t>‎</w:t>
      </w:r>
      <w:r w:rsidRPr="00AA5065">
        <w:rPr>
          <w:rFonts w:eastAsia="Calibri"/>
          <w:rtl/>
        </w:rPr>
        <w:t xml:space="preserve">הבטיחות ברשויות מקומיות, מנחה את מנהל מטה הבטיחות מקצועית בהיותו מתכלל </w:t>
      </w:r>
      <w:r w:rsidRPr="00AA5065">
        <w:rPr>
          <w:rFonts w:eastAsia="Calibri"/>
          <w:cs/>
        </w:rPr>
        <w:t>‎</w:t>
      </w:r>
      <w:r w:rsidRPr="00AA5065">
        <w:rPr>
          <w:rFonts w:eastAsia="Calibri"/>
          <w:rtl/>
        </w:rPr>
        <w:t xml:space="preserve">ישובי של פעולות ניהול וקידום הבטיחות בדרכים בישוב ומייעצת לראש הרשות </w:t>
      </w:r>
      <w:r w:rsidRPr="00AA5065">
        <w:rPr>
          <w:rFonts w:eastAsia="Calibri"/>
          <w:cs/>
        </w:rPr>
        <w:t>‎</w:t>
      </w:r>
      <w:r w:rsidRPr="00AA5065">
        <w:rPr>
          <w:rFonts w:eastAsia="Calibri"/>
          <w:rtl/>
        </w:rPr>
        <w:t xml:space="preserve">ולמנהל המטה לכתיבת תוכנית עבודה שנתית המתאימה למאפייני הרשות וההיפגעות </w:t>
      </w:r>
      <w:r w:rsidRPr="00AA5065">
        <w:rPr>
          <w:rFonts w:eastAsia="Calibri"/>
          <w:cs/>
        </w:rPr>
        <w:t>‎</w:t>
      </w:r>
      <w:r w:rsidRPr="00AA5065">
        <w:rPr>
          <w:rFonts w:eastAsia="Calibri"/>
          <w:rtl/>
        </w:rPr>
        <w:t>בה</w:t>
      </w:r>
      <w:r w:rsidRPr="00AA5065">
        <w:rPr>
          <w:rFonts w:eastAsia="Calibri" w:hint="cs"/>
          <w:rtl/>
        </w:rPr>
        <w:t>"</w:t>
      </w:r>
      <w:r w:rsidRPr="00AA5065">
        <w:rPr>
          <w:rFonts w:eastAsia="Calibri"/>
          <w:rtl/>
        </w:rPr>
        <w:t>.</w:t>
      </w:r>
      <w:r w:rsidRPr="00AA5065">
        <w:rPr>
          <w:rFonts w:eastAsia="Calibri"/>
          <w:cs/>
        </w:rPr>
        <w:t>‎</w:t>
      </w:r>
      <w:r w:rsidRPr="00AA5065">
        <w:rPr>
          <w:rFonts w:eastAsia="Calibri" w:hint="cs"/>
          <w:rtl/>
        </w:rPr>
        <w:t xml:space="preserve"> עוד מסרה הרשות כי "</w:t>
      </w:r>
      <w:r w:rsidRPr="00AA5065">
        <w:rPr>
          <w:rFonts w:eastAsia="Calibri"/>
          <w:rtl/>
        </w:rPr>
        <w:t xml:space="preserve">חטיבת המבצעים </w:t>
      </w:r>
      <w:r w:rsidRPr="00AA5065">
        <w:rPr>
          <w:rFonts w:eastAsia="Calibri"/>
          <w:cs/>
        </w:rPr>
        <w:t>‎</w:t>
      </w:r>
      <w:r w:rsidRPr="00AA5065">
        <w:rPr>
          <w:rFonts w:eastAsia="Calibri"/>
          <w:rtl/>
        </w:rPr>
        <w:t xml:space="preserve">מתמקדת בפעולות חינוך והסברה </w:t>
      </w:r>
      <w:r w:rsidRPr="00AA5065">
        <w:rPr>
          <w:rFonts w:eastAsia="Calibri" w:hint="cs"/>
          <w:rtl/>
        </w:rPr>
        <w:t xml:space="preserve">המתאימות </w:t>
      </w:r>
      <w:r w:rsidRPr="00AA5065">
        <w:rPr>
          <w:rFonts w:eastAsia="Calibri"/>
          <w:rtl/>
        </w:rPr>
        <w:t>למאפייני ההיפגעות, לאוכלוסי</w:t>
      </w:r>
      <w:r w:rsidRPr="00AA5065">
        <w:rPr>
          <w:rFonts w:eastAsia="Calibri" w:hint="cs"/>
          <w:rtl/>
        </w:rPr>
        <w:t>י</w:t>
      </w:r>
      <w:r w:rsidRPr="00AA5065">
        <w:rPr>
          <w:rFonts w:eastAsia="Calibri"/>
          <w:rtl/>
        </w:rPr>
        <w:t xml:space="preserve">ה בסיכון </w:t>
      </w:r>
      <w:r w:rsidRPr="00AA5065">
        <w:rPr>
          <w:rFonts w:eastAsia="Calibri"/>
          <w:cs/>
        </w:rPr>
        <w:t>‎</w:t>
      </w:r>
      <w:r w:rsidRPr="00AA5065">
        <w:rPr>
          <w:rFonts w:eastAsia="Calibri"/>
          <w:rtl/>
        </w:rPr>
        <w:t xml:space="preserve">ולגורמים אשר העלאת מודעותם לנושא עשויה להפחית את מספר התאונות במאפיינים </w:t>
      </w:r>
      <w:r w:rsidRPr="00AA5065">
        <w:rPr>
          <w:rFonts w:eastAsia="Calibri"/>
          <w:cs/>
        </w:rPr>
        <w:t>‎</w:t>
      </w:r>
      <w:r w:rsidRPr="00AA5065">
        <w:rPr>
          <w:rFonts w:eastAsia="Calibri"/>
          <w:rtl/>
        </w:rPr>
        <w:t xml:space="preserve">אלו. כך למשל, תאונות חצר, הפעלת תוכנית חינוך והסברה הן בקרב ילדי גן בשיתוף </w:t>
      </w:r>
      <w:r w:rsidRPr="00AA5065">
        <w:rPr>
          <w:rFonts w:eastAsia="Calibri"/>
          <w:cs/>
        </w:rPr>
        <w:t>‎</w:t>
      </w:r>
      <w:r w:rsidRPr="00AA5065">
        <w:rPr>
          <w:rFonts w:eastAsia="Calibri"/>
          <w:rtl/>
        </w:rPr>
        <w:t xml:space="preserve">אמהות. אוכלוסייה נוספת בה מתמקדים מאמצי חינוך והסברה בנוסף על המתקיים </w:t>
      </w:r>
      <w:r w:rsidRPr="00AA5065">
        <w:rPr>
          <w:rFonts w:eastAsia="Calibri"/>
          <w:cs/>
        </w:rPr>
        <w:t>‎</w:t>
      </w:r>
      <w:r w:rsidRPr="00AA5065">
        <w:rPr>
          <w:rFonts w:eastAsia="Calibri"/>
          <w:rtl/>
        </w:rPr>
        <w:t xml:space="preserve">במערכת החינוך הפורמלית, קרי חינוך תעבורתי, היא אוכלוסיית הנהגים הצעירים </w:t>
      </w:r>
      <w:r w:rsidRPr="00AA5065">
        <w:rPr>
          <w:rFonts w:eastAsia="Calibri"/>
          <w:cs/>
        </w:rPr>
        <w:t>‎</w:t>
      </w:r>
      <w:r w:rsidRPr="00AA5065">
        <w:rPr>
          <w:rFonts w:eastAsia="Calibri"/>
          <w:rtl/>
        </w:rPr>
        <w:t>וטרום נהיגה</w:t>
      </w:r>
      <w:r w:rsidRPr="00AA5065">
        <w:rPr>
          <w:rFonts w:eastAsia="Calibri" w:hint="cs"/>
          <w:rtl/>
        </w:rPr>
        <w:t>".</w:t>
      </w:r>
      <w:r w:rsidRPr="00AA5065">
        <w:rPr>
          <w:rFonts w:ascii="David" w:eastAsia="Calibri" w:hAnsi="David"/>
          <w:rtl/>
        </w:rPr>
        <w:t xml:space="preserve"> </w:t>
      </w:r>
      <w:r w:rsidRPr="00AA5065">
        <w:rPr>
          <w:rFonts w:eastAsia="Calibri" w:hint="cs"/>
          <w:rtl/>
        </w:rPr>
        <w:t xml:space="preserve">כמו כן הרלב"ד מסרה כי </w:t>
      </w:r>
      <w:r w:rsidRPr="00AA5065">
        <w:rPr>
          <w:rFonts w:eastAsia="Calibri"/>
          <w:rtl/>
        </w:rPr>
        <w:t xml:space="preserve">"‏לאור עליית התאונות והמעורבות של תושבי הנגב הערבים בתאונות, יזמה הרלב״ד </w:t>
      </w:r>
      <w:r w:rsidRPr="00AA5065">
        <w:rPr>
          <w:rFonts w:eastAsia="Calibri"/>
          <w:cs/>
        </w:rPr>
        <w:t>‎</w:t>
      </w:r>
      <w:r w:rsidRPr="00AA5065">
        <w:rPr>
          <w:rFonts w:eastAsia="Calibri"/>
          <w:rtl/>
        </w:rPr>
        <w:t>מפגש חירום עם ראשי הרשויות הבדואיות</w:t>
      </w:r>
      <w:r w:rsidRPr="00AA5065">
        <w:rPr>
          <w:rFonts w:eastAsia="Calibri" w:hint="cs"/>
          <w:rtl/>
        </w:rPr>
        <w:t>...</w:t>
      </w:r>
      <w:r w:rsidRPr="00AA5065">
        <w:rPr>
          <w:rFonts w:eastAsia="Calibri"/>
          <w:rtl/>
        </w:rPr>
        <w:t xml:space="preserve"> בהמשך </w:t>
      </w:r>
      <w:r w:rsidRPr="00AA5065">
        <w:rPr>
          <w:rFonts w:eastAsia="Calibri"/>
          <w:cs/>
        </w:rPr>
        <w:t>‎</w:t>
      </w:r>
      <w:r w:rsidRPr="00AA5065">
        <w:rPr>
          <w:rFonts w:eastAsia="Calibri"/>
          <w:rtl/>
        </w:rPr>
        <w:t xml:space="preserve">להתכנסות נקבע כי יערכו שולחנות עגולים בשיתוף עם נציגי ממשלה אחרים, בין היתר </w:t>
      </w:r>
      <w:r w:rsidRPr="00AA5065">
        <w:rPr>
          <w:rFonts w:eastAsia="Calibri"/>
          <w:cs/>
        </w:rPr>
        <w:t>‎</w:t>
      </w:r>
      <w:r w:rsidRPr="00AA5065">
        <w:rPr>
          <w:rFonts w:eastAsia="Calibri"/>
          <w:rtl/>
        </w:rPr>
        <w:t>משטרה וחינוך ועמותות</w:t>
      </w:r>
      <w:r w:rsidRPr="00AA5065">
        <w:rPr>
          <w:rFonts w:eastAsia="Calibri"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ascii="David" w:eastAsia="Calibri" w:hAnsi="David" w:hint="cs"/>
          <w:rtl/>
        </w:rPr>
        <w:t>עוד נמסר כי "</w:t>
      </w:r>
      <w:r w:rsidRPr="00AA5065">
        <w:rPr>
          <w:rFonts w:ascii="David" w:eastAsia="Calibri" w:hAnsi="David"/>
          <w:rtl/>
        </w:rPr>
        <w:t>עם השנים נשחק תקציב הרלב״ד לרשויות המקומיות בכלל לכדי שליש מהתקציב ‏</w:t>
      </w:r>
      <w:r w:rsidRPr="00AA5065">
        <w:rPr>
          <w:rFonts w:ascii="David" w:eastAsia="Calibri" w:hAnsi="David"/>
          <w:cs/>
        </w:rPr>
        <w:t>‎</w:t>
      </w:r>
      <w:r w:rsidRPr="00AA5065">
        <w:rPr>
          <w:rFonts w:ascii="David" w:eastAsia="Calibri" w:hAnsi="David"/>
          <w:rtl/>
        </w:rPr>
        <w:t>המקורי. יחד עם זאת, במסגרת תוכנית 550, הקצתה הרלב״ד תקציב לכלל הרשויות ‏</w:t>
      </w:r>
      <w:r w:rsidRPr="00AA5065">
        <w:rPr>
          <w:rFonts w:ascii="David" w:eastAsia="Calibri" w:hAnsi="David"/>
          <w:cs/>
        </w:rPr>
        <w:t>‎</w:t>
      </w:r>
      <w:r w:rsidRPr="00AA5065">
        <w:rPr>
          <w:rFonts w:ascii="David" w:eastAsia="Calibri" w:hAnsi="David"/>
          <w:rtl/>
        </w:rPr>
        <w:t>הערביות, ‏בכללן הרשויות הבדואיות בנגב</w:t>
      </w:r>
      <w:r w:rsidRPr="00AA5065">
        <w:rPr>
          <w:rFonts w:ascii="David" w:eastAsia="Calibri" w:hAnsi="David" w:hint="cs"/>
          <w:rtl/>
        </w:rPr>
        <w:t>.</w:t>
      </w:r>
      <w:r w:rsidRPr="00AA5065">
        <w:rPr>
          <w:rFonts w:ascii="David" w:eastAsia="Calibri" w:hAnsi="David"/>
          <w:rtl/>
        </w:rPr>
        <w:t xml:space="preserve"> תקציב</w:t>
      </w:r>
      <w:r w:rsidRPr="00AA5065">
        <w:rPr>
          <w:rFonts w:ascii="David" w:eastAsia="Calibri" w:hAnsi="David" w:hint="cs"/>
          <w:rtl/>
        </w:rPr>
        <w:t xml:space="preserve"> תגבור משמעותי </w:t>
      </w:r>
      <w:r w:rsidRPr="00AA5065">
        <w:rPr>
          <w:rFonts w:ascii="David" w:eastAsia="Calibri" w:hAnsi="David"/>
          <w:rtl/>
        </w:rPr>
        <w:t>להגברת פעולות ‏</w:t>
      </w:r>
      <w:r w:rsidRPr="00AA5065">
        <w:rPr>
          <w:rFonts w:ascii="David" w:eastAsia="Calibri" w:hAnsi="David"/>
          <w:cs/>
        </w:rPr>
        <w:t>‎</w:t>
      </w:r>
      <w:r w:rsidRPr="00AA5065">
        <w:rPr>
          <w:rFonts w:ascii="David" w:eastAsia="Calibri" w:hAnsi="David"/>
          <w:rtl/>
        </w:rPr>
        <w:t>החינוך וההסברה לטובת ‏הגברת הבטיחות בדרכים ומניעת תאונות דרכים</w:t>
      </w:r>
      <w:r w:rsidRPr="00AA5065">
        <w:rPr>
          <w:rFonts w:ascii="David" w:eastAsia="Calibri" w:hAnsi="David" w:hint="cs"/>
          <w:rtl/>
        </w:rPr>
        <w:t>"</w:t>
      </w:r>
      <w:r w:rsidRPr="00AA5065">
        <w:rPr>
          <w:rFonts w:ascii="David" w:eastAsia="Calibri" w:hAnsi="David"/>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הרלב"ד מסרה כי בנושא הסדרת תשתיות, "</w:t>
      </w:r>
      <w:r w:rsidRPr="00AA5065">
        <w:rPr>
          <w:rFonts w:ascii="David" w:eastAsia="Calibri" w:hAnsi="David"/>
          <w:rtl/>
        </w:rPr>
        <w:t xml:space="preserve">בשנת 2023 הסתיימה כתיבת תוכניות תמרור לרשויות והחל ביצוע </w:t>
      </w:r>
      <w:r w:rsidRPr="00AA5065">
        <w:rPr>
          <w:rFonts w:ascii="David" w:eastAsia="Calibri" w:hAnsi="David"/>
          <w:cs/>
        </w:rPr>
        <w:t>‎</w:t>
      </w:r>
      <w:r w:rsidRPr="00AA5065">
        <w:rPr>
          <w:rFonts w:ascii="David" w:eastAsia="Calibri" w:hAnsi="David"/>
          <w:rtl/>
        </w:rPr>
        <w:t xml:space="preserve">התמרור הלכה למעשה בשטח באמצעות תקצוב של משרד התחבורה. בימים אלו הושלם </w:t>
      </w:r>
      <w:r w:rsidRPr="00AA5065">
        <w:rPr>
          <w:rFonts w:ascii="David" w:eastAsia="Calibri" w:hAnsi="David"/>
          <w:cs/>
        </w:rPr>
        <w:t>‎</w:t>
      </w:r>
      <w:r w:rsidRPr="00AA5065">
        <w:rPr>
          <w:rFonts w:ascii="David" w:eastAsia="Calibri" w:hAnsi="David"/>
          <w:rtl/>
        </w:rPr>
        <w:t>הביצוע בשלוש רשויות, 2 בביצוע והשאר צפוי ביצוע בשנה הבאה.</w:t>
      </w:r>
      <w:r w:rsidRPr="00AA5065">
        <w:rPr>
          <w:rFonts w:ascii="David" w:eastAsia="Calibri" w:hAnsi="David"/>
          <w:cs/>
        </w:rPr>
        <w:t>‎</w:t>
      </w:r>
      <w:r w:rsidRPr="00AA5065">
        <w:rPr>
          <w:rFonts w:ascii="David" w:eastAsia="Calibri" w:hAnsi="David" w:hint="cs"/>
          <w:rtl/>
        </w:rPr>
        <w:t xml:space="preserve"> </w:t>
      </w:r>
      <w:r w:rsidRPr="00AA5065">
        <w:rPr>
          <w:rFonts w:ascii="David" w:eastAsia="Calibri" w:hAnsi="David"/>
          <w:rtl/>
        </w:rPr>
        <w:t xml:space="preserve">במקביל לשיפור התשתיתי, הרלב״ד יזמה מהלך הסברתי בישובים, באמצעות שילוט </w:t>
      </w:r>
      <w:r w:rsidRPr="00AA5065">
        <w:rPr>
          <w:rFonts w:ascii="David" w:eastAsia="Calibri" w:hAnsi="David"/>
          <w:cs/>
        </w:rPr>
        <w:t>‎</w:t>
      </w:r>
      <w:r w:rsidRPr="00AA5065">
        <w:rPr>
          <w:rFonts w:ascii="David" w:eastAsia="Calibri" w:hAnsi="David"/>
          <w:rtl/>
        </w:rPr>
        <w:t xml:space="preserve">חוצות, פרסום במדיה החברתית ובאתרי הרשויות, לשמירה וציות על התקני התנועה </w:t>
      </w:r>
      <w:r w:rsidRPr="00AA5065">
        <w:rPr>
          <w:rFonts w:ascii="David" w:eastAsia="Calibri" w:hAnsi="David"/>
          <w:cs/>
        </w:rPr>
        <w:t>‎</w:t>
      </w:r>
      <w:r w:rsidRPr="00AA5065">
        <w:rPr>
          <w:rFonts w:ascii="David" w:eastAsia="Calibri" w:hAnsi="David"/>
          <w:rtl/>
        </w:rPr>
        <w:t>החדשים במטרה להגביר את שרידותם לאורך זמן</w:t>
      </w:r>
      <w:r w:rsidRPr="00AA5065">
        <w:rPr>
          <w:rFonts w:ascii="David" w:eastAsia="Calibri" w:hAnsi="David" w:hint="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מ</w:t>
      </w:r>
      <w:r w:rsidRPr="00AA5065">
        <w:rPr>
          <w:rFonts w:ascii="David" w:eastAsia="Calibri" w:hAnsi="David" w:hint="cs"/>
          <w:rtl/>
        </w:rPr>
        <w:t>י</w:t>
      </w:r>
      <w:r w:rsidRPr="00AA5065">
        <w:rPr>
          <w:rFonts w:ascii="David" w:eastAsia="Calibri" w:hAnsi="David"/>
          <w:rtl/>
        </w:rPr>
        <w:t>נהל תכנון ופיתוח תשתיות במשרד התחבורה מסר בתשובת</w:t>
      </w:r>
      <w:r w:rsidRPr="00AA5065">
        <w:rPr>
          <w:rFonts w:ascii="David" w:eastAsia="Calibri" w:hAnsi="David" w:hint="cs"/>
          <w:rtl/>
        </w:rPr>
        <w:t>ו</w:t>
      </w:r>
      <w:r w:rsidRPr="00AA5065">
        <w:rPr>
          <w:rFonts w:ascii="David" w:eastAsia="Calibri" w:hAnsi="David"/>
          <w:rtl/>
        </w:rPr>
        <w:t xml:space="preserve"> ‏מתאריך 25.8.25 ‏‏‏כי ‏‏‏‏</w:t>
      </w:r>
      <w:r w:rsidRPr="00AA5065">
        <w:rPr>
          <w:rFonts w:ascii="David" w:eastAsia="Calibri" w:hAnsi="David" w:hint="eastAsia"/>
          <w:rtl/>
        </w:rPr>
        <w:t>בוצעו</w:t>
      </w:r>
      <w:r w:rsidRPr="00AA5065">
        <w:rPr>
          <w:rFonts w:ascii="David" w:eastAsia="Calibri" w:hAnsi="David"/>
          <w:rtl/>
        </w:rPr>
        <w:t xml:space="preserve"> </w:t>
      </w:r>
      <w:r w:rsidRPr="00AA5065">
        <w:rPr>
          <w:rFonts w:ascii="David" w:eastAsia="Calibri" w:hAnsi="David" w:hint="eastAsia"/>
          <w:rtl/>
        </w:rPr>
        <w:t>פרויקטים</w:t>
      </w:r>
      <w:r w:rsidRPr="00AA5065">
        <w:rPr>
          <w:rFonts w:ascii="David" w:eastAsia="Calibri" w:hAnsi="David"/>
          <w:rtl/>
        </w:rPr>
        <w:t xml:space="preserve"> גדולים </w:t>
      </w:r>
      <w:r w:rsidRPr="00AA5065">
        <w:rPr>
          <w:rFonts w:ascii="David" w:eastAsia="Calibri" w:hAnsi="David" w:hint="cs"/>
          <w:rtl/>
        </w:rPr>
        <w:t xml:space="preserve">להרחבת כבישים מרכזיים </w:t>
      </w:r>
      <w:r w:rsidRPr="00AA5065">
        <w:rPr>
          <w:rFonts w:ascii="David" w:eastAsia="Calibri" w:hAnsi="David"/>
          <w:rtl/>
        </w:rPr>
        <w:t xml:space="preserve">בנגב. </w:t>
      </w:r>
    </w:p>
    <w:p w:rsidR="00AA5065" w:rsidRPr="00AA5065" w:rsidP="00860D89">
      <w:pPr>
        <w:spacing w:line="269" w:lineRule="auto"/>
        <w:rPr>
          <w:rFonts w:eastAsia="Calibri"/>
          <w:rtl/>
        </w:rPr>
      </w:pPr>
    </w:p>
    <w:p w:rsidR="00AA5065" w:rsidRPr="00AA5065" w:rsidP="00246618">
      <w:pPr>
        <w:keepNext/>
        <w:keepLines/>
        <w:spacing w:before="120" w:line="269" w:lineRule="auto"/>
        <w:outlineLvl w:val="3"/>
        <w:rPr>
          <w:rFonts w:eastAsia="Times New Roman"/>
          <w:bCs/>
          <w:szCs w:val="26"/>
          <w:rtl/>
        </w:rPr>
      </w:pPr>
      <w:r w:rsidRPr="00AA5065">
        <w:rPr>
          <w:rFonts w:eastAsia="Times New Roman"/>
          <w:bCs/>
          <w:szCs w:val="26"/>
          <w:rtl/>
        </w:rPr>
        <w:t>‏</w:t>
      </w:r>
      <w:r w:rsidRPr="00AA5065">
        <w:rPr>
          <w:rFonts w:eastAsia="Times New Roman"/>
          <w:bCs/>
          <w:szCs w:val="26"/>
          <w:cs/>
        </w:rPr>
        <w:t>‎</w:t>
      </w:r>
      <w:r w:rsidRPr="00AA5065">
        <w:rPr>
          <w:rFonts w:eastAsia="Times New Roman"/>
          <w:bCs/>
          <w:szCs w:val="26"/>
          <w:rtl/>
        </w:rPr>
        <w:t>תרבות נהיגה עבריינית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Times New Roman" w:hAnsi="David"/>
          <w:sz w:val="18"/>
          <w:szCs w:val="18"/>
          <w:rtl/>
        </w:rPr>
      </w:pPr>
      <w:r w:rsidRPr="00AA5065">
        <w:rPr>
          <w:rFonts w:ascii="David" w:eastAsia="Calibri" w:hAnsi="David"/>
          <w:rtl/>
        </w:rPr>
        <w:t xml:space="preserve">תרבות נהיגה עבריינית </w:t>
      </w:r>
      <w:r w:rsidRPr="00AA5065">
        <w:rPr>
          <w:rFonts w:ascii="David" w:eastAsia="Calibri" w:hAnsi="David" w:hint="cs"/>
          <w:rtl/>
        </w:rPr>
        <w:t>הרווחת בכבישים הינה ביטוי ל</w:t>
      </w:r>
      <w:r w:rsidRPr="00AA5065">
        <w:rPr>
          <w:rFonts w:ascii="David" w:eastAsia="Calibri" w:hAnsi="David"/>
          <w:rtl/>
        </w:rPr>
        <w:t>רמת משילות נמוכה, המתבטאת בין היתר בהיעדר אכיפה מספקת לשם שמירה על חיי אדם ו</w:t>
      </w:r>
      <w:r w:rsidRPr="00AA5065">
        <w:rPr>
          <w:rFonts w:ascii="David" w:eastAsia="Calibri" w:hAnsi="David" w:hint="cs"/>
          <w:rtl/>
        </w:rPr>
        <w:t xml:space="preserve">לשם </w:t>
      </w:r>
      <w:r w:rsidRPr="00AA5065">
        <w:rPr>
          <w:rFonts w:ascii="David" w:eastAsia="Calibri" w:hAnsi="David"/>
          <w:rtl/>
        </w:rPr>
        <w:t xml:space="preserve">הבטחת ביטחונם של כלל משתמשי הדרך. חוק העונשין, התשל"ז-1977, קובע כי </w:t>
      </w:r>
      <w:r w:rsidRPr="00AA5065">
        <w:rPr>
          <w:rFonts w:ascii="David" w:eastAsia="Calibri" w:hAnsi="David" w:hint="cs"/>
          <w:rtl/>
        </w:rPr>
        <w:t>ה</w:t>
      </w:r>
      <w:r w:rsidRPr="00AA5065">
        <w:rPr>
          <w:rFonts w:ascii="David" w:eastAsia="Calibri" w:hAnsi="David"/>
          <w:rtl/>
        </w:rPr>
        <w:t>נוהג ברכב בדרך ציבורית ב</w:t>
      </w:r>
      <w:r w:rsidRPr="00AA5065">
        <w:rPr>
          <w:rFonts w:ascii="David" w:eastAsia="Calibri" w:hAnsi="David" w:hint="cs"/>
          <w:rtl/>
        </w:rPr>
        <w:t>אופן</w:t>
      </w:r>
      <w:r w:rsidRPr="00AA5065">
        <w:rPr>
          <w:rFonts w:ascii="David" w:eastAsia="Calibri" w:hAnsi="David"/>
          <w:rtl/>
        </w:rPr>
        <w:t xml:space="preserve"> נמהר או רשלני</w:t>
      </w:r>
      <w:r w:rsidRPr="00AA5065">
        <w:rPr>
          <w:rFonts w:ascii="David" w:eastAsia="Calibri" w:hAnsi="David" w:hint="cs"/>
          <w:rtl/>
        </w:rPr>
        <w:t>,</w:t>
      </w:r>
      <w:r w:rsidRPr="00AA5065">
        <w:rPr>
          <w:rFonts w:ascii="David" w:eastAsia="Calibri" w:hAnsi="David"/>
          <w:rtl/>
        </w:rPr>
        <w:t xml:space="preserve"> שיש ב</w:t>
      </w:r>
      <w:r w:rsidRPr="00AA5065">
        <w:rPr>
          <w:rFonts w:ascii="David" w:eastAsia="Calibri" w:hAnsi="David" w:hint="cs"/>
          <w:rtl/>
        </w:rPr>
        <w:t>ו</w:t>
      </w:r>
      <w:r w:rsidRPr="00AA5065">
        <w:rPr>
          <w:rFonts w:ascii="David" w:eastAsia="Calibri" w:hAnsi="David"/>
          <w:rtl/>
        </w:rPr>
        <w:t xml:space="preserve"> כדי לסכן חיי אדם או לגרום לו לחבלה, דינו - מאסר שלוש שנים</w:t>
      </w:r>
      <w:r w:rsidRPr="00AA5065">
        <w:rPr>
          <w:rFonts w:ascii="David" w:eastAsia="Calibri" w:hAnsi="David"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Pr>
      </w:pPr>
      <w:r w:rsidRPr="00AA5065">
        <w:rPr>
          <w:rFonts w:ascii="David" w:eastAsia="Calibri" w:hAnsi="David" w:hint="cs"/>
          <w:rtl/>
        </w:rPr>
        <w:t xml:space="preserve">אלה </w:t>
      </w:r>
      <w:r w:rsidRPr="00AA5065">
        <w:rPr>
          <w:rFonts w:ascii="David" w:eastAsia="Calibri" w:hAnsi="David"/>
          <w:rtl/>
        </w:rPr>
        <w:t xml:space="preserve">בין </w:t>
      </w:r>
      <w:r w:rsidRPr="00AA5065">
        <w:rPr>
          <w:rFonts w:ascii="David" w:eastAsia="Calibri" w:hAnsi="David" w:hint="cs"/>
          <w:rtl/>
        </w:rPr>
        <w:t xml:space="preserve">היתר </w:t>
      </w:r>
      <w:r w:rsidRPr="00AA5065">
        <w:rPr>
          <w:rFonts w:ascii="David" w:eastAsia="Calibri" w:hAnsi="David"/>
          <w:rtl/>
        </w:rPr>
        <w:t>העבירות ש</w:t>
      </w:r>
      <w:r w:rsidRPr="00AA5065">
        <w:rPr>
          <w:rFonts w:ascii="David" w:eastAsia="Calibri" w:hAnsi="David" w:hint="cs"/>
          <w:rtl/>
        </w:rPr>
        <w:t>ה</w:t>
      </w:r>
      <w:r w:rsidRPr="00AA5065">
        <w:rPr>
          <w:rFonts w:ascii="David" w:eastAsia="Calibri" w:hAnsi="David"/>
          <w:rtl/>
        </w:rPr>
        <w:t>משטר</w:t>
      </w:r>
      <w:r w:rsidRPr="00AA5065">
        <w:rPr>
          <w:rFonts w:ascii="David" w:eastAsia="Calibri" w:hAnsi="David" w:hint="cs"/>
          <w:rtl/>
        </w:rPr>
        <w:t>ה</w:t>
      </w:r>
      <w:r w:rsidRPr="00AA5065">
        <w:rPr>
          <w:rFonts w:ascii="David" w:eastAsia="Calibri" w:hAnsi="David"/>
          <w:rtl/>
        </w:rPr>
        <w:t xml:space="preserve"> מגדירה עבירות מסכנות חיים</w:t>
      </w:r>
      <w:r w:rsidRPr="00AA5065">
        <w:rPr>
          <w:rFonts w:ascii="David" w:eastAsia="Calibri" w:hAnsi="David" w:hint="cs"/>
          <w:rtl/>
        </w:rPr>
        <w:t>:</w:t>
      </w:r>
      <w:r w:rsidRPr="00AA5065">
        <w:rPr>
          <w:rFonts w:ascii="David" w:eastAsia="Calibri" w:hAnsi="David"/>
          <w:rtl/>
        </w:rPr>
        <w:t xml:space="preserve"> חציית צומת מרומזר באור ‏אדום, נהיגה על ידי מי שמעולם לא הוציא רישיון נהיגה, נהיגה במצב שכרות, עקיפה בדרך ‏לא</w:t>
      </w:r>
      <w:r w:rsidRPr="00AA5065">
        <w:rPr>
          <w:rFonts w:ascii="David" w:eastAsia="Calibri" w:hAnsi="David" w:hint="cs"/>
          <w:rtl/>
        </w:rPr>
        <w:t xml:space="preserve"> </w:t>
      </w:r>
      <w:r w:rsidRPr="00AA5065">
        <w:rPr>
          <w:rFonts w:ascii="David" w:eastAsia="Calibri" w:hAnsi="David"/>
          <w:rtl/>
        </w:rPr>
        <w:t xml:space="preserve">פנויה תוך חציית קו לבן רצוף. עבירות אחרות, שאותן מגדירה </w:t>
      </w:r>
      <w:r w:rsidRPr="00AA5065">
        <w:rPr>
          <w:rFonts w:ascii="David" w:eastAsia="Calibri" w:hAnsi="David" w:hint="cs"/>
          <w:rtl/>
        </w:rPr>
        <w:t>ה</w:t>
      </w:r>
      <w:r w:rsidRPr="00AA5065">
        <w:rPr>
          <w:rFonts w:ascii="David" w:eastAsia="Calibri" w:hAnsi="David"/>
          <w:rtl/>
        </w:rPr>
        <w:t>משטר</w:t>
      </w:r>
      <w:r w:rsidRPr="00AA5065">
        <w:rPr>
          <w:rFonts w:ascii="David" w:eastAsia="Calibri" w:hAnsi="David" w:hint="cs"/>
          <w:rtl/>
        </w:rPr>
        <w:t>ה</w:t>
      </w:r>
      <w:r w:rsidRPr="00AA5065">
        <w:rPr>
          <w:rFonts w:ascii="David" w:eastAsia="Calibri" w:hAnsi="David"/>
          <w:rtl/>
        </w:rPr>
        <w:t xml:space="preserve"> ‏כבריונות בכביש</w:t>
      </w:r>
      <w:r w:rsidRPr="00AA5065">
        <w:rPr>
          <w:rFonts w:ascii="David" w:eastAsia="Calibri" w:hAnsi="David" w:hint="cs"/>
          <w:rtl/>
        </w:rPr>
        <w:t>ים</w:t>
      </w:r>
      <w:r w:rsidRPr="00AA5065">
        <w:rPr>
          <w:rFonts w:ascii="David" w:eastAsia="Calibri" w:hAnsi="David"/>
          <w:rtl/>
        </w:rPr>
        <w:t xml:space="preserve">, כוללות עבירות של נהיגה ברכב פסול לנהיגה, פגיעה </w:t>
      </w:r>
      <w:r w:rsidRPr="00AA5065">
        <w:rPr>
          <w:rFonts w:ascii="David" w:eastAsia="Calibri" w:hAnsi="David" w:hint="cs"/>
          <w:rtl/>
        </w:rPr>
        <w:t>בתמרורים</w:t>
      </w:r>
      <w:r w:rsidRPr="00AA5065">
        <w:rPr>
          <w:rFonts w:ascii="David" w:eastAsia="Calibri" w:hAnsi="David"/>
          <w:rtl/>
        </w:rPr>
        <w:t xml:space="preserve"> ‏והשחתתם, נהיגה</w:t>
      </w:r>
      <w:r w:rsidRPr="00AA5065">
        <w:rPr>
          <w:rFonts w:ascii="David" w:eastAsia="Calibri" w:hAnsi="David" w:hint="cs"/>
          <w:rtl/>
        </w:rPr>
        <w:t xml:space="preserve"> נגד</w:t>
      </w:r>
      <w:r w:rsidRPr="00AA5065">
        <w:rPr>
          <w:rFonts w:ascii="David" w:eastAsia="Calibri" w:hAnsi="David"/>
          <w:rtl/>
        </w:rPr>
        <w:t xml:space="preserve"> כיוון התנועה, </w:t>
      </w:r>
      <w:r w:rsidRPr="00AA5065">
        <w:rPr>
          <w:rFonts w:ascii="David" w:eastAsia="Calibri" w:hAnsi="David" w:hint="cs"/>
          <w:rtl/>
        </w:rPr>
        <w:t>נהיגה ב</w:t>
      </w:r>
      <w:r w:rsidRPr="00AA5065">
        <w:rPr>
          <w:rFonts w:ascii="David" w:eastAsia="Calibri" w:hAnsi="David"/>
          <w:rtl/>
        </w:rPr>
        <w:t xml:space="preserve">מהירות </w:t>
      </w:r>
      <w:r w:rsidRPr="00AA5065">
        <w:rPr>
          <w:rFonts w:ascii="David" w:eastAsia="Calibri" w:hAnsi="David" w:hint="cs"/>
          <w:rtl/>
        </w:rPr>
        <w:t xml:space="preserve">של </w:t>
      </w:r>
      <w:r w:rsidRPr="00AA5065">
        <w:rPr>
          <w:rFonts w:ascii="David" w:eastAsia="Calibri" w:hAnsi="David"/>
          <w:rtl/>
        </w:rPr>
        <w:t>עד 20 קמ"ש מעל המותר בדרך עירונית ועוד‏.</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bookmarkStart w:id="110" w:name="_Hlk204855425"/>
      <w:r w:rsidRPr="00AA5065">
        <w:rPr>
          <w:rFonts w:eastAsia="Times New Roman"/>
          <w:bCs/>
          <w:spacing w:val="40"/>
          <w:rtl/>
        </w:rPr>
        <w:t xml:space="preserve">עבירות תנועה </w:t>
      </w:r>
      <w:r w:rsidRPr="00AA5065">
        <w:rPr>
          <w:rFonts w:eastAsia="Times New Roman" w:hint="cs"/>
          <w:bCs/>
          <w:spacing w:val="40"/>
          <w:rtl/>
        </w:rPr>
        <w:t>במחוז דרום, מרחב נגב</w:t>
      </w:r>
    </w:p>
    <w:bookmarkEnd w:id="110"/>
    <w:p w:rsidR="00AA5065" w:rsidRPr="00AA5065" w:rsidP="00860D89">
      <w:pPr>
        <w:spacing w:line="269" w:lineRule="auto"/>
        <w:rPr>
          <w:rFonts w:eastAsia="Calibri"/>
          <w:rtl/>
        </w:rPr>
      </w:pPr>
    </w:p>
    <w:p w:rsidR="00AA5065" w:rsidRPr="00AA5065" w:rsidP="00860D89">
      <w:pPr>
        <w:keepNext/>
        <w:keepLines/>
        <w:spacing w:line="269" w:lineRule="auto"/>
        <w:outlineLvl w:val="5"/>
        <w:rPr>
          <w:rFonts w:eastAsia="Times New Roman"/>
          <w:spacing w:val="40"/>
          <w:rtl/>
        </w:rPr>
      </w:pPr>
      <w:r w:rsidRPr="00AA5065">
        <w:rPr>
          <w:rFonts w:eastAsia="Times New Roman" w:hint="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Pr>
      </w:pPr>
      <w:r w:rsidRPr="00AA5065">
        <w:rPr>
          <w:rFonts w:ascii="David" w:eastAsia="Calibri" w:hAnsi="David"/>
          <w:rtl/>
        </w:rPr>
        <w:t xml:space="preserve">בדוח הקודם צוין ‏כי‏ בשנים 2016 </w:t>
      </w:r>
      <w:r w:rsidRPr="00AA5065">
        <w:rPr>
          <w:rFonts w:ascii="David" w:eastAsia="Calibri" w:hAnsi="David" w:hint="cs"/>
          <w:rtl/>
        </w:rPr>
        <w:t>עד</w:t>
      </w:r>
      <w:r w:rsidRPr="00AA5065">
        <w:rPr>
          <w:rFonts w:ascii="David" w:eastAsia="Calibri" w:hAnsi="David"/>
          <w:rtl/>
        </w:rPr>
        <w:t xml:space="preserve"> 2019 נרשמו במחוז דרום כ-280,000 דוחות תנועה</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cs"/>
          <w:rtl/>
        </w:rPr>
        <w:t>ו</w:t>
      </w:r>
      <w:r w:rsidRPr="00AA5065">
        <w:rPr>
          <w:rFonts w:ascii="David" w:eastAsia="Calibri" w:hAnsi="David"/>
          <w:rtl/>
        </w:rPr>
        <w:t xml:space="preserve">שיעור הדוחות שנרשמו לנהגים מהאוכלוסייה הלא-יהודית ‏במרחב נגב היה גבוה משיעור הדוחות שנרשמו לנהגים </w:t>
      </w:r>
      <w:r w:rsidRPr="00AA5065">
        <w:rPr>
          <w:rFonts w:ascii="David" w:eastAsia="Calibri" w:hAnsi="David" w:hint="cs"/>
          <w:rtl/>
        </w:rPr>
        <w:t>מאוכלוסייה זו</w:t>
      </w:r>
      <w:r w:rsidRPr="00AA5065">
        <w:rPr>
          <w:rFonts w:ascii="David" w:eastAsia="Calibri" w:hAnsi="David"/>
          <w:rtl/>
        </w:rPr>
        <w:t xml:space="preserve"> בכל הארץ. כך, ‏‏57% מהדוחות </w:t>
      </w:r>
      <w:r w:rsidRPr="00AA5065">
        <w:rPr>
          <w:rFonts w:ascii="David" w:eastAsia="Calibri" w:hAnsi="David" w:hint="cs"/>
          <w:rtl/>
        </w:rPr>
        <w:t>במרחב נגב</w:t>
      </w:r>
      <w:r w:rsidRPr="00AA5065">
        <w:rPr>
          <w:rFonts w:ascii="David" w:eastAsia="Calibri" w:hAnsi="David"/>
          <w:rtl/>
        </w:rPr>
        <w:t xml:space="preserve"> בגין עבירות מסכנות חיים</w:t>
      </w:r>
      <w:r w:rsidRPr="00AA5065">
        <w:rPr>
          <w:rFonts w:ascii="David" w:eastAsia="Calibri" w:hAnsi="David" w:hint="cs"/>
          <w:rtl/>
        </w:rPr>
        <w:t>,</w:t>
      </w:r>
      <w:r w:rsidRPr="00AA5065">
        <w:rPr>
          <w:rFonts w:ascii="David" w:eastAsia="Calibri" w:hAnsi="David"/>
          <w:rtl/>
        </w:rPr>
        <w:t xml:space="preserve"> 62% מהדוחות ב</w:t>
      </w:r>
      <w:r w:rsidRPr="00AA5065">
        <w:rPr>
          <w:rFonts w:ascii="David" w:eastAsia="Calibri" w:hAnsi="David" w:hint="cs"/>
          <w:rtl/>
        </w:rPr>
        <w:t xml:space="preserve">גין </w:t>
      </w:r>
      <w:r w:rsidRPr="00AA5065">
        <w:rPr>
          <w:rFonts w:ascii="David" w:eastAsia="Calibri" w:hAnsi="David"/>
          <w:rtl/>
        </w:rPr>
        <w:t>עבירות בריונות בכביש</w:t>
      </w:r>
      <w:r w:rsidRPr="00AA5065">
        <w:rPr>
          <w:rFonts w:ascii="David" w:eastAsia="Calibri" w:hAnsi="David" w:hint="cs"/>
          <w:rtl/>
        </w:rPr>
        <w:t>ים</w:t>
      </w:r>
      <w:r w:rsidRPr="00AA5065">
        <w:rPr>
          <w:rFonts w:ascii="David" w:eastAsia="Calibri" w:hAnsi="David"/>
          <w:rtl/>
        </w:rPr>
        <w:t xml:space="preserve"> ו-60%</w:t>
      </w:r>
      <w:r w:rsidRPr="00AA5065">
        <w:rPr>
          <w:rFonts w:ascii="David" w:eastAsia="Calibri" w:hAnsi="David"/>
        </w:rPr>
        <w:t xml:space="preserve"> </w:t>
      </w:r>
      <w:r w:rsidRPr="00AA5065">
        <w:rPr>
          <w:rFonts w:ascii="David" w:eastAsia="Calibri" w:hAnsi="David" w:hint="cs"/>
          <w:rtl/>
        </w:rPr>
        <w:t xml:space="preserve">מהדוחות בגין </w:t>
      </w:r>
      <w:r w:rsidRPr="00AA5065">
        <w:rPr>
          <w:rFonts w:ascii="David" w:eastAsia="Calibri" w:hAnsi="David"/>
          <w:rtl/>
        </w:rPr>
        <w:t>עבירות אחרות ‏נרשמו לנהגים מהאוכלוסייה הלא-יהודית.‏</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ב</w:t>
      </w:r>
      <w:r w:rsidRPr="00AA5065">
        <w:rPr>
          <w:rFonts w:ascii="David" w:eastAsia="Calibri" w:hAnsi="David"/>
          <w:rtl/>
        </w:rPr>
        <w:t xml:space="preserve">תגובת </w:t>
      </w:r>
      <w:r w:rsidRPr="00AA5065">
        <w:rPr>
          <w:rFonts w:ascii="David" w:eastAsia="Calibri" w:hAnsi="David" w:hint="cs"/>
          <w:rtl/>
        </w:rPr>
        <w:t>ה</w:t>
      </w:r>
      <w:r w:rsidRPr="00AA5065">
        <w:rPr>
          <w:rFonts w:ascii="David" w:eastAsia="Calibri" w:hAnsi="David"/>
          <w:rtl/>
        </w:rPr>
        <w:t>משטר</w:t>
      </w:r>
      <w:r w:rsidRPr="00AA5065">
        <w:rPr>
          <w:rFonts w:ascii="David" w:eastAsia="Calibri" w:hAnsi="David" w:hint="cs"/>
          <w:rtl/>
        </w:rPr>
        <w:t>ה</w:t>
      </w:r>
      <w:r w:rsidRPr="00AA5065">
        <w:rPr>
          <w:rFonts w:ascii="David" w:eastAsia="Calibri" w:hAnsi="David"/>
          <w:rtl/>
        </w:rPr>
        <w:t xml:space="preserve"> לדוח הקודם </w:t>
      </w:r>
      <w:r w:rsidRPr="00AA5065">
        <w:rPr>
          <w:rFonts w:ascii="David" w:eastAsia="Calibri" w:hAnsi="David" w:hint="cs"/>
          <w:rtl/>
        </w:rPr>
        <w:t>צוין</w:t>
      </w:r>
      <w:r w:rsidRPr="00AA5065">
        <w:rPr>
          <w:rFonts w:ascii="David" w:eastAsia="Calibri" w:hAnsi="David"/>
          <w:rtl/>
        </w:rPr>
        <w:t xml:space="preserve"> כי </w:t>
      </w:r>
      <w:r w:rsidRPr="00AA5065">
        <w:rPr>
          <w:rFonts w:ascii="David" w:eastAsia="Calibri" w:hAnsi="David" w:hint="cs"/>
          <w:rtl/>
        </w:rPr>
        <w:t>היא</w:t>
      </w:r>
      <w:r w:rsidRPr="00AA5065">
        <w:rPr>
          <w:rFonts w:ascii="David" w:eastAsia="Calibri" w:hAnsi="David"/>
          <w:rtl/>
        </w:rPr>
        <w:t xml:space="preserve"> "מבצעת אכיפה אינטנסיבית בכלל מרחב נגב, בדגש למגזר הלא</w:t>
      </w:r>
      <w:r w:rsidRPr="00AA5065">
        <w:rPr>
          <w:rFonts w:ascii="David" w:eastAsia="Calibri" w:hAnsi="David" w:hint="cs"/>
          <w:rtl/>
        </w:rPr>
        <w:t>-</w:t>
      </w:r>
      <w:r w:rsidRPr="00AA5065">
        <w:rPr>
          <w:rFonts w:ascii="David" w:eastAsia="Calibri" w:hAnsi="David"/>
          <w:rtl/>
        </w:rPr>
        <w:t xml:space="preserve">יהודי. תרבות הנהיגה במגזר מתבטאת בזלזול בוטה בחוק, ביצוע עבירות תנועה חמורות כגון נהיגה בזמן פסילה ונהיגה ללא רישיון נהיגה כלל וכן ביצוע עבירות מסכנות חיים ובריונות </w:t>
      </w:r>
      <w:r w:rsidRPr="00AA5065">
        <w:rPr>
          <w:rFonts w:ascii="David" w:eastAsia="Calibri" w:hAnsi="David" w:hint="cs"/>
          <w:rtl/>
        </w:rPr>
        <w:t>ב</w:t>
      </w:r>
      <w:r w:rsidRPr="00AA5065">
        <w:rPr>
          <w:rFonts w:ascii="David" w:eastAsia="Calibri" w:hAnsi="David"/>
          <w:rtl/>
        </w:rPr>
        <w:t>כביש</w:t>
      </w:r>
      <w:r w:rsidRPr="00AA5065">
        <w:rPr>
          <w:rFonts w:ascii="David" w:eastAsia="Calibri" w:hAnsi="David" w:hint="cs"/>
          <w:rtl/>
        </w:rPr>
        <w:t>ים</w:t>
      </w:r>
      <w:r w:rsidRPr="00AA5065">
        <w:rPr>
          <w:rFonts w:ascii="David" w:eastAsia="Calibri" w:hAnsi="David"/>
          <w:rtl/>
        </w:rPr>
        <w:t xml:space="preserve"> המסכנות את כלל משתמשי הדרך. בנוסף לאכיפה, נוקטת המשטרה בפעילות מניעה מצבית במגזר. פעילות זו כוללת הדרכות בנושא בטיחות בדרכים בבתי הספר </w:t>
      </w:r>
      <w:r w:rsidRPr="00AA5065">
        <w:rPr>
          <w:rFonts w:ascii="David" w:eastAsia="Calibri" w:hAnsi="David" w:hint="cs"/>
          <w:rtl/>
        </w:rPr>
        <w:t>על ידי</w:t>
      </w:r>
      <w:r w:rsidRPr="00AA5065">
        <w:rPr>
          <w:rFonts w:ascii="David" w:eastAsia="Calibri" w:hAnsi="David"/>
          <w:rtl/>
        </w:rPr>
        <w:t xml:space="preserve"> המש"קים הקהילתיים ומדריכת הזה"ב (זהירות בדרכים) של מרחב נגב".</w:t>
      </w:r>
    </w:p>
    <w:p w:rsidR="00AA5065" w:rsidRPr="00AA5065" w:rsidP="00860D89">
      <w:pPr>
        <w:spacing w:line="269" w:lineRule="auto"/>
        <w:rPr>
          <w:rFonts w:eastAsia="Calibri"/>
          <w:rtl/>
        </w:rPr>
      </w:pPr>
    </w:p>
    <w:p w:rsidR="00AA5065" w:rsidRPr="00AA5065" w:rsidP="00860D89">
      <w:pPr>
        <w:keepNext/>
        <w:keepLines/>
        <w:spacing w:line="269" w:lineRule="auto"/>
        <w:outlineLvl w:val="5"/>
        <w:rPr>
          <w:rFonts w:eastAsia="Times New Roman"/>
          <w:spacing w:val="40"/>
          <w:rtl/>
        </w:rPr>
      </w:pPr>
      <w:r w:rsidRPr="00AA5065">
        <w:rPr>
          <w:rFonts w:eastAsia="Times New Roman" w:hint="cs"/>
          <w:spacing w:val="40"/>
          <w:rtl/>
        </w:rPr>
        <w:t>ביקורת המעקב</w:t>
      </w:r>
    </w:p>
    <w:p w:rsidR="00AA5065" w:rsidRPr="00AA5065" w:rsidP="00860D89">
      <w:pPr>
        <w:spacing w:line="269" w:lineRule="auto"/>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rtl/>
        </w:rPr>
        <w:t>בביקורת</w:t>
      </w:r>
      <w:r w:rsidRPr="00AA5065">
        <w:rPr>
          <w:rFonts w:ascii="David" w:eastAsia="Calibri" w:hAnsi="David" w:hint="cs"/>
          <w:rtl/>
        </w:rPr>
        <w:t xml:space="preserve"> המעקב נמצאה עלייה</w:t>
      </w:r>
      <w:r w:rsidRPr="00AA5065">
        <w:rPr>
          <w:rFonts w:ascii="David" w:eastAsia="Calibri" w:hAnsi="David"/>
          <w:rtl/>
        </w:rPr>
        <w:t xml:space="preserve"> בשיעור עבירות </w:t>
      </w:r>
      <w:r w:rsidRPr="00AA5065">
        <w:rPr>
          <w:rFonts w:ascii="David" w:eastAsia="Calibri" w:hAnsi="David" w:hint="cs"/>
          <w:rtl/>
        </w:rPr>
        <w:t>בריונות בכבישים ובשאר העבירות</w:t>
      </w:r>
      <w:r w:rsidRPr="00AA5065">
        <w:rPr>
          <w:rFonts w:ascii="David" w:eastAsia="Calibri" w:hAnsi="David"/>
          <w:rtl/>
        </w:rPr>
        <w:t xml:space="preserve"> ‏של נהגים מהאוכלוסייה ‏הלא-יהודית</w:t>
      </w:r>
      <w:r w:rsidRPr="00AA5065">
        <w:rPr>
          <w:rFonts w:ascii="David" w:eastAsia="Calibri" w:hAnsi="David" w:hint="cs"/>
          <w:rtl/>
        </w:rPr>
        <w:t xml:space="preserve"> במרחב נגב</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rtl/>
        </w:rPr>
        <w:t xml:space="preserve">בתרשים </w:t>
      </w:r>
      <w:r w:rsidRPr="00AA5065">
        <w:rPr>
          <w:rFonts w:ascii="David" w:eastAsia="Calibri" w:hAnsi="David" w:hint="cs"/>
          <w:rtl/>
        </w:rPr>
        <w:t>6</w:t>
      </w:r>
      <w:r w:rsidRPr="00AA5065">
        <w:rPr>
          <w:rFonts w:ascii="David" w:eastAsia="Calibri" w:hAnsi="David"/>
          <w:rtl/>
        </w:rPr>
        <w:t xml:space="preserve"> </w:t>
      </w:r>
      <w:r w:rsidRPr="00AA5065">
        <w:rPr>
          <w:rFonts w:ascii="David" w:eastAsia="Calibri" w:hAnsi="David" w:hint="cs"/>
          <w:rtl/>
        </w:rPr>
        <w:t>ש</w:t>
      </w:r>
      <w:r w:rsidRPr="00AA5065">
        <w:rPr>
          <w:rFonts w:ascii="David" w:eastAsia="Calibri" w:hAnsi="David"/>
          <w:rtl/>
        </w:rPr>
        <w:t>להלן מוצגים נתונים על שיעורי מעורבות הנהגים מהאוכלוסייה הלא-יהודית בעבירות תנועה במרחב נגב</w:t>
      </w:r>
      <w:r w:rsidRPr="00AA5065">
        <w:rPr>
          <w:rFonts w:ascii="David" w:eastAsia="Calibri" w:hAnsi="David" w:hint="cs"/>
          <w:rtl/>
        </w:rPr>
        <w:t>.</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jc w:val="center"/>
        <w:rPr>
          <w:rFonts w:eastAsia="Calibri"/>
          <w:sz w:val="24"/>
          <w:szCs w:val="20"/>
          <w:rtl/>
        </w:rPr>
      </w:pPr>
      <w:r w:rsidRPr="00AA5065">
        <w:rPr>
          <w:rFonts w:eastAsia="Calibri"/>
          <w:sz w:val="24"/>
          <w:rtl/>
        </w:rPr>
        <w:t xml:space="preserve">תרשים </w:t>
      </w:r>
      <w:r w:rsidRPr="00AA5065">
        <w:rPr>
          <w:rFonts w:eastAsia="Calibri" w:hint="cs"/>
          <w:sz w:val="24"/>
          <w:rtl/>
        </w:rPr>
        <w:t>6</w:t>
      </w:r>
      <w:r w:rsidRPr="00AA5065">
        <w:rPr>
          <w:rFonts w:eastAsia="Calibri"/>
          <w:sz w:val="24"/>
          <w:rtl/>
        </w:rPr>
        <w:t xml:space="preserve">: </w:t>
      </w:r>
      <w:r w:rsidRPr="00AA5065">
        <w:rPr>
          <w:rFonts w:eastAsia="Calibri"/>
          <w:b/>
          <w:bCs/>
          <w:sz w:val="24"/>
          <w:rtl/>
        </w:rPr>
        <w:t>שיעורי מעורבות נהגים מהאוכלוסייה הלא-יהודית בעבירות תנועה במרחב נגב וסוג העבירה, 2020 - 2024</w:t>
      </w:r>
    </w:p>
    <w:p w:rsidR="00AA5065" w:rsidRPr="00AA5065" w:rsidP="00860D89">
      <w:pPr>
        <w:spacing w:line="269" w:lineRule="auto"/>
        <w:ind w:left="-1"/>
        <w:jc w:val="center"/>
        <w:rPr>
          <w:rFonts w:ascii="David" w:eastAsia="Calibri" w:hAnsi="David"/>
          <w:rtl/>
        </w:rPr>
      </w:pPr>
      <w:r w:rsidRPr="00AA5065">
        <w:rPr>
          <w:rFonts w:eastAsia="Calibri"/>
          <w:noProof/>
        </w:rPr>
        <w:drawing>
          <wp:inline distT="0" distB="0" distL="0" distR="0">
            <wp:extent cx="4785743" cy="2901950"/>
            <wp:effectExtent l="0" t="0" r="0" b="0"/>
            <wp:docPr id="344773235" name="תמונה 344773235" descr="תוכן התרשים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73235" name=""/>
                    <pic:cNvPicPr/>
                  </pic:nvPicPr>
                  <pic:blipFill>
                    <a:blip xmlns:r="http://schemas.openxmlformats.org/officeDocument/2006/relationships" r:embed="rId33"/>
                    <a:srcRect t="4593"/>
                    <a:stretch>
                      <a:fillRect/>
                    </a:stretch>
                  </pic:blipFill>
                  <pic:spPr bwMode="auto">
                    <a:xfrm>
                      <a:off x="0" y="0"/>
                      <a:ext cx="4787398" cy="290295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A5065" w:rsidRPr="00AA5065" w:rsidP="00860D89">
      <w:pPr>
        <w:spacing w:line="269" w:lineRule="auto"/>
        <w:ind w:left="312"/>
        <w:rPr>
          <w:rFonts w:eastAsia="Calibri"/>
          <w:sz w:val="24"/>
          <w:szCs w:val="20"/>
          <w:rtl/>
        </w:rPr>
      </w:pPr>
      <w:r w:rsidRPr="00AA5065">
        <w:rPr>
          <w:rFonts w:eastAsia="Calibri"/>
          <w:sz w:val="24"/>
          <w:szCs w:val="20"/>
          <w:rtl/>
        </w:rPr>
        <w:t>על פי נתוני משטרת התנועה הארצית, בעיבוד משרד מבקר המדינה.‏</w:t>
      </w:r>
    </w:p>
    <w:p w:rsidR="00AA5065" w:rsidRPr="00AA5065" w:rsidP="00860D89">
      <w:pPr>
        <w:spacing w:line="269" w:lineRule="auto"/>
        <w:ind w:left="-567"/>
        <w:rPr>
          <w:rFonts w:eastAsia="Calibri"/>
          <w:szCs w:val="20"/>
          <w:rtl/>
        </w:rPr>
      </w:pPr>
    </w:p>
    <w:p w:rsidR="00AA5065" w:rsidRPr="00AA5065" w:rsidP="00860D89">
      <w:pPr>
        <w:spacing w:line="269" w:lineRule="auto"/>
        <w:ind w:left="312"/>
        <w:rPr>
          <w:rFonts w:ascii="David" w:eastAsia="Calibri" w:hAnsi="David"/>
          <w:b/>
          <w:bCs/>
          <w:rtl/>
        </w:rPr>
      </w:pPr>
      <w:r w:rsidRPr="00AA5065">
        <w:rPr>
          <w:rFonts w:ascii="David" w:eastAsia="Calibri" w:hAnsi="David" w:hint="cs"/>
          <w:b/>
          <w:bCs/>
          <w:rtl/>
        </w:rPr>
        <w:t xml:space="preserve">מהתרשים עולה כי </w:t>
      </w:r>
      <w:r w:rsidRPr="00AA5065">
        <w:rPr>
          <w:rFonts w:ascii="David" w:eastAsia="Calibri" w:hAnsi="David"/>
          <w:b/>
          <w:bCs/>
          <w:rtl/>
        </w:rPr>
        <w:t xml:space="preserve">שיעור מעורבות נהגים מהאוכלוסייה הלא-יהודית בעבירות </w:t>
      </w:r>
      <w:r w:rsidRPr="00AA5065">
        <w:rPr>
          <w:rFonts w:ascii="David" w:eastAsia="Calibri" w:hAnsi="David" w:hint="cs"/>
          <w:b/>
          <w:bCs/>
          <w:rtl/>
        </w:rPr>
        <w:t xml:space="preserve">בריונות בכבישים, בעבירות מסכנות חיים ובשאר העבירות היה 70%, 56% ו-72% </w:t>
      </w:r>
      <w:r w:rsidRPr="00AA5065">
        <w:rPr>
          <w:rFonts w:ascii="David" w:eastAsia="Calibri" w:hAnsi="David"/>
          <w:b/>
          <w:bCs/>
          <w:rtl/>
        </w:rPr>
        <w:t xml:space="preserve">בממוצע </w:t>
      </w:r>
      <w:r w:rsidRPr="00AA5065">
        <w:rPr>
          <w:rFonts w:ascii="David" w:eastAsia="Calibri" w:hAnsi="David" w:hint="cs"/>
          <w:b/>
          <w:bCs/>
          <w:rtl/>
        </w:rPr>
        <w:t>ב</w:t>
      </w:r>
      <w:r w:rsidRPr="00AA5065">
        <w:rPr>
          <w:rFonts w:ascii="David" w:eastAsia="Calibri" w:hAnsi="David"/>
          <w:b/>
          <w:bCs/>
          <w:rtl/>
        </w:rPr>
        <w:t xml:space="preserve">שנים 2020 </w:t>
      </w:r>
      <w:r w:rsidRPr="00AA5065">
        <w:rPr>
          <w:rFonts w:ascii="David" w:eastAsia="Calibri" w:hAnsi="David" w:hint="cs"/>
          <w:b/>
          <w:bCs/>
          <w:rtl/>
        </w:rPr>
        <w:t>עד</w:t>
      </w:r>
      <w:r w:rsidRPr="00AA5065">
        <w:rPr>
          <w:rFonts w:ascii="David" w:eastAsia="Calibri" w:hAnsi="David"/>
          <w:b/>
          <w:bCs/>
          <w:rtl/>
        </w:rPr>
        <w:t xml:space="preserve"> 2024 ‏</w:t>
      </w:r>
      <w:r w:rsidRPr="00AA5065">
        <w:rPr>
          <w:rFonts w:ascii="David" w:eastAsia="Calibri" w:hAnsi="David" w:hint="cs"/>
          <w:b/>
          <w:bCs/>
          <w:rtl/>
        </w:rPr>
        <w:t>במרחב נגב.</w:t>
      </w:r>
    </w:p>
    <w:p w:rsidR="00AA5065" w:rsidRPr="00AA5065" w:rsidP="00860D89">
      <w:pPr>
        <w:spacing w:line="269" w:lineRule="auto"/>
        <w:ind w:left="-567"/>
        <w:rPr>
          <w:rFonts w:eastAsia="Calibri"/>
          <w:szCs w:val="20"/>
          <w:rtl/>
        </w:rPr>
      </w:pPr>
    </w:p>
    <w:p w:rsidR="00AA5065" w:rsidRPr="00AA5065" w:rsidP="00860D89">
      <w:pPr>
        <w:spacing w:line="269" w:lineRule="auto"/>
        <w:ind w:left="312"/>
        <w:rPr>
          <w:rFonts w:ascii="David" w:eastAsia="Calibri" w:hAnsi="David"/>
          <w:b/>
          <w:bCs/>
          <w:rtl/>
        </w:rPr>
      </w:pPr>
      <w:bookmarkStart w:id="111" w:name="_Hlk204855408"/>
      <w:r w:rsidRPr="00AA5065">
        <w:rPr>
          <w:rFonts w:ascii="David" w:eastAsia="Calibri" w:hAnsi="David" w:hint="cs"/>
          <w:b/>
          <w:bCs/>
          <w:rtl/>
        </w:rPr>
        <w:t xml:space="preserve">בביקורת הקודמת נמצא כי </w:t>
      </w:r>
      <w:r w:rsidRPr="00AA5065">
        <w:rPr>
          <w:rFonts w:ascii="David" w:eastAsia="Calibri" w:hAnsi="David"/>
          <w:b/>
          <w:bCs/>
          <w:rtl/>
        </w:rPr>
        <w:t xml:space="preserve">שיעור </w:t>
      </w:r>
      <w:r w:rsidRPr="00AA5065">
        <w:rPr>
          <w:rFonts w:ascii="David" w:eastAsia="Calibri" w:hAnsi="David" w:hint="cs"/>
          <w:b/>
          <w:bCs/>
          <w:rtl/>
        </w:rPr>
        <w:t>דוחות</w:t>
      </w:r>
      <w:r w:rsidRPr="00AA5065">
        <w:rPr>
          <w:rFonts w:ascii="David" w:eastAsia="Calibri" w:hAnsi="David"/>
          <w:b/>
          <w:bCs/>
          <w:rtl/>
        </w:rPr>
        <w:t xml:space="preserve"> </w:t>
      </w:r>
      <w:r w:rsidRPr="00AA5065">
        <w:rPr>
          <w:rFonts w:ascii="David" w:eastAsia="Calibri" w:hAnsi="David" w:hint="cs"/>
          <w:b/>
          <w:bCs/>
          <w:rtl/>
        </w:rPr>
        <w:t>ה</w:t>
      </w:r>
      <w:r w:rsidRPr="00AA5065">
        <w:rPr>
          <w:rFonts w:ascii="David" w:eastAsia="Calibri" w:hAnsi="David"/>
          <w:b/>
          <w:bCs/>
          <w:rtl/>
        </w:rPr>
        <w:t>תנועה</w:t>
      </w:r>
      <w:r w:rsidRPr="00AA5065">
        <w:rPr>
          <w:rFonts w:ascii="David" w:eastAsia="Calibri" w:hAnsi="David" w:hint="cs"/>
          <w:b/>
          <w:bCs/>
          <w:rtl/>
        </w:rPr>
        <w:t xml:space="preserve"> שנרשמו ל</w:t>
      </w:r>
      <w:r w:rsidRPr="00AA5065">
        <w:rPr>
          <w:rFonts w:ascii="David" w:eastAsia="Calibri" w:hAnsi="David"/>
          <w:b/>
          <w:bCs/>
          <w:rtl/>
        </w:rPr>
        <w:t>נהגים</w:t>
      </w:r>
      <w:r w:rsidRPr="00AA5065">
        <w:rPr>
          <w:rFonts w:ascii="David" w:eastAsia="Calibri" w:hAnsi="David" w:hint="cs"/>
          <w:b/>
          <w:bCs/>
          <w:rtl/>
        </w:rPr>
        <w:t xml:space="preserve"> מהאוכלוסייה ה</w:t>
      </w:r>
      <w:r w:rsidRPr="00AA5065">
        <w:rPr>
          <w:rFonts w:ascii="David" w:eastAsia="Calibri" w:hAnsi="David"/>
          <w:b/>
          <w:bCs/>
          <w:rtl/>
        </w:rPr>
        <w:t>לא</w:t>
      </w:r>
      <w:r w:rsidRPr="00AA5065">
        <w:rPr>
          <w:rFonts w:ascii="David" w:eastAsia="Calibri" w:hAnsi="David" w:hint="cs"/>
          <w:b/>
          <w:bCs/>
          <w:rtl/>
        </w:rPr>
        <w:t>-</w:t>
      </w:r>
      <w:r w:rsidRPr="00AA5065">
        <w:rPr>
          <w:rFonts w:ascii="David" w:eastAsia="Calibri" w:hAnsi="David"/>
          <w:b/>
          <w:bCs/>
          <w:rtl/>
        </w:rPr>
        <w:t>יהודי</w:t>
      </w:r>
      <w:r w:rsidRPr="00AA5065">
        <w:rPr>
          <w:rFonts w:ascii="David" w:eastAsia="Calibri" w:hAnsi="David" w:hint="cs"/>
          <w:b/>
          <w:bCs/>
          <w:rtl/>
        </w:rPr>
        <w:t>ת במרחב נגב בשנים 2016 עד 2019 היה בין 51% ל-60%</w:t>
      </w:r>
      <w:r w:rsidRPr="00AA5065">
        <w:rPr>
          <w:rFonts w:ascii="David" w:eastAsia="Calibri" w:hAnsi="David" w:hint="cs"/>
          <w:b/>
          <w:bCs/>
        </w:rPr>
        <w:t xml:space="preserve"> </w:t>
      </w:r>
      <w:r w:rsidRPr="00AA5065">
        <w:rPr>
          <w:rFonts w:ascii="David" w:eastAsia="Calibri" w:hAnsi="David" w:hint="cs"/>
          <w:b/>
          <w:bCs/>
          <w:rtl/>
        </w:rPr>
        <w:t xml:space="preserve">בגין עבירות מסכנות חיים, </w:t>
      </w:r>
      <w:r w:rsidRPr="00AA5065">
        <w:rPr>
          <w:rFonts w:ascii="David" w:eastAsia="Calibri" w:hAnsi="David"/>
          <w:b/>
          <w:bCs/>
          <w:rtl/>
        </w:rPr>
        <w:t>בין 59% ל-64% ב</w:t>
      </w:r>
      <w:r w:rsidRPr="00AA5065">
        <w:rPr>
          <w:rFonts w:ascii="David" w:eastAsia="Calibri" w:hAnsi="David" w:hint="cs"/>
          <w:b/>
          <w:bCs/>
          <w:rtl/>
        </w:rPr>
        <w:t xml:space="preserve">גין </w:t>
      </w:r>
      <w:r w:rsidRPr="00AA5065">
        <w:rPr>
          <w:rFonts w:ascii="David" w:eastAsia="Calibri" w:hAnsi="David"/>
          <w:b/>
          <w:bCs/>
          <w:rtl/>
        </w:rPr>
        <w:t>עבירות בריונות בכביש</w:t>
      </w:r>
      <w:r w:rsidRPr="00AA5065">
        <w:rPr>
          <w:rFonts w:ascii="David" w:eastAsia="Calibri" w:hAnsi="David" w:hint="cs"/>
          <w:b/>
          <w:bCs/>
          <w:rtl/>
        </w:rPr>
        <w:t>ים</w:t>
      </w:r>
      <w:r w:rsidRPr="00AA5065">
        <w:rPr>
          <w:rFonts w:ascii="David" w:eastAsia="Calibri" w:hAnsi="David"/>
          <w:b/>
          <w:bCs/>
          <w:rtl/>
        </w:rPr>
        <w:t xml:space="preserve"> ובין 47% ל-68% ב</w:t>
      </w:r>
      <w:r w:rsidRPr="00AA5065">
        <w:rPr>
          <w:rFonts w:ascii="David" w:eastAsia="Calibri" w:hAnsi="David" w:hint="cs"/>
          <w:b/>
          <w:bCs/>
          <w:rtl/>
        </w:rPr>
        <w:t xml:space="preserve">גין </w:t>
      </w:r>
      <w:r w:rsidRPr="00AA5065">
        <w:rPr>
          <w:rFonts w:ascii="David" w:eastAsia="Calibri" w:hAnsi="David"/>
          <w:b/>
          <w:bCs/>
          <w:rtl/>
        </w:rPr>
        <w:t>עבירות אחרות‏</w:t>
      </w:r>
      <w:r w:rsidRPr="00AA5065">
        <w:rPr>
          <w:rFonts w:ascii="David" w:eastAsia="Calibri" w:hAnsi="David" w:hint="cs"/>
          <w:b/>
          <w:bCs/>
          <w:rtl/>
        </w:rPr>
        <w:t>. ב</w:t>
      </w:r>
      <w:r w:rsidRPr="00AA5065">
        <w:rPr>
          <w:rFonts w:ascii="David" w:eastAsia="Calibri" w:hAnsi="David"/>
          <w:b/>
          <w:bCs/>
          <w:rtl/>
        </w:rPr>
        <w:t xml:space="preserve">ביקורת המעקב </w:t>
      </w:r>
      <w:r w:rsidRPr="00AA5065">
        <w:rPr>
          <w:rFonts w:ascii="David" w:eastAsia="Calibri" w:hAnsi="David" w:hint="cs"/>
          <w:b/>
          <w:bCs/>
          <w:rtl/>
        </w:rPr>
        <w:t>נמצא</w:t>
      </w:r>
      <w:r w:rsidRPr="00AA5065">
        <w:rPr>
          <w:rFonts w:ascii="David" w:eastAsia="Calibri" w:hAnsi="David"/>
          <w:b/>
          <w:bCs/>
          <w:rtl/>
        </w:rPr>
        <w:t xml:space="preserve"> כי</w:t>
      </w:r>
      <w:r w:rsidRPr="00AA5065">
        <w:rPr>
          <w:rFonts w:ascii="David" w:eastAsia="Calibri" w:hAnsi="David" w:hint="cs"/>
          <w:b/>
          <w:bCs/>
          <w:rtl/>
        </w:rPr>
        <w:t xml:space="preserve"> הליקוי לא תוקן; </w:t>
      </w:r>
      <w:r w:rsidRPr="00AA5065">
        <w:rPr>
          <w:rFonts w:ascii="David" w:eastAsia="Calibri" w:hAnsi="David"/>
          <w:b/>
          <w:bCs/>
          <w:rtl/>
        </w:rPr>
        <w:t xml:space="preserve">שיעור </w:t>
      </w:r>
      <w:r w:rsidRPr="00AA5065">
        <w:rPr>
          <w:rFonts w:ascii="David" w:eastAsia="Calibri" w:hAnsi="David" w:hint="cs"/>
          <w:b/>
          <w:bCs/>
          <w:rtl/>
        </w:rPr>
        <w:t>דוחות</w:t>
      </w:r>
      <w:r w:rsidRPr="00AA5065">
        <w:rPr>
          <w:rFonts w:ascii="David" w:eastAsia="Calibri" w:hAnsi="David"/>
          <w:b/>
          <w:bCs/>
          <w:rtl/>
        </w:rPr>
        <w:t xml:space="preserve"> </w:t>
      </w:r>
      <w:r w:rsidRPr="00AA5065">
        <w:rPr>
          <w:rFonts w:ascii="David" w:eastAsia="Calibri" w:hAnsi="David" w:hint="cs"/>
          <w:b/>
          <w:bCs/>
          <w:rtl/>
        </w:rPr>
        <w:t>ה</w:t>
      </w:r>
      <w:r w:rsidRPr="00AA5065">
        <w:rPr>
          <w:rFonts w:ascii="David" w:eastAsia="Calibri" w:hAnsi="David"/>
          <w:b/>
          <w:bCs/>
          <w:rtl/>
        </w:rPr>
        <w:t xml:space="preserve">תנועה </w:t>
      </w:r>
      <w:r w:rsidRPr="00AA5065">
        <w:rPr>
          <w:rFonts w:ascii="David" w:eastAsia="Calibri" w:hAnsi="David" w:hint="cs"/>
          <w:b/>
          <w:bCs/>
          <w:rtl/>
        </w:rPr>
        <w:t>שניתנו ל</w:t>
      </w:r>
      <w:r w:rsidRPr="00AA5065">
        <w:rPr>
          <w:rFonts w:ascii="David" w:eastAsia="Calibri" w:hAnsi="David"/>
          <w:b/>
          <w:bCs/>
          <w:rtl/>
        </w:rPr>
        <w:t>נהגים לא יהודים בממוצע</w:t>
      </w:r>
      <w:r w:rsidRPr="00AA5065">
        <w:rPr>
          <w:rFonts w:ascii="David" w:eastAsia="Calibri" w:hAnsi="David" w:hint="cs"/>
          <w:b/>
          <w:bCs/>
          <w:rtl/>
        </w:rPr>
        <w:t xml:space="preserve"> בשנים 2020 עד 2024</w:t>
      </w:r>
      <w:r w:rsidRPr="00AA5065">
        <w:rPr>
          <w:rFonts w:ascii="David" w:eastAsia="Calibri" w:hAnsi="David"/>
          <w:b/>
          <w:bCs/>
          <w:rtl/>
        </w:rPr>
        <w:t xml:space="preserve"> </w:t>
      </w:r>
      <w:r w:rsidRPr="00AA5065">
        <w:rPr>
          <w:rFonts w:ascii="David" w:eastAsia="Calibri" w:hAnsi="David" w:hint="cs"/>
          <w:b/>
          <w:bCs/>
          <w:rtl/>
        </w:rPr>
        <w:t>היה</w:t>
      </w:r>
      <w:r w:rsidRPr="00AA5065">
        <w:rPr>
          <w:rFonts w:ascii="David" w:eastAsia="Calibri" w:hAnsi="David"/>
          <w:b/>
          <w:bCs/>
          <w:rtl/>
        </w:rPr>
        <w:t xml:space="preserve"> </w:t>
      </w:r>
      <w:r w:rsidRPr="00AA5065">
        <w:rPr>
          <w:rFonts w:ascii="David" w:eastAsia="Calibri" w:hAnsi="David" w:hint="cs"/>
          <w:b/>
          <w:bCs/>
          <w:rtl/>
        </w:rPr>
        <w:t>64</w:t>
      </w:r>
      <w:r w:rsidRPr="00AA5065">
        <w:rPr>
          <w:rFonts w:ascii="David" w:eastAsia="Calibri" w:hAnsi="David"/>
          <w:b/>
          <w:bCs/>
          <w:rtl/>
        </w:rPr>
        <w:t>%</w:t>
      </w:r>
      <w:r w:rsidRPr="00AA5065">
        <w:rPr>
          <w:rFonts w:ascii="David" w:eastAsia="Calibri" w:hAnsi="David" w:hint="cs"/>
          <w:b/>
          <w:bCs/>
          <w:rtl/>
        </w:rPr>
        <w:t xml:space="preserve"> (312,455 דוחות) - שיעור הגבוה משמעותית מחלקם באוכלוסיית הנהגים בנגב (15%).</w:t>
      </w:r>
      <w:bookmarkEnd w:id="111"/>
      <w:r w:rsidRPr="00AA5065">
        <w:rPr>
          <w:rFonts w:ascii="David" w:eastAsia="Calibri" w:hAnsi="David" w:hint="cs"/>
          <w:b/>
          <w:bCs/>
          <w:rtl/>
        </w:rPr>
        <w:t xml:space="preserve"> עוד נמצא כי חלה ירידה קלה (1%) </w:t>
      </w:r>
      <w:r w:rsidRPr="00AA5065">
        <w:rPr>
          <w:rFonts w:ascii="David" w:eastAsia="Calibri" w:hAnsi="David"/>
          <w:b/>
          <w:bCs/>
          <w:rtl/>
        </w:rPr>
        <w:t xml:space="preserve">בשיעור הנהגים מהאוכלוסייה ‏הלא-יהודית </w:t>
      </w:r>
      <w:r w:rsidRPr="00AA5065">
        <w:rPr>
          <w:rFonts w:ascii="David" w:eastAsia="Calibri" w:hAnsi="David" w:hint="cs"/>
          <w:b/>
          <w:bCs/>
          <w:rtl/>
        </w:rPr>
        <w:t xml:space="preserve">בכל הארץ </w:t>
      </w:r>
      <w:r w:rsidRPr="00AA5065">
        <w:rPr>
          <w:rFonts w:ascii="David" w:eastAsia="Calibri" w:hAnsi="David"/>
          <w:b/>
          <w:bCs/>
          <w:rtl/>
        </w:rPr>
        <w:t>המעורבים בעבירות מסכנות חיים, עם זאת נרש</w:t>
      </w:r>
      <w:r w:rsidRPr="00AA5065">
        <w:rPr>
          <w:rFonts w:ascii="David" w:eastAsia="Calibri" w:hAnsi="David" w:hint="cs"/>
          <w:b/>
          <w:bCs/>
          <w:rtl/>
        </w:rPr>
        <w:t>מה</w:t>
      </w:r>
      <w:r w:rsidRPr="00AA5065">
        <w:rPr>
          <w:rFonts w:ascii="David" w:eastAsia="Calibri" w:hAnsi="David"/>
          <w:b/>
          <w:bCs/>
          <w:rtl/>
        </w:rPr>
        <w:t xml:space="preserve"> </w:t>
      </w:r>
      <w:r w:rsidRPr="00AA5065">
        <w:rPr>
          <w:rFonts w:ascii="David" w:eastAsia="Calibri" w:hAnsi="David" w:hint="cs"/>
          <w:b/>
          <w:bCs/>
          <w:rtl/>
        </w:rPr>
        <w:t>עלייה</w:t>
      </w:r>
      <w:r w:rsidRPr="00AA5065">
        <w:rPr>
          <w:rFonts w:ascii="David" w:eastAsia="Calibri" w:hAnsi="David"/>
          <w:b/>
          <w:bCs/>
          <w:rtl/>
        </w:rPr>
        <w:t xml:space="preserve"> </w:t>
      </w:r>
      <w:r w:rsidRPr="00AA5065">
        <w:rPr>
          <w:rFonts w:ascii="David" w:eastAsia="Calibri" w:hAnsi="David" w:hint="cs"/>
          <w:b/>
          <w:bCs/>
          <w:rtl/>
        </w:rPr>
        <w:t>ב</w:t>
      </w:r>
      <w:r w:rsidRPr="00AA5065">
        <w:rPr>
          <w:rFonts w:ascii="David" w:eastAsia="Calibri" w:hAnsi="David"/>
          <w:b/>
          <w:bCs/>
          <w:rtl/>
        </w:rPr>
        <w:t xml:space="preserve">שיעור </w:t>
      </w:r>
      <w:r w:rsidRPr="00AA5065">
        <w:rPr>
          <w:rFonts w:ascii="David" w:eastAsia="Calibri" w:hAnsi="David" w:hint="cs"/>
          <w:b/>
          <w:bCs/>
          <w:rtl/>
        </w:rPr>
        <w:t xml:space="preserve">של </w:t>
      </w:r>
      <w:r w:rsidRPr="00AA5065">
        <w:rPr>
          <w:rFonts w:ascii="David" w:eastAsia="Calibri" w:hAnsi="David"/>
          <w:b/>
          <w:bCs/>
          <w:rtl/>
        </w:rPr>
        <w:t>עבירות בריונות בכביש</w:t>
      </w:r>
      <w:r w:rsidRPr="00AA5065">
        <w:rPr>
          <w:rFonts w:ascii="David" w:eastAsia="Calibri" w:hAnsi="David" w:hint="cs"/>
          <w:b/>
          <w:bCs/>
          <w:rtl/>
        </w:rPr>
        <w:t>ים ובשאר העבירות בכ-</w:t>
      </w:r>
      <w:r w:rsidRPr="00AA5065">
        <w:rPr>
          <w:rFonts w:ascii="David" w:eastAsia="Calibri" w:hAnsi="David"/>
          <w:b/>
          <w:bCs/>
          <w:rtl/>
        </w:rPr>
        <w:t>8%‏</w:t>
      </w:r>
      <w:r w:rsidRPr="00AA5065">
        <w:rPr>
          <w:rFonts w:ascii="David" w:eastAsia="Calibri" w:hAnsi="David" w:hint="cs"/>
          <w:b/>
          <w:bCs/>
          <w:rtl/>
        </w:rPr>
        <w:t xml:space="preserve"> ובכ-12%, בהתאמה</w:t>
      </w:r>
      <w:r w:rsidRPr="00AA5065">
        <w:rPr>
          <w:rFonts w:ascii="David" w:eastAsia="Calibri" w:hAnsi="David"/>
          <w:b/>
          <w:bCs/>
          <w:cs/>
        </w:rPr>
        <w:t>‎</w:t>
      </w:r>
      <w:r w:rsidRPr="00AA5065">
        <w:rPr>
          <w:rFonts w:ascii="David" w:eastAsia="Calibri" w:hAnsi="David" w:hint="cs"/>
          <w:b/>
          <w:bCs/>
          <w:rtl/>
        </w:rPr>
        <w:t>.</w:t>
      </w:r>
      <w:r w:rsidRPr="00AA5065">
        <w:rPr>
          <w:rFonts w:ascii="David" w:eastAsia="Calibri" w:hAnsi="David"/>
          <w:b/>
          <w:bCs/>
          <w:cs/>
        </w:rPr>
        <w:t>‎</w:t>
      </w:r>
      <w:r w:rsidRPr="00AA5065">
        <w:rPr>
          <w:rFonts w:ascii="David" w:eastAsia="Calibri" w:hAnsi="David"/>
          <w:b/>
          <w:bCs/>
        </w:rPr>
        <w:t xml:space="preserve"> </w:t>
      </w:r>
      <w:r w:rsidRPr="00AA5065">
        <w:rPr>
          <w:rFonts w:ascii="David" w:eastAsia="Calibri" w:hAnsi="David"/>
          <w:b/>
          <w:bCs/>
          <w:cs/>
        </w:rPr>
        <w:t>‎</w:t>
      </w:r>
      <w:r w:rsidRPr="00AA5065">
        <w:rPr>
          <w:rFonts w:ascii="David" w:eastAsia="Calibri" w:hAnsi="David"/>
          <w:b/>
          <w:bCs/>
          <w:rtl/>
        </w:rPr>
        <w:t>ניכר כי</w:t>
      </w:r>
      <w:r w:rsidRPr="00AA5065">
        <w:rPr>
          <w:rFonts w:ascii="David" w:eastAsia="Calibri" w:hAnsi="David" w:hint="cs"/>
          <w:b/>
          <w:bCs/>
          <w:rtl/>
        </w:rPr>
        <w:t xml:space="preserve"> </w:t>
      </w:r>
      <w:r w:rsidRPr="00AA5065">
        <w:rPr>
          <w:rFonts w:ascii="David" w:eastAsia="Calibri" w:hAnsi="David"/>
          <w:b/>
          <w:bCs/>
          <w:rtl/>
        </w:rPr>
        <w:t>שיעורים ‏אלו גבוהים משמעותית משיעורם היחסי באוכלוסייה הכללית העומד על 15%.</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ind w:left="-1"/>
        <w:jc w:val="center"/>
        <w:rPr>
          <w:rFonts w:ascii="David" w:eastAsia="Calibri" w:hAnsi="David"/>
          <w:b/>
          <w:bCs/>
          <w:rtl/>
        </w:rPr>
      </w:pPr>
      <w:r w:rsidRPr="00AA5065">
        <w:rPr>
          <w:rFonts w:ascii="David" w:eastAsia="Calibri" w:hAnsi="David"/>
          <w:b/>
          <w:bCs/>
          <w:rtl/>
        </w:rPr>
        <w:t>מידת תיקון הליקוי</w:t>
      </w:r>
    </w:p>
    <w:p w:rsidR="00AA5065" w:rsidRPr="00AA5065" w:rsidP="00860D89">
      <w:pPr>
        <w:spacing w:line="269" w:lineRule="auto"/>
        <w:ind w:left="-1"/>
        <w:jc w:val="center"/>
        <w:rPr>
          <w:rFonts w:ascii="David" w:eastAsia="Calibri" w:hAnsi="David"/>
          <w:b/>
          <w:rtl/>
        </w:rPr>
      </w:pPr>
      <w:r w:rsidRPr="00AA5065">
        <w:rPr>
          <w:rFonts w:ascii="David" w:eastAsia="Calibri" w:hAnsi="David"/>
          <w:noProof/>
        </w:rPr>
        <w:drawing>
          <wp:inline distT="0" distB="0" distL="0" distR="0">
            <wp:extent cx="3960000" cy="740487"/>
            <wp:effectExtent l="0" t="0" r="0" b="0"/>
            <wp:docPr id="61" name="תמונה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תמונה 1095261540"/>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0000" cy="740487"/>
                    </a:xfrm>
                    <a:prstGeom prst="rect">
                      <a:avLst/>
                    </a:prstGeom>
                    <a:noFill/>
                    <a:ln>
                      <a:noFill/>
                    </a:ln>
                  </pic:spPr>
                </pic:pic>
              </a:graphicData>
            </a:graphic>
          </wp:inline>
        </w:drawing>
      </w:r>
    </w:p>
    <w:p w:rsidR="00AA5065" w:rsidRPr="00AA5065" w:rsidP="00246618">
      <w:pPr>
        <w:spacing w:after="120" w:line="269" w:lineRule="auto"/>
        <w:ind w:left="-567"/>
        <w:rPr>
          <w:rFonts w:eastAsia="Calibri"/>
          <w:szCs w:val="20"/>
          <w:rtl/>
        </w:rPr>
      </w:pPr>
    </w:p>
    <w:p w:rsidR="00AA5065" w:rsidRPr="00AA5065" w:rsidP="00860D89">
      <w:pPr>
        <w:spacing w:line="269" w:lineRule="auto"/>
        <w:ind w:left="312"/>
        <w:rPr>
          <w:rFonts w:ascii="David" w:eastAsia="Calibri" w:hAnsi="David"/>
          <w:b/>
          <w:bCs/>
          <w:rtl/>
        </w:rPr>
      </w:pPr>
      <w:bookmarkStart w:id="112" w:name="_Hlk204701558"/>
      <w:r w:rsidRPr="00AA5065">
        <w:rPr>
          <w:rFonts w:ascii="David" w:eastAsia="Calibri" w:hAnsi="David" w:hint="cs"/>
          <w:b/>
          <w:bCs/>
          <w:rtl/>
        </w:rPr>
        <w:t xml:space="preserve">על המשטרה </w:t>
      </w:r>
      <w:r w:rsidRPr="00AA5065">
        <w:rPr>
          <w:rFonts w:ascii="David" w:eastAsia="Calibri" w:hAnsi="David"/>
          <w:b/>
          <w:bCs/>
          <w:rtl/>
        </w:rPr>
        <w:t>ל</w:t>
      </w:r>
      <w:r w:rsidRPr="00AA5065">
        <w:rPr>
          <w:rFonts w:ascii="David" w:eastAsia="Calibri" w:hAnsi="David" w:hint="cs"/>
          <w:b/>
          <w:bCs/>
          <w:rtl/>
        </w:rPr>
        <w:t>פעול לצמצום</w:t>
      </w:r>
      <w:r w:rsidRPr="00AA5065">
        <w:rPr>
          <w:rFonts w:ascii="David" w:eastAsia="Calibri" w:hAnsi="David"/>
          <w:b/>
          <w:bCs/>
          <w:rtl/>
        </w:rPr>
        <w:t xml:space="preserve"> העבירות החמורות בכבישים </w:t>
      </w:r>
      <w:r w:rsidRPr="00AA5065">
        <w:rPr>
          <w:rFonts w:ascii="David" w:eastAsia="Calibri" w:hAnsi="David" w:hint="cs"/>
          <w:b/>
          <w:bCs/>
          <w:rtl/>
        </w:rPr>
        <w:t xml:space="preserve">בין היתר </w:t>
      </w:r>
      <w:r w:rsidRPr="00AA5065">
        <w:rPr>
          <w:rFonts w:ascii="David" w:eastAsia="Calibri" w:hAnsi="David"/>
          <w:b/>
          <w:bCs/>
          <w:rtl/>
        </w:rPr>
        <w:t>באמצעות שילוב של אמצעי אכיפה</w:t>
      </w:r>
      <w:r w:rsidRPr="00AA5065">
        <w:rPr>
          <w:rFonts w:ascii="David" w:eastAsia="Calibri" w:hAnsi="David" w:hint="cs"/>
          <w:b/>
          <w:bCs/>
          <w:rtl/>
        </w:rPr>
        <w:t xml:space="preserve"> טכנולוגיים מתקדמים וחיזוק הנוכחות בצירי התנועה, </w:t>
      </w:r>
      <w:r w:rsidRPr="00AA5065">
        <w:rPr>
          <w:rFonts w:ascii="David" w:eastAsia="Calibri" w:hAnsi="David" w:hint="eastAsia"/>
          <w:b/>
          <w:bCs/>
          <w:rtl/>
        </w:rPr>
        <w:t>בשילוב</w:t>
      </w:r>
      <w:r w:rsidRPr="00AA5065">
        <w:rPr>
          <w:rFonts w:ascii="David" w:eastAsia="Calibri" w:hAnsi="David"/>
          <w:b/>
          <w:bCs/>
          <w:rtl/>
        </w:rPr>
        <w:t xml:space="preserve"> </w:t>
      </w:r>
      <w:r w:rsidRPr="00AA5065">
        <w:rPr>
          <w:rFonts w:ascii="David" w:eastAsia="Calibri" w:hAnsi="David" w:hint="eastAsia"/>
          <w:b/>
          <w:bCs/>
          <w:rtl/>
        </w:rPr>
        <w:t>הסברה</w:t>
      </w:r>
      <w:r w:rsidRPr="00AA5065">
        <w:rPr>
          <w:rFonts w:ascii="David" w:eastAsia="Calibri" w:hAnsi="David"/>
          <w:b/>
          <w:bCs/>
          <w:rtl/>
        </w:rPr>
        <w:t xml:space="preserve"> </w:t>
      </w:r>
      <w:r w:rsidRPr="00AA5065">
        <w:rPr>
          <w:rFonts w:ascii="David" w:eastAsia="Calibri" w:hAnsi="David" w:hint="eastAsia"/>
          <w:b/>
          <w:bCs/>
          <w:rtl/>
        </w:rPr>
        <w:t>והנחלת</w:t>
      </w:r>
      <w:r w:rsidRPr="00AA5065">
        <w:rPr>
          <w:rFonts w:ascii="David" w:eastAsia="Calibri" w:hAnsi="David"/>
          <w:b/>
          <w:bCs/>
          <w:rtl/>
        </w:rPr>
        <w:t xml:space="preserve"> </w:t>
      </w:r>
      <w:r w:rsidRPr="00AA5065">
        <w:rPr>
          <w:rFonts w:ascii="David" w:eastAsia="Calibri" w:hAnsi="David" w:hint="eastAsia"/>
          <w:b/>
          <w:bCs/>
          <w:rtl/>
        </w:rPr>
        <w:t>תרבות</w:t>
      </w:r>
      <w:r w:rsidRPr="00AA5065">
        <w:rPr>
          <w:rFonts w:ascii="David" w:eastAsia="Calibri" w:hAnsi="David"/>
          <w:b/>
          <w:bCs/>
          <w:rtl/>
        </w:rPr>
        <w:t xml:space="preserve"> </w:t>
      </w:r>
      <w:r w:rsidRPr="00AA5065">
        <w:rPr>
          <w:rFonts w:ascii="David" w:eastAsia="Calibri" w:hAnsi="David" w:hint="eastAsia"/>
          <w:b/>
          <w:bCs/>
          <w:rtl/>
        </w:rPr>
        <w:t>נהיגה</w:t>
      </w:r>
      <w:r w:rsidRPr="00AA5065">
        <w:rPr>
          <w:rFonts w:ascii="David" w:eastAsia="Calibri" w:hAnsi="David"/>
          <w:b/>
          <w:bCs/>
          <w:rtl/>
        </w:rPr>
        <w:t xml:space="preserve"> </w:t>
      </w:r>
      <w:r w:rsidRPr="00AA5065">
        <w:rPr>
          <w:rFonts w:ascii="David" w:eastAsia="Calibri" w:hAnsi="David" w:hint="eastAsia"/>
          <w:b/>
          <w:bCs/>
          <w:rtl/>
        </w:rPr>
        <w:t>זהירה</w:t>
      </w:r>
      <w:r w:rsidRPr="00AA5065">
        <w:rPr>
          <w:rFonts w:ascii="David" w:eastAsia="Calibri" w:hAnsi="David"/>
          <w:b/>
          <w:bCs/>
          <w:rtl/>
        </w:rPr>
        <w:t xml:space="preserve"> בשיתוף הנהג</w:t>
      </w:r>
      <w:r w:rsidRPr="00AA5065">
        <w:rPr>
          <w:rFonts w:ascii="David" w:eastAsia="Calibri" w:hAnsi="David" w:hint="eastAsia"/>
          <w:b/>
          <w:bCs/>
          <w:rtl/>
        </w:rPr>
        <w:t>ת</w:t>
      </w:r>
      <w:r w:rsidRPr="00AA5065">
        <w:rPr>
          <w:rFonts w:ascii="David" w:eastAsia="Calibri" w:hAnsi="David"/>
          <w:b/>
          <w:bCs/>
          <w:rtl/>
        </w:rPr>
        <w:t xml:space="preserve"> </w:t>
      </w:r>
      <w:r w:rsidRPr="00AA5065">
        <w:rPr>
          <w:rFonts w:ascii="David" w:eastAsia="Calibri" w:hAnsi="David" w:hint="eastAsia"/>
          <w:b/>
          <w:bCs/>
          <w:rtl/>
        </w:rPr>
        <w:t>האוכלוסייה</w:t>
      </w:r>
      <w:r w:rsidRPr="00AA5065">
        <w:rPr>
          <w:rFonts w:ascii="David" w:eastAsia="Calibri" w:hAnsi="David"/>
          <w:b/>
          <w:bCs/>
          <w:rtl/>
        </w:rPr>
        <w:t xml:space="preserve"> </w:t>
      </w:r>
      <w:r w:rsidRPr="00AA5065">
        <w:rPr>
          <w:rFonts w:ascii="David" w:eastAsia="Calibri" w:hAnsi="David" w:hint="eastAsia"/>
          <w:b/>
          <w:bCs/>
          <w:rtl/>
        </w:rPr>
        <w:t>הלא</w:t>
      </w:r>
      <w:r w:rsidRPr="00AA5065">
        <w:rPr>
          <w:rFonts w:ascii="David" w:eastAsia="Calibri" w:hAnsi="David"/>
          <w:b/>
          <w:bCs/>
          <w:rtl/>
        </w:rPr>
        <w:t>-יהודית</w:t>
      </w:r>
      <w:r w:rsidRPr="00AA5065">
        <w:rPr>
          <w:rFonts w:ascii="David" w:eastAsia="Calibri" w:hAnsi="David" w:hint="cs"/>
          <w:b/>
          <w:bCs/>
          <w:rtl/>
        </w:rPr>
        <w:t>.</w:t>
      </w:r>
    </w:p>
    <w:p w:rsidR="00AA5065" w:rsidRPr="00AA5065" w:rsidP="00860D89">
      <w:pPr>
        <w:spacing w:line="269" w:lineRule="auto"/>
        <w:ind w:left="-567"/>
        <w:rPr>
          <w:rFonts w:eastAsia="Calibri"/>
          <w:szCs w:val="20"/>
          <w:rtl/>
        </w:rPr>
      </w:pPr>
    </w:p>
    <w:p w:rsidR="00AA5065" w:rsidP="00860D89">
      <w:pPr>
        <w:spacing w:line="269" w:lineRule="auto"/>
        <w:ind w:left="312"/>
        <w:rPr>
          <w:rFonts w:ascii="David" w:eastAsia="Calibri" w:hAnsi="David"/>
          <w:rtl/>
        </w:rPr>
      </w:pPr>
      <w:r w:rsidRPr="00AA5065">
        <w:rPr>
          <w:rFonts w:ascii="David" w:eastAsia="Calibri" w:hAnsi="David" w:hint="eastAsia"/>
          <w:rtl/>
        </w:rPr>
        <w:t>משטרת</w:t>
      </w:r>
      <w:r w:rsidRPr="00AA5065">
        <w:rPr>
          <w:rFonts w:ascii="David" w:eastAsia="Calibri" w:hAnsi="David"/>
          <w:rtl/>
        </w:rPr>
        <w:t xml:space="preserve"> </w:t>
      </w:r>
      <w:r w:rsidRPr="00AA5065">
        <w:rPr>
          <w:rFonts w:ascii="David" w:eastAsia="Calibri" w:hAnsi="David" w:hint="eastAsia"/>
          <w:rtl/>
        </w:rPr>
        <w:t>ישראל</w:t>
      </w:r>
      <w:r w:rsidRPr="00AA5065">
        <w:rPr>
          <w:rFonts w:ascii="David" w:eastAsia="Calibri" w:hAnsi="David"/>
          <w:rtl/>
        </w:rPr>
        <w:t xml:space="preserve"> </w:t>
      </w:r>
      <w:r w:rsidRPr="00AA5065">
        <w:rPr>
          <w:rFonts w:ascii="David" w:eastAsia="Calibri" w:hAnsi="David" w:hint="eastAsia"/>
          <w:rtl/>
        </w:rPr>
        <w:t>מסרה</w:t>
      </w:r>
      <w:r w:rsidRPr="00AA5065">
        <w:rPr>
          <w:rFonts w:ascii="David" w:eastAsia="Calibri" w:hAnsi="David"/>
          <w:rtl/>
        </w:rPr>
        <w:t xml:space="preserve"> </w:t>
      </w:r>
      <w:r w:rsidRPr="00AA5065">
        <w:rPr>
          <w:rFonts w:ascii="David" w:eastAsia="Calibri" w:hAnsi="David" w:hint="eastAsia"/>
          <w:rtl/>
        </w:rPr>
        <w:t>בתשובתה</w:t>
      </w:r>
      <w:r w:rsidRPr="00AA5065">
        <w:rPr>
          <w:rFonts w:ascii="David" w:eastAsia="Calibri" w:hAnsi="David"/>
          <w:rtl/>
        </w:rPr>
        <w:t xml:space="preserve"> </w:t>
      </w:r>
      <w:r w:rsidRPr="00AA5065">
        <w:rPr>
          <w:rFonts w:ascii="David" w:eastAsia="Calibri" w:hAnsi="David" w:hint="eastAsia"/>
          <w:rtl/>
        </w:rPr>
        <w:t>כי</w:t>
      </w:r>
      <w:r w:rsidRPr="00AA5065">
        <w:rPr>
          <w:rFonts w:ascii="David" w:eastAsia="Calibri" w:hAnsi="David"/>
          <w:rtl/>
        </w:rPr>
        <w:t xml:space="preserve"> "</w:t>
      </w:r>
      <w:r w:rsidRPr="00AA5065">
        <w:rPr>
          <w:rFonts w:ascii="David" w:eastAsia="Calibri" w:hAnsi="David" w:hint="eastAsia"/>
          <w:rtl/>
        </w:rPr>
        <w:t>בשנת</w:t>
      </w:r>
      <w:r w:rsidRPr="00AA5065">
        <w:rPr>
          <w:rFonts w:ascii="David" w:eastAsia="Calibri" w:hAnsi="David"/>
          <w:rtl/>
        </w:rPr>
        <w:t xml:space="preserve"> 2025 </w:t>
      </w:r>
      <w:r w:rsidRPr="00AA5065">
        <w:rPr>
          <w:rFonts w:ascii="David" w:eastAsia="Calibri" w:hAnsi="David" w:hint="eastAsia"/>
          <w:rtl/>
        </w:rPr>
        <w:t>יש</w:t>
      </w:r>
      <w:r w:rsidRPr="00AA5065">
        <w:rPr>
          <w:rFonts w:ascii="David" w:eastAsia="Calibri" w:hAnsi="David"/>
          <w:rtl/>
        </w:rPr>
        <w:t xml:space="preserve"> </w:t>
      </w:r>
      <w:r w:rsidRPr="00AA5065">
        <w:rPr>
          <w:rFonts w:ascii="David" w:eastAsia="Calibri" w:hAnsi="David" w:hint="eastAsia"/>
          <w:rtl/>
        </w:rPr>
        <w:t>ירידה</w:t>
      </w:r>
      <w:r w:rsidRPr="00AA5065">
        <w:rPr>
          <w:rFonts w:ascii="David" w:eastAsia="Calibri" w:hAnsi="David"/>
          <w:rtl/>
        </w:rPr>
        <w:t xml:space="preserve"> </w:t>
      </w:r>
      <w:r w:rsidRPr="00AA5065">
        <w:rPr>
          <w:rFonts w:ascii="David" w:eastAsia="Calibri" w:hAnsi="David" w:hint="eastAsia"/>
          <w:rtl/>
        </w:rPr>
        <w:t>בכמות</w:t>
      </w:r>
      <w:r w:rsidRPr="00AA5065">
        <w:rPr>
          <w:rFonts w:ascii="David" w:eastAsia="Calibri" w:hAnsi="David"/>
          <w:rtl/>
        </w:rPr>
        <w:t xml:space="preserve"> </w:t>
      </w:r>
      <w:r w:rsidRPr="00AA5065">
        <w:rPr>
          <w:rFonts w:ascii="David" w:eastAsia="Calibri" w:hAnsi="David" w:hint="eastAsia"/>
          <w:rtl/>
        </w:rPr>
        <w:t>אכיפת</w:t>
      </w:r>
      <w:r w:rsidRPr="00AA5065">
        <w:rPr>
          <w:rFonts w:ascii="David" w:eastAsia="Calibri" w:hAnsi="David"/>
          <w:rtl/>
        </w:rPr>
        <w:t xml:space="preserve"> </w:t>
      </w:r>
      <w:r w:rsidRPr="00AA5065">
        <w:rPr>
          <w:rFonts w:ascii="David" w:eastAsia="Calibri" w:hAnsi="David" w:hint="eastAsia"/>
          <w:rtl/>
        </w:rPr>
        <w:t>עבירות</w:t>
      </w:r>
      <w:r w:rsidRPr="00AA5065">
        <w:rPr>
          <w:rFonts w:ascii="David" w:eastAsia="Calibri" w:hAnsi="David"/>
          <w:rtl/>
        </w:rPr>
        <w:t xml:space="preserve"> </w:t>
      </w:r>
      <w:r w:rsidRPr="00AA5065">
        <w:rPr>
          <w:rFonts w:ascii="David" w:eastAsia="Calibri" w:hAnsi="David" w:hint="eastAsia"/>
          <w:rtl/>
        </w:rPr>
        <w:t>התנועה</w:t>
      </w:r>
      <w:r w:rsidRPr="00AA5065">
        <w:rPr>
          <w:rFonts w:ascii="David" w:eastAsia="Calibri" w:hAnsi="David"/>
          <w:rtl/>
        </w:rPr>
        <w:t xml:space="preserve"> </w:t>
      </w:r>
      <w:r w:rsidRPr="00AA5065">
        <w:rPr>
          <w:rFonts w:ascii="David" w:eastAsia="Calibri" w:hAnsi="David" w:hint="eastAsia"/>
          <w:rtl/>
        </w:rPr>
        <w:t>כנגד</w:t>
      </w:r>
      <w:r w:rsidRPr="00AA5065">
        <w:rPr>
          <w:rFonts w:ascii="David" w:eastAsia="Calibri" w:hAnsi="David"/>
          <w:rtl/>
        </w:rPr>
        <w:t xml:space="preserve"> </w:t>
      </w:r>
      <w:r w:rsidRPr="00AA5065">
        <w:rPr>
          <w:rFonts w:ascii="David" w:eastAsia="Calibri" w:hAnsi="David" w:hint="eastAsia"/>
          <w:rtl/>
        </w:rPr>
        <w:t>המגזר</w:t>
      </w:r>
      <w:r w:rsidRPr="00AA5065">
        <w:rPr>
          <w:rFonts w:ascii="David" w:eastAsia="Calibri" w:hAnsi="David"/>
          <w:rtl/>
        </w:rPr>
        <w:t xml:space="preserve"> </w:t>
      </w:r>
      <w:r w:rsidRPr="00AA5065">
        <w:rPr>
          <w:rFonts w:ascii="David" w:eastAsia="Calibri" w:hAnsi="David" w:hint="eastAsia"/>
          <w:rtl/>
        </w:rPr>
        <w:t>הלא</w:t>
      </w:r>
      <w:r w:rsidRPr="00AA5065">
        <w:rPr>
          <w:rFonts w:ascii="David" w:eastAsia="Calibri" w:hAnsi="David"/>
          <w:rtl/>
        </w:rPr>
        <w:t xml:space="preserve"> </w:t>
      </w:r>
      <w:r w:rsidRPr="00AA5065">
        <w:rPr>
          <w:rFonts w:ascii="David" w:eastAsia="Calibri" w:hAnsi="David" w:hint="eastAsia"/>
          <w:rtl/>
        </w:rPr>
        <w:t>יהודי</w:t>
      </w:r>
      <w:r w:rsidRPr="00AA5065">
        <w:rPr>
          <w:rFonts w:ascii="David" w:eastAsia="Calibri" w:hAnsi="David"/>
          <w:rtl/>
        </w:rPr>
        <w:t xml:space="preserve">". עוד </w:t>
      </w:r>
      <w:r w:rsidRPr="00AA5065">
        <w:rPr>
          <w:rFonts w:ascii="David" w:eastAsia="Calibri" w:hAnsi="David" w:hint="eastAsia"/>
          <w:rtl/>
        </w:rPr>
        <w:t>מסר</w:t>
      </w:r>
      <w:r w:rsidRPr="00AA5065">
        <w:rPr>
          <w:rFonts w:ascii="David" w:eastAsia="Calibri" w:hAnsi="David" w:hint="cs"/>
          <w:rtl/>
        </w:rPr>
        <w:t>ה המשטרה</w:t>
      </w:r>
      <w:r w:rsidRPr="00AA5065">
        <w:rPr>
          <w:rFonts w:ascii="David" w:eastAsia="Calibri" w:hAnsi="David"/>
          <w:rtl/>
        </w:rPr>
        <w:t xml:space="preserve"> כי </w:t>
      </w:r>
      <w:r w:rsidRPr="00AA5065">
        <w:rPr>
          <w:rFonts w:ascii="David" w:eastAsia="Calibri" w:hAnsi="David" w:hint="eastAsia"/>
          <w:rtl/>
        </w:rPr>
        <w:t>במהלך</w:t>
      </w:r>
      <w:r w:rsidRPr="00AA5065">
        <w:rPr>
          <w:rFonts w:ascii="David" w:eastAsia="Calibri" w:hAnsi="David"/>
          <w:rtl/>
        </w:rPr>
        <w:t xml:space="preserve"> </w:t>
      </w:r>
      <w:r w:rsidRPr="00AA5065">
        <w:rPr>
          <w:rFonts w:ascii="David" w:eastAsia="Calibri" w:hAnsi="David" w:hint="eastAsia"/>
          <w:rtl/>
        </w:rPr>
        <w:t>השנים</w:t>
      </w:r>
      <w:r w:rsidRPr="00AA5065">
        <w:rPr>
          <w:rFonts w:ascii="David" w:eastAsia="Calibri" w:hAnsi="David"/>
          <w:rtl/>
        </w:rPr>
        <w:t xml:space="preserve"> </w:t>
      </w:r>
      <w:r w:rsidRPr="00AA5065">
        <w:rPr>
          <w:rFonts w:ascii="David" w:eastAsia="Calibri" w:hAnsi="David" w:hint="cs"/>
          <w:rtl/>
        </w:rPr>
        <w:t xml:space="preserve">משתנה </w:t>
      </w:r>
      <w:r w:rsidRPr="00AA5065">
        <w:rPr>
          <w:rFonts w:ascii="David" w:eastAsia="Calibri" w:hAnsi="David" w:hint="eastAsia"/>
          <w:rtl/>
        </w:rPr>
        <w:t>מיקוד</w:t>
      </w:r>
      <w:r w:rsidRPr="00AA5065">
        <w:rPr>
          <w:rFonts w:ascii="David" w:eastAsia="Calibri" w:hAnsi="David"/>
          <w:rtl/>
        </w:rPr>
        <w:t xml:space="preserve"> </w:t>
      </w:r>
      <w:r w:rsidRPr="00AA5065">
        <w:rPr>
          <w:rFonts w:ascii="David" w:eastAsia="Calibri" w:hAnsi="David" w:hint="eastAsia"/>
          <w:rtl/>
        </w:rPr>
        <w:t>המשטרה</w:t>
      </w:r>
      <w:r w:rsidRPr="00AA5065">
        <w:rPr>
          <w:rFonts w:ascii="David" w:eastAsia="Calibri" w:hAnsi="David"/>
          <w:rtl/>
        </w:rPr>
        <w:t xml:space="preserve"> </w:t>
      </w:r>
      <w:r w:rsidRPr="00AA5065">
        <w:rPr>
          <w:rFonts w:ascii="David" w:eastAsia="Calibri" w:hAnsi="David" w:hint="eastAsia"/>
          <w:rtl/>
        </w:rPr>
        <w:t>בסלי</w:t>
      </w:r>
      <w:r w:rsidRPr="00AA5065">
        <w:rPr>
          <w:rFonts w:ascii="David" w:eastAsia="Calibri" w:hAnsi="David"/>
          <w:rtl/>
        </w:rPr>
        <w:t xml:space="preserve"> </w:t>
      </w:r>
      <w:r w:rsidRPr="00AA5065">
        <w:rPr>
          <w:rFonts w:ascii="David" w:eastAsia="Calibri" w:hAnsi="David" w:hint="eastAsia"/>
          <w:rtl/>
        </w:rPr>
        <w:t>עבירות</w:t>
      </w:r>
      <w:r w:rsidRPr="00AA5065">
        <w:rPr>
          <w:rFonts w:ascii="David" w:eastAsia="Calibri" w:hAnsi="David" w:hint="cs"/>
          <w:rtl/>
        </w:rPr>
        <w:t>,</w:t>
      </w:r>
      <w:r w:rsidRPr="00AA5065">
        <w:rPr>
          <w:rFonts w:ascii="David" w:eastAsia="Calibri" w:hAnsi="David"/>
          <w:rtl/>
        </w:rPr>
        <w:t xml:space="preserve"> </w:t>
      </w:r>
      <w:r w:rsidRPr="00AA5065">
        <w:rPr>
          <w:rFonts w:ascii="David" w:eastAsia="Calibri" w:hAnsi="David" w:hint="eastAsia"/>
          <w:rtl/>
        </w:rPr>
        <w:t>בעקבות</w:t>
      </w:r>
      <w:r w:rsidRPr="00AA5065">
        <w:rPr>
          <w:rFonts w:ascii="David" w:eastAsia="Calibri" w:hAnsi="David"/>
          <w:rtl/>
        </w:rPr>
        <w:t xml:space="preserve"> </w:t>
      </w:r>
      <w:r w:rsidRPr="00AA5065">
        <w:rPr>
          <w:rFonts w:ascii="David" w:eastAsia="Calibri" w:hAnsi="David" w:hint="eastAsia"/>
          <w:rtl/>
        </w:rPr>
        <w:t>הערכות</w:t>
      </w:r>
      <w:r w:rsidRPr="00AA5065">
        <w:rPr>
          <w:rFonts w:ascii="David" w:eastAsia="Calibri" w:hAnsi="David"/>
          <w:rtl/>
        </w:rPr>
        <w:t xml:space="preserve"> </w:t>
      </w:r>
      <w:r w:rsidRPr="00AA5065">
        <w:rPr>
          <w:rFonts w:ascii="David" w:eastAsia="Calibri" w:hAnsi="David" w:hint="eastAsia"/>
          <w:rtl/>
        </w:rPr>
        <w:t>מצב</w:t>
      </w:r>
      <w:r w:rsidRPr="00AA5065">
        <w:rPr>
          <w:rFonts w:ascii="David" w:eastAsia="Calibri" w:hAnsi="David"/>
          <w:rtl/>
        </w:rPr>
        <w:t xml:space="preserve"> </w:t>
      </w:r>
      <w:r w:rsidRPr="00AA5065">
        <w:rPr>
          <w:rFonts w:ascii="David" w:eastAsia="Calibri" w:hAnsi="David" w:hint="eastAsia"/>
          <w:rtl/>
        </w:rPr>
        <w:t>ועל</w:t>
      </w:r>
      <w:r w:rsidRPr="00AA5065">
        <w:rPr>
          <w:rFonts w:ascii="David" w:eastAsia="Calibri" w:hAnsi="David"/>
          <w:rtl/>
        </w:rPr>
        <w:t xml:space="preserve"> </w:t>
      </w:r>
      <w:r w:rsidRPr="00AA5065">
        <w:rPr>
          <w:rFonts w:ascii="David" w:eastAsia="Calibri" w:hAnsi="David" w:hint="eastAsia"/>
          <w:rtl/>
        </w:rPr>
        <w:t>פי</w:t>
      </w:r>
      <w:r w:rsidRPr="00AA5065">
        <w:rPr>
          <w:rFonts w:ascii="David" w:eastAsia="Calibri" w:hAnsi="David"/>
          <w:rtl/>
        </w:rPr>
        <w:t xml:space="preserve"> </w:t>
      </w:r>
      <w:r w:rsidRPr="00AA5065">
        <w:rPr>
          <w:rFonts w:ascii="David" w:eastAsia="Calibri" w:hAnsi="David" w:hint="eastAsia"/>
          <w:rtl/>
        </w:rPr>
        <w:t>ניתוח</w:t>
      </w:r>
      <w:r w:rsidRPr="00AA5065">
        <w:rPr>
          <w:rFonts w:ascii="David" w:eastAsia="Calibri" w:hAnsi="David"/>
          <w:rtl/>
        </w:rPr>
        <w:t xml:space="preserve"> </w:t>
      </w:r>
      <w:r w:rsidRPr="00AA5065">
        <w:rPr>
          <w:rFonts w:ascii="David" w:eastAsia="Calibri" w:hAnsi="David" w:hint="eastAsia"/>
          <w:rtl/>
        </w:rPr>
        <w:t>הסיבות</w:t>
      </w:r>
      <w:r w:rsidRPr="00AA5065">
        <w:rPr>
          <w:rFonts w:ascii="David" w:eastAsia="Calibri" w:hAnsi="David"/>
          <w:rtl/>
        </w:rPr>
        <w:t xml:space="preserve"> </w:t>
      </w:r>
      <w:r w:rsidRPr="00AA5065">
        <w:rPr>
          <w:rFonts w:ascii="David" w:eastAsia="Calibri" w:hAnsi="David" w:hint="eastAsia"/>
          <w:rtl/>
        </w:rPr>
        <w:t>לתאונ</w:t>
      </w:r>
      <w:r w:rsidRPr="00AA5065">
        <w:rPr>
          <w:rFonts w:ascii="David" w:eastAsia="Calibri" w:hAnsi="David" w:hint="cs"/>
          <w:rtl/>
        </w:rPr>
        <w:t>ות</w:t>
      </w:r>
      <w:r w:rsidRPr="00AA5065">
        <w:rPr>
          <w:rFonts w:ascii="David" w:eastAsia="Calibri" w:hAnsi="David"/>
          <w:rtl/>
        </w:rPr>
        <w:t xml:space="preserve"> ועל כן יש קושי לה</w:t>
      </w:r>
      <w:r w:rsidRPr="00AA5065">
        <w:rPr>
          <w:rFonts w:ascii="David" w:eastAsia="Calibri" w:hAnsi="David" w:hint="cs"/>
          <w:rtl/>
        </w:rPr>
        <w:t>ש</w:t>
      </w:r>
      <w:r w:rsidRPr="00AA5065">
        <w:rPr>
          <w:rFonts w:ascii="David" w:eastAsia="Calibri" w:hAnsi="David" w:hint="eastAsia"/>
          <w:rtl/>
        </w:rPr>
        <w:t>וות</w:t>
      </w:r>
      <w:r w:rsidRPr="00AA5065">
        <w:rPr>
          <w:rFonts w:ascii="David" w:eastAsia="Calibri" w:hAnsi="David"/>
          <w:rtl/>
        </w:rPr>
        <w:t xml:space="preserve"> </w:t>
      </w:r>
      <w:r w:rsidRPr="00AA5065">
        <w:rPr>
          <w:rFonts w:ascii="David" w:eastAsia="Calibri" w:hAnsi="David" w:hint="eastAsia"/>
          <w:rtl/>
        </w:rPr>
        <w:t>בין</w:t>
      </w:r>
      <w:r w:rsidRPr="00AA5065">
        <w:rPr>
          <w:rFonts w:ascii="David" w:eastAsia="Calibri" w:hAnsi="David"/>
          <w:rtl/>
        </w:rPr>
        <w:t xml:space="preserve"> </w:t>
      </w:r>
      <w:r w:rsidRPr="00AA5065">
        <w:rPr>
          <w:rFonts w:ascii="David" w:eastAsia="Calibri" w:hAnsi="David" w:hint="eastAsia"/>
          <w:rtl/>
        </w:rPr>
        <w:t>התקופות</w:t>
      </w:r>
      <w:r w:rsidRPr="00AA5065">
        <w:rPr>
          <w:rFonts w:ascii="David" w:eastAsia="Calibri" w:hAnsi="David"/>
          <w:rtl/>
        </w:rPr>
        <w:t>.</w:t>
      </w:r>
    </w:p>
    <w:p w:rsidR="00246618" w:rsidRPr="00AA5065" w:rsidP="00860D89">
      <w:pPr>
        <w:spacing w:line="269" w:lineRule="auto"/>
        <w:ind w:left="312"/>
        <w:rPr>
          <w:rFonts w:ascii="David" w:eastAsia="Calibri" w:hAnsi="David"/>
          <w:rtl/>
        </w:rPr>
      </w:pPr>
    </w:p>
    <w:p w:rsidR="00AA5065" w:rsidRPr="00AA5065" w:rsidP="00246618">
      <w:pPr>
        <w:keepNext/>
        <w:keepLines/>
        <w:spacing w:before="120" w:line="269" w:lineRule="auto"/>
        <w:outlineLvl w:val="2"/>
        <w:rPr>
          <w:rFonts w:eastAsia="Times New Roman"/>
          <w:bCs/>
          <w:szCs w:val="28"/>
          <w:u w:val="single"/>
          <w:rtl/>
        </w:rPr>
      </w:pPr>
      <w:bookmarkStart w:id="113" w:name="_Hlk204855460"/>
      <w:bookmarkEnd w:id="112"/>
      <w:r w:rsidRPr="00AA5065">
        <w:rPr>
          <w:rFonts w:eastAsia="Times New Roman" w:hint="cs"/>
          <w:bCs/>
          <w:szCs w:val="28"/>
          <w:u w:val="single"/>
          <w:rtl/>
        </w:rPr>
        <w:t>העסקת קטינים ברחבי הנגב</w:t>
      </w:r>
      <w:bookmarkEnd w:id="113"/>
    </w:p>
    <w:p w:rsidR="00AA5065" w:rsidRPr="00AA5065" w:rsidP="00860D89">
      <w:pPr>
        <w:spacing w:line="269" w:lineRule="auto"/>
        <w:rPr>
          <w:rFonts w:eastAsia="Calibri"/>
          <w:rtl/>
        </w:rPr>
      </w:pPr>
    </w:p>
    <w:p w:rsidR="00AA5065" w:rsidRPr="00AA5065" w:rsidP="008A45FE">
      <w:pPr>
        <w:pStyle w:val="Heading7"/>
        <w:rPr>
          <w:rFonts w:eastAsia="Times New Roman"/>
          <w:rtl/>
        </w:rPr>
      </w:pPr>
      <w:r w:rsidRPr="00AA5065">
        <w:rPr>
          <w:rFonts w:eastAsia="Times New Roman" w:hint="cs"/>
          <w:rtl/>
        </w:rPr>
        <w:t>הנושא המפורט להלן נבדק לראשונה במסגרת ביקורת זו</w:t>
      </w:r>
      <w:r w:rsidR="00F8025B">
        <w:rPr>
          <w:rFonts w:eastAsia="Times New Roman"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חוק עבודת הנוער</w:t>
      </w:r>
      <w:r w:rsidRPr="00AA5065">
        <w:rPr>
          <w:rFonts w:eastAsia="Calibri" w:hint="cs"/>
          <w:rtl/>
        </w:rPr>
        <w:t>,</w:t>
      </w:r>
      <w:r w:rsidRPr="00AA5065">
        <w:rPr>
          <w:rFonts w:eastAsia="Calibri"/>
          <w:rtl/>
        </w:rPr>
        <w:t xml:space="preserve"> התשי"ג-1953</w:t>
      </w:r>
      <w:r w:rsidRPr="00AA5065">
        <w:rPr>
          <w:rFonts w:eastAsia="Calibri" w:hint="cs"/>
          <w:rtl/>
        </w:rPr>
        <w:t>, מסדיר</w:t>
      </w:r>
      <w:r w:rsidRPr="00AA5065">
        <w:rPr>
          <w:rFonts w:eastAsia="Calibri"/>
          <w:rtl/>
        </w:rPr>
        <w:t xml:space="preserve"> </w:t>
      </w:r>
      <w:r w:rsidRPr="00AA5065">
        <w:rPr>
          <w:rFonts w:eastAsia="Calibri" w:hint="cs"/>
          <w:rtl/>
        </w:rPr>
        <w:t>את כללי ההעסקה של הנוער במדינת ישראל.</w:t>
      </w:r>
      <w:r w:rsidRPr="00AA5065">
        <w:rPr>
          <w:rFonts w:eastAsia="Calibri"/>
          <w:rtl/>
        </w:rPr>
        <w:t xml:space="preserve"> בחוק </w:t>
      </w:r>
      <w:r w:rsidRPr="00AA5065">
        <w:rPr>
          <w:rFonts w:eastAsia="Calibri" w:hint="cs"/>
          <w:rtl/>
        </w:rPr>
        <w:t xml:space="preserve">זה נקבע </w:t>
      </w:r>
      <w:r w:rsidRPr="00AA5065">
        <w:rPr>
          <w:rFonts w:eastAsia="Calibri"/>
          <w:rtl/>
        </w:rPr>
        <w:t>הגיל המ</w:t>
      </w:r>
      <w:r w:rsidRPr="00AA5065">
        <w:rPr>
          <w:rFonts w:eastAsia="Calibri" w:hint="cs"/>
          <w:rtl/>
        </w:rPr>
        <w:t>זערי</w:t>
      </w:r>
      <w:r w:rsidRPr="00AA5065">
        <w:rPr>
          <w:rFonts w:eastAsia="Calibri"/>
          <w:rtl/>
        </w:rPr>
        <w:t xml:space="preserve"> להעסקת ילדים, איסור עבודה בלילה, </w:t>
      </w:r>
      <w:r w:rsidRPr="00AA5065">
        <w:rPr>
          <w:rFonts w:eastAsia="Calibri" w:hint="cs"/>
          <w:rtl/>
        </w:rPr>
        <w:t>ה</w:t>
      </w:r>
      <w:r w:rsidRPr="00AA5065">
        <w:rPr>
          <w:rFonts w:eastAsia="Calibri"/>
          <w:rtl/>
        </w:rPr>
        <w:t xml:space="preserve">עבודות </w:t>
      </w:r>
      <w:r w:rsidRPr="00AA5065">
        <w:rPr>
          <w:rFonts w:eastAsia="Calibri" w:hint="cs"/>
          <w:rtl/>
        </w:rPr>
        <w:t>ה</w:t>
      </w:r>
      <w:r w:rsidRPr="00AA5065">
        <w:rPr>
          <w:rFonts w:eastAsia="Calibri"/>
          <w:rtl/>
        </w:rPr>
        <w:t xml:space="preserve">אסורות להעסקת נוער ועוד. </w:t>
      </w:r>
      <w:r w:rsidRPr="00AA5065">
        <w:rPr>
          <w:rFonts w:eastAsia="Calibri" w:hint="cs"/>
          <w:rtl/>
        </w:rPr>
        <w:t>הוראות העונשין</w:t>
      </w:r>
      <w:r>
        <w:rPr>
          <w:rFonts w:eastAsia="Calibri"/>
          <w:vertAlign w:val="superscript"/>
          <w:rtl/>
        </w:rPr>
        <w:footnoteReference w:id="137"/>
      </w:r>
      <w:r w:rsidRPr="00AA5065">
        <w:rPr>
          <w:rFonts w:eastAsia="Calibri" w:hint="cs"/>
          <w:rtl/>
        </w:rPr>
        <w:t xml:space="preserve"> המנויות בחוק זה</w:t>
      </w:r>
      <w:r w:rsidRPr="00AA5065">
        <w:rPr>
          <w:rFonts w:eastAsia="Calibri"/>
          <w:rtl/>
        </w:rPr>
        <w:t xml:space="preserve"> כוללות ענישה פלילית, והעבירות עליו נאכפות</w:t>
      </w:r>
      <w:r w:rsidRPr="00AA5065">
        <w:rPr>
          <w:rFonts w:eastAsia="Calibri" w:hint="cs"/>
          <w:rtl/>
        </w:rPr>
        <w:t>, בין היתר,</w:t>
      </w:r>
      <w:r w:rsidRPr="00AA5065">
        <w:rPr>
          <w:rFonts w:eastAsia="Calibri"/>
          <w:rtl/>
        </w:rPr>
        <w:t xml:space="preserve"> על ידי </w:t>
      </w:r>
      <w:r w:rsidRPr="00AA5065">
        <w:rPr>
          <w:rFonts w:eastAsia="Calibri" w:hint="cs"/>
          <w:rtl/>
        </w:rPr>
        <w:t>האגף</w:t>
      </w:r>
      <w:r w:rsidRPr="00AA5065">
        <w:rPr>
          <w:rFonts w:eastAsia="Calibri"/>
          <w:rtl/>
        </w:rPr>
        <w:t xml:space="preserve"> </w:t>
      </w:r>
      <w:r w:rsidRPr="00AA5065">
        <w:rPr>
          <w:rFonts w:eastAsia="Calibri" w:hint="cs"/>
          <w:rtl/>
        </w:rPr>
        <w:t>ל</w:t>
      </w:r>
      <w:r w:rsidRPr="00AA5065">
        <w:rPr>
          <w:rFonts w:eastAsia="Calibri"/>
          <w:rtl/>
        </w:rPr>
        <w:t>אכיפה פלילית</w:t>
      </w:r>
      <w:r w:rsidRPr="00AA5065">
        <w:rPr>
          <w:rFonts w:eastAsia="Calibri" w:hint="cs"/>
          <w:rtl/>
        </w:rPr>
        <w:t xml:space="preserve"> במינהל הסדרה ואכיפת חוקי עבודה</w:t>
      </w:r>
      <w:r w:rsidRPr="00AA5065">
        <w:rPr>
          <w:rFonts w:eastAsia="Calibri"/>
          <w:rtl/>
        </w:rPr>
        <w:t xml:space="preserve"> </w:t>
      </w:r>
      <w:r w:rsidRPr="00AA5065">
        <w:rPr>
          <w:rFonts w:eastAsia="Calibri" w:hint="cs"/>
          <w:rtl/>
        </w:rPr>
        <w:t>ב</w:t>
      </w:r>
      <w:r w:rsidRPr="00AA5065">
        <w:rPr>
          <w:rFonts w:eastAsia="Calibri"/>
          <w:rtl/>
        </w:rPr>
        <w:t xml:space="preserve">משרד העבודה. </w:t>
      </w:r>
      <w:r w:rsidRPr="00AA5065">
        <w:rPr>
          <w:rFonts w:eastAsia="Calibri" w:hint="cs"/>
          <w:rtl/>
        </w:rPr>
        <w:t xml:space="preserve">המעסיקים השונים במדינת ישראל מחויבים להגנה על הילדים והנוער המועסקים על ידם הן מתוקף החקיקה במדינה והן </w:t>
      </w:r>
      <w:r w:rsidRPr="00AA5065">
        <w:rPr>
          <w:rFonts w:eastAsia="Calibri"/>
          <w:rtl/>
        </w:rPr>
        <w:t>מתוקף אמנות בי</w:t>
      </w:r>
      <w:r w:rsidRPr="00AA5065">
        <w:rPr>
          <w:rFonts w:eastAsia="Calibri" w:hint="cs"/>
          <w:rtl/>
        </w:rPr>
        <w:t>ן-</w:t>
      </w:r>
      <w:r w:rsidRPr="00AA5065">
        <w:rPr>
          <w:rFonts w:eastAsia="Calibri"/>
          <w:rtl/>
        </w:rPr>
        <w:t xml:space="preserve">לאומיות שונות </w:t>
      </w:r>
      <w:r w:rsidRPr="00AA5065">
        <w:rPr>
          <w:rFonts w:eastAsia="Calibri" w:hint="cs"/>
          <w:rtl/>
        </w:rPr>
        <w:t>שלהן מדינת ישראל כפופה</w:t>
      </w:r>
      <w:r w:rsidRPr="00AA5065">
        <w:rPr>
          <w:rFonts w:eastAsia="Calibri"/>
          <w:rtl/>
        </w:rPr>
        <w:t xml:space="preserve">. </w:t>
      </w:r>
      <w:r w:rsidRPr="00AA5065">
        <w:rPr>
          <w:rFonts w:eastAsia="Calibri" w:hint="cs"/>
          <w:rtl/>
        </w:rPr>
        <w:t xml:space="preserve">יצוין כי </w:t>
      </w:r>
      <w:r w:rsidRPr="00AA5065">
        <w:rPr>
          <w:rFonts w:eastAsia="Calibri"/>
          <w:rtl/>
        </w:rPr>
        <w:t xml:space="preserve">הפרות חמורות של זכויות ושלילת חירות במסגרת עבודת ילדים </w:t>
      </w:r>
      <w:r w:rsidRPr="00AA5065">
        <w:rPr>
          <w:rFonts w:eastAsia="Calibri" w:hint="cs"/>
          <w:rtl/>
        </w:rPr>
        <w:t>עשויות</w:t>
      </w:r>
      <w:r w:rsidRPr="00AA5065">
        <w:rPr>
          <w:rFonts w:eastAsia="Calibri"/>
          <w:rtl/>
        </w:rPr>
        <w:t xml:space="preserve"> במקרים </w:t>
      </w:r>
      <w:r w:rsidRPr="00AA5065">
        <w:rPr>
          <w:rFonts w:eastAsia="Calibri" w:hint="cs"/>
          <w:rtl/>
        </w:rPr>
        <w:t>קיצוניים</w:t>
      </w:r>
      <w:r w:rsidRPr="00AA5065">
        <w:rPr>
          <w:rFonts w:eastAsia="Calibri"/>
          <w:rtl/>
        </w:rPr>
        <w:t xml:space="preserve"> </w:t>
      </w:r>
      <w:r w:rsidRPr="00AA5065" w:rsidR="00A35299">
        <w:rPr>
          <w:rFonts w:eastAsia="Calibri" w:hint="cs"/>
          <w:rtl/>
        </w:rPr>
        <w:t>להיחש</w:t>
      </w:r>
      <w:r w:rsidRPr="00AA5065" w:rsidR="00A35299">
        <w:rPr>
          <w:rFonts w:eastAsia="Calibri" w:hint="eastAsia"/>
          <w:rtl/>
        </w:rPr>
        <w:t>ב</w:t>
      </w:r>
      <w:r w:rsidRPr="00AA5065">
        <w:rPr>
          <w:rFonts w:eastAsia="Calibri"/>
          <w:rtl/>
        </w:rPr>
        <w:t xml:space="preserve"> </w:t>
      </w:r>
      <w:r w:rsidRPr="00AA5065">
        <w:rPr>
          <w:rFonts w:eastAsia="Calibri" w:hint="cs"/>
          <w:rtl/>
        </w:rPr>
        <w:t>ל</w:t>
      </w:r>
      <w:r w:rsidRPr="00AA5065">
        <w:rPr>
          <w:rFonts w:eastAsia="Calibri"/>
          <w:rtl/>
        </w:rPr>
        <w:t>עבירות של סחר בבני אדם, החזקה בתנאי עבדות או עבודת כפייה. עבירות אלה מצויות בסמכות משטרת ישראל</w:t>
      </w:r>
      <w:r w:rsidRPr="00AA5065">
        <w:rPr>
          <w:rFonts w:eastAsia="Calibri" w:hint="cs"/>
          <w:rtl/>
        </w:rPr>
        <w:t>;</w:t>
      </w:r>
      <w:r w:rsidRPr="00AA5065">
        <w:rPr>
          <w:rFonts w:eastAsia="Calibri"/>
          <w:rtl/>
        </w:rPr>
        <w:t xml:space="preserve"> לגבי העבירות של סחר בבני אדם והחזקה בתנאי עבדות, קיימת נסיבה מחמירה כאשר הן מבוצעות ‏כלפי קטין - נסיבה המעלה את רף הענישה המרבי מ-16 ל-20 שנות מאסר.‏</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בדוח מבקר המדינה שפורסם במאי 2023 בנושא "הטיפול הממשלתי ב</w:t>
      </w:r>
      <w:r w:rsidRPr="00AA5065">
        <w:rPr>
          <w:rFonts w:eastAsia="Calibri" w:hint="eastAsia"/>
          <w:rtl/>
        </w:rPr>
        <w:t>חוסר</w:t>
      </w:r>
      <w:r w:rsidRPr="00AA5065">
        <w:rPr>
          <w:rFonts w:eastAsia="Calibri" w:hint="cs"/>
          <w:rtl/>
        </w:rPr>
        <w:t xml:space="preserve"> מעש בקרב צעירים בחברה הערבית"</w:t>
      </w:r>
      <w:r>
        <w:rPr>
          <w:rFonts w:eastAsia="Calibri"/>
          <w:vertAlign w:val="superscript"/>
          <w:rtl/>
        </w:rPr>
        <w:footnoteReference w:id="138"/>
      </w:r>
      <w:r w:rsidRPr="00AA5065">
        <w:rPr>
          <w:rFonts w:eastAsia="Calibri" w:hint="cs"/>
          <w:rtl/>
        </w:rPr>
        <w:t xml:space="preserve"> צוין כי "</w:t>
      </w:r>
      <w:r w:rsidRPr="00AA5065">
        <w:rPr>
          <w:rFonts w:eastAsia="Calibri"/>
          <w:rtl/>
        </w:rPr>
        <w:t>ארגון ה-</w:t>
      </w:r>
      <w:r w:rsidRPr="00AA5065">
        <w:rPr>
          <w:rFonts w:eastAsia="Calibri"/>
        </w:rPr>
        <w:t>OECD</w:t>
      </w:r>
      <w:r w:rsidRPr="00AA5065">
        <w:rPr>
          <w:rFonts w:eastAsia="Calibri"/>
          <w:rtl/>
        </w:rPr>
        <w:t xml:space="preserve"> הגדיר חוסר מעש בקרב צעירים מצב שבו הצעירים אינם לומדים, עובדים או</w:t>
      </w:r>
      <w:r w:rsidRPr="00AA5065">
        <w:rPr>
          <w:rFonts w:eastAsia="Calibri" w:hint="cs"/>
          <w:rtl/>
        </w:rPr>
        <w:t xml:space="preserve"> </w:t>
      </w:r>
      <w:r w:rsidRPr="00AA5065">
        <w:rPr>
          <w:rFonts w:eastAsia="Calibri"/>
          <w:rtl/>
        </w:rPr>
        <w:t xml:space="preserve">נמצאים בהכשרה מקצועית </w:t>
      </w:r>
      <w:r w:rsidRPr="00AA5065">
        <w:rPr>
          <w:rFonts w:eastAsia="Calibri" w:hint="cs"/>
          <w:rtl/>
        </w:rPr>
        <w:t>(</w:t>
      </w:r>
      <w:r w:rsidRPr="00AA5065">
        <w:rPr>
          <w:rFonts w:eastAsia="Calibri"/>
          <w:rtl/>
        </w:rPr>
        <w:t>חוסר מעש</w:t>
      </w:r>
      <w:r w:rsidRPr="00AA5065">
        <w:rPr>
          <w:rFonts w:eastAsia="Calibri" w:hint="cs"/>
          <w:rtl/>
        </w:rPr>
        <w:t>)..</w:t>
      </w:r>
      <w:r w:rsidRPr="00AA5065">
        <w:rPr>
          <w:rFonts w:eastAsia="Calibri"/>
          <w:rtl/>
        </w:rPr>
        <w:t>.</w:t>
      </w:r>
      <w:r w:rsidRPr="00AA5065">
        <w:rPr>
          <w:rFonts w:eastAsia="Calibri" w:hint="cs"/>
          <w:rtl/>
        </w:rPr>
        <w:t xml:space="preserve"> </w:t>
      </w:r>
      <w:r w:rsidRPr="00AA5065">
        <w:rPr>
          <w:rFonts w:eastAsia="Calibri"/>
          <w:rtl/>
        </w:rPr>
        <w:t>הפער בשיעור חוסר המעש בין גברים ערבים</w:t>
      </w:r>
      <w:r w:rsidRPr="00AA5065">
        <w:rPr>
          <w:rFonts w:eastAsia="Calibri" w:hint="cs"/>
          <w:rtl/>
        </w:rPr>
        <w:t xml:space="preserve"> </w:t>
      </w:r>
      <w:r w:rsidRPr="00AA5065">
        <w:rPr>
          <w:rFonts w:eastAsia="Calibri"/>
          <w:rtl/>
        </w:rPr>
        <w:t>צעירים ובין גברים יהודים צעירים גדל בשנים האחרונות מ-6% בתחילת שנת 2015 ל-11% בסוף</w:t>
      </w:r>
      <w:r w:rsidRPr="00AA5065">
        <w:rPr>
          <w:rFonts w:eastAsia="Calibri" w:hint="cs"/>
          <w:rtl/>
        </w:rPr>
        <w:t xml:space="preserve"> </w:t>
      </w:r>
      <w:r w:rsidRPr="00AA5065">
        <w:rPr>
          <w:rFonts w:eastAsia="Calibri"/>
          <w:rtl/>
        </w:rPr>
        <w:t>שנת 2021</w:t>
      </w:r>
      <w:r w:rsidRPr="00AA5065">
        <w:rPr>
          <w:rFonts w:eastAsia="Calibri" w:hint="cs"/>
          <w:rtl/>
        </w:rPr>
        <w:t xml:space="preserve">. </w:t>
      </w:r>
      <w:r w:rsidRPr="00AA5065">
        <w:rPr>
          <w:rFonts w:eastAsia="Calibri"/>
          <w:rtl/>
        </w:rPr>
        <w:t>חוסר המעש משפיע גם על שיעורי הפשיעה באוכלוסיית הצעירים, בעיקר בקרב הגברים. נוסף</w:t>
      </w:r>
      <w:r w:rsidRPr="00AA5065">
        <w:rPr>
          <w:rFonts w:eastAsia="Calibri" w:hint="cs"/>
          <w:rtl/>
        </w:rPr>
        <w:t xml:space="preserve"> </w:t>
      </w:r>
      <w:r w:rsidRPr="00AA5065">
        <w:rPr>
          <w:rFonts w:eastAsia="Calibri"/>
          <w:rtl/>
        </w:rPr>
        <w:t>על כך, חוסר המעש פוגע בתחושת המסוגלות ובמיומנויות הבין-אישיות, גורם לדלדול הקשרים</w:t>
      </w:r>
      <w:r w:rsidRPr="00AA5065">
        <w:rPr>
          <w:rFonts w:eastAsia="Calibri" w:hint="cs"/>
          <w:rtl/>
        </w:rPr>
        <w:t xml:space="preserve"> </w:t>
      </w:r>
      <w:r w:rsidRPr="00AA5065">
        <w:rPr>
          <w:rFonts w:eastAsia="Calibri"/>
          <w:rtl/>
        </w:rPr>
        <w:t>החברתיים ולדיכאון, מטיל נטל כלכלי על המשפחה, וכן גורם לעומס על שירותי הרווחה</w:t>
      </w:r>
      <w:r w:rsidRPr="00AA5065">
        <w:rPr>
          <w:rFonts w:eastAsia="Calibri" w:hint="cs"/>
          <w:rtl/>
        </w:rPr>
        <w:t xml:space="preserve"> </w:t>
      </w:r>
      <w:r w:rsidRPr="00AA5065">
        <w:rPr>
          <w:rFonts w:eastAsia="Calibri"/>
          <w:rtl/>
        </w:rPr>
        <w:t>והשירותים הקהילתיים, לירידה בתחושת השייכות החברתית ולהגדלת העוני והפערים בחברה.</w:t>
      </w:r>
      <w:r w:rsidRPr="00AA5065">
        <w:rPr>
          <w:rFonts w:eastAsia="Calibri" w:hint="cs"/>
          <w:rtl/>
        </w:rPr>
        <w:t xml:space="preserve"> </w:t>
      </w:r>
      <w:r w:rsidRPr="00AA5065">
        <w:rPr>
          <w:rFonts w:eastAsia="Calibri"/>
          <w:rtl/>
        </w:rPr>
        <w:t>חוסר מעש בגיל צעיר מקושר לחוסר מעש בגילים בוגרים יותר. לפיכך, שילוב איכותי של</w:t>
      </w:r>
      <w:r w:rsidRPr="00AA5065">
        <w:rPr>
          <w:rFonts w:eastAsia="Calibri" w:hint="cs"/>
          <w:rtl/>
        </w:rPr>
        <w:t xml:space="preserve"> </w:t>
      </w:r>
      <w:r w:rsidRPr="00AA5065">
        <w:rPr>
          <w:rFonts w:eastAsia="Calibri"/>
          <w:rtl/>
        </w:rPr>
        <w:t>אוכלוסיית הצעירים בחברה הערבית בשוק העבודה, יש בכוחו כדי לצמצם פערים חברתיים-כלכליים ולשפר את הפריון של המשק הישראלי בכללותו</w:t>
      </w:r>
      <w:r w:rsidRPr="00AA5065">
        <w:rPr>
          <w:rFonts w:eastAsia="Calibri" w:hint="cs"/>
          <w:rtl/>
        </w:rPr>
        <w:t>"</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העובדה כי רבים מהילדים משתייכים למשפחות פוליגמיות מביאה לכך שרבים מהם מסתובבים בחוסר מעש או מוסללים לעבוד במקומות עבודה בניגוד לחוק, כפי שיתואר להלן.</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בהקשר זה יצוין כי בנספח י לדוח פלמור</w:t>
      </w:r>
      <w:r>
        <w:rPr>
          <w:rFonts w:eastAsia="Calibri"/>
          <w:vertAlign w:val="superscript"/>
          <w:rtl/>
        </w:rPr>
        <w:footnoteReference w:id="139"/>
      </w:r>
      <w:r w:rsidRPr="00AA5065">
        <w:rPr>
          <w:rFonts w:eastAsia="Calibri" w:hint="cs"/>
          <w:rtl/>
        </w:rPr>
        <w:t xml:space="preserve"> - מסמך שפורסם באוקטובר 2017 על ידי משרד הרווחה והשירותים החברתיים - נכתב כי "לפוליגמיה מספר השלכות רב מימדיות על תופעות חברתיות שליליות:...עליה בהיקף הילדים המצויים בסיכון ולעיתים אף בסכנה. ההערכה היא כי כ-40% מהילדים בסיכון הינם ממשפחות פוליגמיות והם בעיקר הילדים שנזנחים על ידי האב נוכח נישואיו הנוספים. ילדים אלו חיים בעוני מחפיר, מתקשים להגיע למסגרות חינוך ומצויים בהזנחה ובסיכון. עליה בהיקף של נערים ונערות בסיכון - אחוזי הנשירה הגבוהים ממסגרות החינוך מציבים את בני הנוער בחוסר מסגרת, במציאות של ריקנות ושעמום והעדר פעילות חלופית של תעסוקה או התנדבות. כתוצאה מכך, ישנם ביטויי עבריינות או נישואים בגיל צעיר, אשר הופכים לפתרון מצוי לצורך שייכות וגיבוש זהות מחודשת בשבט".</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בתקופת ביקורת המעקב נחשפו נציגי משרד מבקר המדינה לתופעה של קטינים המועסקים בעסקים שונים כדוגמת מכוני שטיפת רכבים ותחנות דלק פיראטיות. נוסף על כך, נציגים מהשלטון המקומי, מהמשטרה ומגופי הגנת הסביבה ציינו בפניהם כי מדובר בתופעה נפוצה בקרב האוכלוסייה הבדואית בדרום, וכי להתהוותה של תופעה זו יש גורמים שונים ובכללם הצורך הכלכלי והמצוקה של המשפחות שמהן מגיעים קטינים אלו וכן תופעת הפוליגמיה באזור שמקשה לפקח על הקטינים ועל הגעתם לבתי הספר.</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rtl/>
        </w:rPr>
      </w:pPr>
      <w:r w:rsidRPr="00AA5065">
        <w:rPr>
          <w:rFonts w:eastAsia="Calibri" w:hint="cs"/>
          <w:b/>
          <w:rtl/>
        </w:rPr>
        <w:t>במסמך שנשלח ממינהל</w:t>
      </w:r>
      <w:r w:rsidRPr="00AA5065">
        <w:rPr>
          <w:rFonts w:eastAsia="Calibri"/>
          <w:b/>
          <w:rtl/>
        </w:rPr>
        <w:t xml:space="preserve"> האכיפה במשרד העבודה לפרקליטות בנושא </w:t>
      </w:r>
      <w:r w:rsidRPr="00AA5065">
        <w:rPr>
          <w:rFonts w:eastAsia="Calibri" w:hint="cs"/>
          <w:b/>
          <w:rtl/>
        </w:rPr>
        <w:t>"</w:t>
      </w:r>
      <w:r w:rsidRPr="00AA5065">
        <w:rPr>
          <w:rFonts w:eastAsia="Calibri"/>
          <w:b/>
          <w:rtl/>
        </w:rPr>
        <w:t xml:space="preserve">העסקת נוער </w:t>
      </w:r>
      <w:r w:rsidRPr="00AA5065">
        <w:rPr>
          <w:rFonts w:eastAsia="Calibri" w:hint="cs"/>
          <w:b/>
          <w:rtl/>
        </w:rPr>
        <w:t>-</w:t>
      </w:r>
      <w:r w:rsidRPr="00AA5065">
        <w:rPr>
          <w:rFonts w:eastAsia="Calibri"/>
          <w:b/>
          <w:rtl/>
        </w:rPr>
        <w:t xml:space="preserve"> תיקים מאגף האכיפה הפלילית</w:t>
      </w:r>
      <w:r w:rsidRPr="00AA5065">
        <w:rPr>
          <w:rFonts w:eastAsia="Calibri" w:hint="cs"/>
          <w:bCs/>
          <w:rtl/>
        </w:rPr>
        <w:t xml:space="preserve">" </w:t>
      </w:r>
      <w:r w:rsidRPr="00AA5065">
        <w:rPr>
          <w:rFonts w:eastAsia="Calibri" w:hint="eastAsia"/>
          <w:b/>
          <w:rtl/>
        </w:rPr>
        <w:t>מיום</w:t>
      </w:r>
      <w:r w:rsidRPr="00AA5065">
        <w:rPr>
          <w:rFonts w:eastAsia="Calibri"/>
          <w:b/>
          <w:rtl/>
        </w:rPr>
        <w:t xml:space="preserve"> 28.5.18 </w:t>
      </w:r>
      <w:r w:rsidRPr="00AA5065">
        <w:rPr>
          <w:rFonts w:eastAsia="Calibri" w:hint="eastAsia"/>
          <w:b/>
          <w:rtl/>
        </w:rPr>
        <w:t>צוינו</w:t>
      </w:r>
      <w:r w:rsidRPr="00AA5065">
        <w:rPr>
          <w:rFonts w:eastAsia="Calibri"/>
          <w:b/>
          <w:rtl/>
        </w:rPr>
        <w:t xml:space="preserve"> </w:t>
      </w:r>
      <w:r w:rsidRPr="00AA5065">
        <w:rPr>
          <w:rFonts w:eastAsia="Calibri" w:hint="eastAsia"/>
          <w:b/>
          <w:rtl/>
        </w:rPr>
        <w:t>המקרים</w:t>
      </w:r>
      <w:r w:rsidRPr="00AA5065">
        <w:rPr>
          <w:rFonts w:eastAsia="Calibri"/>
          <w:b/>
          <w:rtl/>
        </w:rPr>
        <w:t xml:space="preserve"> </w:t>
      </w:r>
      <w:r w:rsidRPr="00AA5065">
        <w:rPr>
          <w:rFonts w:eastAsia="Calibri" w:hint="eastAsia"/>
          <w:b/>
          <w:rtl/>
        </w:rPr>
        <w:t>ה</w:t>
      </w:r>
      <w:r w:rsidRPr="00AA5065">
        <w:rPr>
          <w:rFonts w:eastAsia="Calibri" w:hint="cs"/>
          <w:b/>
          <w:rtl/>
        </w:rPr>
        <w:t>אלה</w:t>
      </w:r>
      <w:r w:rsidRPr="00AA5065">
        <w:rPr>
          <w:rFonts w:ascii="David" w:eastAsia="Calibri" w:hAnsi="David"/>
          <w:b/>
          <w:rtl/>
        </w:rPr>
        <w:t>:</w:t>
      </w:r>
    </w:p>
    <w:p w:rsidR="00AA5065" w:rsidRPr="00AA5065" w:rsidP="00860D89">
      <w:pPr>
        <w:spacing w:line="269" w:lineRule="auto"/>
        <w:ind w:left="-567"/>
        <w:rPr>
          <w:rFonts w:eastAsia="Calibri"/>
          <w:szCs w:val="20"/>
          <w:rtl/>
        </w:rPr>
      </w:pPr>
    </w:p>
    <w:p w:rsidR="00AA5065" w:rsidRPr="00AA5065" w:rsidP="00246618">
      <w:pPr>
        <w:numPr>
          <w:ilvl w:val="6"/>
          <w:numId w:val="20"/>
        </w:numPr>
        <w:spacing w:after="120" w:line="269" w:lineRule="auto"/>
        <w:ind w:left="312"/>
        <w:jc w:val="left"/>
        <w:rPr>
          <w:rFonts w:ascii="David" w:eastAsia="Calibri" w:hAnsi="David"/>
          <w:rtl/>
        </w:rPr>
      </w:pPr>
      <w:r w:rsidRPr="00AA5065">
        <w:rPr>
          <w:rFonts w:ascii="David" w:eastAsia="Calibri" w:hAnsi="David"/>
          <w:rtl/>
        </w:rPr>
        <w:t>במשחטת עופות גדולה באור יהודה נמצאה קבוצה של 51 ילדים בדואים תושבי רהט,</w:t>
      </w:r>
      <w:r w:rsidRPr="00AA5065">
        <w:rPr>
          <w:rFonts w:ascii="David" w:eastAsia="Calibri" w:hAnsi="David" w:hint="cs"/>
          <w:rtl/>
        </w:rPr>
        <w:t xml:space="preserve"> </w:t>
      </w:r>
      <w:r w:rsidRPr="00AA5065">
        <w:rPr>
          <w:rFonts w:ascii="David" w:eastAsia="Calibri" w:hAnsi="David"/>
          <w:rtl/>
        </w:rPr>
        <w:t>בשעה 3</w:t>
      </w:r>
      <w:r w:rsidRPr="00AA5065">
        <w:rPr>
          <w:rFonts w:ascii="David" w:eastAsia="Calibri" w:hAnsi="David" w:hint="cs"/>
          <w:rtl/>
        </w:rPr>
        <w:t>:00</w:t>
      </w:r>
      <w:r w:rsidRPr="00AA5065">
        <w:rPr>
          <w:rFonts w:ascii="David" w:eastAsia="Calibri" w:hAnsi="David"/>
          <w:rtl/>
        </w:rPr>
        <w:t xml:space="preserve"> בבוקר, שעובדים בעבודות מסוכנות במפעל.</w:t>
      </w:r>
    </w:p>
    <w:p w:rsidR="00AA5065" w:rsidRPr="00AA5065" w:rsidP="00246618">
      <w:pPr>
        <w:numPr>
          <w:ilvl w:val="6"/>
          <w:numId w:val="20"/>
        </w:numPr>
        <w:spacing w:after="120" w:line="269" w:lineRule="auto"/>
        <w:ind w:left="312"/>
        <w:jc w:val="left"/>
        <w:rPr>
          <w:rFonts w:ascii="David" w:eastAsia="Calibri" w:hAnsi="David"/>
          <w:rtl/>
        </w:rPr>
      </w:pPr>
      <w:r w:rsidRPr="00AA5065">
        <w:rPr>
          <w:rFonts w:ascii="David" w:eastAsia="Calibri" w:hAnsi="David" w:hint="cs"/>
          <w:rtl/>
        </w:rPr>
        <w:t xml:space="preserve">בשדה בצל </w:t>
      </w:r>
      <w:r w:rsidRPr="00AA5065">
        <w:rPr>
          <w:rFonts w:ascii="David" w:eastAsia="Calibri" w:hAnsi="David"/>
          <w:rtl/>
        </w:rPr>
        <w:t xml:space="preserve">אותרו 18 עובדים קטינים (בנים ובנות </w:t>
      </w:r>
      <w:r w:rsidRPr="00AA5065">
        <w:rPr>
          <w:rFonts w:ascii="David" w:eastAsia="Calibri" w:hAnsi="David" w:hint="cs"/>
          <w:rtl/>
        </w:rPr>
        <w:t>מ</w:t>
      </w:r>
      <w:r w:rsidRPr="00AA5065">
        <w:rPr>
          <w:rFonts w:ascii="David" w:eastAsia="Calibri" w:hAnsi="David"/>
          <w:rtl/>
        </w:rPr>
        <w:t>המגזר הבדואי) בגיל</w:t>
      </w:r>
      <w:r w:rsidRPr="00AA5065">
        <w:rPr>
          <w:rFonts w:ascii="David" w:eastAsia="Calibri" w:hAnsi="David" w:hint="cs"/>
          <w:rtl/>
        </w:rPr>
        <w:t>י</w:t>
      </w:r>
      <w:r w:rsidRPr="00AA5065">
        <w:rPr>
          <w:rFonts w:ascii="David" w:eastAsia="Calibri" w:hAnsi="David"/>
          <w:rtl/>
        </w:rPr>
        <w:t xml:space="preserve"> 11</w:t>
      </w:r>
      <w:r w:rsidRPr="00AA5065">
        <w:rPr>
          <w:rFonts w:ascii="David" w:eastAsia="Calibri" w:hAnsi="David" w:hint="cs"/>
          <w:rtl/>
        </w:rPr>
        <w:t xml:space="preserve"> עד </w:t>
      </w:r>
      <w:r w:rsidRPr="00AA5065">
        <w:rPr>
          <w:rFonts w:ascii="David" w:eastAsia="Calibri" w:hAnsi="David"/>
          <w:rtl/>
        </w:rPr>
        <w:t xml:space="preserve">15, </w:t>
      </w:r>
      <w:r w:rsidRPr="00AA5065">
        <w:rPr>
          <w:rFonts w:ascii="David" w:eastAsia="Calibri" w:hAnsi="David" w:hint="cs"/>
          <w:rtl/>
        </w:rPr>
        <w:t>שעבדו</w:t>
      </w:r>
      <w:r w:rsidRPr="00AA5065">
        <w:rPr>
          <w:rFonts w:ascii="David" w:eastAsia="Calibri" w:hAnsi="David"/>
          <w:rtl/>
        </w:rPr>
        <w:t xml:space="preserve"> בקטיף בצל ו</w:t>
      </w:r>
      <w:r w:rsidRPr="00AA5065">
        <w:rPr>
          <w:rFonts w:ascii="David" w:eastAsia="Calibri" w:hAnsi="David" w:hint="cs"/>
          <w:rtl/>
        </w:rPr>
        <w:t>באריז</w:t>
      </w:r>
      <w:r w:rsidRPr="00AA5065">
        <w:rPr>
          <w:rFonts w:ascii="David" w:eastAsia="Calibri" w:hAnsi="David"/>
          <w:rtl/>
        </w:rPr>
        <w:t xml:space="preserve">תו בארגזים. </w:t>
      </w:r>
    </w:p>
    <w:p w:rsidR="00AA5065" w:rsidRPr="00AA5065" w:rsidP="00860D89">
      <w:pPr>
        <w:numPr>
          <w:ilvl w:val="6"/>
          <w:numId w:val="20"/>
        </w:numPr>
        <w:spacing w:line="269" w:lineRule="auto"/>
        <w:ind w:left="312"/>
        <w:jc w:val="left"/>
        <w:rPr>
          <w:rFonts w:ascii="David" w:eastAsia="Calibri" w:hAnsi="David"/>
          <w:rtl/>
        </w:rPr>
      </w:pPr>
      <w:r w:rsidRPr="00AA5065">
        <w:rPr>
          <w:rFonts w:ascii="David" w:eastAsia="Calibri" w:hAnsi="David"/>
          <w:rtl/>
        </w:rPr>
        <w:t xml:space="preserve">במפעל לתפוחי אדמה וגזרים בתחום המועצה </w:t>
      </w:r>
      <w:r w:rsidRPr="00AA5065">
        <w:rPr>
          <w:rFonts w:ascii="David" w:eastAsia="Calibri" w:hAnsi="David" w:hint="cs"/>
          <w:rtl/>
        </w:rPr>
        <w:t>ה</w:t>
      </w:r>
      <w:r w:rsidRPr="00AA5065">
        <w:rPr>
          <w:rFonts w:ascii="David" w:eastAsia="Calibri" w:hAnsi="David"/>
          <w:rtl/>
        </w:rPr>
        <w:t>אזורית בני שמעון בדרום נמצאו נערות מהמגזר הבדואי.</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David" w:eastAsia="Calibri" w:hAnsi="David" w:hint="cs"/>
          <w:rtl/>
        </w:rPr>
        <w:t>מפרוטוקולים של שתי ישיבות בין-משרדיות משנת 2018 אשר עסקו בנושא זה, בהשתתפות נציגים מהפרקליטות, משרד העבודה, בט</w:t>
      </w:r>
      <w:r w:rsidRPr="00AA5065">
        <w:rPr>
          <w:rFonts w:ascii="David" w:eastAsia="Calibri" w:hAnsi="David"/>
          <w:rtl/>
        </w:rPr>
        <w:t>"</w:t>
      </w:r>
      <w:r w:rsidRPr="00AA5065">
        <w:rPr>
          <w:rFonts w:ascii="David" w:eastAsia="Calibri" w:hAnsi="David" w:hint="cs"/>
          <w:rtl/>
        </w:rPr>
        <w:t>ל ועוד, עולה כי מדובר בתופעה ממושכת ורבת שנים, שהיקפיה גדולים, ושעיקר החשיפה שלה וההתמקדות בה נעשים מכוח פעולות האכיפה של משרד העבודה. בסיכום ישיבה מיום 11.11.18 אף נכתב כי "</w:t>
      </w:r>
      <w:r w:rsidRPr="00AA5065">
        <w:rPr>
          <w:rFonts w:ascii="David" w:eastAsia="Calibri" w:hAnsi="David"/>
          <w:rtl/>
        </w:rPr>
        <w:t>נדרש שילוב רב-מערכתי של גופים רבים וסמכויות שונות כדי להצליח בהתמודדות עם התופעה. על כל גוף לקחת על עצמו אחריות לעשות שימוש בסמכויות שבתחום טיפולו בסוגיה זו</w:t>
      </w:r>
      <w:r w:rsidRPr="00AA5065">
        <w:rPr>
          <w:rFonts w:ascii="David" w:eastAsia="Calibri" w:hAnsi="David" w:hint="cs"/>
          <w:rtl/>
        </w:rPr>
        <w:t>"</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Tahoma" w:eastAsia="Calibri" w:hAnsi="Tahoma"/>
          <w:rtl/>
        </w:rPr>
      </w:pPr>
      <w:r w:rsidRPr="00AA5065">
        <w:rPr>
          <w:rFonts w:ascii="Tahoma" w:eastAsia="Calibri" w:hAnsi="Tahoma" w:hint="cs"/>
          <w:rtl/>
        </w:rPr>
        <w:t>יצוין כי בספטמבר 2024 יצא מי</w:t>
      </w:r>
      <w:r w:rsidRPr="00AA5065">
        <w:rPr>
          <w:rFonts w:ascii="Tahoma" w:eastAsia="Calibri" w:hAnsi="Tahoma"/>
          <w:rtl/>
        </w:rPr>
        <w:t>נהל הסדרה ואכיפת חוקי עבודה</w:t>
      </w:r>
      <w:r w:rsidRPr="00AA5065">
        <w:rPr>
          <w:rFonts w:ascii="Tahoma" w:eastAsia="Calibri" w:hAnsi="Tahoma" w:hint="cs"/>
          <w:rtl/>
        </w:rPr>
        <w:t xml:space="preserve"> של משרד העבודה,</w:t>
      </w:r>
      <w:r w:rsidRPr="00AA5065">
        <w:rPr>
          <w:rFonts w:ascii="Tahoma" w:eastAsia="Calibri" w:hAnsi="Tahoma"/>
          <w:rtl/>
        </w:rPr>
        <w:t xml:space="preserve"> בשיתוף גופי אכיפה נוספים </w:t>
      </w:r>
      <w:r w:rsidRPr="00AA5065">
        <w:rPr>
          <w:rFonts w:ascii="Tahoma" w:eastAsia="Calibri" w:hAnsi="Tahoma" w:hint="cs"/>
          <w:rtl/>
        </w:rPr>
        <w:t>ו</w:t>
      </w:r>
      <w:r w:rsidRPr="00AA5065">
        <w:rPr>
          <w:rFonts w:ascii="Tahoma" w:eastAsia="Calibri" w:hAnsi="Tahoma"/>
          <w:rtl/>
        </w:rPr>
        <w:t>בראשם להב דרום ומע"מ באר שבע, במבצע אכיפה משולב שהתמקד ב</w:t>
      </w:r>
      <w:r w:rsidRPr="00AA5065">
        <w:rPr>
          <w:rFonts w:ascii="Tahoma" w:eastAsia="Calibri" w:hAnsi="Tahoma" w:hint="cs"/>
          <w:rtl/>
        </w:rPr>
        <w:t>כמה</w:t>
      </w:r>
      <w:r w:rsidRPr="00AA5065">
        <w:rPr>
          <w:rFonts w:ascii="Tahoma" w:eastAsia="Calibri" w:hAnsi="Tahoma"/>
          <w:rtl/>
        </w:rPr>
        <w:t xml:space="preserve"> משחטות באזור הדרום, במטרה לבחון, בין היתר, את תנאי העסקתם של עובדי הקבלן.</w:t>
      </w:r>
      <w:r w:rsidRPr="00AA5065">
        <w:rPr>
          <w:rFonts w:ascii="Tahoma" w:eastAsia="Calibri" w:hAnsi="Tahoma" w:hint="cs"/>
          <w:rtl/>
        </w:rPr>
        <w:t xml:space="preserve"> </w:t>
      </w:r>
      <w:r w:rsidRPr="00AA5065">
        <w:rPr>
          <w:rFonts w:ascii="Tahoma" w:eastAsia="Calibri" w:hAnsi="Tahoma"/>
          <w:rtl/>
        </w:rPr>
        <w:t xml:space="preserve">במסגרת מבצע האכיפה </w:t>
      </w:r>
      <w:r w:rsidRPr="00AA5065">
        <w:rPr>
          <w:rFonts w:ascii="Tahoma" w:eastAsia="Calibri" w:hAnsi="Tahoma" w:hint="cs"/>
          <w:rtl/>
        </w:rPr>
        <w:t xml:space="preserve">גבו </w:t>
      </w:r>
      <w:r w:rsidRPr="00AA5065">
        <w:rPr>
          <w:rFonts w:ascii="Tahoma" w:eastAsia="Calibri" w:hAnsi="Tahoma"/>
          <w:rtl/>
        </w:rPr>
        <w:t>חוקרי משרד העבודה</w:t>
      </w:r>
      <w:r w:rsidRPr="00AA5065">
        <w:rPr>
          <w:rFonts w:ascii="Tahoma" w:eastAsia="Calibri" w:hAnsi="Tahoma" w:hint="cs"/>
          <w:rtl/>
        </w:rPr>
        <w:t xml:space="preserve"> עדויות</w:t>
      </w:r>
      <w:r w:rsidRPr="00AA5065">
        <w:rPr>
          <w:rFonts w:ascii="Tahoma" w:eastAsia="Calibri" w:hAnsi="Tahoma"/>
          <w:rtl/>
        </w:rPr>
        <w:t xml:space="preserve"> </w:t>
      </w:r>
      <w:r w:rsidRPr="00AA5065">
        <w:rPr>
          <w:rFonts w:ascii="Tahoma" w:eastAsia="Calibri" w:hAnsi="Tahoma" w:hint="cs"/>
          <w:rtl/>
        </w:rPr>
        <w:t>מיותר</w:t>
      </w:r>
      <w:r w:rsidRPr="00AA5065">
        <w:rPr>
          <w:rFonts w:ascii="Tahoma" w:eastAsia="Calibri" w:hAnsi="Tahoma"/>
          <w:rtl/>
        </w:rPr>
        <w:t xml:space="preserve"> מ-30 עובדים בשטח וכן ממסמכים שתפסו במקום</w:t>
      </w:r>
      <w:r w:rsidRPr="00AA5065">
        <w:rPr>
          <w:rFonts w:ascii="Tahoma" w:eastAsia="Calibri" w:hAnsi="Tahoma" w:hint="cs"/>
          <w:rtl/>
        </w:rPr>
        <w:t>,</w:t>
      </w:r>
      <w:r w:rsidRPr="00AA5065">
        <w:rPr>
          <w:rFonts w:ascii="Tahoma" w:eastAsia="Calibri" w:hAnsi="Tahoma"/>
          <w:rtl/>
        </w:rPr>
        <w:t xml:space="preserve"> </w:t>
      </w:r>
      <w:r w:rsidRPr="00AA5065">
        <w:rPr>
          <w:rFonts w:ascii="Tahoma" w:eastAsia="Calibri" w:hAnsi="Tahoma" w:hint="cs"/>
          <w:rtl/>
        </w:rPr>
        <w:t>ו</w:t>
      </w:r>
      <w:r w:rsidRPr="00AA5065">
        <w:rPr>
          <w:rFonts w:ascii="Tahoma" w:eastAsia="Calibri" w:hAnsi="Tahoma"/>
          <w:rtl/>
        </w:rPr>
        <w:t xml:space="preserve">עלה חשד להפרות חוקי עבודה, </w:t>
      </w:r>
      <w:r w:rsidRPr="00AA5065">
        <w:rPr>
          <w:rFonts w:ascii="Tahoma" w:eastAsia="Calibri" w:hAnsi="Tahoma" w:hint="cs"/>
          <w:rtl/>
        </w:rPr>
        <w:t>"</w:t>
      </w:r>
      <w:r w:rsidRPr="00AA5065">
        <w:rPr>
          <w:rFonts w:ascii="Tahoma" w:eastAsia="Calibri" w:hAnsi="Tahoma"/>
          <w:rtl/>
        </w:rPr>
        <w:t>בשים דגש על:</w:t>
      </w:r>
      <w:r w:rsidRPr="00AA5065">
        <w:rPr>
          <w:rFonts w:ascii="Tahoma" w:eastAsia="Calibri" w:hAnsi="Tahoma" w:hint="cs"/>
          <w:rtl/>
        </w:rPr>
        <w:t xml:space="preserve"> ...</w:t>
      </w:r>
      <w:r w:rsidRPr="00AA5065">
        <w:rPr>
          <w:rFonts w:ascii="Tahoma" w:eastAsia="Calibri" w:hAnsi="Tahoma"/>
          <w:rtl/>
        </w:rPr>
        <w:t>העסקת בני נוער בעבודות מסוכנות</w:t>
      </w:r>
      <w:r w:rsidRPr="00AA5065">
        <w:rPr>
          <w:rFonts w:ascii="Tahoma" w:eastAsia="Calibri" w:hAnsi="Tahoma" w:hint="cs"/>
          <w:rtl/>
        </w:rPr>
        <w:t>...</w:t>
      </w:r>
      <w:r w:rsidRPr="00AA5065">
        <w:rPr>
          <w:rFonts w:ascii="Tahoma" w:eastAsia="Calibri" w:hAnsi="Tahoma"/>
          <w:rtl/>
        </w:rPr>
        <w:t xml:space="preserve"> וכן עיסוק כקבלן כח אדם ללא רישיון כחוק ממשרד העבודה</w:t>
      </w:r>
      <w:r w:rsidRPr="00AA5065">
        <w:rPr>
          <w:rFonts w:ascii="Tahoma" w:eastAsia="Calibri" w:hAnsi="Tahoma" w:hint="cs"/>
          <w:rtl/>
        </w:rPr>
        <w:t>"</w:t>
      </w:r>
      <w:r w:rsidRPr="00AA5065">
        <w:rPr>
          <w:rFonts w:ascii="Tahoma" w:eastAsia="Calibri" w:hAnsi="Tahoma"/>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Tahoma" w:eastAsia="Calibri" w:hAnsi="Tahoma"/>
          <w:rtl/>
        </w:rPr>
      </w:pPr>
      <w:r w:rsidRPr="00AA5065">
        <w:rPr>
          <w:rFonts w:ascii="Tahoma" w:eastAsia="Calibri" w:hAnsi="Tahoma" w:hint="cs"/>
          <w:rtl/>
        </w:rPr>
        <w:t>משרד העבודה מסר בתשובתו מיום 9.9.25 (להלן - תשובת משרד העבודה) כי "החקירה הסתיימה עם ממצאים והועברה להחלטת התביעה הפלילית באשר להמשך ההליכים".</w:t>
      </w:r>
    </w:p>
    <w:p w:rsidR="00AA5065" w:rsidRPr="00AA5065" w:rsidP="00860D89">
      <w:pPr>
        <w:spacing w:line="269" w:lineRule="auto"/>
        <w:ind w:left="-567"/>
        <w:rPr>
          <w:rFonts w:eastAsia="Calibri"/>
          <w:szCs w:val="20"/>
          <w:rtl/>
        </w:rPr>
      </w:pPr>
    </w:p>
    <w:p w:rsidR="00AA5065" w:rsidRPr="00AA5065" w:rsidP="00860D89">
      <w:pPr>
        <w:spacing w:line="269" w:lineRule="auto"/>
        <w:rPr>
          <w:rFonts w:ascii="Tahoma" w:eastAsia="Calibri" w:hAnsi="Tahoma"/>
          <w:rtl/>
        </w:rPr>
      </w:pPr>
      <w:r w:rsidRPr="00AA5065">
        <w:rPr>
          <w:rFonts w:ascii="Tahoma" w:eastAsia="Calibri" w:hAnsi="Tahoma" w:hint="cs"/>
          <w:rtl/>
        </w:rPr>
        <w:t xml:space="preserve">נציגי משרד מבקר המדינה ביקשו מנציגי מינהל הסדרה ואכיפה במשרד העבודה נתונים על אכיפת העסקת קטינים לשנים 2020 עד 2024, והם נענו כי המינהל פועל בשני מישורים לביצוע אכיפה: על בסיס תלונות ועל בסיס מידע יזום. מידע המתקבל בעקבות תלונות מטופל בשלב הראשון על ידי יחידת הפניות. המידע נבחן לצורך זיהוי אינדיקציות להפרות, ואם עולה חשש להפרה, הוא מועבר להליכי אכיפה מינהלית או פלילית, בהתאם להנחיות נוהל ניתוב. מידע יזום נאסף על ידי יחידת המודיעין תוך מיקוד במעסיקים המעסיקים עובדים בשכר נמוך, אוכלוסיות חלשות וכד'. המידע הנאסף במינהל מתחלק לארבעה אזורים גיאוגרפיים: צפון, דרום, מרכז וירושלים, והחיווי לזהות העובד הוא מגזר ערבי (אין תת-חלוקה למגזר הבדואי). בלוח 17 שלהלן </w:t>
      </w:r>
      <w:r w:rsidRPr="00AA5065">
        <w:rPr>
          <w:rFonts w:ascii="Tahoma" w:eastAsia="Calibri" w:hAnsi="Tahoma"/>
          <w:rtl/>
        </w:rPr>
        <w:t xml:space="preserve">נתונים </w:t>
      </w:r>
      <w:r w:rsidRPr="00AA5065">
        <w:rPr>
          <w:rFonts w:ascii="Tahoma" w:eastAsia="Calibri" w:hAnsi="Tahoma" w:hint="cs"/>
          <w:rtl/>
        </w:rPr>
        <w:t>על</w:t>
      </w:r>
      <w:r w:rsidRPr="00AA5065">
        <w:rPr>
          <w:rFonts w:ascii="Tahoma" w:eastAsia="Calibri" w:hAnsi="Tahoma"/>
          <w:rtl/>
        </w:rPr>
        <w:t xml:space="preserve"> </w:t>
      </w:r>
      <w:r w:rsidRPr="00AA5065">
        <w:rPr>
          <w:rFonts w:ascii="Tahoma" w:eastAsia="Calibri" w:hAnsi="Tahoma" w:hint="cs"/>
          <w:rtl/>
        </w:rPr>
        <w:t>פעולות ה</w:t>
      </w:r>
      <w:r w:rsidRPr="00AA5065">
        <w:rPr>
          <w:rFonts w:ascii="Tahoma" w:eastAsia="Calibri" w:hAnsi="Tahoma"/>
          <w:rtl/>
        </w:rPr>
        <w:t>אכיפ</w:t>
      </w:r>
      <w:r w:rsidRPr="00AA5065">
        <w:rPr>
          <w:rFonts w:ascii="Tahoma" w:eastAsia="Calibri" w:hAnsi="Tahoma" w:hint="cs"/>
          <w:rtl/>
        </w:rPr>
        <w:t>ה שמתבצעות במגזר הערבי בנוגע החקיקה שמסדירה העסקת</w:t>
      </w:r>
      <w:r w:rsidRPr="00AA5065">
        <w:rPr>
          <w:rFonts w:ascii="Tahoma" w:eastAsia="Calibri" w:hAnsi="Tahoma"/>
          <w:rtl/>
        </w:rPr>
        <w:t xml:space="preserve"> קטינים (מתחת לגיל 18)</w:t>
      </w:r>
      <w:r w:rsidRPr="00AA5065">
        <w:rPr>
          <w:rFonts w:ascii="Tahoma" w:eastAsia="Calibri" w:hAnsi="Tahoma" w:hint="cs"/>
          <w:rtl/>
        </w:rPr>
        <w:t>,</w:t>
      </w:r>
      <w:r w:rsidRPr="00AA5065">
        <w:rPr>
          <w:rFonts w:ascii="Tahoma" w:eastAsia="Calibri" w:hAnsi="Tahoma"/>
          <w:rtl/>
        </w:rPr>
        <w:t xml:space="preserve"> על בסיס פניות</w:t>
      </w:r>
      <w:r w:rsidRPr="00AA5065">
        <w:rPr>
          <w:rFonts w:ascii="Tahoma" w:eastAsia="Calibri" w:hAnsi="Tahoma" w:hint="cs"/>
          <w:rtl/>
        </w:rPr>
        <w:t xml:space="preserve"> למינהל האכיפה</w:t>
      </w:r>
      <w:r w:rsidRPr="00AA5065">
        <w:rPr>
          <w:rFonts w:ascii="Tahoma" w:eastAsia="Calibri" w:hAnsi="Tahoma"/>
          <w:rtl/>
        </w:rPr>
        <w:t xml:space="preserve"> ו</w:t>
      </w:r>
      <w:r w:rsidRPr="00AA5065">
        <w:rPr>
          <w:rFonts w:ascii="Tahoma" w:eastAsia="Calibri" w:hAnsi="Tahoma" w:hint="cs"/>
          <w:rtl/>
        </w:rPr>
        <w:t xml:space="preserve">על בסיס מידע שנאסף ביוזמת המינהל </w:t>
      </w:r>
      <w:r w:rsidRPr="00AA5065">
        <w:rPr>
          <w:rFonts w:ascii="Tahoma" w:eastAsia="Calibri" w:hAnsi="Tahoma"/>
          <w:rtl/>
        </w:rPr>
        <w:t>ב</w:t>
      </w:r>
      <w:r w:rsidRPr="00AA5065">
        <w:rPr>
          <w:rFonts w:ascii="Tahoma" w:eastAsia="Calibri" w:hAnsi="Tahoma" w:hint="cs"/>
          <w:rtl/>
        </w:rPr>
        <w:t>שנים 2020 עד 2024.</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jc w:val="center"/>
        <w:rPr>
          <w:rFonts w:eastAsia="Calibri"/>
          <w:rtl/>
        </w:rPr>
      </w:pPr>
      <w:r w:rsidRPr="00AA5065">
        <w:rPr>
          <w:rFonts w:eastAsia="Calibri" w:hint="cs"/>
          <w:rtl/>
        </w:rPr>
        <w:t xml:space="preserve">לוח 17: </w:t>
      </w:r>
      <w:r w:rsidRPr="00AA5065">
        <w:rPr>
          <w:rFonts w:eastAsia="Calibri" w:hint="cs"/>
          <w:b/>
          <w:bCs/>
          <w:rtl/>
        </w:rPr>
        <w:t xml:space="preserve">נתונים על אכיפת העסקת קטינים (מתחת לגיל 18) מהמגזר הערבי על בסיס פניות ועל בסיס מידע יזום, 2024 - 2020 </w:t>
      </w:r>
    </w:p>
    <w:tbl>
      <w:tblPr>
        <w:tblStyle w:val="5-11"/>
        <w:bidiVisual/>
        <w:tblW w:w="0" w:type="auto"/>
        <w:tblInd w:w="5" w:type="dxa"/>
        <w:tblLook w:val="04A0"/>
      </w:tblPr>
      <w:tblGrid>
        <w:gridCol w:w="1059"/>
        <w:gridCol w:w="992"/>
        <w:gridCol w:w="1059"/>
        <w:gridCol w:w="991"/>
        <w:gridCol w:w="1060"/>
        <w:gridCol w:w="992"/>
        <w:gridCol w:w="1060"/>
        <w:gridCol w:w="992"/>
      </w:tblGrid>
      <w:tr w:rsidTr="00AA5065">
        <w:tblPrEx>
          <w:tblW w:w="0" w:type="auto"/>
          <w:tblInd w:w="5" w:type="dxa"/>
          <w:tblLook w:val="04A0"/>
        </w:tblPrEx>
        <w:tc>
          <w:tcPr>
            <w:tcW w:w="4103" w:type="dxa"/>
            <w:gridSpan w:val="4"/>
            <w:shd w:val="clear" w:color="auto" w:fill="DBE5F1"/>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דרום</w:t>
            </w:r>
          </w:p>
        </w:tc>
        <w:tc>
          <w:tcPr>
            <w:tcW w:w="4108" w:type="dxa"/>
            <w:gridSpan w:val="4"/>
            <w:shd w:val="clear" w:color="auto" w:fill="DBE5F1"/>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שאר הארץ</w:t>
            </w:r>
          </w:p>
        </w:tc>
      </w:tr>
      <w:tr w:rsidTr="00AA5065">
        <w:tblPrEx>
          <w:tblW w:w="0" w:type="auto"/>
          <w:tblInd w:w="5" w:type="dxa"/>
          <w:tblLook w:val="04A0"/>
        </w:tblPrEx>
        <w:tc>
          <w:tcPr>
            <w:tcW w:w="2051" w:type="dxa"/>
            <w:gridSpan w:val="2"/>
            <w:shd w:val="clear" w:color="auto" w:fill="B8CCE4"/>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תיקים על בסיס תלונות</w:t>
            </w:r>
          </w:p>
        </w:tc>
        <w:tc>
          <w:tcPr>
            <w:tcW w:w="2052" w:type="dxa"/>
            <w:gridSpan w:val="2"/>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תיקים על בסיס מידע יזום</w:t>
            </w:r>
          </w:p>
        </w:tc>
        <w:tc>
          <w:tcPr>
            <w:tcW w:w="2054" w:type="dxa"/>
            <w:gridSpan w:val="2"/>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תיקים על בסיס תלונות</w:t>
            </w:r>
          </w:p>
        </w:tc>
        <w:tc>
          <w:tcPr>
            <w:tcW w:w="2054" w:type="dxa"/>
            <w:gridSpan w:val="2"/>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תיקים על בסיס מידע יזום</w:t>
            </w:r>
          </w:p>
        </w:tc>
      </w:tr>
      <w:tr w:rsidTr="00AA5065">
        <w:tblPrEx>
          <w:tblW w:w="0" w:type="auto"/>
          <w:tblInd w:w="5" w:type="dxa"/>
          <w:tblLook w:val="04A0"/>
        </w:tblPrEx>
        <w:tc>
          <w:tcPr>
            <w:tcW w:w="1059" w:type="dxa"/>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הליך מינהלי</w:t>
            </w:r>
          </w:p>
        </w:tc>
        <w:tc>
          <w:tcPr>
            <w:tcW w:w="992" w:type="dxa"/>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הליך פלילי</w:t>
            </w:r>
          </w:p>
        </w:tc>
        <w:tc>
          <w:tcPr>
            <w:tcW w:w="1060" w:type="dxa"/>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הליך מינהלי</w:t>
            </w:r>
          </w:p>
        </w:tc>
        <w:tc>
          <w:tcPr>
            <w:tcW w:w="992" w:type="dxa"/>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הליך פלילי</w:t>
            </w:r>
          </w:p>
        </w:tc>
        <w:tc>
          <w:tcPr>
            <w:tcW w:w="1061" w:type="dxa"/>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הליך מינהלי</w:t>
            </w:r>
          </w:p>
        </w:tc>
        <w:tc>
          <w:tcPr>
            <w:tcW w:w="993" w:type="dxa"/>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הליך פלילי</w:t>
            </w:r>
          </w:p>
        </w:tc>
        <w:tc>
          <w:tcPr>
            <w:tcW w:w="1061" w:type="dxa"/>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הליך מינהלי</w:t>
            </w:r>
          </w:p>
        </w:tc>
        <w:tc>
          <w:tcPr>
            <w:tcW w:w="993" w:type="dxa"/>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הליך פלילי</w:t>
            </w:r>
          </w:p>
        </w:tc>
      </w:tr>
      <w:tr w:rsidTr="00AA5065">
        <w:tblPrEx>
          <w:tblW w:w="0" w:type="auto"/>
          <w:tblInd w:w="5" w:type="dxa"/>
          <w:tblLook w:val="04A0"/>
        </w:tblPrEx>
        <w:tc>
          <w:tcPr>
            <w:tcW w:w="1059" w:type="dxa"/>
            <w:shd w:val="clear" w:color="auto" w:fill="B8CCE4"/>
            <w:hideMark/>
          </w:tcPr>
          <w:p w:rsidR="00AA5065" w:rsidRPr="00AA5065" w:rsidP="00AF3FA8">
            <w:pPr>
              <w:bidi w:val="0"/>
              <w:spacing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w:t>
            </w:r>
          </w:p>
        </w:tc>
        <w:tc>
          <w:tcPr>
            <w:tcW w:w="992" w:type="dxa"/>
            <w:hideMark/>
          </w:tcPr>
          <w:p w:rsidR="00AA5065" w:rsidRPr="00AA5065" w:rsidP="00AF3FA8">
            <w:pPr>
              <w:bidi w:val="0"/>
              <w:spacing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w:t>
            </w:r>
          </w:p>
        </w:tc>
        <w:tc>
          <w:tcPr>
            <w:tcW w:w="1060" w:type="dxa"/>
            <w:hideMark/>
          </w:tcPr>
          <w:p w:rsidR="00AA5065" w:rsidRPr="00AA5065" w:rsidP="00AF3FA8">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7</w:t>
            </w:r>
          </w:p>
        </w:tc>
        <w:tc>
          <w:tcPr>
            <w:tcW w:w="992" w:type="dxa"/>
            <w:hideMark/>
          </w:tcPr>
          <w:p w:rsidR="00AA5065" w:rsidRPr="00AA5065" w:rsidP="00AF3FA8">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5</w:t>
            </w:r>
          </w:p>
        </w:tc>
        <w:tc>
          <w:tcPr>
            <w:tcW w:w="1061" w:type="dxa"/>
            <w:hideMark/>
          </w:tcPr>
          <w:p w:rsidR="00AA5065" w:rsidRPr="00AA5065" w:rsidP="00AF3FA8">
            <w:pPr>
              <w:bidi w:val="0"/>
              <w:spacing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11</w:t>
            </w:r>
          </w:p>
        </w:tc>
        <w:tc>
          <w:tcPr>
            <w:tcW w:w="993" w:type="dxa"/>
            <w:hideMark/>
          </w:tcPr>
          <w:p w:rsidR="00AA5065" w:rsidRPr="00AA5065" w:rsidP="00AF3FA8">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w:t>
            </w:r>
          </w:p>
        </w:tc>
        <w:tc>
          <w:tcPr>
            <w:tcW w:w="1061" w:type="dxa"/>
            <w:hideMark/>
          </w:tcPr>
          <w:p w:rsidR="00AA5065" w:rsidRPr="00AA5065" w:rsidP="00AF3FA8">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50</w:t>
            </w:r>
          </w:p>
        </w:tc>
        <w:tc>
          <w:tcPr>
            <w:tcW w:w="993" w:type="dxa"/>
            <w:hideMark/>
          </w:tcPr>
          <w:p w:rsidR="00AA5065" w:rsidRPr="00AA5065" w:rsidP="00AF3FA8">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3</w:t>
            </w:r>
          </w:p>
        </w:tc>
      </w:tr>
    </w:tbl>
    <w:p w:rsidR="00AA5065" w:rsidRPr="00AA5065" w:rsidP="00860D89">
      <w:pPr>
        <w:spacing w:line="269" w:lineRule="auto"/>
        <w:jc w:val="left"/>
        <w:rPr>
          <w:rFonts w:eastAsia="Calibri"/>
          <w:szCs w:val="20"/>
          <w:rtl/>
        </w:rPr>
      </w:pPr>
      <w:r w:rsidRPr="00AA5065">
        <w:rPr>
          <w:rFonts w:eastAsia="Calibri" w:hint="eastAsia"/>
          <w:szCs w:val="20"/>
          <w:rtl/>
        </w:rPr>
        <w:t>על</w:t>
      </w:r>
      <w:r w:rsidRPr="00AA5065">
        <w:rPr>
          <w:rFonts w:eastAsia="Calibri"/>
          <w:szCs w:val="20"/>
          <w:rtl/>
        </w:rPr>
        <w:t xml:space="preserve"> </w:t>
      </w:r>
      <w:r w:rsidRPr="00AA5065">
        <w:rPr>
          <w:rFonts w:eastAsia="Calibri" w:hint="eastAsia"/>
          <w:szCs w:val="20"/>
          <w:rtl/>
        </w:rPr>
        <w:t>פי</w:t>
      </w:r>
      <w:r w:rsidRPr="00AA5065">
        <w:rPr>
          <w:rFonts w:eastAsia="Calibri"/>
          <w:szCs w:val="20"/>
          <w:rtl/>
        </w:rPr>
        <w:t xml:space="preserve"> </w:t>
      </w:r>
      <w:r w:rsidRPr="00AA5065">
        <w:rPr>
          <w:rFonts w:eastAsia="Calibri" w:hint="eastAsia"/>
          <w:szCs w:val="20"/>
          <w:rtl/>
        </w:rPr>
        <w:t>נתוני</w:t>
      </w:r>
      <w:r w:rsidRPr="00AA5065">
        <w:rPr>
          <w:rFonts w:eastAsia="Calibri"/>
          <w:szCs w:val="20"/>
          <w:rtl/>
        </w:rPr>
        <w:t xml:space="preserve"> </w:t>
      </w:r>
      <w:r w:rsidRPr="00AA5065">
        <w:rPr>
          <w:rFonts w:eastAsia="Calibri" w:hint="cs"/>
          <w:szCs w:val="20"/>
          <w:rtl/>
        </w:rPr>
        <w:t>משרד העבודה</w:t>
      </w:r>
      <w:r w:rsidRPr="00AA5065">
        <w:rPr>
          <w:rFonts w:eastAsia="Calibri"/>
          <w:szCs w:val="20"/>
          <w:rtl/>
        </w:rPr>
        <w:t>.</w:t>
      </w:r>
    </w:p>
    <w:p w:rsidR="00AA5065" w:rsidRPr="00AA5065" w:rsidP="00860D89">
      <w:pPr>
        <w:spacing w:line="269" w:lineRule="auto"/>
        <w:ind w:left="-567"/>
        <w:rPr>
          <w:rFonts w:eastAsia="Calibri"/>
          <w:szCs w:val="20"/>
          <w:rtl/>
        </w:rPr>
      </w:pPr>
    </w:p>
    <w:p w:rsidR="00AA5065" w:rsidRPr="00AA5065" w:rsidP="00860D89">
      <w:pPr>
        <w:spacing w:line="269" w:lineRule="auto"/>
        <w:ind w:left="-27"/>
        <w:rPr>
          <w:rFonts w:eastAsia="Calibri"/>
          <w:szCs w:val="20"/>
          <w:rtl/>
        </w:rPr>
      </w:pPr>
      <w:r w:rsidRPr="00AA5065">
        <w:rPr>
          <w:rFonts w:ascii="David" w:eastAsia="Calibri" w:hAnsi="David" w:hint="eastAsia"/>
          <w:b/>
          <w:bCs/>
          <w:rtl/>
        </w:rPr>
        <w:t>מהלוח</w:t>
      </w:r>
      <w:r w:rsidRPr="00AA5065">
        <w:rPr>
          <w:rFonts w:ascii="David" w:eastAsia="Calibri" w:hAnsi="David"/>
          <w:b/>
          <w:bCs/>
          <w:rtl/>
        </w:rPr>
        <w:t xml:space="preserve"> </w:t>
      </w:r>
      <w:r w:rsidRPr="00AA5065">
        <w:rPr>
          <w:rFonts w:ascii="David" w:eastAsia="Calibri" w:hAnsi="David" w:hint="eastAsia"/>
          <w:b/>
          <w:bCs/>
          <w:rtl/>
        </w:rPr>
        <w:t>עולה</w:t>
      </w:r>
      <w:r w:rsidRPr="00AA5065">
        <w:rPr>
          <w:rFonts w:ascii="David" w:eastAsia="Calibri" w:hAnsi="David"/>
          <w:b/>
          <w:bCs/>
          <w:rtl/>
        </w:rPr>
        <w:t xml:space="preserve"> </w:t>
      </w:r>
      <w:r w:rsidRPr="00AA5065">
        <w:rPr>
          <w:rFonts w:ascii="David" w:eastAsia="Calibri" w:hAnsi="David" w:hint="eastAsia"/>
          <w:b/>
          <w:bCs/>
          <w:rtl/>
        </w:rPr>
        <w:t>תמונת</w:t>
      </w:r>
      <w:r w:rsidRPr="00AA5065">
        <w:rPr>
          <w:rFonts w:ascii="David" w:eastAsia="Calibri" w:hAnsi="David"/>
          <w:b/>
          <w:bCs/>
          <w:rtl/>
        </w:rPr>
        <w:t xml:space="preserve"> </w:t>
      </w:r>
      <w:r w:rsidRPr="00AA5065">
        <w:rPr>
          <w:rFonts w:ascii="David" w:eastAsia="Calibri" w:hAnsi="David" w:hint="eastAsia"/>
          <w:b/>
          <w:bCs/>
          <w:rtl/>
        </w:rPr>
        <w:t>מצב</w:t>
      </w:r>
      <w:r w:rsidRPr="00AA5065">
        <w:rPr>
          <w:rFonts w:ascii="David" w:eastAsia="Calibri" w:hAnsi="David"/>
          <w:b/>
          <w:bCs/>
          <w:rtl/>
        </w:rPr>
        <w:t xml:space="preserve"> של היעדר תלונות במחוז דרום בתחום אכיפת העסקת קטינים </w:t>
      </w:r>
      <w:r w:rsidRPr="00AA5065">
        <w:rPr>
          <w:rFonts w:ascii="David" w:eastAsia="Calibri" w:hAnsi="David" w:hint="eastAsia"/>
          <w:b/>
          <w:bCs/>
          <w:rtl/>
        </w:rPr>
        <w:t>וכן</w:t>
      </w:r>
      <w:r w:rsidRPr="00AA5065">
        <w:rPr>
          <w:rFonts w:ascii="David" w:eastAsia="Calibri" w:hAnsi="David" w:hint="cs"/>
          <w:b/>
          <w:bCs/>
          <w:rtl/>
        </w:rPr>
        <w:t xml:space="preserve"> </w:t>
      </w:r>
      <w:r w:rsidRPr="00AA5065">
        <w:rPr>
          <w:rFonts w:ascii="David" w:eastAsia="Calibri" w:hAnsi="David" w:hint="eastAsia"/>
          <w:b/>
          <w:bCs/>
          <w:rtl/>
        </w:rPr>
        <w:t>אכיפה</w:t>
      </w:r>
      <w:r w:rsidRPr="00AA5065">
        <w:rPr>
          <w:rFonts w:ascii="David" w:eastAsia="Calibri" w:hAnsi="David" w:hint="cs"/>
          <w:b/>
          <w:bCs/>
          <w:rtl/>
        </w:rPr>
        <w:t xml:space="preserve"> </w:t>
      </w:r>
      <w:r w:rsidRPr="00AA5065">
        <w:rPr>
          <w:rFonts w:ascii="David" w:eastAsia="Calibri" w:hAnsi="David" w:hint="eastAsia"/>
          <w:b/>
          <w:bCs/>
          <w:rtl/>
        </w:rPr>
        <w:t>מועטה</w:t>
      </w:r>
      <w:r w:rsidRPr="00AA5065">
        <w:rPr>
          <w:rFonts w:ascii="David" w:eastAsia="Calibri" w:hAnsi="David"/>
          <w:b/>
          <w:bCs/>
          <w:rtl/>
        </w:rPr>
        <w:t xml:space="preserve"> </w:t>
      </w:r>
      <w:r w:rsidRPr="00AA5065">
        <w:rPr>
          <w:rFonts w:ascii="David" w:eastAsia="Calibri" w:hAnsi="David" w:hint="eastAsia"/>
          <w:b/>
          <w:bCs/>
          <w:rtl/>
        </w:rPr>
        <w:t>ופתיחת</w:t>
      </w:r>
      <w:r w:rsidRPr="00AA5065">
        <w:rPr>
          <w:rFonts w:ascii="David" w:eastAsia="Calibri" w:hAnsi="David"/>
          <w:b/>
          <w:bCs/>
          <w:rtl/>
        </w:rPr>
        <w:t xml:space="preserve"> </w:t>
      </w:r>
      <w:r w:rsidRPr="00AA5065">
        <w:rPr>
          <w:rFonts w:ascii="David" w:eastAsia="Calibri" w:hAnsi="David" w:hint="eastAsia"/>
          <w:b/>
          <w:bCs/>
          <w:rtl/>
        </w:rPr>
        <w:t>תיקים</w:t>
      </w:r>
      <w:r w:rsidRPr="00AA5065">
        <w:rPr>
          <w:rFonts w:ascii="David" w:eastAsia="Calibri" w:hAnsi="David"/>
          <w:b/>
          <w:bCs/>
          <w:rtl/>
        </w:rPr>
        <w:t xml:space="preserve"> </w:t>
      </w:r>
      <w:r w:rsidRPr="00AA5065">
        <w:rPr>
          <w:rFonts w:ascii="David" w:eastAsia="Calibri" w:hAnsi="David" w:hint="eastAsia"/>
          <w:b/>
          <w:bCs/>
          <w:rtl/>
        </w:rPr>
        <w:t>בודדים</w:t>
      </w:r>
      <w:r w:rsidRPr="00AA5065">
        <w:rPr>
          <w:rFonts w:ascii="David" w:eastAsia="Calibri" w:hAnsi="David"/>
          <w:b/>
          <w:bCs/>
          <w:rtl/>
        </w:rPr>
        <w:t xml:space="preserve"> בין השנים 2024-2020</w:t>
      </w:r>
      <w:r w:rsidRPr="00AA5065">
        <w:rPr>
          <w:rFonts w:ascii="David" w:eastAsia="Calibri" w:hAnsi="David" w:hint="cs"/>
          <w:b/>
          <w:bCs/>
          <w:rtl/>
        </w:rPr>
        <w:t xml:space="preserve"> </w:t>
      </w:r>
      <w:r w:rsidRPr="00AA5065">
        <w:rPr>
          <w:rFonts w:ascii="David" w:eastAsia="Calibri" w:hAnsi="David" w:hint="eastAsia"/>
          <w:b/>
          <w:bCs/>
          <w:rtl/>
        </w:rPr>
        <w:t>על</w:t>
      </w:r>
      <w:r w:rsidRPr="00AA5065">
        <w:rPr>
          <w:rFonts w:ascii="David" w:eastAsia="Calibri" w:hAnsi="David"/>
          <w:b/>
          <w:bCs/>
          <w:rtl/>
        </w:rPr>
        <w:t xml:space="preserve"> </w:t>
      </w:r>
      <w:r w:rsidRPr="00AA5065">
        <w:rPr>
          <w:rFonts w:ascii="David" w:eastAsia="Calibri" w:hAnsi="David" w:hint="eastAsia"/>
          <w:b/>
          <w:bCs/>
          <w:rtl/>
        </w:rPr>
        <w:t>בסיס</w:t>
      </w:r>
      <w:r w:rsidRPr="00AA5065">
        <w:rPr>
          <w:rFonts w:ascii="David" w:eastAsia="Calibri" w:hAnsi="David"/>
          <w:b/>
          <w:bCs/>
          <w:rtl/>
        </w:rPr>
        <w:t xml:space="preserve"> </w:t>
      </w:r>
      <w:r w:rsidRPr="00AA5065">
        <w:rPr>
          <w:rFonts w:ascii="David" w:eastAsia="Calibri" w:hAnsi="David" w:hint="cs"/>
          <w:b/>
          <w:bCs/>
          <w:rtl/>
        </w:rPr>
        <w:t xml:space="preserve">מידע </w:t>
      </w:r>
      <w:r w:rsidRPr="00AA5065">
        <w:rPr>
          <w:rFonts w:ascii="David" w:eastAsia="Calibri" w:hAnsi="David" w:hint="eastAsia"/>
          <w:b/>
          <w:bCs/>
          <w:rtl/>
        </w:rPr>
        <w:t>יזום</w:t>
      </w:r>
      <w:r w:rsidRPr="00AA5065">
        <w:rPr>
          <w:rFonts w:ascii="David" w:eastAsia="Calibri" w:hAnsi="David" w:hint="cs"/>
          <w:b/>
          <w:bCs/>
          <w:rtl/>
        </w:rPr>
        <w:t>.</w:t>
      </w:r>
    </w:p>
    <w:p w:rsidR="00AA5065" w:rsidRPr="00AA5065" w:rsidP="00860D89">
      <w:pPr>
        <w:spacing w:line="269" w:lineRule="auto"/>
        <w:rPr>
          <w:rFonts w:ascii="David" w:eastAsia="Calibri" w:hAnsi="David"/>
          <w:rtl/>
        </w:rPr>
      </w:pPr>
      <w:r w:rsidRPr="00AA5065">
        <w:rPr>
          <w:rFonts w:ascii="David" w:eastAsia="Calibri" w:hAnsi="David" w:hint="cs"/>
          <w:rtl/>
        </w:rPr>
        <w:t>יצוין כי בחוות דעת משפטית פנימית שהוציאה מתאמת המאבק לסחר בבני אדם שבמשרד המשפטים משנת 2019 נכתב כי</w:t>
      </w:r>
      <w:r w:rsidRPr="00AA5065">
        <w:rPr>
          <w:rFonts w:eastAsia="Calibri"/>
          <w:rtl/>
        </w:rPr>
        <w:t xml:space="preserve"> </w:t>
      </w:r>
      <w:r w:rsidRPr="00AA5065">
        <w:rPr>
          <w:rFonts w:ascii="David" w:eastAsia="Calibri" w:hAnsi="David" w:hint="cs"/>
          <w:rtl/>
        </w:rPr>
        <w:t>"</w:t>
      </w:r>
      <w:r w:rsidRPr="00AA5065">
        <w:rPr>
          <w:rFonts w:ascii="David" w:eastAsia="Calibri" w:hAnsi="David"/>
          <w:rtl/>
        </w:rPr>
        <w:t>מורים בבתי ספר בהם לומדים ילדי הפזורה מעידים כי בתקופות מסוימות בחקלאות, כיתות שלמות בבתי הספר היו ריקות מתלמידים, שנשלחים לעבודה באותם ימים. המורים והעובדים הסוציאליים מציינים כי מדובר בשכונות שלמות שילדיהן עובדים בעבודות אלו</w:t>
      </w:r>
      <w:r w:rsidRPr="00AA5065">
        <w:rPr>
          <w:rFonts w:ascii="David" w:eastAsia="Calibri" w:hAnsi="David" w:hint="cs"/>
          <w:rtl/>
        </w:rPr>
        <w:t>...</w:t>
      </w:r>
      <w:r w:rsidRPr="00AA5065">
        <w:rPr>
          <w:rFonts w:eastAsia="Calibri"/>
          <w:rtl/>
        </w:rPr>
        <w:t xml:space="preserve"> </w:t>
      </w:r>
      <w:r w:rsidRPr="00AA5065">
        <w:rPr>
          <w:rFonts w:ascii="David" w:eastAsia="Calibri" w:hAnsi="David"/>
          <w:rtl/>
        </w:rPr>
        <w:t>מאפיינים אלו מעידים כי הילדים והנערים העובדים בזמן בו אמורים להיות תלמידים בבית ספר, שהינם צעירים, בלתי עצמאיים, המשתייכים למגזר המתאפיין במצב סוציו-אקונומי נמוך ביותר, חשופים לניצול של מצבם המוחלש. מדובר בסוגי עבודות מאומצות, קשות ובלתי אטרקטיביות</w:t>
      </w:r>
      <w:r w:rsidRPr="00AA5065">
        <w:rPr>
          <w:rFonts w:ascii="David" w:eastAsia="Calibri" w:hAnsi="David" w:hint="cs"/>
          <w:rtl/>
        </w:rPr>
        <w:t xml:space="preserve">... </w:t>
      </w:r>
      <w:r w:rsidRPr="00AA5065">
        <w:rPr>
          <w:rFonts w:ascii="David" w:eastAsia="Calibri" w:hAnsi="David"/>
          <w:rtl/>
        </w:rPr>
        <w:t>כידוע, ישראל מחויבת למאבק בסחר בבני אדם הן במישור הלאומי והן במישור הבינלאומי.</w:t>
      </w:r>
      <w:r w:rsidRPr="00AA5065">
        <w:rPr>
          <w:rFonts w:ascii="David" w:eastAsia="Calibri" w:hAnsi="David" w:hint="cs"/>
          <w:rtl/>
        </w:rPr>
        <w:t>.."</w:t>
      </w:r>
      <w:r w:rsidRPr="00AA5065">
        <w:rPr>
          <w:rFonts w:ascii="David" w:eastAsia="Calibri" w:hAnsi="David"/>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הועלה כי לצד</w:t>
      </w:r>
      <w:r w:rsidRPr="00AA5065">
        <w:rPr>
          <w:rFonts w:eastAsia="Calibri"/>
          <w:b/>
          <w:bCs/>
          <w:rtl/>
        </w:rPr>
        <w:t xml:space="preserve"> תופעת חוסר המעש </w:t>
      </w:r>
      <w:r w:rsidRPr="00AA5065">
        <w:rPr>
          <w:rFonts w:eastAsia="Calibri" w:hint="cs"/>
          <w:b/>
          <w:bCs/>
          <w:rtl/>
        </w:rPr>
        <w:t>הבאה לידי ביטוי בהיעדרותם</w:t>
      </w:r>
      <w:r w:rsidRPr="00AA5065">
        <w:rPr>
          <w:rFonts w:eastAsia="Calibri"/>
          <w:b/>
          <w:bCs/>
          <w:rtl/>
        </w:rPr>
        <w:t xml:space="preserve"> של </w:t>
      </w:r>
      <w:r w:rsidRPr="00AA5065">
        <w:rPr>
          <w:rFonts w:eastAsia="Calibri" w:hint="eastAsia"/>
          <w:b/>
          <w:bCs/>
          <w:rtl/>
        </w:rPr>
        <w:t>נערים</w:t>
      </w:r>
      <w:r w:rsidRPr="00AA5065">
        <w:rPr>
          <w:rFonts w:eastAsia="Calibri"/>
          <w:b/>
          <w:bCs/>
          <w:rtl/>
        </w:rPr>
        <w:t xml:space="preserve"> </w:t>
      </w:r>
      <w:r w:rsidRPr="00AA5065">
        <w:rPr>
          <w:rFonts w:eastAsia="Calibri" w:hint="cs"/>
          <w:b/>
          <w:bCs/>
          <w:rtl/>
        </w:rPr>
        <w:t>מ</w:t>
      </w:r>
      <w:r w:rsidRPr="00AA5065">
        <w:rPr>
          <w:rFonts w:eastAsia="Calibri"/>
          <w:b/>
          <w:bCs/>
          <w:rtl/>
        </w:rPr>
        <w:t>מוסדות החינוך</w:t>
      </w:r>
      <w:r w:rsidRPr="00AA5065">
        <w:rPr>
          <w:rFonts w:eastAsia="Calibri" w:hint="cs"/>
          <w:b/>
          <w:bCs/>
          <w:rtl/>
        </w:rPr>
        <w:t xml:space="preserve"> </w:t>
      </w:r>
      <w:r w:rsidRPr="00AA5065">
        <w:rPr>
          <w:rFonts w:eastAsia="Calibri"/>
          <w:b/>
          <w:bCs/>
          <w:rtl/>
        </w:rPr>
        <w:t>המוסדרים</w:t>
      </w:r>
      <w:r w:rsidRPr="00AA5065">
        <w:rPr>
          <w:rFonts w:eastAsia="Calibri" w:hint="cs"/>
          <w:b/>
          <w:bCs/>
          <w:rtl/>
        </w:rPr>
        <w:t xml:space="preserve">, </w:t>
      </w:r>
      <w:r w:rsidRPr="00AA5065">
        <w:rPr>
          <w:rFonts w:eastAsia="Calibri" w:hint="eastAsia"/>
          <w:b/>
          <w:bCs/>
          <w:rtl/>
        </w:rPr>
        <w:t>מ</w:t>
      </w:r>
      <w:r w:rsidRPr="00AA5065">
        <w:rPr>
          <w:rFonts w:eastAsia="Calibri" w:hint="cs"/>
          <w:b/>
          <w:bCs/>
          <w:rtl/>
        </w:rPr>
        <w:t xml:space="preserve">תקיימות זה שנים רבות </w:t>
      </w:r>
      <w:r w:rsidRPr="00AA5065">
        <w:rPr>
          <w:rFonts w:eastAsia="Calibri" w:hint="eastAsia"/>
          <w:b/>
          <w:bCs/>
          <w:rtl/>
        </w:rPr>
        <w:t>ברחבי</w:t>
      </w:r>
      <w:r w:rsidRPr="00AA5065">
        <w:rPr>
          <w:rFonts w:eastAsia="Calibri"/>
          <w:b/>
          <w:bCs/>
          <w:rtl/>
        </w:rPr>
        <w:t xml:space="preserve"> </w:t>
      </w:r>
      <w:r w:rsidRPr="00AA5065">
        <w:rPr>
          <w:rFonts w:eastAsia="Calibri" w:hint="eastAsia"/>
          <w:b/>
          <w:bCs/>
          <w:rtl/>
        </w:rPr>
        <w:t>הנגב תופעה</w:t>
      </w:r>
      <w:r w:rsidRPr="00AA5065">
        <w:rPr>
          <w:rFonts w:eastAsia="Calibri"/>
          <w:b/>
          <w:bCs/>
          <w:rtl/>
        </w:rPr>
        <w:t xml:space="preserve"> </w:t>
      </w:r>
      <w:r w:rsidRPr="00AA5065">
        <w:rPr>
          <w:rFonts w:eastAsia="Calibri" w:hint="eastAsia"/>
          <w:b/>
          <w:bCs/>
          <w:rtl/>
        </w:rPr>
        <w:t>של</w:t>
      </w:r>
      <w:r w:rsidRPr="00AA5065">
        <w:rPr>
          <w:rFonts w:eastAsia="Calibri"/>
          <w:b/>
          <w:bCs/>
          <w:rtl/>
        </w:rPr>
        <w:t xml:space="preserve"> </w:t>
      </w:r>
      <w:r w:rsidRPr="00AA5065">
        <w:rPr>
          <w:rFonts w:eastAsia="Calibri" w:hint="eastAsia"/>
          <w:b/>
          <w:bCs/>
          <w:rtl/>
        </w:rPr>
        <w:t>העסקת</w:t>
      </w:r>
      <w:r w:rsidRPr="00AA5065">
        <w:rPr>
          <w:rFonts w:eastAsia="Calibri"/>
          <w:b/>
          <w:bCs/>
          <w:rtl/>
        </w:rPr>
        <w:t xml:space="preserve"> </w:t>
      </w:r>
      <w:r w:rsidRPr="00AA5065">
        <w:rPr>
          <w:rFonts w:eastAsia="Calibri" w:hint="eastAsia"/>
          <w:b/>
          <w:bCs/>
          <w:rtl/>
        </w:rPr>
        <w:t>קטינים</w:t>
      </w:r>
      <w:r w:rsidRPr="00AA5065">
        <w:rPr>
          <w:rFonts w:eastAsia="Calibri" w:hint="cs"/>
          <w:b/>
          <w:bCs/>
          <w:rtl/>
        </w:rPr>
        <w:t xml:space="preserve"> וכן</w:t>
      </w:r>
      <w:r w:rsidRPr="00AA5065">
        <w:rPr>
          <w:rFonts w:eastAsia="Calibri" w:hint="cs"/>
          <w:rtl/>
        </w:rPr>
        <w:t xml:space="preserve"> </w:t>
      </w:r>
      <w:r w:rsidRPr="00AA5065">
        <w:rPr>
          <w:rFonts w:eastAsia="Calibri" w:hint="eastAsia"/>
          <w:b/>
          <w:bCs/>
          <w:rtl/>
        </w:rPr>
        <w:t>על</w:t>
      </w:r>
      <w:r w:rsidRPr="00AA5065">
        <w:rPr>
          <w:rFonts w:eastAsia="Calibri" w:hint="cs"/>
          <w:b/>
          <w:bCs/>
          <w:rtl/>
        </w:rPr>
        <w:t>י</w:t>
      </w:r>
      <w:r w:rsidRPr="00AA5065">
        <w:rPr>
          <w:rFonts w:eastAsia="Calibri" w:hint="eastAsia"/>
          <w:b/>
          <w:bCs/>
          <w:rtl/>
        </w:rPr>
        <w:t>יה</w:t>
      </w:r>
      <w:r w:rsidRPr="00AA5065">
        <w:rPr>
          <w:rFonts w:eastAsia="Calibri"/>
          <w:b/>
          <w:bCs/>
          <w:rtl/>
        </w:rPr>
        <w:t xml:space="preserve"> בהיקף הילדים המצויים בסיכון ולעיתים אף בסכנה. </w:t>
      </w:r>
      <w:r w:rsidRPr="00AA5065">
        <w:rPr>
          <w:rFonts w:eastAsia="Calibri" w:hint="eastAsia"/>
          <w:b/>
          <w:bCs/>
          <w:rtl/>
        </w:rPr>
        <w:t>ההערכה</w:t>
      </w:r>
      <w:r w:rsidRPr="00AA5065">
        <w:rPr>
          <w:rFonts w:eastAsia="Calibri"/>
          <w:b/>
          <w:bCs/>
          <w:rtl/>
        </w:rPr>
        <w:t xml:space="preserve"> </w:t>
      </w:r>
      <w:r w:rsidRPr="00AA5065">
        <w:rPr>
          <w:rFonts w:eastAsia="Calibri" w:hint="eastAsia"/>
          <w:b/>
          <w:bCs/>
          <w:rtl/>
        </w:rPr>
        <w:t>היא</w:t>
      </w:r>
      <w:r w:rsidRPr="00AA5065">
        <w:rPr>
          <w:rFonts w:eastAsia="Calibri"/>
          <w:b/>
          <w:bCs/>
          <w:rtl/>
        </w:rPr>
        <w:t xml:space="preserve"> </w:t>
      </w:r>
      <w:r w:rsidRPr="00AA5065">
        <w:rPr>
          <w:rFonts w:eastAsia="Calibri" w:hint="eastAsia"/>
          <w:b/>
          <w:bCs/>
          <w:rtl/>
        </w:rPr>
        <w:t>כי</w:t>
      </w:r>
      <w:r w:rsidRPr="00AA5065">
        <w:rPr>
          <w:rFonts w:eastAsia="Calibri"/>
          <w:b/>
          <w:bCs/>
          <w:rtl/>
        </w:rPr>
        <w:t xml:space="preserve"> </w:t>
      </w:r>
      <w:r w:rsidRPr="00AA5065">
        <w:rPr>
          <w:rFonts w:eastAsia="Calibri" w:hint="eastAsia"/>
          <w:b/>
          <w:bCs/>
          <w:rtl/>
        </w:rPr>
        <w:t>כ</w:t>
      </w:r>
      <w:r w:rsidRPr="00AA5065">
        <w:rPr>
          <w:rFonts w:eastAsia="Calibri"/>
          <w:b/>
          <w:bCs/>
          <w:rtl/>
        </w:rPr>
        <w:t xml:space="preserve">-40% </w:t>
      </w:r>
      <w:r w:rsidRPr="00AA5065">
        <w:rPr>
          <w:rFonts w:eastAsia="Calibri" w:hint="eastAsia"/>
          <w:b/>
          <w:bCs/>
          <w:rtl/>
        </w:rPr>
        <w:t>מהילדים</w:t>
      </w:r>
      <w:r w:rsidRPr="00AA5065">
        <w:rPr>
          <w:rFonts w:eastAsia="Calibri"/>
          <w:b/>
          <w:bCs/>
          <w:rtl/>
        </w:rPr>
        <w:t xml:space="preserve"> </w:t>
      </w:r>
      <w:r w:rsidRPr="00AA5065">
        <w:rPr>
          <w:rFonts w:eastAsia="Calibri" w:hint="eastAsia"/>
          <w:b/>
          <w:bCs/>
          <w:rtl/>
        </w:rPr>
        <w:t>בסיכון</w:t>
      </w:r>
      <w:r w:rsidRPr="00AA5065">
        <w:rPr>
          <w:rFonts w:eastAsia="Calibri"/>
          <w:b/>
          <w:bCs/>
          <w:rtl/>
        </w:rPr>
        <w:t xml:space="preserve"> </w:t>
      </w:r>
      <w:r w:rsidRPr="00AA5065">
        <w:rPr>
          <w:rFonts w:eastAsia="Calibri" w:hint="eastAsia"/>
          <w:b/>
          <w:bCs/>
          <w:rtl/>
        </w:rPr>
        <w:t>הם</w:t>
      </w:r>
      <w:r w:rsidRPr="00AA5065">
        <w:rPr>
          <w:rFonts w:eastAsia="Calibri"/>
          <w:b/>
          <w:bCs/>
          <w:rtl/>
        </w:rPr>
        <w:t xml:space="preserve"> </w:t>
      </w:r>
      <w:r w:rsidRPr="00AA5065">
        <w:rPr>
          <w:rFonts w:eastAsia="Calibri" w:hint="eastAsia"/>
          <w:b/>
          <w:bCs/>
          <w:rtl/>
        </w:rPr>
        <w:t>ממשפחות</w:t>
      </w:r>
      <w:r w:rsidRPr="00AA5065">
        <w:rPr>
          <w:rFonts w:eastAsia="Calibri"/>
          <w:b/>
          <w:bCs/>
          <w:rtl/>
        </w:rPr>
        <w:t xml:space="preserve"> </w:t>
      </w:r>
      <w:r w:rsidRPr="00AA5065">
        <w:rPr>
          <w:rFonts w:eastAsia="Calibri" w:hint="eastAsia"/>
          <w:b/>
          <w:bCs/>
          <w:rtl/>
        </w:rPr>
        <w:t>פוליגמיות</w:t>
      </w:r>
      <w:r>
        <w:rPr>
          <w:rFonts w:eastAsia="Calibri"/>
          <w:b/>
          <w:bCs/>
          <w:vertAlign w:val="superscript"/>
          <w:rtl/>
        </w:rPr>
        <w:footnoteReference w:id="140"/>
      </w:r>
      <w:r w:rsidRPr="00AA5065">
        <w:rPr>
          <w:rFonts w:eastAsia="Calibri"/>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rtl/>
        </w:rPr>
      </w:pPr>
      <w:r w:rsidRPr="00AA5065">
        <w:rPr>
          <w:rFonts w:ascii="David" w:eastAsia="Calibri" w:hAnsi="David" w:hint="eastAsia"/>
          <w:b/>
          <w:bCs/>
          <w:rtl/>
        </w:rPr>
        <w:t>כן</w:t>
      </w:r>
      <w:r w:rsidRPr="00AA5065">
        <w:rPr>
          <w:rFonts w:ascii="David" w:eastAsia="Calibri" w:hAnsi="David"/>
          <w:b/>
          <w:bCs/>
          <w:rtl/>
        </w:rPr>
        <w:t xml:space="preserve"> </w:t>
      </w:r>
      <w:r w:rsidRPr="00AA5065">
        <w:rPr>
          <w:rFonts w:ascii="David" w:eastAsia="Calibri" w:hAnsi="David" w:hint="eastAsia"/>
          <w:b/>
          <w:bCs/>
          <w:rtl/>
        </w:rPr>
        <w:t>נמצא</w:t>
      </w:r>
      <w:r w:rsidRPr="00AA5065">
        <w:rPr>
          <w:rFonts w:ascii="David" w:eastAsia="Calibri" w:hAnsi="David" w:hint="cs"/>
          <w:b/>
          <w:bCs/>
          <w:rtl/>
        </w:rPr>
        <w:t xml:space="preserve"> כי</w:t>
      </w:r>
      <w:r w:rsidRPr="00AA5065">
        <w:rPr>
          <w:rFonts w:ascii="David" w:eastAsia="Calibri" w:hAnsi="David"/>
          <w:b/>
          <w:bCs/>
          <w:rtl/>
        </w:rPr>
        <w:t xml:space="preserve"> בשנת 2021 </w:t>
      </w:r>
      <w:r w:rsidRPr="00AA5065">
        <w:rPr>
          <w:rFonts w:ascii="David" w:eastAsia="Calibri" w:hAnsi="David" w:hint="cs"/>
          <w:b/>
          <w:bCs/>
          <w:rtl/>
        </w:rPr>
        <w:t>ירדה</w:t>
      </w:r>
      <w:r w:rsidRPr="00AA5065">
        <w:rPr>
          <w:rFonts w:ascii="David" w:eastAsia="Calibri" w:hAnsi="David"/>
          <w:b/>
          <w:bCs/>
          <w:rtl/>
        </w:rPr>
        <w:t xml:space="preserve"> ישראל בדירוג </w:t>
      </w:r>
      <w:r w:rsidRPr="00AA5065">
        <w:rPr>
          <w:rFonts w:ascii="David" w:eastAsia="Calibri" w:hAnsi="David" w:hint="cs"/>
          <w:b/>
          <w:bCs/>
          <w:rtl/>
        </w:rPr>
        <w:t xml:space="preserve">מידת המאבק בסחר בבני אדם של מחלקת המדינה האמריקאית </w:t>
      </w:r>
      <w:r w:rsidRPr="00AA5065">
        <w:rPr>
          <w:rFonts w:ascii="David" w:eastAsia="Calibri" w:hAnsi="David"/>
          <w:b/>
          <w:bCs/>
          <w:rtl/>
        </w:rPr>
        <w:t xml:space="preserve">מקבוצה </w:t>
      </w:r>
      <w:r w:rsidRPr="00AA5065">
        <w:rPr>
          <w:rFonts w:ascii="David" w:eastAsia="Calibri" w:hAnsi="David" w:hint="cs"/>
          <w:b/>
          <w:bCs/>
          <w:rtl/>
        </w:rPr>
        <w:t>1</w:t>
      </w:r>
      <w:r w:rsidRPr="00AA5065">
        <w:rPr>
          <w:rFonts w:ascii="David" w:eastAsia="Calibri" w:hAnsi="David"/>
          <w:b/>
          <w:bCs/>
          <w:rtl/>
        </w:rPr>
        <w:t xml:space="preserve"> לקבוצה </w:t>
      </w:r>
      <w:r w:rsidRPr="00AA5065">
        <w:rPr>
          <w:rFonts w:ascii="David" w:eastAsia="Calibri" w:hAnsi="David" w:hint="cs"/>
          <w:b/>
          <w:bCs/>
          <w:rtl/>
        </w:rPr>
        <w:t>2</w:t>
      </w:r>
      <w:r>
        <w:rPr>
          <w:rFonts w:ascii="David" w:eastAsia="Calibri" w:hAnsi="David"/>
          <w:b/>
          <w:bCs/>
          <w:vertAlign w:val="superscript"/>
          <w:rtl/>
        </w:rPr>
        <w:footnoteReference w:id="141"/>
      </w:r>
      <w:r w:rsidRPr="00AA5065">
        <w:rPr>
          <w:rFonts w:ascii="David" w:eastAsia="Calibri" w:hAnsi="David"/>
          <w:b/>
          <w:bCs/>
          <w:rtl/>
        </w:rPr>
        <w:t>, זאת בשל פערים באכיפה ו</w:t>
      </w:r>
      <w:r w:rsidRPr="00AA5065">
        <w:rPr>
          <w:rFonts w:ascii="David" w:eastAsia="Calibri" w:hAnsi="David" w:hint="cs"/>
          <w:b/>
          <w:bCs/>
          <w:rtl/>
        </w:rPr>
        <w:t>ב</w:t>
      </w:r>
      <w:r w:rsidRPr="00AA5065">
        <w:rPr>
          <w:rFonts w:ascii="David" w:eastAsia="Calibri" w:hAnsi="David"/>
          <w:b/>
          <w:bCs/>
          <w:rtl/>
        </w:rPr>
        <w:t xml:space="preserve">זיהוי </w:t>
      </w:r>
      <w:r w:rsidRPr="00AA5065">
        <w:rPr>
          <w:rFonts w:ascii="David" w:eastAsia="Calibri" w:hAnsi="David" w:hint="cs"/>
          <w:b/>
          <w:bCs/>
          <w:rtl/>
        </w:rPr>
        <w:t>של תופעת העסקת קטינים.</w:t>
      </w:r>
    </w:p>
    <w:p w:rsidR="00AA5065" w:rsidRPr="00AA5065" w:rsidP="00860D89">
      <w:pPr>
        <w:spacing w:line="269" w:lineRule="auto"/>
        <w:ind w:left="-567"/>
        <w:rPr>
          <w:rFonts w:eastAsia="Calibri"/>
          <w:szCs w:val="20"/>
          <w:rtl/>
        </w:rPr>
      </w:pPr>
    </w:p>
    <w:p w:rsidR="00AA5065" w:rsidRPr="00AA5065" w:rsidP="00860D89">
      <w:pPr>
        <w:spacing w:line="269" w:lineRule="auto"/>
        <w:rPr>
          <w:rFonts w:ascii="Tahoma" w:eastAsia="Calibri" w:hAnsi="Tahoma"/>
          <w:b/>
          <w:bCs/>
          <w:rtl/>
        </w:rPr>
      </w:pPr>
      <w:bookmarkStart w:id="114" w:name="_Hlk204855511"/>
      <w:r w:rsidRPr="00AA5065">
        <w:rPr>
          <w:rFonts w:ascii="Tahoma" w:eastAsia="Calibri" w:hAnsi="Tahoma" w:hint="cs"/>
          <w:b/>
          <w:bCs/>
          <w:rtl/>
        </w:rPr>
        <w:t xml:space="preserve">השילוב של חוסר מעש הנפוץ בקרב נערים בפזורה ושל אי-השתלבות של רבים מהם במוסדות החינוך ובבתי הספר </w:t>
      </w:r>
      <w:r w:rsidRPr="00AA5065">
        <w:rPr>
          <w:rFonts w:eastAsia="Calibri" w:hint="cs"/>
          <w:b/>
          <w:bCs/>
          <w:rtl/>
        </w:rPr>
        <w:t>וכן</w:t>
      </w:r>
      <w:r w:rsidRPr="00AA5065">
        <w:rPr>
          <w:rFonts w:eastAsia="Calibri" w:hint="cs"/>
          <w:rtl/>
        </w:rPr>
        <w:t xml:space="preserve"> </w:t>
      </w:r>
      <w:r w:rsidRPr="00AA5065">
        <w:rPr>
          <w:rFonts w:eastAsia="Calibri" w:hint="eastAsia"/>
          <w:b/>
          <w:bCs/>
          <w:rtl/>
        </w:rPr>
        <w:t>העלי</w:t>
      </w:r>
      <w:r w:rsidRPr="00AA5065">
        <w:rPr>
          <w:rFonts w:eastAsia="Calibri" w:hint="cs"/>
          <w:b/>
          <w:bCs/>
          <w:rtl/>
        </w:rPr>
        <w:t>י</w:t>
      </w:r>
      <w:r w:rsidRPr="00AA5065">
        <w:rPr>
          <w:rFonts w:eastAsia="Calibri" w:hint="eastAsia"/>
          <w:b/>
          <w:bCs/>
          <w:rtl/>
        </w:rPr>
        <w:t>ה</w:t>
      </w:r>
      <w:r w:rsidRPr="00AA5065">
        <w:rPr>
          <w:rFonts w:eastAsia="Calibri"/>
          <w:b/>
          <w:bCs/>
          <w:rtl/>
        </w:rPr>
        <w:t xml:space="preserve"> בהיקף הילדים המצויים בסיכון</w:t>
      </w:r>
      <w:r w:rsidRPr="00AA5065">
        <w:rPr>
          <w:rFonts w:eastAsia="Calibri" w:hint="cs"/>
          <w:b/>
          <w:bCs/>
          <w:rtl/>
        </w:rPr>
        <w:t xml:space="preserve"> (</w:t>
      </w:r>
      <w:r w:rsidRPr="00AA5065">
        <w:rPr>
          <w:rFonts w:eastAsia="Calibri" w:hint="eastAsia"/>
          <w:b/>
          <w:bCs/>
          <w:rtl/>
        </w:rPr>
        <w:t>ההערכה</w:t>
      </w:r>
      <w:r w:rsidRPr="00AA5065">
        <w:rPr>
          <w:rFonts w:eastAsia="Calibri"/>
          <w:b/>
          <w:bCs/>
          <w:rtl/>
        </w:rPr>
        <w:t xml:space="preserve"> </w:t>
      </w:r>
      <w:r w:rsidRPr="00AA5065">
        <w:rPr>
          <w:rFonts w:eastAsia="Calibri" w:hint="eastAsia"/>
          <w:b/>
          <w:bCs/>
          <w:rtl/>
        </w:rPr>
        <w:t>היא</w:t>
      </w:r>
      <w:r w:rsidRPr="00AA5065">
        <w:rPr>
          <w:rFonts w:eastAsia="Calibri"/>
          <w:b/>
          <w:bCs/>
          <w:rtl/>
        </w:rPr>
        <w:t xml:space="preserve"> </w:t>
      </w:r>
      <w:r w:rsidRPr="00AA5065">
        <w:rPr>
          <w:rFonts w:eastAsia="Calibri" w:hint="eastAsia"/>
          <w:b/>
          <w:bCs/>
          <w:rtl/>
        </w:rPr>
        <w:t>כי</w:t>
      </w:r>
      <w:r w:rsidRPr="00AA5065">
        <w:rPr>
          <w:rFonts w:eastAsia="Calibri"/>
          <w:b/>
          <w:bCs/>
          <w:rtl/>
        </w:rPr>
        <w:t xml:space="preserve"> </w:t>
      </w:r>
      <w:r w:rsidRPr="00AA5065">
        <w:rPr>
          <w:rFonts w:eastAsia="Calibri" w:hint="eastAsia"/>
          <w:b/>
          <w:bCs/>
          <w:rtl/>
        </w:rPr>
        <w:t>כ</w:t>
      </w:r>
      <w:r w:rsidRPr="00AA5065">
        <w:rPr>
          <w:rFonts w:eastAsia="Calibri"/>
          <w:b/>
          <w:bCs/>
          <w:rtl/>
        </w:rPr>
        <w:t xml:space="preserve">-40% </w:t>
      </w:r>
      <w:r w:rsidRPr="00AA5065">
        <w:rPr>
          <w:rFonts w:eastAsia="Calibri" w:hint="eastAsia"/>
          <w:b/>
          <w:bCs/>
          <w:rtl/>
        </w:rPr>
        <w:t>מהילדים</w:t>
      </w:r>
      <w:r w:rsidRPr="00AA5065">
        <w:rPr>
          <w:rFonts w:eastAsia="Calibri"/>
          <w:b/>
          <w:bCs/>
          <w:rtl/>
        </w:rPr>
        <w:t xml:space="preserve"> </w:t>
      </w:r>
      <w:r w:rsidRPr="00AA5065">
        <w:rPr>
          <w:rFonts w:eastAsia="Calibri" w:hint="eastAsia"/>
          <w:b/>
          <w:bCs/>
          <w:rtl/>
        </w:rPr>
        <w:t>בסיכון</w:t>
      </w:r>
      <w:r w:rsidRPr="00AA5065">
        <w:rPr>
          <w:rFonts w:eastAsia="Calibri"/>
          <w:b/>
          <w:bCs/>
          <w:rtl/>
        </w:rPr>
        <w:t xml:space="preserve"> </w:t>
      </w:r>
      <w:r w:rsidRPr="00AA5065">
        <w:rPr>
          <w:rFonts w:eastAsia="Calibri" w:hint="eastAsia"/>
          <w:b/>
          <w:bCs/>
          <w:rtl/>
        </w:rPr>
        <w:t>הינם</w:t>
      </w:r>
      <w:r w:rsidRPr="00AA5065">
        <w:rPr>
          <w:rFonts w:eastAsia="Calibri"/>
          <w:b/>
          <w:bCs/>
          <w:rtl/>
        </w:rPr>
        <w:t xml:space="preserve"> </w:t>
      </w:r>
      <w:r w:rsidRPr="00AA5065">
        <w:rPr>
          <w:rFonts w:eastAsia="Calibri" w:hint="eastAsia"/>
          <w:b/>
          <w:bCs/>
          <w:rtl/>
        </w:rPr>
        <w:t>ממשפחות</w:t>
      </w:r>
      <w:r w:rsidRPr="00AA5065">
        <w:rPr>
          <w:rFonts w:eastAsia="Calibri"/>
          <w:b/>
          <w:bCs/>
          <w:rtl/>
        </w:rPr>
        <w:t xml:space="preserve"> </w:t>
      </w:r>
      <w:r w:rsidRPr="00AA5065">
        <w:rPr>
          <w:rFonts w:eastAsia="Calibri" w:hint="eastAsia"/>
          <w:b/>
          <w:bCs/>
          <w:rtl/>
        </w:rPr>
        <w:t>פוליגמיות</w:t>
      </w:r>
      <w:r w:rsidRPr="00AA5065">
        <w:rPr>
          <w:rFonts w:eastAsia="Calibri" w:hint="cs"/>
          <w:b/>
          <w:bCs/>
          <w:rtl/>
        </w:rPr>
        <w:t xml:space="preserve">) </w:t>
      </w:r>
      <w:r w:rsidRPr="00AA5065">
        <w:rPr>
          <w:rFonts w:ascii="Tahoma" w:eastAsia="Calibri" w:hAnsi="Tahoma" w:hint="cs"/>
          <w:b/>
          <w:bCs/>
          <w:rtl/>
        </w:rPr>
        <w:t>מוביל רבים מהם, ובייחוד את אלו שמשתייכים למשפחות פוליגמיות, לעבודה בהעסקה אסורה ופוגענית</w:t>
      </w:r>
      <w:bookmarkEnd w:id="114"/>
      <w:r w:rsidRPr="00AA5065">
        <w:rPr>
          <w:rFonts w:ascii="Tahoma" w:eastAsia="Calibri" w:hAnsi="Tahoma" w:hint="cs"/>
          <w:b/>
          <w:bCs/>
          <w:rtl/>
        </w:rPr>
        <w:t xml:space="preserve">. מצב זה יוצר כר פורה </w:t>
      </w:r>
      <w:r w:rsidRPr="00AA5065">
        <w:rPr>
          <w:rFonts w:ascii="Tahoma" w:eastAsia="Calibri" w:hAnsi="Tahoma"/>
          <w:b/>
          <w:bCs/>
          <w:rtl/>
        </w:rPr>
        <w:t>להיווצרות אוכלוסייה חסרת השכלה</w:t>
      </w:r>
      <w:r w:rsidRPr="00AA5065">
        <w:rPr>
          <w:rFonts w:ascii="Tahoma" w:eastAsia="Calibri" w:hAnsi="Tahoma" w:hint="cs"/>
          <w:b/>
          <w:bCs/>
          <w:rtl/>
        </w:rPr>
        <w:t xml:space="preserve"> </w:t>
      </w:r>
      <w:r w:rsidRPr="00AA5065">
        <w:rPr>
          <w:rFonts w:ascii="Tahoma" w:eastAsia="Calibri" w:hAnsi="Tahoma" w:hint="cs"/>
          <w:b/>
          <w:bCs/>
          <w:rtl/>
        </w:rPr>
        <w:t>ולעיסוק בפשע ובאלימות ומכאן הדרך להחמרת אי-המשילות בנגב קלה.</w:t>
      </w:r>
    </w:p>
    <w:p w:rsidR="00AA5065" w:rsidRPr="00AA5065" w:rsidP="00860D89">
      <w:pPr>
        <w:spacing w:line="269" w:lineRule="auto"/>
        <w:ind w:left="-567"/>
        <w:rPr>
          <w:rFonts w:eastAsia="Calibri"/>
          <w:szCs w:val="20"/>
          <w:rtl/>
        </w:rPr>
      </w:pPr>
    </w:p>
    <w:p w:rsidR="00AA5065" w:rsidRPr="00AA5065" w:rsidP="00860D89">
      <w:pPr>
        <w:spacing w:line="269" w:lineRule="auto"/>
        <w:rPr>
          <w:rFonts w:ascii="Calibri" w:eastAsia="Calibri" w:hAnsi="Calibri"/>
          <w:b/>
          <w:bCs/>
          <w:sz w:val="24"/>
          <w:rtl/>
        </w:rPr>
      </w:pPr>
      <w:r w:rsidRPr="00AA5065">
        <w:rPr>
          <w:rFonts w:ascii="Calibri" w:eastAsia="Calibri" w:hAnsi="Calibri" w:hint="cs"/>
          <w:b/>
          <w:bCs/>
          <w:sz w:val="24"/>
          <w:rtl/>
        </w:rPr>
        <w:t xml:space="preserve">מומלץ כי משרדי החינוך, העבודה, הרווחה והביטחון החברתי יפעלו בסיוע המשטרה ומשרד המשפטים להגברת האכיפה והפיקוח ולתיקון המצב הקשה </w:t>
      </w:r>
      <w:r w:rsidRPr="00AA5065">
        <w:rPr>
          <w:rFonts w:ascii="David" w:eastAsia="Calibri" w:hAnsi="David"/>
          <w:b/>
          <w:bCs/>
          <w:rtl/>
        </w:rPr>
        <w:t>של קטינים המועסקים בעסקים שונים כדוגמת מכוני שטיפת רכבים, חקלאות, משחטות עופות ותחנות דלק פיראטיות</w:t>
      </w:r>
      <w:r w:rsidRPr="00AA5065">
        <w:rPr>
          <w:rFonts w:ascii="Calibri" w:eastAsia="Calibri" w:hAnsi="Calibri" w:hint="cs"/>
          <w:b/>
          <w:bCs/>
          <w:sz w:val="24"/>
          <w:rtl/>
        </w:rPr>
        <w:t xml:space="preserve">. </w:t>
      </w:r>
    </w:p>
    <w:p w:rsidR="00AA5065" w:rsidRPr="00AA5065" w:rsidP="00860D89">
      <w:pPr>
        <w:spacing w:line="269" w:lineRule="auto"/>
        <w:rPr>
          <w:rFonts w:ascii="Calibri" w:eastAsia="Calibri" w:hAnsi="Calibri"/>
          <w:sz w:val="24"/>
          <w:rtl/>
        </w:rPr>
      </w:pPr>
      <w:r w:rsidRPr="00AA5065">
        <w:rPr>
          <w:rFonts w:ascii="Calibri" w:eastAsia="Calibri" w:hAnsi="Calibri" w:hint="eastAsia"/>
          <w:sz w:val="24"/>
          <w:rtl/>
        </w:rPr>
        <w:t>משרד</w:t>
      </w:r>
      <w:r w:rsidRPr="00AA5065">
        <w:rPr>
          <w:rFonts w:ascii="Calibri" w:eastAsia="Calibri" w:hAnsi="Calibri"/>
          <w:sz w:val="24"/>
          <w:rtl/>
        </w:rPr>
        <w:t xml:space="preserve"> </w:t>
      </w:r>
      <w:r w:rsidRPr="00AA5065">
        <w:rPr>
          <w:rFonts w:ascii="Calibri" w:eastAsia="Calibri" w:hAnsi="Calibri" w:hint="eastAsia"/>
          <w:sz w:val="24"/>
          <w:rtl/>
        </w:rPr>
        <w:t>החינוך</w:t>
      </w:r>
      <w:r w:rsidRPr="00AA5065">
        <w:rPr>
          <w:rFonts w:ascii="Calibri" w:eastAsia="Calibri" w:hAnsi="Calibri" w:hint="cs"/>
          <w:sz w:val="24"/>
          <w:rtl/>
        </w:rPr>
        <w:t xml:space="preserve"> מסר</w:t>
      </w:r>
      <w:r w:rsidRPr="00AA5065">
        <w:rPr>
          <w:rFonts w:ascii="Calibri" w:eastAsia="Calibri" w:hAnsi="Calibri"/>
          <w:sz w:val="24"/>
          <w:rtl/>
        </w:rPr>
        <w:t xml:space="preserve"> </w:t>
      </w:r>
      <w:r w:rsidRPr="00AA5065">
        <w:rPr>
          <w:rFonts w:ascii="Calibri" w:eastAsia="Calibri" w:hAnsi="Calibri" w:hint="cs"/>
          <w:sz w:val="24"/>
          <w:rtl/>
        </w:rPr>
        <w:t xml:space="preserve">בתשובתו </w:t>
      </w:r>
      <w:r w:rsidRPr="00AA5065">
        <w:rPr>
          <w:rFonts w:ascii="Calibri" w:eastAsia="Calibri" w:hAnsi="Calibri"/>
          <w:sz w:val="24"/>
          <w:rtl/>
        </w:rPr>
        <w:t>כי "</w:t>
      </w:r>
      <w:r w:rsidRPr="00AA5065">
        <w:rPr>
          <w:rFonts w:ascii="Calibri" w:eastAsia="Calibri" w:hAnsi="Calibri" w:hint="cs"/>
          <w:sz w:val="24"/>
          <w:rtl/>
        </w:rPr>
        <w:t>על מנהל בית הספר לדווח לקצין הביקור הסדיר על התלמידים שאינם מבקרים בבית הספר וקצין הביקור הסדיר יפעל ע"פ החוק והנהלים המצויים בחוזר מנכ"ל...</w:t>
      </w:r>
      <w:r w:rsidRPr="00AA5065">
        <w:rPr>
          <w:rFonts w:ascii="Calibri" w:eastAsia="Calibri" w:hAnsi="Calibri" w:cs="Arial" w:hint="cs"/>
          <w:kern w:val="2"/>
          <w:sz w:val="24"/>
          <w:rtl/>
          <w14:ligatures w14:val="standardContextual"/>
        </w:rPr>
        <w:t xml:space="preserve"> </w:t>
      </w:r>
      <w:r w:rsidRPr="00AA5065">
        <w:rPr>
          <w:rFonts w:ascii="Calibri" w:eastAsia="Calibri" w:hAnsi="Calibri" w:hint="cs"/>
          <w:sz w:val="24"/>
          <w:rtl/>
        </w:rPr>
        <w:t>השילוב</w:t>
      </w:r>
      <w:r w:rsidRPr="00AA5065">
        <w:rPr>
          <w:rFonts w:ascii="Calibri" w:eastAsia="Calibri" w:hAnsi="Calibri"/>
          <w:sz w:val="24"/>
          <w:rtl/>
        </w:rPr>
        <w:t xml:space="preserve"> </w:t>
      </w:r>
      <w:r w:rsidRPr="00AA5065">
        <w:rPr>
          <w:rFonts w:ascii="Calibri" w:eastAsia="Calibri" w:hAnsi="Calibri" w:hint="cs"/>
          <w:sz w:val="24"/>
          <w:rtl/>
        </w:rPr>
        <w:t>בין</w:t>
      </w:r>
      <w:r w:rsidRPr="00AA5065">
        <w:rPr>
          <w:rFonts w:ascii="Calibri" w:eastAsia="Calibri" w:hAnsi="Calibri"/>
          <w:sz w:val="24"/>
          <w:rtl/>
        </w:rPr>
        <w:t xml:space="preserve"> </w:t>
      </w:r>
      <w:r w:rsidRPr="00AA5065">
        <w:rPr>
          <w:rFonts w:ascii="Calibri" w:eastAsia="Calibri" w:hAnsi="Calibri" w:hint="cs"/>
          <w:sz w:val="24"/>
          <w:rtl/>
        </w:rPr>
        <w:t>ניתוק</w:t>
      </w:r>
      <w:r w:rsidRPr="00AA5065">
        <w:rPr>
          <w:rFonts w:ascii="Calibri" w:eastAsia="Calibri" w:hAnsi="Calibri"/>
          <w:sz w:val="24"/>
          <w:rtl/>
        </w:rPr>
        <w:t xml:space="preserve"> </w:t>
      </w:r>
      <w:r w:rsidRPr="00AA5065">
        <w:rPr>
          <w:rFonts w:ascii="Calibri" w:eastAsia="Calibri" w:hAnsi="Calibri" w:hint="cs"/>
          <w:sz w:val="24"/>
          <w:rtl/>
        </w:rPr>
        <w:t>ממערכת</w:t>
      </w:r>
      <w:r w:rsidRPr="00AA5065">
        <w:rPr>
          <w:rFonts w:ascii="Calibri" w:eastAsia="Calibri" w:hAnsi="Calibri"/>
          <w:sz w:val="24"/>
          <w:rtl/>
        </w:rPr>
        <w:t xml:space="preserve"> </w:t>
      </w:r>
      <w:r w:rsidRPr="00AA5065">
        <w:rPr>
          <w:rFonts w:ascii="Calibri" w:eastAsia="Calibri" w:hAnsi="Calibri" w:hint="cs"/>
          <w:sz w:val="24"/>
          <w:rtl/>
        </w:rPr>
        <w:t>החינוך</w:t>
      </w:r>
      <w:r w:rsidRPr="00AA5065">
        <w:rPr>
          <w:rFonts w:ascii="Calibri" w:eastAsia="Calibri" w:hAnsi="Calibri"/>
          <w:sz w:val="24"/>
          <w:rtl/>
        </w:rPr>
        <w:t xml:space="preserve">, </w:t>
      </w:r>
      <w:r w:rsidRPr="00AA5065">
        <w:rPr>
          <w:rFonts w:ascii="Calibri" w:eastAsia="Calibri" w:hAnsi="Calibri" w:hint="cs"/>
          <w:sz w:val="24"/>
          <w:rtl/>
        </w:rPr>
        <w:t>חוסר</w:t>
      </w:r>
      <w:r w:rsidRPr="00AA5065">
        <w:rPr>
          <w:rFonts w:ascii="Calibri" w:eastAsia="Calibri" w:hAnsi="Calibri"/>
          <w:sz w:val="24"/>
          <w:rtl/>
        </w:rPr>
        <w:t xml:space="preserve"> </w:t>
      </w:r>
      <w:r w:rsidRPr="00AA5065">
        <w:rPr>
          <w:rFonts w:ascii="Calibri" w:eastAsia="Calibri" w:hAnsi="Calibri" w:hint="cs"/>
          <w:sz w:val="24"/>
          <w:rtl/>
        </w:rPr>
        <w:t>מעש</w:t>
      </w:r>
      <w:r w:rsidRPr="00AA5065">
        <w:rPr>
          <w:rFonts w:ascii="Calibri" w:eastAsia="Calibri" w:hAnsi="Calibri"/>
          <w:sz w:val="24"/>
          <w:rtl/>
        </w:rPr>
        <w:t xml:space="preserve"> </w:t>
      </w:r>
      <w:r w:rsidRPr="00AA5065">
        <w:rPr>
          <w:rFonts w:ascii="Calibri" w:eastAsia="Calibri" w:hAnsi="Calibri" w:hint="cs"/>
          <w:sz w:val="24"/>
          <w:rtl/>
        </w:rPr>
        <w:t>של</w:t>
      </w:r>
      <w:r w:rsidRPr="00AA5065">
        <w:rPr>
          <w:rFonts w:ascii="Calibri" w:eastAsia="Calibri" w:hAnsi="Calibri"/>
          <w:sz w:val="24"/>
          <w:rtl/>
        </w:rPr>
        <w:t xml:space="preserve"> </w:t>
      </w:r>
      <w:r w:rsidRPr="00AA5065">
        <w:rPr>
          <w:rFonts w:ascii="Calibri" w:eastAsia="Calibri" w:hAnsi="Calibri" w:hint="cs"/>
          <w:sz w:val="24"/>
          <w:rtl/>
        </w:rPr>
        <w:t>בני</w:t>
      </w:r>
      <w:r w:rsidRPr="00AA5065">
        <w:rPr>
          <w:rFonts w:ascii="Calibri" w:eastAsia="Calibri" w:hAnsi="Calibri"/>
          <w:sz w:val="24"/>
          <w:rtl/>
        </w:rPr>
        <w:t xml:space="preserve"> </w:t>
      </w:r>
      <w:r w:rsidRPr="00AA5065">
        <w:rPr>
          <w:rFonts w:ascii="Calibri" w:eastAsia="Calibri" w:hAnsi="Calibri" w:hint="cs"/>
          <w:sz w:val="24"/>
          <w:rtl/>
        </w:rPr>
        <w:t>נוער</w:t>
      </w:r>
      <w:r w:rsidRPr="00AA5065">
        <w:rPr>
          <w:rFonts w:ascii="Calibri" w:eastAsia="Calibri" w:hAnsi="Calibri"/>
          <w:sz w:val="24"/>
          <w:rtl/>
        </w:rPr>
        <w:t xml:space="preserve">, </w:t>
      </w:r>
      <w:r w:rsidRPr="00AA5065">
        <w:rPr>
          <w:rFonts w:ascii="Calibri" w:eastAsia="Calibri" w:hAnsi="Calibri" w:hint="cs"/>
          <w:sz w:val="24"/>
          <w:rtl/>
        </w:rPr>
        <w:t>וריבוי</w:t>
      </w:r>
      <w:r w:rsidRPr="00AA5065">
        <w:rPr>
          <w:rFonts w:ascii="Calibri" w:eastAsia="Calibri" w:hAnsi="Calibri"/>
          <w:sz w:val="24"/>
          <w:rtl/>
        </w:rPr>
        <w:t xml:space="preserve"> </w:t>
      </w:r>
      <w:r w:rsidRPr="00AA5065">
        <w:rPr>
          <w:rFonts w:ascii="Calibri" w:eastAsia="Calibri" w:hAnsi="Calibri" w:hint="cs"/>
          <w:sz w:val="24"/>
          <w:rtl/>
        </w:rPr>
        <w:t>ילדים</w:t>
      </w:r>
      <w:r w:rsidRPr="00AA5065">
        <w:rPr>
          <w:rFonts w:ascii="Calibri" w:eastAsia="Calibri" w:hAnsi="Calibri"/>
          <w:sz w:val="24"/>
          <w:rtl/>
        </w:rPr>
        <w:t xml:space="preserve"> </w:t>
      </w:r>
      <w:r w:rsidRPr="00AA5065">
        <w:rPr>
          <w:rFonts w:ascii="Calibri" w:eastAsia="Calibri" w:hAnsi="Calibri" w:hint="cs"/>
          <w:sz w:val="24"/>
          <w:rtl/>
        </w:rPr>
        <w:t>בסיכון</w:t>
      </w:r>
      <w:r w:rsidRPr="00AA5065">
        <w:rPr>
          <w:rFonts w:ascii="Calibri" w:eastAsia="Calibri" w:hAnsi="Calibri"/>
          <w:sz w:val="24"/>
          <w:rtl/>
        </w:rPr>
        <w:t xml:space="preserve"> </w:t>
      </w:r>
      <w:r w:rsidRPr="00AA5065">
        <w:rPr>
          <w:rFonts w:ascii="Calibri" w:eastAsia="Calibri" w:hAnsi="Calibri" w:hint="cs"/>
          <w:sz w:val="24"/>
          <w:rtl/>
        </w:rPr>
        <w:t>-</w:t>
      </w:r>
      <w:r w:rsidRPr="00AA5065">
        <w:rPr>
          <w:rFonts w:ascii="Calibri" w:eastAsia="Calibri" w:hAnsi="Calibri"/>
          <w:sz w:val="24"/>
          <w:rtl/>
        </w:rPr>
        <w:t xml:space="preserve"> </w:t>
      </w:r>
      <w:r w:rsidRPr="00AA5065">
        <w:rPr>
          <w:rFonts w:ascii="Calibri" w:eastAsia="Calibri" w:hAnsi="Calibri" w:hint="cs"/>
          <w:sz w:val="24"/>
          <w:rtl/>
        </w:rPr>
        <w:t>במיוחד</w:t>
      </w:r>
      <w:r w:rsidRPr="00AA5065">
        <w:rPr>
          <w:rFonts w:ascii="Calibri" w:eastAsia="Calibri" w:hAnsi="Calibri"/>
          <w:sz w:val="24"/>
          <w:rtl/>
        </w:rPr>
        <w:t xml:space="preserve"> </w:t>
      </w:r>
      <w:r w:rsidRPr="00AA5065">
        <w:rPr>
          <w:rFonts w:ascii="Calibri" w:eastAsia="Calibri" w:hAnsi="Calibri" w:hint="cs"/>
          <w:sz w:val="24"/>
          <w:rtl/>
        </w:rPr>
        <w:t>במשפחות</w:t>
      </w:r>
      <w:r w:rsidRPr="00AA5065">
        <w:rPr>
          <w:rFonts w:ascii="Calibri" w:eastAsia="Calibri" w:hAnsi="Calibri"/>
          <w:sz w:val="24"/>
          <w:rtl/>
        </w:rPr>
        <w:t xml:space="preserve"> </w:t>
      </w:r>
      <w:r w:rsidRPr="00AA5065">
        <w:rPr>
          <w:rFonts w:ascii="Calibri" w:eastAsia="Calibri" w:hAnsi="Calibri" w:hint="cs"/>
          <w:sz w:val="24"/>
          <w:rtl/>
        </w:rPr>
        <w:t>פוליגמיות</w:t>
      </w:r>
      <w:r w:rsidRPr="00AA5065">
        <w:rPr>
          <w:rFonts w:ascii="Calibri" w:eastAsia="Calibri" w:hAnsi="Calibri"/>
          <w:sz w:val="24"/>
          <w:rtl/>
        </w:rPr>
        <w:t xml:space="preserve"> </w:t>
      </w:r>
      <w:r w:rsidRPr="00AA5065">
        <w:rPr>
          <w:rFonts w:ascii="Calibri" w:eastAsia="Calibri" w:hAnsi="Calibri" w:hint="cs"/>
          <w:sz w:val="24"/>
          <w:rtl/>
        </w:rPr>
        <w:t>-</w:t>
      </w:r>
      <w:r w:rsidRPr="00AA5065">
        <w:rPr>
          <w:rFonts w:ascii="Calibri" w:eastAsia="Calibri" w:hAnsi="Calibri"/>
          <w:sz w:val="24"/>
          <w:rtl/>
        </w:rPr>
        <w:t xml:space="preserve"> </w:t>
      </w:r>
      <w:r w:rsidRPr="00AA5065">
        <w:rPr>
          <w:rFonts w:ascii="Calibri" w:eastAsia="Calibri" w:hAnsi="Calibri" w:hint="cs"/>
          <w:sz w:val="24"/>
          <w:rtl/>
        </w:rPr>
        <w:t>יוצר</w:t>
      </w:r>
      <w:r w:rsidRPr="00AA5065">
        <w:rPr>
          <w:rFonts w:ascii="Calibri" w:eastAsia="Calibri" w:hAnsi="Calibri"/>
          <w:sz w:val="24"/>
          <w:rtl/>
        </w:rPr>
        <w:t xml:space="preserve"> </w:t>
      </w:r>
      <w:r w:rsidRPr="00AA5065">
        <w:rPr>
          <w:rFonts w:ascii="Calibri" w:eastAsia="Calibri" w:hAnsi="Calibri" w:hint="cs"/>
          <w:sz w:val="24"/>
          <w:rtl/>
        </w:rPr>
        <w:t>אתגר</w:t>
      </w:r>
      <w:r w:rsidRPr="00AA5065">
        <w:rPr>
          <w:rFonts w:ascii="Calibri" w:eastAsia="Calibri" w:hAnsi="Calibri"/>
          <w:sz w:val="24"/>
          <w:rtl/>
        </w:rPr>
        <w:t xml:space="preserve"> </w:t>
      </w:r>
      <w:r w:rsidRPr="00AA5065">
        <w:rPr>
          <w:rFonts w:ascii="Calibri" w:eastAsia="Calibri" w:hAnsi="Calibri" w:hint="cs"/>
          <w:sz w:val="24"/>
          <w:rtl/>
        </w:rPr>
        <w:t>חמור</w:t>
      </w:r>
      <w:r w:rsidRPr="00AA5065">
        <w:rPr>
          <w:rFonts w:ascii="Calibri" w:eastAsia="Calibri" w:hAnsi="Calibri"/>
          <w:sz w:val="24"/>
          <w:rtl/>
        </w:rPr>
        <w:t xml:space="preserve"> </w:t>
      </w:r>
      <w:r w:rsidRPr="00AA5065">
        <w:rPr>
          <w:rFonts w:ascii="Calibri" w:eastAsia="Calibri" w:hAnsi="Calibri" w:hint="cs"/>
          <w:sz w:val="24"/>
          <w:rtl/>
        </w:rPr>
        <w:t>להשפעתו</w:t>
      </w:r>
      <w:r w:rsidRPr="00AA5065">
        <w:rPr>
          <w:rFonts w:ascii="Calibri" w:eastAsia="Calibri" w:hAnsi="Calibri"/>
          <w:sz w:val="24"/>
          <w:rtl/>
        </w:rPr>
        <w:t xml:space="preserve"> </w:t>
      </w:r>
      <w:r w:rsidRPr="00AA5065">
        <w:rPr>
          <w:rFonts w:ascii="Calibri" w:eastAsia="Calibri" w:hAnsi="Calibri" w:hint="cs"/>
          <w:sz w:val="24"/>
          <w:rtl/>
        </w:rPr>
        <w:t>על</w:t>
      </w:r>
      <w:r w:rsidRPr="00AA5065">
        <w:rPr>
          <w:rFonts w:ascii="Calibri" w:eastAsia="Calibri" w:hAnsi="Calibri"/>
          <w:sz w:val="24"/>
          <w:rtl/>
        </w:rPr>
        <w:t xml:space="preserve"> </w:t>
      </w:r>
      <w:r w:rsidRPr="00AA5065">
        <w:rPr>
          <w:rFonts w:ascii="Calibri" w:eastAsia="Calibri" w:hAnsi="Calibri" w:hint="cs"/>
          <w:sz w:val="24"/>
          <w:rtl/>
        </w:rPr>
        <w:t>המשילות</w:t>
      </w:r>
      <w:r w:rsidRPr="00AA5065">
        <w:rPr>
          <w:rFonts w:ascii="Calibri" w:eastAsia="Calibri" w:hAnsi="Calibri"/>
          <w:sz w:val="24"/>
          <w:rtl/>
        </w:rPr>
        <w:t xml:space="preserve">, </w:t>
      </w:r>
      <w:r w:rsidRPr="00AA5065">
        <w:rPr>
          <w:rFonts w:ascii="Calibri" w:eastAsia="Calibri" w:hAnsi="Calibri" w:hint="cs"/>
          <w:sz w:val="24"/>
          <w:rtl/>
        </w:rPr>
        <w:t>הפשיעה</w:t>
      </w:r>
      <w:r w:rsidRPr="00AA5065">
        <w:rPr>
          <w:rFonts w:ascii="Calibri" w:eastAsia="Calibri" w:hAnsi="Calibri"/>
          <w:sz w:val="24"/>
          <w:rtl/>
        </w:rPr>
        <w:t xml:space="preserve"> </w:t>
      </w:r>
      <w:r w:rsidRPr="00AA5065">
        <w:rPr>
          <w:rFonts w:ascii="Calibri" w:eastAsia="Calibri" w:hAnsi="Calibri" w:hint="cs"/>
          <w:sz w:val="24"/>
          <w:rtl/>
        </w:rPr>
        <w:t>והחוסן</w:t>
      </w:r>
      <w:r w:rsidRPr="00AA5065">
        <w:rPr>
          <w:rFonts w:ascii="Calibri" w:eastAsia="Calibri" w:hAnsi="Calibri"/>
          <w:sz w:val="24"/>
          <w:rtl/>
        </w:rPr>
        <w:t xml:space="preserve"> </w:t>
      </w:r>
      <w:r w:rsidRPr="00AA5065">
        <w:rPr>
          <w:rFonts w:ascii="Calibri" w:eastAsia="Calibri" w:hAnsi="Calibri" w:hint="cs"/>
          <w:sz w:val="24"/>
          <w:rtl/>
        </w:rPr>
        <w:t>החברתי</w:t>
      </w:r>
      <w:r w:rsidRPr="00AA5065">
        <w:rPr>
          <w:rFonts w:ascii="Calibri" w:eastAsia="Calibri" w:hAnsi="Calibri"/>
          <w:sz w:val="24"/>
          <w:rtl/>
        </w:rPr>
        <w:t xml:space="preserve"> </w:t>
      </w:r>
      <w:r w:rsidRPr="00AA5065">
        <w:rPr>
          <w:rFonts w:ascii="Calibri" w:eastAsia="Calibri" w:hAnsi="Calibri" w:hint="cs"/>
          <w:sz w:val="24"/>
          <w:rtl/>
        </w:rPr>
        <w:t>בנגב</w:t>
      </w:r>
      <w:r w:rsidRPr="00AA5065">
        <w:rPr>
          <w:rFonts w:ascii="Calibri" w:eastAsia="Calibri" w:hAnsi="Calibri"/>
          <w:sz w:val="24"/>
          <w:rtl/>
        </w:rPr>
        <w:t>.</w:t>
      </w:r>
      <w:r w:rsidRPr="00AA5065">
        <w:rPr>
          <w:rFonts w:ascii="Calibri" w:eastAsia="Calibri" w:hAnsi="Calibri" w:hint="cs"/>
          <w:sz w:val="24"/>
          <w:rtl/>
        </w:rPr>
        <w:t xml:space="preserve"> משרד</w:t>
      </w:r>
      <w:r w:rsidRPr="00AA5065">
        <w:rPr>
          <w:rFonts w:ascii="Calibri" w:eastAsia="Calibri" w:hAnsi="Calibri"/>
          <w:sz w:val="24"/>
          <w:rtl/>
        </w:rPr>
        <w:t xml:space="preserve"> </w:t>
      </w:r>
      <w:r w:rsidRPr="00AA5065">
        <w:rPr>
          <w:rFonts w:ascii="Calibri" w:eastAsia="Calibri" w:hAnsi="Calibri" w:hint="cs"/>
          <w:sz w:val="24"/>
          <w:rtl/>
        </w:rPr>
        <w:t>החינוך</w:t>
      </w:r>
      <w:r w:rsidRPr="00AA5065">
        <w:rPr>
          <w:rFonts w:ascii="Calibri" w:eastAsia="Calibri" w:hAnsi="Calibri"/>
          <w:sz w:val="24"/>
          <w:rtl/>
        </w:rPr>
        <w:t xml:space="preserve"> </w:t>
      </w:r>
      <w:r w:rsidRPr="00AA5065">
        <w:rPr>
          <w:rFonts w:ascii="Calibri" w:eastAsia="Calibri" w:hAnsi="Calibri" w:hint="cs"/>
          <w:sz w:val="24"/>
          <w:rtl/>
        </w:rPr>
        <w:t>אמנם</w:t>
      </w:r>
      <w:r w:rsidRPr="00AA5065">
        <w:rPr>
          <w:rFonts w:ascii="Calibri" w:eastAsia="Calibri" w:hAnsi="Calibri"/>
          <w:sz w:val="24"/>
          <w:rtl/>
        </w:rPr>
        <w:t xml:space="preserve"> </w:t>
      </w:r>
      <w:r w:rsidRPr="00AA5065">
        <w:rPr>
          <w:rFonts w:ascii="Calibri" w:eastAsia="Calibri" w:hAnsi="Calibri" w:hint="cs"/>
          <w:sz w:val="24"/>
          <w:rtl/>
        </w:rPr>
        <w:t>אינו</w:t>
      </w:r>
      <w:r w:rsidRPr="00AA5065">
        <w:rPr>
          <w:rFonts w:ascii="Calibri" w:eastAsia="Calibri" w:hAnsi="Calibri"/>
          <w:sz w:val="24"/>
          <w:rtl/>
        </w:rPr>
        <w:t xml:space="preserve"> </w:t>
      </w:r>
      <w:r w:rsidRPr="00AA5065">
        <w:rPr>
          <w:rFonts w:ascii="Calibri" w:eastAsia="Calibri" w:hAnsi="Calibri" w:hint="cs"/>
          <w:sz w:val="24"/>
          <w:rtl/>
        </w:rPr>
        <w:t>הגוף</w:t>
      </w:r>
      <w:r w:rsidRPr="00AA5065">
        <w:rPr>
          <w:rFonts w:ascii="Calibri" w:eastAsia="Calibri" w:hAnsi="Calibri"/>
          <w:sz w:val="24"/>
          <w:rtl/>
        </w:rPr>
        <w:t xml:space="preserve"> </w:t>
      </w:r>
      <w:r w:rsidRPr="00AA5065">
        <w:rPr>
          <w:rFonts w:ascii="Calibri" w:eastAsia="Calibri" w:hAnsi="Calibri" w:hint="cs"/>
          <w:sz w:val="24"/>
          <w:rtl/>
        </w:rPr>
        <w:t>האמון</w:t>
      </w:r>
      <w:r w:rsidRPr="00AA5065">
        <w:rPr>
          <w:rFonts w:ascii="Calibri" w:eastAsia="Calibri" w:hAnsi="Calibri"/>
          <w:sz w:val="24"/>
          <w:rtl/>
        </w:rPr>
        <w:t xml:space="preserve"> </w:t>
      </w:r>
      <w:r w:rsidRPr="00AA5065">
        <w:rPr>
          <w:rFonts w:ascii="Calibri" w:eastAsia="Calibri" w:hAnsi="Calibri" w:hint="cs"/>
          <w:sz w:val="24"/>
          <w:rtl/>
        </w:rPr>
        <w:t>על</w:t>
      </w:r>
      <w:r w:rsidRPr="00AA5065">
        <w:rPr>
          <w:rFonts w:ascii="Calibri" w:eastAsia="Calibri" w:hAnsi="Calibri"/>
          <w:sz w:val="24"/>
          <w:rtl/>
        </w:rPr>
        <w:t xml:space="preserve"> </w:t>
      </w:r>
      <w:r w:rsidRPr="00AA5065">
        <w:rPr>
          <w:rFonts w:ascii="Calibri" w:eastAsia="Calibri" w:hAnsi="Calibri" w:hint="cs"/>
          <w:sz w:val="24"/>
          <w:rtl/>
        </w:rPr>
        <w:t>אכיפת</w:t>
      </w:r>
      <w:r w:rsidRPr="00AA5065">
        <w:rPr>
          <w:rFonts w:ascii="Calibri" w:eastAsia="Calibri" w:hAnsi="Calibri"/>
          <w:sz w:val="24"/>
          <w:rtl/>
        </w:rPr>
        <w:t xml:space="preserve"> </w:t>
      </w:r>
      <w:r w:rsidRPr="00AA5065">
        <w:rPr>
          <w:rFonts w:ascii="Calibri" w:eastAsia="Calibri" w:hAnsi="Calibri" w:hint="cs"/>
          <w:sz w:val="24"/>
          <w:rtl/>
        </w:rPr>
        <w:t>העסקת</w:t>
      </w:r>
      <w:r w:rsidRPr="00AA5065">
        <w:rPr>
          <w:rFonts w:ascii="Calibri" w:eastAsia="Calibri" w:hAnsi="Calibri"/>
          <w:sz w:val="24"/>
          <w:rtl/>
        </w:rPr>
        <w:t xml:space="preserve"> </w:t>
      </w:r>
      <w:r w:rsidRPr="00AA5065">
        <w:rPr>
          <w:rFonts w:ascii="Calibri" w:eastAsia="Calibri" w:hAnsi="Calibri" w:hint="cs"/>
          <w:sz w:val="24"/>
          <w:rtl/>
        </w:rPr>
        <w:t>קטינים</w:t>
      </w:r>
      <w:r w:rsidRPr="00AA5065">
        <w:rPr>
          <w:rFonts w:ascii="Calibri" w:eastAsia="Calibri" w:hAnsi="Calibri"/>
          <w:sz w:val="24"/>
          <w:rtl/>
        </w:rPr>
        <w:t xml:space="preserve"> </w:t>
      </w:r>
      <w:r w:rsidRPr="00AA5065">
        <w:rPr>
          <w:rFonts w:ascii="Calibri" w:eastAsia="Calibri" w:hAnsi="Calibri" w:hint="cs"/>
          <w:sz w:val="24"/>
          <w:rtl/>
        </w:rPr>
        <w:t>או</w:t>
      </w:r>
      <w:r w:rsidRPr="00AA5065">
        <w:rPr>
          <w:rFonts w:ascii="Calibri" w:eastAsia="Calibri" w:hAnsi="Calibri"/>
          <w:sz w:val="24"/>
          <w:rtl/>
        </w:rPr>
        <w:t xml:space="preserve"> </w:t>
      </w:r>
      <w:r w:rsidRPr="00AA5065">
        <w:rPr>
          <w:rFonts w:ascii="Calibri" w:eastAsia="Calibri" w:hAnsi="Calibri" w:hint="cs"/>
          <w:sz w:val="24"/>
          <w:rtl/>
        </w:rPr>
        <w:t>טיפול</w:t>
      </w:r>
      <w:r w:rsidRPr="00AA5065">
        <w:rPr>
          <w:rFonts w:ascii="Calibri" w:eastAsia="Calibri" w:hAnsi="Calibri"/>
          <w:sz w:val="24"/>
          <w:rtl/>
        </w:rPr>
        <w:t xml:space="preserve"> </w:t>
      </w:r>
      <w:r w:rsidRPr="00AA5065">
        <w:rPr>
          <w:rFonts w:ascii="Calibri" w:eastAsia="Calibri" w:hAnsi="Calibri" w:hint="cs"/>
          <w:sz w:val="24"/>
          <w:rtl/>
        </w:rPr>
        <w:t>בהתנהגויות</w:t>
      </w:r>
      <w:r w:rsidRPr="00AA5065">
        <w:rPr>
          <w:rFonts w:ascii="Calibri" w:eastAsia="Calibri" w:hAnsi="Calibri"/>
          <w:sz w:val="24"/>
          <w:rtl/>
        </w:rPr>
        <w:t xml:space="preserve"> </w:t>
      </w:r>
      <w:r w:rsidRPr="00AA5065">
        <w:rPr>
          <w:rFonts w:ascii="Calibri" w:eastAsia="Calibri" w:hAnsi="Calibri" w:hint="cs"/>
          <w:sz w:val="24"/>
          <w:rtl/>
        </w:rPr>
        <w:t>פליליות</w:t>
      </w:r>
      <w:r w:rsidRPr="00AA5065">
        <w:rPr>
          <w:rFonts w:ascii="Calibri" w:eastAsia="Calibri" w:hAnsi="Calibri"/>
          <w:sz w:val="24"/>
          <w:rtl/>
        </w:rPr>
        <w:t xml:space="preserve"> </w:t>
      </w:r>
      <w:r w:rsidRPr="00AA5065">
        <w:rPr>
          <w:rFonts w:ascii="Calibri" w:eastAsia="Calibri" w:hAnsi="Calibri" w:hint="cs"/>
          <w:sz w:val="24"/>
          <w:rtl/>
        </w:rPr>
        <w:t>-</w:t>
      </w:r>
      <w:r w:rsidRPr="00AA5065">
        <w:rPr>
          <w:rFonts w:ascii="Calibri" w:eastAsia="Calibri" w:hAnsi="Calibri"/>
          <w:sz w:val="24"/>
          <w:rtl/>
        </w:rPr>
        <w:t xml:space="preserve"> </w:t>
      </w:r>
      <w:r w:rsidRPr="00AA5065">
        <w:rPr>
          <w:rFonts w:ascii="Calibri" w:eastAsia="Calibri" w:hAnsi="Calibri" w:hint="cs"/>
          <w:sz w:val="24"/>
          <w:rtl/>
        </w:rPr>
        <w:t>תחומים</w:t>
      </w:r>
      <w:r w:rsidRPr="00AA5065">
        <w:rPr>
          <w:rFonts w:ascii="Calibri" w:eastAsia="Calibri" w:hAnsi="Calibri"/>
          <w:sz w:val="24"/>
          <w:rtl/>
        </w:rPr>
        <w:t xml:space="preserve"> </w:t>
      </w:r>
      <w:r w:rsidRPr="00AA5065">
        <w:rPr>
          <w:rFonts w:ascii="Calibri" w:eastAsia="Calibri" w:hAnsi="Calibri" w:hint="cs"/>
          <w:sz w:val="24"/>
          <w:rtl/>
        </w:rPr>
        <w:t>שבאחריות</w:t>
      </w:r>
      <w:r w:rsidRPr="00AA5065">
        <w:rPr>
          <w:rFonts w:ascii="Calibri" w:eastAsia="Calibri" w:hAnsi="Calibri"/>
          <w:sz w:val="24"/>
          <w:rtl/>
        </w:rPr>
        <w:t xml:space="preserve"> </w:t>
      </w:r>
      <w:r w:rsidRPr="00AA5065">
        <w:rPr>
          <w:rFonts w:ascii="Calibri" w:eastAsia="Calibri" w:hAnsi="Calibri" w:hint="cs"/>
          <w:sz w:val="24"/>
          <w:rtl/>
        </w:rPr>
        <w:t>משותפת</w:t>
      </w:r>
      <w:r w:rsidRPr="00AA5065">
        <w:rPr>
          <w:rFonts w:ascii="Calibri" w:eastAsia="Calibri" w:hAnsi="Calibri"/>
          <w:sz w:val="24"/>
          <w:rtl/>
        </w:rPr>
        <w:t xml:space="preserve"> </w:t>
      </w:r>
      <w:r w:rsidRPr="00AA5065">
        <w:rPr>
          <w:rFonts w:ascii="Calibri" w:eastAsia="Calibri" w:hAnsi="Calibri" w:hint="cs"/>
          <w:sz w:val="24"/>
          <w:rtl/>
        </w:rPr>
        <w:t>של</w:t>
      </w:r>
      <w:r w:rsidRPr="00AA5065">
        <w:rPr>
          <w:rFonts w:ascii="Calibri" w:eastAsia="Calibri" w:hAnsi="Calibri"/>
          <w:sz w:val="24"/>
          <w:rtl/>
        </w:rPr>
        <w:t xml:space="preserve"> </w:t>
      </w:r>
      <w:r w:rsidRPr="00AA5065">
        <w:rPr>
          <w:rFonts w:ascii="Calibri" w:eastAsia="Calibri" w:hAnsi="Calibri" w:hint="cs"/>
          <w:sz w:val="24"/>
          <w:rtl/>
        </w:rPr>
        <w:t>המשטרה</w:t>
      </w:r>
      <w:r w:rsidRPr="00AA5065">
        <w:rPr>
          <w:rFonts w:ascii="Calibri" w:eastAsia="Calibri" w:hAnsi="Calibri"/>
          <w:sz w:val="24"/>
          <w:rtl/>
        </w:rPr>
        <w:t xml:space="preserve">, </w:t>
      </w:r>
      <w:r w:rsidRPr="00AA5065">
        <w:rPr>
          <w:rFonts w:ascii="Calibri" w:eastAsia="Calibri" w:hAnsi="Calibri" w:hint="cs"/>
          <w:sz w:val="24"/>
          <w:rtl/>
        </w:rPr>
        <w:t>משרד</w:t>
      </w:r>
      <w:r w:rsidRPr="00AA5065">
        <w:rPr>
          <w:rFonts w:ascii="Calibri" w:eastAsia="Calibri" w:hAnsi="Calibri"/>
          <w:sz w:val="24"/>
          <w:rtl/>
        </w:rPr>
        <w:t xml:space="preserve"> </w:t>
      </w:r>
      <w:r w:rsidRPr="00AA5065">
        <w:rPr>
          <w:rFonts w:ascii="Calibri" w:eastAsia="Calibri" w:hAnsi="Calibri" w:hint="cs"/>
          <w:sz w:val="24"/>
          <w:rtl/>
        </w:rPr>
        <w:t>הרווחה</w:t>
      </w:r>
      <w:r w:rsidRPr="00AA5065">
        <w:rPr>
          <w:rFonts w:ascii="Calibri" w:eastAsia="Calibri" w:hAnsi="Calibri"/>
          <w:sz w:val="24"/>
          <w:rtl/>
        </w:rPr>
        <w:t xml:space="preserve">, </w:t>
      </w:r>
      <w:r w:rsidRPr="00AA5065">
        <w:rPr>
          <w:rFonts w:ascii="Calibri" w:eastAsia="Calibri" w:hAnsi="Calibri" w:hint="cs"/>
          <w:sz w:val="24"/>
          <w:rtl/>
        </w:rPr>
        <w:t>העבודה</w:t>
      </w:r>
      <w:r w:rsidRPr="00AA5065">
        <w:rPr>
          <w:rFonts w:ascii="Calibri" w:eastAsia="Calibri" w:hAnsi="Calibri"/>
          <w:sz w:val="24"/>
          <w:rtl/>
        </w:rPr>
        <w:t xml:space="preserve"> </w:t>
      </w:r>
      <w:r w:rsidRPr="00AA5065">
        <w:rPr>
          <w:rFonts w:ascii="Calibri" w:eastAsia="Calibri" w:hAnsi="Calibri" w:hint="cs"/>
          <w:sz w:val="24"/>
          <w:rtl/>
        </w:rPr>
        <w:t>והמשפטים</w:t>
      </w:r>
      <w:r w:rsidRPr="00AA5065">
        <w:rPr>
          <w:rFonts w:ascii="Calibri" w:eastAsia="Calibri" w:hAnsi="Calibri"/>
          <w:sz w:val="24"/>
          <w:rtl/>
        </w:rPr>
        <w:t xml:space="preserve"> </w:t>
      </w:r>
      <w:r w:rsidRPr="00AA5065">
        <w:rPr>
          <w:rFonts w:ascii="Calibri" w:eastAsia="Calibri" w:hAnsi="Calibri" w:hint="cs"/>
          <w:sz w:val="24"/>
          <w:rtl/>
        </w:rPr>
        <w:t>-</w:t>
      </w:r>
      <w:r w:rsidRPr="00AA5065">
        <w:rPr>
          <w:rFonts w:ascii="Calibri" w:eastAsia="Calibri" w:hAnsi="Calibri"/>
          <w:sz w:val="24"/>
          <w:rtl/>
        </w:rPr>
        <w:t xml:space="preserve"> </w:t>
      </w:r>
      <w:r w:rsidRPr="00AA5065">
        <w:rPr>
          <w:rFonts w:ascii="Calibri" w:eastAsia="Calibri" w:hAnsi="Calibri" w:hint="cs"/>
          <w:sz w:val="24"/>
          <w:rtl/>
        </w:rPr>
        <w:t>אך</w:t>
      </w:r>
      <w:r w:rsidRPr="00AA5065">
        <w:rPr>
          <w:rFonts w:ascii="Calibri" w:eastAsia="Calibri" w:hAnsi="Calibri"/>
          <w:sz w:val="24"/>
          <w:rtl/>
        </w:rPr>
        <w:t xml:space="preserve"> </w:t>
      </w:r>
      <w:r w:rsidRPr="00AA5065">
        <w:rPr>
          <w:rFonts w:ascii="Calibri" w:eastAsia="Calibri" w:hAnsi="Calibri" w:hint="cs"/>
          <w:sz w:val="24"/>
          <w:rtl/>
        </w:rPr>
        <w:t>הוא</w:t>
      </w:r>
      <w:r w:rsidRPr="00AA5065">
        <w:rPr>
          <w:rFonts w:ascii="Calibri" w:eastAsia="Calibri" w:hAnsi="Calibri"/>
          <w:sz w:val="24"/>
          <w:rtl/>
        </w:rPr>
        <w:t xml:space="preserve"> </w:t>
      </w:r>
      <w:r w:rsidRPr="00AA5065">
        <w:rPr>
          <w:rFonts w:ascii="Calibri" w:eastAsia="Calibri" w:hAnsi="Calibri" w:hint="cs"/>
          <w:sz w:val="24"/>
          <w:rtl/>
        </w:rPr>
        <w:t>רואה</w:t>
      </w:r>
      <w:r w:rsidRPr="00AA5065">
        <w:rPr>
          <w:rFonts w:ascii="Calibri" w:eastAsia="Calibri" w:hAnsi="Calibri"/>
          <w:sz w:val="24"/>
          <w:rtl/>
        </w:rPr>
        <w:t xml:space="preserve"> </w:t>
      </w:r>
      <w:r w:rsidRPr="00AA5065">
        <w:rPr>
          <w:rFonts w:ascii="Calibri" w:eastAsia="Calibri" w:hAnsi="Calibri" w:hint="cs"/>
          <w:sz w:val="24"/>
          <w:rtl/>
        </w:rPr>
        <w:t>חשיבות</w:t>
      </w:r>
      <w:r w:rsidRPr="00AA5065">
        <w:rPr>
          <w:rFonts w:ascii="Calibri" w:eastAsia="Calibri" w:hAnsi="Calibri"/>
          <w:sz w:val="24"/>
          <w:rtl/>
        </w:rPr>
        <w:t xml:space="preserve"> </w:t>
      </w:r>
      <w:r w:rsidRPr="00AA5065">
        <w:rPr>
          <w:rFonts w:ascii="Calibri" w:eastAsia="Calibri" w:hAnsi="Calibri" w:hint="cs"/>
          <w:sz w:val="24"/>
          <w:rtl/>
        </w:rPr>
        <w:t>רבה</w:t>
      </w:r>
      <w:r w:rsidRPr="00AA5065">
        <w:rPr>
          <w:rFonts w:ascii="Calibri" w:eastAsia="Calibri" w:hAnsi="Calibri"/>
          <w:sz w:val="24"/>
          <w:rtl/>
        </w:rPr>
        <w:t xml:space="preserve"> </w:t>
      </w:r>
      <w:r w:rsidRPr="00AA5065">
        <w:rPr>
          <w:rFonts w:ascii="Calibri" w:eastAsia="Calibri" w:hAnsi="Calibri" w:hint="cs"/>
          <w:sz w:val="24"/>
          <w:rtl/>
        </w:rPr>
        <w:t>בטיפול</w:t>
      </w:r>
      <w:r w:rsidRPr="00AA5065">
        <w:rPr>
          <w:rFonts w:ascii="Calibri" w:eastAsia="Calibri" w:hAnsi="Calibri"/>
          <w:sz w:val="24"/>
          <w:rtl/>
        </w:rPr>
        <w:t xml:space="preserve"> </w:t>
      </w:r>
      <w:r w:rsidRPr="00AA5065">
        <w:rPr>
          <w:rFonts w:ascii="Calibri" w:eastAsia="Calibri" w:hAnsi="Calibri" w:hint="cs"/>
          <w:sz w:val="24"/>
          <w:rtl/>
        </w:rPr>
        <w:t>שורש</w:t>
      </w:r>
      <w:r w:rsidRPr="00AA5065">
        <w:rPr>
          <w:rFonts w:ascii="Calibri" w:eastAsia="Calibri" w:hAnsi="Calibri"/>
          <w:sz w:val="24"/>
          <w:rtl/>
        </w:rPr>
        <w:t xml:space="preserve"> </w:t>
      </w:r>
      <w:r w:rsidRPr="00AA5065">
        <w:rPr>
          <w:rFonts w:ascii="Calibri" w:eastAsia="Calibri" w:hAnsi="Calibri" w:hint="cs"/>
          <w:sz w:val="24"/>
          <w:rtl/>
        </w:rPr>
        <w:t>בתופעת</w:t>
      </w:r>
      <w:r w:rsidRPr="00AA5065">
        <w:rPr>
          <w:rFonts w:ascii="Calibri" w:eastAsia="Calibri" w:hAnsi="Calibri"/>
          <w:sz w:val="24"/>
          <w:rtl/>
        </w:rPr>
        <w:t xml:space="preserve"> </w:t>
      </w:r>
      <w:r w:rsidRPr="00AA5065">
        <w:rPr>
          <w:rFonts w:ascii="Calibri" w:eastAsia="Calibri" w:hAnsi="Calibri" w:hint="cs"/>
          <w:sz w:val="24"/>
          <w:rtl/>
        </w:rPr>
        <w:t>הנשירה ומניעתה. באמצעות</w:t>
      </w:r>
      <w:r w:rsidRPr="00AA5065">
        <w:rPr>
          <w:rFonts w:ascii="Calibri" w:eastAsia="Calibri" w:hAnsi="Calibri"/>
          <w:sz w:val="24"/>
          <w:rtl/>
        </w:rPr>
        <w:t xml:space="preserve"> </w:t>
      </w:r>
      <w:r w:rsidRPr="00AA5065">
        <w:rPr>
          <w:rFonts w:ascii="Calibri" w:eastAsia="Calibri" w:hAnsi="Calibri" w:hint="cs"/>
          <w:sz w:val="24"/>
          <w:rtl/>
        </w:rPr>
        <w:t>אגף</w:t>
      </w:r>
      <w:r w:rsidRPr="00AA5065">
        <w:rPr>
          <w:rFonts w:ascii="Calibri" w:eastAsia="Calibri" w:hAnsi="Calibri"/>
          <w:sz w:val="24"/>
          <w:rtl/>
        </w:rPr>
        <w:t xml:space="preserve"> </w:t>
      </w:r>
      <w:r w:rsidRPr="00AA5065">
        <w:rPr>
          <w:rFonts w:ascii="Calibri" w:eastAsia="Calibri" w:hAnsi="Calibri" w:hint="cs"/>
          <w:sz w:val="24"/>
          <w:rtl/>
        </w:rPr>
        <w:t>א</w:t>
      </w:r>
      <w:r w:rsidRPr="00AA5065">
        <w:rPr>
          <w:rFonts w:ascii="Calibri" w:eastAsia="Calibri" w:hAnsi="Calibri"/>
          <w:sz w:val="24"/>
          <w:rtl/>
        </w:rPr>
        <w:t xml:space="preserve">' </w:t>
      </w:r>
      <w:r w:rsidRPr="00AA5065">
        <w:rPr>
          <w:rFonts w:ascii="Calibri" w:eastAsia="Calibri" w:hAnsi="Calibri" w:hint="cs"/>
          <w:sz w:val="24"/>
          <w:rtl/>
        </w:rPr>
        <w:t>ילדים</w:t>
      </w:r>
      <w:r w:rsidRPr="00AA5065">
        <w:rPr>
          <w:rFonts w:ascii="Calibri" w:eastAsia="Calibri" w:hAnsi="Calibri"/>
          <w:sz w:val="24"/>
          <w:rtl/>
        </w:rPr>
        <w:t xml:space="preserve"> </w:t>
      </w:r>
      <w:r w:rsidRPr="00AA5065">
        <w:rPr>
          <w:rFonts w:ascii="Calibri" w:eastAsia="Calibri" w:hAnsi="Calibri" w:hint="cs"/>
          <w:sz w:val="24"/>
          <w:rtl/>
        </w:rPr>
        <w:t>ונוער</w:t>
      </w:r>
      <w:r w:rsidRPr="00AA5065">
        <w:rPr>
          <w:rFonts w:ascii="Calibri" w:eastAsia="Calibri" w:hAnsi="Calibri"/>
          <w:sz w:val="24"/>
          <w:rtl/>
        </w:rPr>
        <w:t xml:space="preserve"> </w:t>
      </w:r>
      <w:r w:rsidRPr="00AA5065">
        <w:rPr>
          <w:rFonts w:ascii="Calibri" w:eastAsia="Calibri" w:hAnsi="Calibri" w:hint="cs"/>
          <w:sz w:val="24"/>
          <w:rtl/>
        </w:rPr>
        <w:t>בסיכון</w:t>
      </w:r>
      <w:r w:rsidRPr="00AA5065">
        <w:rPr>
          <w:rFonts w:ascii="Calibri" w:eastAsia="Calibri" w:hAnsi="Calibri"/>
          <w:sz w:val="24"/>
          <w:rtl/>
        </w:rPr>
        <w:t xml:space="preserve"> </w:t>
      </w:r>
      <w:r w:rsidRPr="00AA5065">
        <w:rPr>
          <w:rFonts w:ascii="Calibri" w:eastAsia="Calibri" w:hAnsi="Calibri" w:hint="cs"/>
          <w:sz w:val="24"/>
          <w:rtl/>
        </w:rPr>
        <w:t>מופעלות</w:t>
      </w:r>
      <w:r w:rsidRPr="00AA5065">
        <w:rPr>
          <w:rFonts w:ascii="Calibri" w:eastAsia="Calibri" w:hAnsi="Calibri"/>
          <w:sz w:val="24"/>
          <w:rtl/>
        </w:rPr>
        <w:t xml:space="preserve"> </w:t>
      </w:r>
      <w:r w:rsidRPr="00AA5065">
        <w:rPr>
          <w:rFonts w:ascii="Calibri" w:eastAsia="Calibri" w:hAnsi="Calibri" w:hint="cs"/>
          <w:sz w:val="24"/>
          <w:rtl/>
        </w:rPr>
        <w:t>תוכניות</w:t>
      </w:r>
      <w:r w:rsidRPr="00AA5065">
        <w:rPr>
          <w:rFonts w:ascii="Calibri" w:eastAsia="Calibri" w:hAnsi="Calibri"/>
          <w:sz w:val="24"/>
          <w:rtl/>
        </w:rPr>
        <w:t xml:space="preserve"> </w:t>
      </w:r>
      <w:r w:rsidRPr="00AA5065">
        <w:rPr>
          <w:rFonts w:ascii="Calibri" w:eastAsia="Calibri" w:hAnsi="Calibri" w:hint="cs"/>
          <w:sz w:val="24"/>
          <w:rtl/>
        </w:rPr>
        <w:t>לאיתור</w:t>
      </w:r>
      <w:r w:rsidRPr="00AA5065">
        <w:rPr>
          <w:rFonts w:ascii="Calibri" w:eastAsia="Calibri" w:hAnsi="Calibri"/>
          <w:sz w:val="24"/>
          <w:rtl/>
        </w:rPr>
        <w:t xml:space="preserve">, </w:t>
      </w:r>
      <w:r w:rsidRPr="00AA5065">
        <w:rPr>
          <w:rFonts w:ascii="Calibri" w:eastAsia="Calibri" w:hAnsi="Calibri" w:hint="cs"/>
          <w:sz w:val="24"/>
          <w:rtl/>
        </w:rPr>
        <w:t>השבה</w:t>
      </w:r>
      <w:r w:rsidRPr="00AA5065">
        <w:rPr>
          <w:rFonts w:ascii="Calibri" w:eastAsia="Calibri" w:hAnsi="Calibri"/>
          <w:sz w:val="24"/>
          <w:rtl/>
        </w:rPr>
        <w:t xml:space="preserve"> </w:t>
      </w:r>
      <w:r w:rsidRPr="00AA5065">
        <w:rPr>
          <w:rFonts w:ascii="Calibri" w:eastAsia="Calibri" w:hAnsi="Calibri" w:hint="cs"/>
          <w:sz w:val="24"/>
          <w:rtl/>
        </w:rPr>
        <w:t>ומניעת</w:t>
      </w:r>
      <w:r w:rsidRPr="00AA5065">
        <w:rPr>
          <w:rFonts w:ascii="Calibri" w:eastAsia="Calibri" w:hAnsi="Calibri"/>
          <w:sz w:val="24"/>
          <w:rtl/>
        </w:rPr>
        <w:t xml:space="preserve"> </w:t>
      </w:r>
      <w:r w:rsidRPr="00AA5065">
        <w:rPr>
          <w:rFonts w:ascii="Calibri" w:eastAsia="Calibri" w:hAnsi="Calibri" w:hint="cs"/>
          <w:sz w:val="24"/>
          <w:rtl/>
        </w:rPr>
        <w:t>נשירה</w:t>
      </w:r>
      <w:r w:rsidRPr="00AA5065">
        <w:rPr>
          <w:rFonts w:ascii="Calibri" w:eastAsia="Calibri" w:hAnsi="Calibri"/>
          <w:sz w:val="24"/>
          <w:rtl/>
        </w:rPr>
        <w:t xml:space="preserve">, </w:t>
      </w:r>
      <w:r w:rsidRPr="00AA5065">
        <w:rPr>
          <w:rFonts w:ascii="Calibri" w:eastAsia="Calibri" w:hAnsi="Calibri" w:hint="cs"/>
          <w:sz w:val="24"/>
          <w:rtl/>
        </w:rPr>
        <w:t>תוך</w:t>
      </w:r>
      <w:r w:rsidRPr="00AA5065">
        <w:rPr>
          <w:rFonts w:ascii="Calibri" w:eastAsia="Calibri" w:hAnsi="Calibri"/>
          <w:sz w:val="24"/>
          <w:rtl/>
        </w:rPr>
        <w:t xml:space="preserve"> </w:t>
      </w:r>
      <w:r w:rsidRPr="00AA5065">
        <w:rPr>
          <w:rFonts w:ascii="Calibri" w:eastAsia="Calibri" w:hAnsi="Calibri" w:hint="cs"/>
          <w:sz w:val="24"/>
          <w:rtl/>
        </w:rPr>
        <w:t>מתן</w:t>
      </w:r>
      <w:r w:rsidRPr="00AA5065">
        <w:rPr>
          <w:rFonts w:ascii="Calibri" w:eastAsia="Calibri" w:hAnsi="Calibri"/>
          <w:sz w:val="24"/>
          <w:rtl/>
        </w:rPr>
        <w:t xml:space="preserve"> </w:t>
      </w:r>
      <w:r w:rsidRPr="00AA5065">
        <w:rPr>
          <w:rFonts w:ascii="Calibri" w:eastAsia="Calibri" w:hAnsi="Calibri" w:hint="cs"/>
          <w:sz w:val="24"/>
          <w:rtl/>
        </w:rPr>
        <w:t>מענים</w:t>
      </w:r>
      <w:r w:rsidRPr="00AA5065">
        <w:rPr>
          <w:rFonts w:ascii="Calibri" w:eastAsia="Calibri" w:hAnsi="Calibri"/>
          <w:sz w:val="24"/>
          <w:rtl/>
        </w:rPr>
        <w:t xml:space="preserve"> </w:t>
      </w:r>
      <w:r w:rsidRPr="00AA5065">
        <w:rPr>
          <w:rFonts w:ascii="Calibri" w:eastAsia="Calibri" w:hAnsi="Calibri" w:hint="cs"/>
          <w:sz w:val="24"/>
          <w:rtl/>
        </w:rPr>
        <w:t>חינוכיים</w:t>
      </w:r>
      <w:r w:rsidRPr="00AA5065">
        <w:rPr>
          <w:rFonts w:ascii="Calibri" w:eastAsia="Calibri" w:hAnsi="Calibri"/>
          <w:sz w:val="24"/>
          <w:rtl/>
        </w:rPr>
        <w:t xml:space="preserve">, </w:t>
      </w:r>
      <w:r w:rsidRPr="00AA5065">
        <w:rPr>
          <w:rFonts w:ascii="Calibri" w:eastAsia="Calibri" w:hAnsi="Calibri" w:hint="cs"/>
          <w:sz w:val="24"/>
          <w:rtl/>
        </w:rPr>
        <w:t>לימודיים</w:t>
      </w:r>
      <w:r w:rsidRPr="00AA5065">
        <w:rPr>
          <w:rFonts w:ascii="Calibri" w:eastAsia="Calibri" w:hAnsi="Calibri"/>
          <w:sz w:val="24"/>
          <w:rtl/>
        </w:rPr>
        <w:t xml:space="preserve"> </w:t>
      </w:r>
      <w:r w:rsidRPr="00AA5065">
        <w:rPr>
          <w:rFonts w:ascii="Calibri" w:eastAsia="Calibri" w:hAnsi="Calibri" w:hint="cs"/>
          <w:sz w:val="24"/>
          <w:rtl/>
        </w:rPr>
        <w:t>וחברתיים. עם זאת לנוכח</w:t>
      </w:r>
      <w:r w:rsidRPr="00AA5065">
        <w:rPr>
          <w:rFonts w:ascii="Calibri" w:eastAsia="Calibri" w:hAnsi="Calibri"/>
          <w:sz w:val="24"/>
          <w:rtl/>
        </w:rPr>
        <w:t xml:space="preserve"> </w:t>
      </w:r>
      <w:r w:rsidRPr="00AA5065">
        <w:rPr>
          <w:rFonts w:ascii="Calibri" w:eastAsia="Calibri" w:hAnsi="Calibri" w:hint="cs"/>
          <w:sz w:val="24"/>
          <w:rtl/>
        </w:rPr>
        <w:t>מורכבות</w:t>
      </w:r>
      <w:r w:rsidRPr="00AA5065">
        <w:rPr>
          <w:rFonts w:ascii="Calibri" w:eastAsia="Calibri" w:hAnsi="Calibri"/>
          <w:sz w:val="24"/>
          <w:rtl/>
        </w:rPr>
        <w:t xml:space="preserve"> </w:t>
      </w:r>
      <w:r w:rsidRPr="00AA5065">
        <w:rPr>
          <w:rFonts w:ascii="Calibri" w:eastAsia="Calibri" w:hAnsi="Calibri" w:hint="cs"/>
          <w:sz w:val="24"/>
          <w:rtl/>
        </w:rPr>
        <w:t>המקרים</w:t>
      </w:r>
      <w:r w:rsidRPr="00AA5065">
        <w:rPr>
          <w:rFonts w:ascii="Calibri" w:eastAsia="Calibri" w:hAnsi="Calibri"/>
          <w:sz w:val="24"/>
          <w:rtl/>
        </w:rPr>
        <w:t xml:space="preserve">, </w:t>
      </w:r>
      <w:r w:rsidRPr="00AA5065">
        <w:rPr>
          <w:rFonts w:ascii="Calibri" w:eastAsia="Calibri" w:hAnsi="Calibri" w:hint="cs"/>
          <w:sz w:val="24"/>
          <w:rtl/>
        </w:rPr>
        <w:t>המשרד רואה ומבין כי נדרש</w:t>
      </w:r>
      <w:r w:rsidRPr="00AA5065">
        <w:rPr>
          <w:rFonts w:ascii="Calibri" w:eastAsia="Calibri" w:hAnsi="Calibri"/>
          <w:sz w:val="24"/>
          <w:rtl/>
        </w:rPr>
        <w:t xml:space="preserve"> </w:t>
      </w:r>
      <w:r w:rsidRPr="00AA5065">
        <w:rPr>
          <w:rFonts w:ascii="Calibri" w:eastAsia="Calibri" w:hAnsi="Calibri" w:hint="cs"/>
          <w:sz w:val="24"/>
          <w:rtl/>
        </w:rPr>
        <w:t>חיזוק</w:t>
      </w:r>
      <w:r w:rsidRPr="00AA5065">
        <w:rPr>
          <w:rFonts w:ascii="Calibri" w:eastAsia="Calibri" w:hAnsi="Calibri"/>
          <w:sz w:val="24"/>
          <w:rtl/>
        </w:rPr>
        <w:t xml:space="preserve"> </w:t>
      </w:r>
      <w:r w:rsidRPr="00AA5065">
        <w:rPr>
          <w:rFonts w:ascii="Calibri" w:eastAsia="Calibri" w:hAnsi="Calibri" w:hint="cs"/>
          <w:sz w:val="24"/>
          <w:rtl/>
        </w:rPr>
        <w:t>השותפות</w:t>
      </w:r>
      <w:r w:rsidRPr="00AA5065">
        <w:rPr>
          <w:rFonts w:ascii="Calibri" w:eastAsia="Calibri" w:hAnsi="Calibri"/>
          <w:sz w:val="24"/>
          <w:rtl/>
        </w:rPr>
        <w:t xml:space="preserve"> </w:t>
      </w:r>
      <w:r w:rsidRPr="00AA5065">
        <w:rPr>
          <w:rFonts w:ascii="Calibri" w:eastAsia="Calibri" w:hAnsi="Calibri" w:hint="cs"/>
          <w:sz w:val="24"/>
          <w:rtl/>
        </w:rPr>
        <w:t>הבין</w:t>
      </w:r>
      <w:r w:rsidRPr="00AA5065">
        <w:rPr>
          <w:rFonts w:ascii="Calibri" w:eastAsia="Calibri" w:hAnsi="Calibri"/>
          <w:sz w:val="24"/>
          <w:rtl/>
        </w:rPr>
        <w:t>-</w:t>
      </w:r>
      <w:r w:rsidRPr="00AA5065">
        <w:rPr>
          <w:rFonts w:ascii="Calibri" w:eastAsia="Calibri" w:hAnsi="Calibri" w:hint="cs"/>
          <w:sz w:val="24"/>
          <w:rtl/>
        </w:rPr>
        <w:t>משרדית</w:t>
      </w:r>
      <w:r w:rsidRPr="00AA5065">
        <w:rPr>
          <w:rFonts w:ascii="Calibri" w:eastAsia="Calibri" w:hAnsi="Calibri"/>
          <w:sz w:val="24"/>
          <w:rtl/>
        </w:rPr>
        <w:t xml:space="preserve"> </w:t>
      </w:r>
      <w:r w:rsidRPr="00AA5065">
        <w:rPr>
          <w:rFonts w:ascii="Calibri" w:eastAsia="Calibri" w:hAnsi="Calibri" w:hint="cs"/>
          <w:sz w:val="24"/>
          <w:rtl/>
        </w:rPr>
        <w:t>והגברת</w:t>
      </w:r>
      <w:r w:rsidRPr="00AA5065">
        <w:rPr>
          <w:rFonts w:ascii="Calibri" w:eastAsia="Calibri" w:hAnsi="Calibri"/>
          <w:sz w:val="24"/>
          <w:rtl/>
        </w:rPr>
        <w:t xml:space="preserve"> </w:t>
      </w:r>
      <w:r w:rsidRPr="00AA5065">
        <w:rPr>
          <w:rFonts w:ascii="Calibri" w:eastAsia="Calibri" w:hAnsi="Calibri" w:hint="cs"/>
          <w:sz w:val="24"/>
          <w:rtl/>
        </w:rPr>
        <w:t>האכיפה</w:t>
      </w:r>
      <w:r w:rsidRPr="00AA5065">
        <w:rPr>
          <w:rFonts w:ascii="Calibri" w:eastAsia="Calibri" w:hAnsi="Calibri"/>
          <w:sz w:val="24"/>
          <w:rtl/>
        </w:rPr>
        <w:t xml:space="preserve">, </w:t>
      </w:r>
      <w:r w:rsidRPr="00AA5065">
        <w:rPr>
          <w:rFonts w:ascii="Calibri" w:eastAsia="Calibri" w:hAnsi="Calibri" w:hint="cs"/>
          <w:sz w:val="24"/>
          <w:rtl/>
        </w:rPr>
        <w:t>לצד</w:t>
      </w:r>
      <w:r w:rsidRPr="00AA5065">
        <w:rPr>
          <w:rFonts w:ascii="Calibri" w:eastAsia="Calibri" w:hAnsi="Calibri"/>
          <w:sz w:val="24"/>
          <w:rtl/>
        </w:rPr>
        <w:t xml:space="preserve"> </w:t>
      </w:r>
      <w:r w:rsidRPr="00AA5065">
        <w:rPr>
          <w:rFonts w:ascii="Calibri" w:eastAsia="Calibri" w:hAnsi="Calibri" w:hint="cs"/>
          <w:sz w:val="24"/>
          <w:rtl/>
        </w:rPr>
        <w:t>הקמת</w:t>
      </w:r>
      <w:r w:rsidRPr="00AA5065">
        <w:rPr>
          <w:rFonts w:ascii="Calibri" w:eastAsia="Calibri" w:hAnsi="Calibri"/>
          <w:sz w:val="24"/>
          <w:rtl/>
        </w:rPr>
        <w:t xml:space="preserve"> </w:t>
      </w:r>
      <w:r w:rsidRPr="00AA5065">
        <w:rPr>
          <w:rFonts w:ascii="Calibri" w:eastAsia="Calibri" w:hAnsi="Calibri" w:hint="cs"/>
          <w:sz w:val="24"/>
          <w:rtl/>
        </w:rPr>
        <w:t>צוות</w:t>
      </w:r>
      <w:r w:rsidRPr="00AA5065">
        <w:rPr>
          <w:rFonts w:ascii="Calibri" w:eastAsia="Calibri" w:hAnsi="Calibri"/>
          <w:sz w:val="24"/>
          <w:rtl/>
        </w:rPr>
        <w:t xml:space="preserve"> </w:t>
      </w:r>
      <w:r w:rsidRPr="00AA5065">
        <w:rPr>
          <w:rFonts w:ascii="Calibri" w:eastAsia="Calibri" w:hAnsi="Calibri" w:hint="cs"/>
          <w:sz w:val="24"/>
          <w:rtl/>
        </w:rPr>
        <w:t>משותף</w:t>
      </w:r>
      <w:r w:rsidRPr="00AA5065">
        <w:rPr>
          <w:rFonts w:ascii="Calibri" w:eastAsia="Calibri" w:hAnsi="Calibri"/>
          <w:sz w:val="24"/>
          <w:rtl/>
        </w:rPr>
        <w:t xml:space="preserve"> </w:t>
      </w:r>
      <w:r w:rsidRPr="00AA5065">
        <w:rPr>
          <w:rFonts w:ascii="Calibri" w:eastAsia="Calibri" w:hAnsi="Calibri" w:hint="cs"/>
          <w:sz w:val="24"/>
          <w:rtl/>
        </w:rPr>
        <w:t>שיקדם</w:t>
      </w:r>
      <w:r w:rsidRPr="00AA5065">
        <w:rPr>
          <w:rFonts w:ascii="Calibri" w:eastAsia="Calibri" w:hAnsi="Calibri"/>
          <w:sz w:val="24"/>
          <w:rtl/>
        </w:rPr>
        <w:t xml:space="preserve"> </w:t>
      </w:r>
      <w:r w:rsidRPr="00AA5065">
        <w:rPr>
          <w:rFonts w:ascii="Calibri" w:eastAsia="Calibri" w:hAnsi="Calibri" w:hint="cs"/>
          <w:sz w:val="24"/>
          <w:rtl/>
        </w:rPr>
        <w:t>מענים</w:t>
      </w:r>
      <w:r w:rsidRPr="00AA5065">
        <w:rPr>
          <w:rFonts w:ascii="Calibri" w:eastAsia="Calibri" w:hAnsi="Calibri"/>
          <w:sz w:val="24"/>
          <w:rtl/>
        </w:rPr>
        <w:t xml:space="preserve"> </w:t>
      </w:r>
      <w:r w:rsidRPr="00AA5065">
        <w:rPr>
          <w:rFonts w:ascii="Calibri" w:eastAsia="Calibri" w:hAnsi="Calibri" w:hint="cs"/>
          <w:sz w:val="24"/>
          <w:rtl/>
        </w:rPr>
        <w:t>מערכתיים</w:t>
      </w:r>
      <w:r w:rsidRPr="00AA5065">
        <w:rPr>
          <w:rFonts w:ascii="Calibri" w:eastAsia="Calibri" w:hAnsi="Calibri"/>
          <w:sz w:val="24"/>
          <w:rtl/>
        </w:rPr>
        <w:t xml:space="preserve"> </w:t>
      </w:r>
      <w:r w:rsidRPr="00AA5065">
        <w:rPr>
          <w:rFonts w:ascii="Calibri" w:eastAsia="Calibri" w:hAnsi="Calibri" w:hint="cs"/>
          <w:sz w:val="24"/>
          <w:rtl/>
        </w:rPr>
        <w:t>-</w:t>
      </w:r>
      <w:r w:rsidRPr="00AA5065">
        <w:rPr>
          <w:rFonts w:ascii="Calibri" w:eastAsia="Calibri" w:hAnsi="Calibri"/>
          <w:sz w:val="24"/>
          <w:rtl/>
        </w:rPr>
        <w:t xml:space="preserve"> </w:t>
      </w:r>
      <w:r w:rsidRPr="00AA5065">
        <w:rPr>
          <w:rFonts w:ascii="Calibri" w:eastAsia="Calibri" w:hAnsi="Calibri" w:hint="cs"/>
          <w:sz w:val="24"/>
          <w:rtl/>
        </w:rPr>
        <w:t>כבסיס</w:t>
      </w:r>
      <w:r w:rsidRPr="00AA5065">
        <w:rPr>
          <w:rFonts w:ascii="Calibri" w:eastAsia="Calibri" w:hAnsi="Calibri"/>
          <w:sz w:val="24"/>
          <w:rtl/>
        </w:rPr>
        <w:t xml:space="preserve"> </w:t>
      </w:r>
      <w:r w:rsidRPr="00AA5065">
        <w:rPr>
          <w:rFonts w:ascii="Calibri" w:eastAsia="Calibri" w:hAnsi="Calibri" w:hint="cs"/>
          <w:sz w:val="24"/>
          <w:rtl/>
        </w:rPr>
        <w:t>למניעת</w:t>
      </w:r>
      <w:r w:rsidRPr="00AA5065">
        <w:rPr>
          <w:rFonts w:ascii="Calibri" w:eastAsia="Calibri" w:hAnsi="Calibri"/>
          <w:sz w:val="24"/>
          <w:rtl/>
        </w:rPr>
        <w:t xml:space="preserve"> </w:t>
      </w:r>
      <w:r w:rsidRPr="00AA5065">
        <w:rPr>
          <w:rFonts w:ascii="Calibri" w:eastAsia="Calibri" w:hAnsi="Calibri" w:hint="cs"/>
          <w:sz w:val="24"/>
          <w:rtl/>
        </w:rPr>
        <w:t>הדרדרות</w:t>
      </w:r>
      <w:r w:rsidRPr="00AA5065">
        <w:rPr>
          <w:rFonts w:ascii="Calibri" w:eastAsia="Calibri" w:hAnsi="Calibri"/>
          <w:sz w:val="24"/>
          <w:rtl/>
        </w:rPr>
        <w:t xml:space="preserve"> </w:t>
      </w:r>
      <w:r w:rsidRPr="00AA5065">
        <w:rPr>
          <w:rFonts w:ascii="Calibri" w:eastAsia="Calibri" w:hAnsi="Calibri" w:hint="cs"/>
          <w:sz w:val="24"/>
          <w:rtl/>
        </w:rPr>
        <w:t>לעבר</w:t>
      </w:r>
      <w:r w:rsidRPr="00AA5065">
        <w:rPr>
          <w:rFonts w:ascii="Calibri" w:eastAsia="Calibri" w:hAnsi="Calibri"/>
          <w:sz w:val="24"/>
          <w:rtl/>
        </w:rPr>
        <w:t xml:space="preserve"> </w:t>
      </w:r>
      <w:r w:rsidRPr="00AA5065">
        <w:rPr>
          <w:rFonts w:ascii="Calibri" w:eastAsia="Calibri" w:hAnsi="Calibri" w:hint="cs"/>
          <w:sz w:val="24"/>
          <w:rtl/>
        </w:rPr>
        <w:t>עבריינות</w:t>
      </w:r>
      <w:r w:rsidRPr="00AA5065">
        <w:rPr>
          <w:rFonts w:ascii="Calibri" w:eastAsia="Calibri" w:hAnsi="Calibri"/>
          <w:sz w:val="24"/>
          <w:rtl/>
        </w:rPr>
        <w:t xml:space="preserve"> </w:t>
      </w:r>
      <w:r w:rsidRPr="00AA5065">
        <w:rPr>
          <w:rFonts w:ascii="Calibri" w:eastAsia="Calibri" w:hAnsi="Calibri" w:hint="cs"/>
          <w:sz w:val="24"/>
          <w:rtl/>
        </w:rPr>
        <w:t>וניתוק</w:t>
      </w:r>
      <w:r w:rsidRPr="00AA5065">
        <w:rPr>
          <w:rFonts w:ascii="Calibri" w:eastAsia="Calibri" w:hAnsi="Calibri"/>
          <w:sz w:val="24"/>
          <w:rtl/>
        </w:rPr>
        <w:t xml:space="preserve"> </w:t>
      </w:r>
      <w:r w:rsidRPr="00AA5065">
        <w:rPr>
          <w:rFonts w:ascii="Calibri" w:eastAsia="Calibri" w:hAnsi="Calibri" w:hint="cs"/>
          <w:sz w:val="24"/>
          <w:rtl/>
        </w:rPr>
        <w:t>חברתי"</w:t>
      </w:r>
      <w:r w:rsidRPr="00AA5065">
        <w:rPr>
          <w:rFonts w:ascii="Calibri" w:eastAsia="Calibri" w:hAnsi="Calibri"/>
          <w:sz w:val="24"/>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Cs/>
          <w:rtl/>
        </w:rPr>
      </w:pPr>
      <w:bookmarkStart w:id="115" w:name="_Hlk219104817"/>
      <w:r w:rsidRPr="00AA5065">
        <w:rPr>
          <w:rFonts w:eastAsia="Calibri" w:hint="eastAsia"/>
          <w:rtl/>
        </w:rPr>
        <w:t>משרד</w:t>
      </w:r>
      <w:r w:rsidRPr="00AA5065">
        <w:rPr>
          <w:rFonts w:eastAsia="Calibri"/>
          <w:rtl/>
        </w:rPr>
        <w:t xml:space="preserve"> </w:t>
      </w:r>
      <w:r w:rsidRPr="00AA5065">
        <w:rPr>
          <w:rFonts w:eastAsia="Calibri" w:hint="eastAsia"/>
          <w:rtl/>
        </w:rPr>
        <w:t>העבודה</w:t>
      </w:r>
      <w:r w:rsidRPr="00AA5065">
        <w:rPr>
          <w:rFonts w:eastAsia="Calibri"/>
          <w:rtl/>
        </w:rPr>
        <w:t xml:space="preserve"> </w:t>
      </w:r>
      <w:r w:rsidRPr="00AA5065">
        <w:rPr>
          <w:rFonts w:eastAsia="Calibri" w:hint="eastAsia"/>
          <w:rtl/>
        </w:rPr>
        <w:t>מסר</w:t>
      </w:r>
      <w:r w:rsidRPr="00AA5065">
        <w:rPr>
          <w:rFonts w:eastAsia="Calibri"/>
          <w:rtl/>
        </w:rPr>
        <w:t xml:space="preserve"> </w:t>
      </w:r>
      <w:r w:rsidRPr="00AA5065">
        <w:rPr>
          <w:rFonts w:eastAsia="Calibri" w:hint="eastAsia"/>
          <w:rtl/>
        </w:rPr>
        <w:t>בתשובתו</w:t>
      </w:r>
      <w:r w:rsidRPr="00AA5065">
        <w:rPr>
          <w:rFonts w:eastAsia="Calibri"/>
          <w:rtl/>
        </w:rPr>
        <w:t xml:space="preserve"> </w:t>
      </w:r>
      <w:r w:rsidRPr="00AA5065">
        <w:rPr>
          <w:rFonts w:eastAsia="Calibri" w:hint="eastAsia"/>
          <w:rtl/>
        </w:rPr>
        <w:t>כי</w:t>
      </w:r>
      <w:r w:rsidRPr="00AA5065">
        <w:rPr>
          <w:rFonts w:eastAsia="Calibri"/>
          <w:rtl/>
        </w:rPr>
        <w:t xml:space="preserve"> </w:t>
      </w:r>
      <w:r w:rsidRPr="00AA5065">
        <w:rPr>
          <w:rFonts w:eastAsia="Calibri" w:hint="eastAsia"/>
          <w:rtl/>
        </w:rPr>
        <w:t>המלצת</w:t>
      </w:r>
      <w:r w:rsidRPr="00AA5065">
        <w:rPr>
          <w:rFonts w:eastAsia="Calibri"/>
          <w:rtl/>
        </w:rPr>
        <w:t xml:space="preserve"> משרד מבקר המדינה מקובלת </w:t>
      </w:r>
      <w:r w:rsidRPr="00AA5065">
        <w:rPr>
          <w:rFonts w:eastAsia="Calibri" w:hint="eastAsia"/>
          <w:rtl/>
        </w:rPr>
        <w:t>בהנחה</w:t>
      </w:r>
      <w:r w:rsidRPr="00AA5065">
        <w:rPr>
          <w:rFonts w:eastAsia="Calibri"/>
          <w:rtl/>
        </w:rPr>
        <w:t xml:space="preserve"> </w:t>
      </w:r>
      <w:r w:rsidRPr="00AA5065">
        <w:rPr>
          <w:rFonts w:eastAsia="Calibri" w:hint="eastAsia"/>
          <w:rtl/>
        </w:rPr>
        <w:t>שיתקבלו</w:t>
      </w:r>
      <w:r w:rsidRPr="00AA5065">
        <w:rPr>
          <w:rFonts w:eastAsia="Calibri"/>
          <w:rtl/>
        </w:rPr>
        <w:t xml:space="preserve"> </w:t>
      </w:r>
      <w:r w:rsidRPr="00AA5065">
        <w:rPr>
          <w:rFonts w:eastAsia="Calibri" w:hint="eastAsia"/>
          <w:rtl/>
        </w:rPr>
        <w:t>המשאבים</w:t>
      </w:r>
      <w:r w:rsidRPr="00AA5065">
        <w:rPr>
          <w:rFonts w:eastAsia="Calibri"/>
          <w:rtl/>
        </w:rPr>
        <w:t xml:space="preserve"> </w:t>
      </w:r>
      <w:r w:rsidRPr="00AA5065">
        <w:rPr>
          <w:rFonts w:eastAsia="Calibri" w:hint="eastAsia"/>
          <w:rtl/>
        </w:rPr>
        <w:t>המתאימים</w:t>
      </w:r>
      <w:r w:rsidRPr="00AA5065">
        <w:rPr>
          <w:rFonts w:eastAsia="Calibri"/>
          <w:rtl/>
        </w:rPr>
        <w:t xml:space="preserve"> ל</w:t>
      </w:r>
      <w:r w:rsidRPr="00AA5065">
        <w:rPr>
          <w:rFonts w:eastAsia="Calibri" w:hint="eastAsia"/>
          <w:rtl/>
        </w:rPr>
        <w:t>הגברת</w:t>
      </w:r>
      <w:r w:rsidRPr="00AA5065">
        <w:rPr>
          <w:rFonts w:eastAsia="Calibri"/>
          <w:rtl/>
        </w:rPr>
        <w:t xml:space="preserve"> </w:t>
      </w:r>
      <w:r w:rsidRPr="00AA5065">
        <w:rPr>
          <w:rFonts w:eastAsia="Calibri" w:hint="eastAsia"/>
          <w:rtl/>
        </w:rPr>
        <w:t>הפיקוח</w:t>
      </w:r>
      <w:r w:rsidRPr="00AA5065">
        <w:rPr>
          <w:rFonts w:eastAsia="Calibri"/>
          <w:rtl/>
        </w:rPr>
        <w:t xml:space="preserve">. </w:t>
      </w:r>
      <w:r w:rsidRPr="00AA5065">
        <w:rPr>
          <w:rFonts w:eastAsia="Calibri" w:hint="eastAsia"/>
          <w:rtl/>
        </w:rPr>
        <w:t>עוד</w:t>
      </w:r>
      <w:r w:rsidRPr="00AA5065">
        <w:rPr>
          <w:rFonts w:eastAsia="Calibri"/>
          <w:rtl/>
        </w:rPr>
        <w:t xml:space="preserve"> ציין </w:t>
      </w:r>
      <w:r w:rsidRPr="00AA5065">
        <w:rPr>
          <w:rFonts w:eastAsia="Calibri" w:hint="eastAsia"/>
          <w:rtl/>
        </w:rPr>
        <w:t>המשרד</w:t>
      </w:r>
      <w:r w:rsidRPr="00AA5065">
        <w:rPr>
          <w:rFonts w:eastAsia="Calibri"/>
          <w:rtl/>
        </w:rPr>
        <w:t xml:space="preserve"> </w:t>
      </w:r>
      <w:r w:rsidRPr="00AA5065">
        <w:rPr>
          <w:rFonts w:eastAsia="Calibri" w:hint="eastAsia"/>
          <w:rtl/>
        </w:rPr>
        <w:t>כי</w:t>
      </w:r>
      <w:r w:rsidRPr="00AA5065">
        <w:rPr>
          <w:rFonts w:eastAsia="Calibri"/>
          <w:rtl/>
        </w:rPr>
        <w:t xml:space="preserve"> "</w:t>
      </w:r>
      <w:r w:rsidRPr="00AA5065">
        <w:rPr>
          <w:rFonts w:eastAsia="Calibri" w:hint="eastAsia"/>
          <w:rtl/>
        </w:rPr>
        <w:t>השנה</w:t>
      </w:r>
      <w:r w:rsidRPr="00AA5065">
        <w:rPr>
          <w:rFonts w:eastAsia="Calibri"/>
          <w:rtl/>
        </w:rPr>
        <w:t xml:space="preserve">, </w:t>
      </w:r>
      <w:r w:rsidRPr="00AA5065">
        <w:rPr>
          <w:rFonts w:eastAsia="Calibri" w:hint="eastAsia"/>
          <w:rtl/>
        </w:rPr>
        <w:t>החלו</w:t>
      </w:r>
      <w:r w:rsidRPr="00AA5065">
        <w:rPr>
          <w:rFonts w:eastAsia="Calibri"/>
          <w:rtl/>
        </w:rPr>
        <w:t xml:space="preserve"> </w:t>
      </w:r>
      <w:r w:rsidRPr="00AA5065">
        <w:rPr>
          <w:rFonts w:eastAsia="Calibri" w:hint="eastAsia"/>
          <w:rtl/>
        </w:rPr>
        <w:t>מבצעי</w:t>
      </w:r>
      <w:r w:rsidRPr="00AA5065">
        <w:rPr>
          <w:rFonts w:eastAsia="Calibri"/>
          <w:rtl/>
        </w:rPr>
        <w:t xml:space="preserve"> </w:t>
      </w:r>
      <w:r w:rsidRPr="00AA5065">
        <w:rPr>
          <w:rFonts w:eastAsia="Calibri" w:hint="eastAsia"/>
          <w:rtl/>
        </w:rPr>
        <w:t>אכיפה</w:t>
      </w:r>
      <w:r w:rsidRPr="00AA5065">
        <w:rPr>
          <w:rFonts w:eastAsia="Calibri"/>
          <w:rtl/>
        </w:rPr>
        <w:t xml:space="preserve"> </w:t>
      </w:r>
      <w:r w:rsidRPr="00AA5065">
        <w:rPr>
          <w:rFonts w:eastAsia="Calibri" w:hint="eastAsia"/>
          <w:rtl/>
        </w:rPr>
        <w:t>משולבים</w:t>
      </w:r>
      <w:r w:rsidRPr="00AA5065">
        <w:rPr>
          <w:rFonts w:eastAsia="Calibri"/>
          <w:rtl/>
        </w:rPr>
        <w:t xml:space="preserve"> </w:t>
      </w:r>
      <w:r w:rsidRPr="00AA5065">
        <w:rPr>
          <w:rFonts w:eastAsia="Calibri" w:hint="eastAsia"/>
          <w:rtl/>
        </w:rPr>
        <w:t>בהובלת</w:t>
      </w:r>
      <w:r w:rsidRPr="00AA5065">
        <w:rPr>
          <w:rFonts w:eastAsia="Calibri"/>
          <w:rtl/>
        </w:rPr>
        <w:t xml:space="preserve"> </w:t>
      </w:r>
      <w:r w:rsidRPr="00AA5065">
        <w:rPr>
          <w:rFonts w:eastAsia="Calibri" w:hint="eastAsia"/>
          <w:rtl/>
        </w:rPr>
        <w:t>משרד</w:t>
      </w:r>
      <w:r w:rsidRPr="00AA5065">
        <w:rPr>
          <w:rFonts w:eastAsia="Calibri"/>
          <w:rtl/>
        </w:rPr>
        <w:t xml:space="preserve"> </w:t>
      </w:r>
      <w:r w:rsidRPr="00AA5065">
        <w:rPr>
          <w:rFonts w:eastAsia="Calibri" w:hint="eastAsia"/>
          <w:rtl/>
        </w:rPr>
        <w:t>ראש</w:t>
      </w:r>
      <w:r w:rsidRPr="00AA5065">
        <w:rPr>
          <w:rFonts w:eastAsia="Calibri"/>
          <w:rtl/>
        </w:rPr>
        <w:t xml:space="preserve"> </w:t>
      </w:r>
      <w:r w:rsidRPr="00AA5065">
        <w:rPr>
          <w:rFonts w:eastAsia="Calibri" w:hint="eastAsia"/>
          <w:rtl/>
        </w:rPr>
        <w:t>הממשלה</w:t>
      </w:r>
      <w:r w:rsidRPr="00AA5065">
        <w:rPr>
          <w:rFonts w:eastAsia="Calibri"/>
          <w:rtl/>
        </w:rPr>
        <w:t xml:space="preserve"> </w:t>
      </w:r>
      <w:r w:rsidRPr="00AA5065">
        <w:rPr>
          <w:rFonts w:eastAsia="Calibri" w:hint="eastAsia"/>
          <w:rtl/>
        </w:rPr>
        <w:t>ומשטרת</w:t>
      </w:r>
      <w:r w:rsidRPr="00AA5065">
        <w:rPr>
          <w:rFonts w:eastAsia="Calibri"/>
          <w:rtl/>
        </w:rPr>
        <w:t xml:space="preserve"> ישראל המתמקדים באזורי סכסוך מדממים במגזר הערבי במסגרתם נמצאו גם עובדים קטינים מהמגזר הבדואי מרהט </w:t>
      </w:r>
      <w:r w:rsidRPr="00AA5065">
        <w:rPr>
          <w:rFonts w:eastAsia="Calibri" w:hint="eastAsia"/>
          <w:rtl/>
        </w:rPr>
        <w:t>ותארבין</w:t>
      </w:r>
      <w:r w:rsidRPr="00AA5065">
        <w:rPr>
          <w:rFonts w:eastAsia="Calibri"/>
          <w:rtl/>
        </w:rPr>
        <w:t>".</w:t>
      </w:r>
    </w:p>
    <w:bookmarkEnd w:id="115"/>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משרד הרווחה והביטחון החברתי מסר בתשובתו מיום 17.9.25 כי "ישנם בני נוער רבים בחברה הבדואית שלא מבקרים במסגרות החינוך כלל וזאת למרות שהם רשומים כתלמידים. בני נוער אלה משוטטים ועוסקים בעבודות מזדמנות, במסגרת החוק ומחוצה לו. אכן לפי ניסיוננו, רובם ממשפחות פוליגמיות. במסגרת המענים שניתנים ע"י מחלקות הרווחה ב-9 הרשויות הבדואיות ישנן 70 מסגרות לילדים ונוער בסיכון אשר נותנות מענה לכ-1,343 מושמים בשנה לצורך טיפול ואיתור... בנושא ילדים עובדים מתחת לגיל העבודה, לא מכירים מקרים כאלה, במידה ויהיו יינתנו מענים טיפוליים המותאמים באופן פרטני למשפחה, כולל התערבות במסגרת חוק הנוער אם נדרש. כאמור, המענים הניתנים הם בעיקר טיפוליים ולא אכיפה. האיתור של הילדים נעשה דרך מסגרות חינוך ובריאות, ככל האפשר".</w:t>
      </w:r>
    </w:p>
    <w:p w:rsidR="00E96206" w:rsidP="00860D89">
      <w:pPr>
        <w:spacing w:line="269" w:lineRule="auto"/>
        <w:rPr>
          <w:rFonts w:eastAsia="Calibri"/>
          <w:szCs w:val="20"/>
          <w:rtl/>
        </w:rPr>
      </w:pPr>
    </w:p>
    <w:p w:rsidR="00AA5065" w:rsidP="00860D89">
      <w:pPr>
        <w:spacing w:line="269" w:lineRule="auto"/>
        <w:rPr>
          <w:rFonts w:eastAsia="Calibri"/>
          <w:rtl/>
        </w:rPr>
      </w:pPr>
      <w:r w:rsidRPr="00AA5065">
        <w:rPr>
          <w:rFonts w:eastAsia="Calibri" w:hint="cs"/>
          <w:rtl/>
        </w:rPr>
        <w:t xml:space="preserve">משטרת ישראל מסרה בתשובתה כי היא </w:t>
      </w:r>
      <w:r w:rsidRPr="00AA5065">
        <w:rPr>
          <w:rFonts w:eastAsia="Calibri"/>
          <w:rtl/>
        </w:rPr>
        <w:t>תשתף פעולה עם הגורמים הרלוונטיים ו</w:t>
      </w:r>
      <w:r w:rsidRPr="00AA5065">
        <w:rPr>
          <w:rFonts w:eastAsia="Calibri" w:hint="cs"/>
          <w:rtl/>
        </w:rPr>
        <w:t xml:space="preserve">עם </w:t>
      </w:r>
      <w:r w:rsidRPr="00AA5065">
        <w:rPr>
          <w:rFonts w:eastAsia="Calibri"/>
          <w:rtl/>
        </w:rPr>
        <w:t>משרדי הממשלה השונים.</w:t>
      </w:r>
    </w:p>
    <w:p w:rsidR="00246618" w:rsidRPr="00AA5065" w:rsidP="00860D89">
      <w:pPr>
        <w:spacing w:line="269" w:lineRule="auto"/>
        <w:rPr>
          <w:rFonts w:eastAsia="Calibri"/>
          <w:rtl/>
        </w:rPr>
      </w:pPr>
    </w:p>
    <w:p w:rsidR="00AA5065" w:rsidRPr="00AA5065" w:rsidP="00860D89">
      <w:pPr>
        <w:spacing w:line="269" w:lineRule="auto"/>
        <w:rPr>
          <w:rFonts w:eastAsia="Calibri"/>
          <w:rtl/>
        </w:rPr>
      </w:pPr>
    </w:p>
    <w:p w:rsidR="00AA5065" w:rsidRPr="00AA5065" w:rsidP="00860D89">
      <w:pPr>
        <w:keepNext/>
        <w:keepLines/>
        <w:spacing w:line="269" w:lineRule="auto"/>
        <w:jc w:val="center"/>
        <w:outlineLvl w:val="1"/>
        <w:rPr>
          <w:rFonts w:eastAsia="Times New Roman"/>
          <w:bCs/>
          <w:szCs w:val="32"/>
          <w:rtl/>
        </w:rPr>
      </w:pPr>
      <w:r w:rsidRPr="00AA5065">
        <w:rPr>
          <w:rFonts w:eastAsia="Times New Roman" w:hint="cs"/>
          <w:bCs/>
          <w:szCs w:val="32"/>
          <w:rtl/>
        </w:rPr>
        <w:t>שער שני: תשתיות ממשלתיות</w:t>
      </w:r>
    </w:p>
    <w:p w:rsidR="00AA5065" w:rsidRPr="00AA5065" w:rsidP="00860D89">
      <w:pPr>
        <w:spacing w:line="269" w:lineRule="auto"/>
        <w:ind w:left="-567"/>
        <w:rPr>
          <w:rFonts w:eastAsia="Calibri"/>
          <w:szCs w:val="20"/>
          <w:rtl/>
        </w:rPr>
      </w:pPr>
    </w:p>
    <w:p w:rsidR="00AA5065" w:rsidRPr="00AA5065" w:rsidP="00860D89">
      <w:pPr>
        <w:spacing w:line="269" w:lineRule="auto"/>
        <w:rPr>
          <w:rFonts w:ascii="Tahoma" w:eastAsia="Calibri" w:hAnsi="Tahoma"/>
          <w:b/>
          <w:bCs/>
          <w:rtl/>
        </w:rPr>
      </w:pPr>
      <w:r w:rsidRPr="00AA5065">
        <w:rPr>
          <w:rFonts w:ascii="David" w:eastAsia="Calibri" w:hAnsi="David"/>
          <w:rtl/>
        </w:rPr>
        <w:t>פגיעה בתשתיות של מדינת ישראל מהווה פגיעה הן בתשתיות חיוניות ובשירות</w:t>
      </w:r>
      <w:r w:rsidRPr="00AA5065">
        <w:rPr>
          <w:rFonts w:ascii="David" w:eastAsia="Calibri" w:hAnsi="David" w:hint="cs"/>
          <w:rtl/>
        </w:rPr>
        <w:t>ים</w:t>
      </w:r>
      <w:r w:rsidRPr="00AA5065">
        <w:rPr>
          <w:rFonts w:ascii="David" w:eastAsia="Calibri" w:hAnsi="David"/>
          <w:rtl/>
        </w:rPr>
        <w:t xml:space="preserve"> הנית</w:t>
      </w:r>
      <w:r w:rsidRPr="00AA5065">
        <w:rPr>
          <w:rFonts w:ascii="David" w:eastAsia="Calibri" w:hAnsi="David" w:hint="cs"/>
          <w:rtl/>
        </w:rPr>
        <w:t>נים</w:t>
      </w:r>
      <w:r w:rsidRPr="00AA5065">
        <w:rPr>
          <w:rFonts w:ascii="David" w:eastAsia="Calibri" w:hAnsi="David"/>
          <w:rtl/>
        </w:rPr>
        <w:t xml:space="preserve"> לתושבי הנגב והן בסמלי </w:t>
      </w:r>
      <w:r w:rsidRPr="00AA5065">
        <w:rPr>
          <w:rFonts w:ascii="David" w:eastAsia="Calibri" w:hAnsi="David" w:hint="cs"/>
          <w:rtl/>
        </w:rPr>
        <w:t>ה</w:t>
      </w:r>
      <w:r w:rsidRPr="00AA5065">
        <w:rPr>
          <w:rFonts w:ascii="David" w:eastAsia="Calibri" w:hAnsi="David"/>
          <w:rtl/>
        </w:rPr>
        <w:t>שלטון.</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tl/>
        </w:rPr>
      </w:pPr>
      <w:r w:rsidRPr="00AA5065">
        <w:rPr>
          <w:rFonts w:ascii="Tahoma" w:eastAsia="Calibri" w:hAnsi="Tahoma" w:hint="cs"/>
          <w:b/>
          <w:bCs/>
          <w:rtl/>
        </w:rPr>
        <w:t xml:space="preserve">בביקורת המעקב הועלה כי האירועים השונים של גניבת מתכות, הצתת תשתיות, פריצה למתקנים והתחברויות פיראטיות לקווי חשמל, מים ודלק, ואשר מאפיינים את תופעת הפגיעה </w:t>
      </w:r>
      <w:r w:rsidRPr="00AA5065">
        <w:rPr>
          <w:rFonts w:ascii="Tahoma" w:eastAsia="Calibri" w:hAnsi="Tahoma" w:hint="eastAsia"/>
          <w:b/>
          <w:bCs/>
          <w:rtl/>
        </w:rPr>
        <w:t>בתשתיות</w:t>
      </w:r>
      <w:r w:rsidRPr="00AA5065">
        <w:rPr>
          <w:rFonts w:ascii="Tahoma" w:eastAsia="Calibri" w:hAnsi="Tahoma"/>
          <w:b/>
          <w:bCs/>
          <w:rtl/>
        </w:rPr>
        <w:t xml:space="preserve"> </w:t>
      </w:r>
      <w:r w:rsidRPr="00AA5065">
        <w:rPr>
          <w:rFonts w:ascii="Tahoma" w:eastAsia="Calibri" w:hAnsi="Tahoma" w:hint="eastAsia"/>
          <w:b/>
          <w:bCs/>
          <w:rtl/>
        </w:rPr>
        <w:t>של</w:t>
      </w:r>
      <w:r w:rsidRPr="00AA5065">
        <w:rPr>
          <w:rFonts w:ascii="Tahoma" w:eastAsia="Calibri" w:hAnsi="Tahoma"/>
          <w:b/>
          <w:bCs/>
          <w:rtl/>
        </w:rPr>
        <w:t xml:space="preserve"> </w:t>
      </w:r>
      <w:r w:rsidRPr="00AA5065">
        <w:rPr>
          <w:rFonts w:ascii="Tahoma" w:eastAsia="Calibri" w:hAnsi="Tahoma" w:hint="eastAsia"/>
          <w:b/>
          <w:bCs/>
          <w:rtl/>
        </w:rPr>
        <w:t>החברות</w:t>
      </w:r>
      <w:r w:rsidRPr="00AA5065">
        <w:rPr>
          <w:rFonts w:ascii="Tahoma" w:eastAsia="Calibri" w:hAnsi="Tahoma"/>
          <w:b/>
          <w:bCs/>
          <w:rtl/>
        </w:rPr>
        <w:t xml:space="preserve"> </w:t>
      </w:r>
      <w:r w:rsidRPr="00AA5065">
        <w:rPr>
          <w:rFonts w:ascii="Tahoma" w:eastAsia="Calibri" w:hAnsi="Tahoma" w:hint="eastAsia"/>
          <w:b/>
          <w:bCs/>
          <w:rtl/>
        </w:rPr>
        <w:t>הממשלתיות</w:t>
      </w:r>
      <w:r w:rsidRPr="00AA5065">
        <w:rPr>
          <w:rFonts w:ascii="Tahoma" w:eastAsia="Calibri" w:hAnsi="Tahoma"/>
          <w:b/>
          <w:bCs/>
          <w:rtl/>
        </w:rPr>
        <w:t xml:space="preserve"> </w:t>
      </w:r>
      <w:r w:rsidRPr="00AA5065">
        <w:rPr>
          <w:rFonts w:ascii="Tahoma" w:eastAsia="Calibri" w:hAnsi="Tahoma" w:hint="eastAsia"/>
          <w:b/>
          <w:bCs/>
          <w:rtl/>
        </w:rPr>
        <w:t>בנגב</w:t>
      </w:r>
      <w:r w:rsidRPr="00AA5065">
        <w:rPr>
          <w:rFonts w:ascii="Tahoma" w:eastAsia="Calibri" w:hAnsi="Tahoma" w:hint="cs"/>
          <w:b/>
          <w:bCs/>
          <w:rtl/>
        </w:rPr>
        <w:t>, עדיין נמשכים. גופים אלו סובלים מהתנכלויות חוזרות ונשנות אשר מסבות להם נזק כספי רב, פוגעות ביכולת הפיתוח של התשתיות שלהם ואף מסכנות, במקרים מסוימים, חיי אדם. נוסף על כך, האוכלוסייה שמשתמשת בשירותים של חברות אלו נפגעת משמעותית מאי-היכולת לקבלם בפרק הזמן שיחלוף עד לתיקון הנזקים.</w:t>
      </w:r>
    </w:p>
    <w:p w:rsidR="00AA5065" w:rsidRPr="00AA5065" w:rsidP="00860D89">
      <w:pPr>
        <w:spacing w:line="269" w:lineRule="auto"/>
        <w:rPr>
          <w:rFonts w:eastAsia="Calibri"/>
          <w:rtl/>
        </w:rPr>
      </w:pPr>
    </w:p>
    <w:p w:rsidR="006D30F2" w:rsidRPr="006D30F2">
      <w:pPr>
        <w:bidi w:val="0"/>
        <w:spacing w:after="200" w:line="276" w:lineRule="auto"/>
        <w:rPr>
          <w:rFonts w:eastAsia="Times New Roman"/>
          <w:bCs/>
          <w:szCs w:val="28"/>
          <w:rtl/>
        </w:rPr>
      </w:pPr>
      <w:r w:rsidRPr="006D30F2">
        <w:rPr>
          <w:rFonts w:eastAsia="Times New Roman"/>
          <w:bCs/>
          <w:szCs w:val="28"/>
          <w:rtl/>
        </w:rPr>
        <w:br w:type="page"/>
      </w:r>
    </w:p>
    <w:p w:rsidR="00AA5065" w:rsidRPr="00AA5065" w:rsidP="00860D89">
      <w:pPr>
        <w:keepNext/>
        <w:keepLines/>
        <w:spacing w:line="269" w:lineRule="auto"/>
        <w:outlineLvl w:val="2"/>
        <w:rPr>
          <w:rFonts w:eastAsia="Times New Roman"/>
          <w:bCs/>
          <w:szCs w:val="28"/>
          <w:u w:val="single"/>
          <w:rtl/>
        </w:rPr>
      </w:pPr>
      <w:r w:rsidRPr="00AA5065">
        <w:rPr>
          <w:rFonts w:eastAsia="Times New Roman" w:hint="cs"/>
          <w:bCs/>
          <w:szCs w:val="28"/>
          <w:u w:val="single"/>
          <w:rtl/>
        </w:rPr>
        <w:t>פגיעה בתשתיות של חברות ממשלתיות ופרטיות</w:t>
      </w:r>
    </w:p>
    <w:p w:rsidR="00AA5065" w:rsidRPr="00AA5065" w:rsidP="00860D89">
      <w:pPr>
        <w:spacing w:line="269" w:lineRule="auto"/>
        <w:rPr>
          <w:rFonts w:eastAsia="Calibri"/>
          <w:rtl/>
        </w:rPr>
      </w:pPr>
      <w:bookmarkStart w:id="116" w:name="_Toc9869676"/>
      <w:bookmarkStart w:id="117" w:name="_Toc72950313"/>
      <w:bookmarkStart w:id="118" w:name="_Toc31186207"/>
      <w:bookmarkStart w:id="119" w:name="_Toc60063343"/>
      <w:bookmarkStart w:id="120" w:name="_Toc60125413"/>
    </w:p>
    <w:p w:rsidR="00AA5065" w:rsidRPr="00AA5065" w:rsidP="00860D89">
      <w:pPr>
        <w:keepNext/>
        <w:keepLines/>
        <w:spacing w:line="269" w:lineRule="auto"/>
        <w:outlineLvl w:val="3"/>
        <w:rPr>
          <w:rFonts w:eastAsia="Times New Roman"/>
          <w:bCs/>
          <w:szCs w:val="26"/>
          <w:rtl/>
        </w:rPr>
      </w:pPr>
      <w:r w:rsidRPr="00AA5065">
        <w:rPr>
          <w:rFonts w:eastAsia="Times New Roman" w:hint="cs"/>
          <w:bCs/>
          <w:szCs w:val="26"/>
          <w:rtl/>
        </w:rPr>
        <w:t xml:space="preserve">פגיעה בתשתיות </w:t>
      </w:r>
      <w:bookmarkEnd w:id="116"/>
      <w:r w:rsidRPr="00AA5065">
        <w:rPr>
          <w:rFonts w:eastAsia="Times New Roman" w:hint="cs"/>
          <w:bCs/>
          <w:szCs w:val="26"/>
          <w:rtl/>
        </w:rPr>
        <w:t>של חברת המים מקורות</w:t>
      </w:r>
      <w:bookmarkEnd w:id="117"/>
      <w:r w:rsidRPr="00AA5065">
        <w:rPr>
          <w:rFonts w:eastAsia="Times New Roman" w:hint="cs"/>
          <w:bCs/>
          <w:szCs w:val="26"/>
          <w:rtl/>
        </w:rPr>
        <w:t xml:space="preserve"> </w:t>
      </w:r>
      <w:bookmarkEnd w:id="118"/>
      <w:bookmarkEnd w:id="119"/>
      <w:bookmarkEnd w:id="120"/>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חברת מקורות היא חברה ממשלתית שבאחריות משרד האנרגייה והתשתיות ומשרד האוצר. החברה פועלת כמפיק מים וכספק מים לפי חוק המים, התשי"ט-1959, והיא מספקת מים למגזר הביתי, לחקלאות ולתעשייה. היא עוסקת בהנחת תשתיות להובלת מים למוקדי יישוב שונים בארץ ואחראית לתחזוקה השוטפת שלהן. בצפון הנגב החברה אחראית לנקודות תשתית רבות ובכללן מתקני קידוח, שנאי חשמל וגנרטורים לאספקת אנרגיה למשאבות החברה וכן מתקנים לאחסון סולר. </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בביקורת</w:t>
      </w:r>
      <w:r w:rsidRPr="00AA5065">
        <w:rPr>
          <w:rFonts w:eastAsia="Calibri"/>
          <w:rtl/>
        </w:rPr>
        <w:t xml:space="preserve"> </w:t>
      </w:r>
      <w:r w:rsidRPr="00AA5065">
        <w:rPr>
          <w:rFonts w:eastAsia="Calibri" w:hint="eastAsia"/>
          <w:rtl/>
        </w:rPr>
        <w:t>הקודמת</w:t>
      </w:r>
      <w:r w:rsidRPr="00AA5065">
        <w:rPr>
          <w:rFonts w:eastAsia="Calibri" w:hint="cs"/>
          <w:rtl/>
        </w:rPr>
        <w:t xml:space="preserve"> עלה כי </w:t>
      </w:r>
      <w:r w:rsidRPr="00AA5065">
        <w:rPr>
          <w:rFonts w:eastAsia="Calibri" w:hint="eastAsia"/>
          <w:rtl/>
        </w:rPr>
        <w:t>חברת</w:t>
      </w:r>
      <w:r w:rsidRPr="00AA5065">
        <w:rPr>
          <w:rFonts w:eastAsia="Calibri"/>
          <w:rtl/>
        </w:rPr>
        <w:t xml:space="preserve"> </w:t>
      </w:r>
      <w:r w:rsidRPr="00AA5065">
        <w:rPr>
          <w:rFonts w:eastAsia="Calibri" w:hint="eastAsia"/>
          <w:rtl/>
        </w:rPr>
        <w:t>מקורות</w:t>
      </w:r>
      <w:r w:rsidRPr="00AA5065">
        <w:rPr>
          <w:rFonts w:eastAsia="Calibri"/>
          <w:rtl/>
        </w:rPr>
        <w:t xml:space="preserve"> </w:t>
      </w:r>
      <w:r w:rsidRPr="00AA5065">
        <w:rPr>
          <w:rFonts w:eastAsia="Calibri" w:hint="eastAsia"/>
          <w:rtl/>
        </w:rPr>
        <w:t>מתמודדת</w:t>
      </w:r>
      <w:r w:rsidRPr="00AA5065">
        <w:rPr>
          <w:rFonts w:eastAsia="Calibri"/>
          <w:rtl/>
        </w:rPr>
        <w:t xml:space="preserve"> </w:t>
      </w:r>
      <w:r w:rsidRPr="00AA5065">
        <w:rPr>
          <w:rFonts w:eastAsia="Calibri" w:hint="eastAsia"/>
          <w:rtl/>
        </w:rPr>
        <w:t>מדי</w:t>
      </w:r>
      <w:r w:rsidRPr="00AA5065">
        <w:rPr>
          <w:rFonts w:eastAsia="Calibri"/>
          <w:rtl/>
        </w:rPr>
        <w:t xml:space="preserve"> </w:t>
      </w:r>
      <w:r w:rsidRPr="00AA5065">
        <w:rPr>
          <w:rFonts w:eastAsia="Calibri" w:hint="eastAsia"/>
          <w:rtl/>
        </w:rPr>
        <w:t>שנה</w:t>
      </w:r>
      <w:r w:rsidRPr="00AA5065">
        <w:rPr>
          <w:rFonts w:eastAsia="Calibri"/>
          <w:rtl/>
        </w:rPr>
        <w:t xml:space="preserve"> </w:t>
      </w:r>
      <w:r w:rsidRPr="00AA5065">
        <w:rPr>
          <w:rFonts w:eastAsia="Calibri" w:hint="eastAsia"/>
          <w:rtl/>
        </w:rPr>
        <w:t>עם</w:t>
      </w:r>
      <w:r w:rsidRPr="00AA5065">
        <w:rPr>
          <w:rFonts w:eastAsia="Calibri"/>
          <w:rtl/>
        </w:rPr>
        <w:t xml:space="preserve"> </w:t>
      </w:r>
      <w:r w:rsidRPr="00AA5065">
        <w:rPr>
          <w:rFonts w:eastAsia="Calibri" w:hint="eastAsia"/>
          <w:rtl/>
        </w:rPr>
        <w:t>עשרות</w:t>
      </w:r>
      <w:r w:rsidRPr="00AA5065">
        <w:rPr>
          <w:rFonts w:eastAsia="Calibri"/>
          <w:rtl/>
        </w:rPr>
        <w:t xml:space="preserve"> </w:t>
      </w:r>
      <w:r w:rsidRPr="00AA5065">
        <w:rPr>
          <w:rFonts w:eastAsia="Calibri" w:hint="eastAsia"/>
          <w:rtl/>
        </w:rPr>
        <w:t>רבות</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אירועי</w:t>
      </w:r>
      <w:r w:rsidRPr="00AA5065">
        <w:rPr>
          <w:rFonts w:eastAsia="Calibri"/>
          <w:rtl/>
        </w:rPr>
        <w:t xml:space="preserve"> </w:t>
      </w:r>
      <w:r w:rsidRPr="00AA5065">
        <w:rPr>
          <w:rFonts w:eastAsia="Calibri" w:hint="eastAsia"/>
          <w:rtl/>
        </w:rPr>
        <w:t>חבלה</w:t>
      </w:r>
      <w:r w:rsidRPr="00AA5065">
        <w:rPr>
          <w:rFonts w:eastAsia="Calibri"/>
          <w:rtl/>
        </w:rPr>
        <w:t xml:space="preserve"> </w:t>
      </w:r>
      <w:r w:rsidRPr="00AA5065">
        <w:rPr>
          <w:rFonts w:eastAsia="Calibri" w:hint="eastAsia"/>
          <w:rtl/>
        </w:rPr>
        <w:t>וגניבה</w:t>
      </w:r>
      <w:r w:rsidRPr="00AA5065">
        <w:rPr>
          <w:rFonts w:eastAsia="Calibri"/>
          <w:rtl/>
        </w:rPr>
        <w:t xml:space="preserve"> </w:t>
      </w:r>
      <w:r w:rsidRPr="00AA5065">
        <w:rPr>
          <w:rFonts w:eastAsia="Calibri" w:hint="eastAsia"/>
          <w:rtl/>
        </w:rPr>
        <w:t>במתקניה</w:t>
      </w:r>
      <w:r w:rsidRPr="00AA5065">
        <w:rPr>
          <w:rFonts w:eastAsia="Calibri"/>
          <w:rtl/>
        </w:rPr>
        <w:t xml:space="preserve"> </w:t>
      </w:r>
      <w:r w:rsidRPr="00AA5065">
        <w:rPr>
          <w:rFonts w:eastAsia="Calibri" w:hint="eastAsia"/>
          <w:rtl/>
        </w:rPr>
        <w:t>בנגב</w:t>
      </w:r>
      <w:r w:rsidRPr="00AA5065">
        <w:rPr>
          <w:rFonts w:eastAsia="Calibri"/>
          <w:rtl/>
        </w:rPr>
        <w:t xml:space="preserve">, </w:t>
      </w:r>
      <w:r w:rsidRPr="00AA5065">
        <w:rPr>
          <w:rFonts w:eastAsia="Calibri" w:hint="cs"/>
          <w:rtl/>
        </w:rPr>
        <w:t>ו</w:t>
      </w:r>
      <w:r w:rsidRPr="00AA5065">
        <w:rPr>
          <w:rFonts w:eastAsia="Calibri"/>
          <w:rtl/>
        </w:rPr>
        <w:t>הטיפול באירועים אלו גור</w:t>
      </w:r>
      <w:r w:rsidRPr="00AA5065">
        <w:rPr>
          <w:rFonts w:eastAsia="Calibri" w:hint="cs"/>
          <w:rtl/>
        </w:rPr>
        <w:t>ר</w:t>
      </w:r>
      <w:r w:rsidRPr="00AA5065">
        <w:rPr>
          <w:rFonts w:eastAsia="Calibri"/>
          <w:rtl/>
        </w:rPr>
        <w:t xml:space="preserve"> </w:t>
      </w:r>
      <w:r w:rsidRPr="00AA5065">
        <w:rPr>
          <w:rFonts w:eastAsia="Calibri" w:hint="cs"/>
          <w:rtl/>
        </w:rPr>
        <w:t>הוצאות</w:t>
      </w:r>
      <w:r w:rsidRPr="00AA5065">
        <w:rPr>
          <w:rFonts w:eastAsia="Calibri"/>
          <w:rtl/>
        </w:rPr>
        <w:t xml:space="preserve"> כספי</w:t>
      </w:r>
      <w:r w:rsidRPr="00AA5065">
        <w:rPr>
          <w:rFonts w:eastAsia="Calibri" w:hint="cs"/>
          <w:rtl/>
        </w:rPr>
        <w:t>ות</w:t>
      </w:r>
      <w:r w:rsidRPr="00AA5065">
        <w:rPr>
          <w:rFonts w:eastAsia="Calibri"/>
          <w:rtl/>
        </w:rPr>
        <w:t xml:space="preserve"> </w:t>
      </w:r>
      <w:r w:rsidRPr="00AA5065">
        <w:rPr>
          <w:rFonts w:eastAsia="Calibri" w:hint="cs"/>
          <w:rtl/>
        </w:rPr>
        <w:t>גדולות מ</w:t>
      </w:r>
      <w:r w:rsidRPr="00AA5065">
        <w:rPr>
          <w:rFonts w:eastAsia="Calibri"/>
          <w:rtl/>
        </w:rPr>
        <w:t>קופת החברה. אירועים כאלו פוגעים בתשתי</w:t>
      </w:r>
      <w:r w:rsidRPr="00AA5065">
        <w:rPr>
          <w:rFonts w:eastAsia="Calibri" w:hint="cs"/>
          <w:rtl/>
        </w:rPr>
        <w:t>ו</w:t>
      </w:r>
      <w:r w:rsidRPr="00AA5065">
        <w:rPr>
          <w:rFonts w:eastAsia="Calibri"/>
          <w:rtl/>
        </w:rPr>
        <w:t xml:space="preserve">ת </w:t>
      </w:r>
      <w:r w:rsidRPr="00AA5065">
        <w:rPr>
          <w:rFonts w:eastAsia="Calibri" w:hint="cs"/>
          <w:rtl/>
        </w:rPr>
        <w:t>ה</w:t>
      </w:r>
      <w:r w:rsidRPr="00AA5065">
        <w:rPr>
          <w:rFonts w:eastAsia="Calibri"/>
          <w:rtl/>
        </w:rPr>
        <w:t>לאומי</w:t>
      </w:r>
      <w:r w:rsidRPr="00AA5065">
        <w:rPr>
          <w:rFonts w:eastAsia="Calibri" w:hint="cs"/>
          <w:rtl/>
        </w:rPr>
        <w:t>ו</w:t>
      </w:r>
      <w:r w:rsidRPr="00AA5065">
        <w:rPr>
          <w:rFonts w:eastAsia="Calibri"/>
          <w:rtl/>
        </w:rPr>
        <w:t xml:space="preserve">ת </w:t>
      </w:r>
      <w:r w:rsidRPr="00AA5065">
        <w:rPr>
          <w:rFonts w:eastAsia="Calibri" w:hint="cs"/>
          <w:rtl/>
        </w:rPr>
        <w:t>ומעכבים</w:t>
      </w:r>
      <w:r w:rsidRPr="00AA5065">
        <w:rPr>
          <w:rFonts w:eastAsia="Calibri"/>
          <w:rtl/>
        </w:rPr>
        <w:t xml:space="preserve"> ביצוע פרויקטים לחיבור תקין של האוכלוסייה</w:t>
      </w:r>
      <w:r w:rsidRPr="00AA5065">
        <w:rPr>
          <w:rFonts w:eastAsia="Calibri" w:hint="cs"/>
          <w:rtl/>
        </w:rPr>
        <w:t xml:space="preserve"> לתשתיות המים</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rtl/>
        </w:rPr>
        <w:t>בשנים 2008 עד 2018 התרחשו בממוצע כ-105 אירועי חבלה וגניבה מדי שנה, ובסך הכול 1,150 אירועים. לדוגמה,</w:t>
      </w:r>
      <w:r w:rsidRPr="00AA5065">
        <w:rPr>
          <w:rFonts w:eastAsia="Calibri" w:hint="eastAsia"/>
          <w:rtl/>
        </w:rPr>
        <w:t xml:space="preserve"> ב</w:t>
      </w:r>
      <w:r w:rsidRPr="00AA5065">
        <w:rPr>
          <w:rFonts w:eastAsia="Calibri"/>
          <w:rtl/>
        </w:rPr>
        <w:t xml:space="preserve">שנים 2014 </w:t>
      </w:r>
      <w:r w:rsidRPr="00AA5065">
        <w:rPr>
          <w:rFonts w:eastAsia="Calibri" w:hint="cs"/>
          <w:rtl/>
        </w:rPr>
        <w:t>עד</w:t>
      </w:r>
      <w:r w:rsidRPr="00AA5065">
        <w:rPr>
          <w:rFonts w:eastAsia="Calibri"/>
          <w:rtl/>
        </w:rPr>
        <w:t xml:space="preserve"> 2018 </w:t>
      </w:r>
      <w:r w:rsidRPr="00AA5065">
        <w:rPr>
          <w:rFonts w:eastAsia="Calibri" w:hint="eastAsia"/>
          <w:rtl/>
        </w:rPr>
        <w:t>אירעו</w:t>
      </w:r>
      <w:r w:rsidRPr="00AA5065">
        <w:rPr>
          <w:rFonts w:eastAsia="Calibri"/>
          <w:rtl/>
        </w:rPr>
        <w:t xml:space="preserve"> כ-240 אירועי גניבת יחידות קריאה מרחוק</w:t>
      </w:r>
      <w:r>
        <w:rPr>
          <w:rFonts w:eastAsia="Calibri"/>
          <w:vertAlign w:val="superscript"/>
          <w:rtl/>
        </w:rPr>
        <w:footnoteReference w:id="142"/>
      </w:r>
      <w:r w:rsidRPr="00AA5065">
        <w:rPr>
          <w:rFonts w:eastAsia="Calibri"/>
          <w:rtl/>
        </w:rPr>
        <w:t xml:space="preserve"> באזור </w:t>
      </w:r>
      <w:r w:rsidRPr="00AA5065">
        <w:rPr>
          <w:rFonts w:eastAsia="Calibri" w:hint="cs"/>
          <w:rtl/>
        </w:rPr>
        <w:t xml:space="preserve">מרכז </w:t>
      </w:r>
      <w:r w:rsidRPr="00AA5065">
        <w:rPr>
          <w:rFonts w:eastAsia="Calibri" w:hint="eastAsia"/>
          <w:rtl/>
        </w:rPr>
        <w:t>ה</w:t>
      </w:r>
      <w:r w:rsidRPr="00AA5065">
        <w:rPr>
          <w:rFonts w:eastAsia="Calibri"/>
          <w:rtl/>
        </w:rPr>
        <w:t>נגב ו</w:t>
      </w:r>
      <w:r w:rsidRPr="00AA5065">
        <w:rPr>
          <w:rFonts w:eastAsia="Calibri" w:hint="cs"/>
          <w:rtl/>
        </w:rPr>
        <w:t xml:space="preserve">צפון </w:t>
      </w:r>
      <w:r w:rsidRPr="00AA5065">
        <w:rPr>
          <w:rFonts w:eastAsia="Calibri" w:hint="eastAsia"/>
          <w:rtl/>
        </w:rPr>
        <w:t>ה</w:t>
      </w:r>
      <w:r w:rsidRPr="00AA5065">
        <w:rPr>
          <w:rFonts w:eastAsia="Calibri"/>
          <w:rtl/>
        </w:rPr>
        <w:t>נגב.</w:t>
      </w:r>
      <w:r w:rsidRPr="00AA5065">
        <w:rPr>
          <w:rFonts w:eastAsia="Calibri" w:hint="cs"/>
          <w:b/>
          <w:b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הומלץ</w:t>
      </w:r>
      <w:r w:rsidRPr="00AA5065">
        <w:rPr>
          <w:rFonts w:eastAsia="Calibri"/>
          <w:rtl/>
        </w:rPr>
        <w:t xml:space="preserve"> </w:t>
      </w:r>
      <w:r w:rsidRPr="00AA5065">
        <w:rPr>
          <w:rFonts w:eastAsia="Calibri" w:hint="eastAsia"/>
          <w:rtl/>
        </w:rPr>
        <w:t>כי</w:t>
      </w:r>
      <w:r w:rsidRPr="00AA5065">
        <w:rPr>
          <w:rFonts w:eastAsia="Calibri" w:hint="cs"/>
          <w:rtl/>
        </w:rPr>
        <w:t xml:space="preserve"> </w:t>
      </w:r>
      <w:r w:rsidRPr="00AA5065">
        <w:rPr>
          <w:rFonts w:eastAsia="Calibri"/>
          <w:rtl/>
        </w:rPr>
        <w:t>רשויות אכיפת החוק ו</w:t>
      </w:r>
      <w:r w:rsidRPr="00AA5065">
        <w:rPr>
          <w:rFonts w:eastAsia="Calibri" w:hint="cs"/>
          <w:rtl/>
        </w:rPr>
        <w:t>ה</w:t>
      </w:r>
      <w:r w:rsidRPr="00AA5065">
        <w:rPr>
          <w:rFonts w:eastAsia="Calibri"/>
          <w:rtl/>
        </w:rPr>
        <w:t>משטר</w:t>
      </w:r>
      <w:r w:rsidRPr="00AA5065">
        <w:rPr>
          <w:rFonts w:eastAsia="Calibri" w:hint="cs"/>
          <w:rtl/>
        </w:rPr>
        <w:t>ה</w:t>
      </w:r>
      <w:r w:rsidRPr="00AA5065">
        <w:rPr>
          <w:rFonts w:eastAsia="Calibri"/>
          <w:rtl/>
        </w:rPr>
        <w:t xml:space="preserve"> הפועלות בנגב </w:t>
      </w:r>
      <w:r w:rsidRPr="00AA5065">
        <w:rPr>
          <w:rFonts w:eastAsia="Calibri" w:hint="cs"/>
          <w:rtl/>
        </w:rPr>
        <w:t>יתעדפו את</w:t>
      </w:r>
      <w:r w:rsidRPr="00AA5065">
        <w:rPr>
          <w:rFonts w:eastAsia="Calibri"/>
          <w:rtl/>
        </w:rPr>
        <w:t xml:space="preserve"> הטיפול בפגיעה בתשתיות </w:t>
      </w:r>
      <w:r w:rsidRPr="00AA5065">
        <w:rPr>
          <w:rFonts w:eastAsia="Calibri" w:hint="cs"/>
          <w:rtl/>
        </w:rPr>
        <w:t>ו</w:t>
      </w:r>
      <w:r w:rsidRPr="00AA5065">
        <w:rPr>
          <w:rFonts w:eastAsia="Calibri"/>
          <w:rtl/>
        </w:rPr>
        <w:t xml:space="preserve">בחיבורים </w:t>
      </w:r>
      <w:r w:rsidRPr="00AA5065">
        <w:rPr>
          <w:rFonts w:eastAsia="Calibri" w:hint="cs"/>
          <w:rtl/>
        </w:rPr>
        <w:t>ה</w:t>
      </w:r>
      <w:r w:rsidRPr="00AA5065">
        <w:rPr>
          <w:rFonts w:eastAsia="Calibri"/>
          <w:rtl/>
        </w:rPr>
        <w:t xml:space="preserve">בלתי </w:t>
      </w:r>
      <w:r w:rsidRPr="00AA5065">
        <w:rPr>
          <w:rFonts w:eastAsia="Calibri" w:hint="cs"/>
          <w:rtl/>
        </w:rPr>
        <w:t>ה</w:t>
      </w:r>
      <w:r w:rsidRPr="00AA5065">
        <w:rPr>
          <w:rFonts w:eastAsia="Calibri"/>
          <w:rtl/>
        </w:rPr>
        <w:t>חוקיים של התושבים למים</w:t>
      </w:r>
      <w:r w:rsidRPr="00AA5065">
        <w:rPr>
          <w:rFonts w:eastAsia="Calibri" w:hint="cs"/>
          <w:rtl/>
        </w:rPr>
        <w:t xml:space="preserve">. </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עלה כי מספר האירועים הממוצע של פגיעה בתשתיות החברה בנגב לא פחת</w:t>
      </w:r>
      <w:r w:rsidRPr="00AA5065">
        <w:rPr>
          <w:rFonts w:eastAsia="Calibri" w:hint="cs"/>
          <w:rtl/>
        </w:rPr>
        <w:t>,</w:t>
      </w:r>
      <w:r w:rsidRPr="00AA5065">
        <w:rPr>
          <w:rFonts w:eastAsia="Calibri"/>
          <w:rtl/>
        </w:rPr>
        <w:t xml:space="preserve"> ועלות </w:t>
      </w:r>
      <w:r w:rsidRPr="00AA5065">
        <w:rPr>
          <w:rFonts w:eastAsia="Calibri" w:hint="cs"/>
          <w:rtl/>
        </w:rPr>
        <w:t>הטיפול ב</w:t>
      </w:r>
      <w:r w:rsidRPr="00AA5065">
        <w:rPr>
          <w:rFonts w:eastAsia="Calibri"/>
          <w:rtl/>
        </w:rPr>
        <w:t>נזקים בשנים 20</w:t>
      </w:r>
      <w:r w:rsidRPr="00AA5065">
        <w:rPr>
          <w:rFonts w:eastAsia="Calibri" w:hint="cs"/>
          <w:rtl/>
        </w:rPr>
        <w:t xml:space="preserve">19 עד </w:t>
      </w:r>
      <w:r w:rsidRPr="00AA5065">
        <w:rPr>
          <w:rFonts w:eastAsia="Calibri"/>
          <w:rtl/>
        </w:rPr>
        <w:t>20</w:t>
      </w:r>
      <w:r w:rsidRPr="00AA5065">
        <w:rPr>
          <w:rFonts w:eastAsia="Calibri" w:hint="cs"/>
          <w:rtl/>
        </w:rPr>
        <w:t>24</w:t>
      </w:r>
      <w:r w:rsidRPr="00AA5065">
        <w:rPr>
          <w:rFonts w:eastAsia="Calibri"/>
          <w:rtl/>
        </w:rPr>
        <w:t xml:space="preserve"> הי</w:t>
      </w:r>
      <w:r w:rsidRPr="00AA5065">
        <w:rPr>
          <w:rFonts w:eastAsia="Calibri" w:hint="cs"/>
          <w:rtl/>
        </w:rPr>
        <w:t>ית</w:t>
      </w:r>
      <w:r w:rsidRPr="00AA5065">
        <w:rPr>
          <w:rFonts w:eastAsia="Calibri"/>
          <w:rtl/>
        </w:rPr>
        <w:t xml:space="preserve">ה </w:t>
      </w:r>
      <w:r w:rsidRPr="00AA5065">
        <w:rPr>
          <w:rFonts w:eastAsia="Calibri" w:hint="cs"/>
          <w:rtl/>
        </w:rPr>
        <w:t>יותר</w:t>
      </w:r>
      <w:r w:rsidRPr="00AA5065">
        <w:rPr>
          <w:rFonts w:eastAsia="Calibri"/>
          <w:rtl/>
        </w:rPr>
        <w:t xml:space="preserve"> מ-3 מיליון ש"ח.</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rtl/>
        </w:rPr>
        <w:t xml:space="preserve">בלוח 18 שלהלן מוצגים נתונים שהתקבלו מחברת מקורות על </w:t>
      </w:r>
      <w:r w:rsidRPr="00AA5065">
        <w:rPr>
          <w:rFonts w:eastAsia="Calibri"/>
          <w:rtl/>
        </w:rPr>
        <w:t>מספר אירועי החבל</w:t>
      </w:r>
      <w:r w:rsidRPr="00AA5065">
        <w:rPr>
          <w:rFonts w:eastAsia="Calibri" w:hint="cs"/>
          <w:rtl/>
        </w:rPr>
        <w:t>ה</w:t>
      </w:r>
      <w:r w:rsidRPr="00AA5065">
        <w:rPr>
          <w:rFonts w:eastAsia="Calibri"/>
          <w:rtl/>
        </w:rPr>
        <w:t xml:space="preserve"> </w:t>
      </w:r>
      <w:r w:rsidRPr="00AA5065">
        <w:rPr>
          <w:rFonts w:eastAsia="Calibri" w:hint="cs"/>
          <w:rtl/>
        </w:rPr>
        <w:t xml:space="preserve">שאירעו </w:t>
      </w:r>
      <w:r w:rsidRPr="00AA5065">
        <w:rPr>
          <w:rFonts w:eastAsia="Calibri"/>
          <w:rtl/>
        </w:rPr>
        <w:t>במתקני</w:t>
      </w:r>
      <w:r w:rsidRPr="00AA5065">
        <w:rPr>
          <w:rFonts w:eastAsia="Calibri" w:hint="cs"/>
          <w:rtl/>
        </w:rPr>
        <w:t xml:space="preserve"> חברת</w:t>
      </w:r>
      <w:r w:rsidRPr="00AA5065">
        <w:rPr>
          <w:rFonts w:eastAsia="Calibri"/>
          <w:rtl/>
        </w:rPr>
        <w:t xml:space="preserve"> מקורות </w:t>
      </w:r>
      <w:r w:rsidRPr="00AA5065">
        <w:rPr>
          <w:rFonts w:eastAsia="Calibri" w:hint="cs"/>
          <w:rtl/>
        </w:rPr>
        <w:t>ב</w:t>
      </w:r>
      <w:r w:rsidRPr="00AA5065">
        <w:rPr>
          <w:rFonts w:eastAsia="Calibri"/>
          <w:rtl/>
        </w:rPr>
        <w:t>שנים 20</w:t>
      </w:r>
      <w:r w:rsidRPr="00AA5065">
        <w:rPr>
          <w:rFonts w:eastAsia="Calibri" w:hint="cs"/>
          <w:rtl/>
        </w:rPr>
        <w:t xml:space="preserve">19 עד </w:t>
      </w:r>
      <w:r w:rsidRPr="00AA5065">
        <w:rPr>
          <w:rFonts w:eastAsia="Calibri"/>
          <w:rtl/>
        </w:rPr>
        <w:t>20</w:t>
      </w:r>
      <w:r w:rsidRPr="00AA5065">
        <w:rPr>
          <w:rFonts w:eastAsia="Calibri" w:hint="cs"/>
          <w:rtl/>
        </w:rPr>
        <w:t>24</w:t>
      </w:r>
      <w:r w:rsidRPr="00AA5065">
        <w:rPr>
          <w:rFonts w:eastAsia="Calibri"/>
          <w:rtl/>
        </w:rPr>
        <w:t xml:space="preserve"> באזור</w:t>
      </w:r>
      <w:r w:rsidRPr="00AA5065">
        <w:rPr>
          <w:rFonts w:eastAsia="Calibri" w:hint="cs"/>
          <w:rtl/>
        </w:rPr>
        <w:t xml:space="preserve"> צפון הנגב,</w:t>
      </w:r>
      <w:r w:rsidRPr="00AA5065">
        <w:rPr>
          <w:rFonts w:eastAsia="Calibri"/>
          <w:rtl/>
        </w:rPr>
        <w:t xml:space="preserve"> בין שדרות בצפון</w:t>
      </w:r>
      <w:r w:rsidRPr="00AA5065">
        <w:rPr>
          <w:rFonts w:eastAsia="Calibri" w:hint="cs"/>
          <w:rtl/>
        </w:rPr>
        <w:t xml:space="preserve"> </w:t>
      </w:r>
      <w:r w:rsidRPr="00AA5065">
        <w:rPr>
          <w:rFonts w:eastAsia="Calibri"/>
          <w:rtl/>
        </w:rPr>
        <w:t>למצפה רמון בדרום</w:t>
      </w:r>
      <w:r w:rsidRPr="00AA5065">
        <w:rPr>
          <w:rFonts w:eastAsia="Calibri" w:hint="cs"/>
          <w:b/>
          <w:bCs/>
          <w:rtl/>
        </w:rPr>
        <w:t>.</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jc w:val="center"/>
        <w:rPr>
          <w:rFonts w:eastAsia="Calibri"/>
          <w:b/>
          <w:bCs/>
          <w:rtl/>
        </w:rPr>
      </w:pPr>
      <w:r w:rsidRPr="00AA5065">
        <w:rPr>
          <w:rFonts w:eastAsia="Times New Roman" w:hint="cs"/>
          <w:rtl/>
          <w:lang w:eastAsia="he-IL"/>
        </w:rPr>
        <w:t>לוח 18</w:t>
      </w:r>
      <w:r w:rsidRPr="00AA5065">
        <w:rPr>
          <w:rFonts w:eastAsia="Times New Roman"/>
          <w:rtl/>
          <w:lang w:eastAsia="he-IL"/>
        </w:rPr>
        <w:t>:</w:t>
      </w:r>
      <w:r w:rsidRPr="00AA5065">
        <w:rPr>
          <w:rFonts w:eastAsia="Times New Roman" w:hint="cs"/>
          <w:b/>
          <w:bCs/>
          <w:rtl/>
          <w:lang w:eastAsia="he-IL"/>
        </w:rPr>
        <w:t xml:space="preserve"> מספר אירועי החבלה במתקני חברת מקורות בצפון הנגב,</w:t>
      </w:r>
      <w:r w:rsidRPr="00AA5065">
        <w:rPr>
          <w:rFonts w:eastAsia="Calibri" w:hint="cs"/>
          <w:b/>
          <w:bCs/>
          <w:rtl/>
        </w:rPr>
        <w:t xml:space="preserve"> 2019 - 2024</w:t>
      </w:r>
    </w:p>
    <w:tbl>
      <w:tblPr>
        <w:tblStyle w:val="5-11"/>
        <w:bidiVisual/>
        <w:tblW w:w="3860" w:type="dxa"/>
        <w:jc w:val="center"/>
        <w:tblLook w:val="04A0"/>
      </w:tblPr>
      <w:tblGrid>
        <w:gridCol w:w="1572"/>
        <w:gridCol w:w="2288"/>
      </w:tblGrid>
      <w:tr w:rsidTr="00AA5065">
        <w:tblPrEx>
          <w:tblW w:w="3860" w:type="dxa"/>
          <w:jc w:val="center"/>
          <w:tblLook w:val="04A0"/>
        </w:tblPrEx>
        <w:trPr>
          <w:trHeight w:hRule="exact" w:val="284"/>
          <w:jc w:val="center"/>
        </w:trPr>
        <w:tc>
          <w:tcPr>
            <w:tcW w:w="0" w:type="dxa"/>
            <w:shd w:val="clear" w:color="auto" w:fill="DBE5F1"/>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hint="eastAsia"/>
                <w:color w:val="000000"/>
                <w:sz w:val="22"/>
                <w:szCs w:val="22"/>
                <w:rtl/>
              </w:rPr>
              <w:t>השנה</w:t>
            </w:r>
          </w:p>
        </w:tc>
        <w:tc>
          <w:tcPr>
            <w:tcW w:w="0" w:type="dxa"/>
            <w:shd w:val="clear" w:color="auto" w:fill="DBE5F1"/>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מספר האירועים</w:t>
            </w:r>
          </w:p>
        </w:tc>
      </w:tr>
      <w:tr w:rsidTr="00AA5065">
        <w:tblPrEx>
          <w:tblW w:w="3860" w:type="dxa"/>
          <w:jc w:val="center"/>
          <w:tblLook w:val="04A0"/>
        </w:tblPrEx>
        <w:trPr>
          <w:trHeight w:hRule="exact" w:val="284"/>
          <w:jc w:val="center"/>
        </w:trPr>
        <w:tc>
          <w:tcPr>
            <w:tcW w:w="0" w:type="dxa"/>
            <w:shd w:val="clear" w:color="auto" w:fill="DBE5F1"/>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2019</w:t>
            </w:r>
          </w:p>
        </w:tc>
        <w:tc>
          <w:tcPr>
            <w:tcW w:w="0" w:type="dxa"/>
            <w:shd w:val="clear" w:color="auto" w:fill="DBE5F1"/>
            <w:noWrap/>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54</w:t>
            </w:r>
          </w:p>
        </w:tc>
      </w:tr>
      <w:tr w:rsidTr="00AA5065">
        <w:tblPrEx>
          <w:tblW w:w="3860" w:type="dxa"/>
          <w:jc w:val="center"/>
          <w:tblLook w:val="04A0"/>
        </w:tblPrEx>
        <w:trPr>
          <w:trHeight w:hRule="exact" w:val="284"/>
          <w:jc w:val="center"/>
        </w:trPr>
        <w:tc>
          <w:tcPr>
            <w:tcW w:w="0" w:type="dxa"/>
            <w:shd w:val="clear" w:color="auto" w:fill="DBE5F1"/>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2020</w:t>
            </w:r>
          </w:p>
        </w:tc>
        <w:tc>
          <w:tcPr>
            <w:tcW w:w="0" w:type="dxa"/>
            <w:noWrap/>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111</w:t>
            </w:r>
          </w:p>
        </w:tc>
      </w:tr>
      <w:tr w:rsidTr="00AA5065">
        <w:tblPrEx>
          <w:tblW w:w="3860" w:type="dxa"/>
          <w:jc w:val="center"/>
          <w:tblLook w:val="04A0"/>
        </w:tblPrEx>
        <w:trPr>
          <w:trHeight w:hRule="exact" w:val="284"/>
          <w:jc w:val="center"/>
        </w:trPr>
        <w:tc>
          <w:tcPr>
            <w:tcW w:w="0" w:type="dxa"/>
            <w:shd w:val="clear" w:color="auto" w:fill="DBE5F1"/>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2021</w:t>
            </w:r>
          </w:p>
        </w:tc>
        <w:tc>
          <w:tcPr>
            <w:tcW w:w="0" w:type="dxa"/>
            <w:shd w:val="clear" w:color="auto" w:fill="DBE5F1"/>
            <w:noWrap/>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130</w:t>
            </w:r>
          </w:p>
        </w:tc>
      </w:tr>
      <w:tr w:rsidTr="00AA5065">
        <w:tblPrEx>
          <w:tblW w:w="3860" w:type="dxa"/>
          <w:jc w:val="center"/>
          <w:tblLook w:val="04A0"/>
        </w:tblPrEx>
        <w:trPr>
          <w:trHeight w:hRule="exact" w:val="284"/>
          <w:jc w:val="center"/>
        </w:trPr>
        <w:tc>
          <w:tcPr>
            <w:tcW w:w="0" w:type="dxa"/>
            <w:shd w:val="clear" w:color="auto" w:fill="DBE5F1"/>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2022</w:t>
            </w:r>
          </w:p>
        </w:tc>
        <w:tc>
          <w:tcPr>
            <w:tcW w:w="0" w:type="dxa"/>
            <w:noWrap/>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146</w:t>
            </w:r>
          </w:p>
        </w:tc>
      </w:tr>
      <w:tr w:rsidTr="00AA5065">
        <w:tblPrEx>
          <w:tblW w:w="3860" w:type="dxa"/>
          <w:jc w:val="center"/>
          <w:tblLook w:val="04A0"/>
        </w:tblPrEx>
        <w:trPr>
          <w:trHeight w:hRule="exact" w:val="284"/>
          <w:jc w:val="center"/>
        </w:trPr>
        <w:tc>
          <w:tcPr>
            <w:tcW w:w="0" w:type="dxa"/>
            <w:shd w:val="clear" w:color="auto" w:fill="DBE5F1"/>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2023</w:t>
            </w:r>
          </w:p>
        </w:tc>
        <w:tc>
          <w:tcPr>
            <w:tcW w:w="0" w:type="dxa"/>
            <w:shd w:val="clear" w:color="auto" w:fill="DBE5F1"/>
            <w:noWrap/>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87</w:t>
            </w:r>
          </w:p>
        </w:tc>
      </w:tr>
      <w:tr w:rsidTr="00AA5065">
        <w:tblPrEx>
          <w:tblW w:w="3860" w:type="dxa"/>
          <w:jc w:val="center"/>
          <w:tblLook w:val="04A0"/>
        </w:tblPrEx>
        <w:trPr>
          <w:trHeight w:hRule="exact" w:val="284"/>
          <w:jc w:val="center"/>
        </w:trPr>
        <w:tc>
          <w:tcPr>
            <w:tcW w:w="0" w:type="dxa"/>
            <w:shd w:val="clear" w:color="auto" w:fill="DBE5F1"/>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עד יולי 2024</w:t>
            </w:r>
          </w:p>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24</w:t>
            </w:r>
          </w:p>
        </w:tc>
        <w:tc>
          <w:tcPr>
            <w:tcW w:w="0"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41</w:t>
            </w:r>
          </w:p>
        </w:tc>
      </w:tr>
      <w:tr w:rsidTr="00AA5065">
        <w:tblPrEx>
          <w:tblW w:w="3860" w:type="dxa"/>
          <w:jc w:val="center"/>
          <w:tblLook w:val="04A0"/>
        </w:tblPrEx>
        <w:trPr>
          <w:trHeight w:hRule="exact" w:val="284"/>
          <w:jc w:val="center"/>
        </w:trPr>
        <w:tc>
          <w:tcPr>
            <w:tcW w:w="0" w:type="dxa"/>
            <w:shd w:val="clear" w:color="auto" w:fill="DBE5F1"/>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סה"כ</w:t>
            </w:r>
          </w:p>
        </w:tc>
        <w:tc>
          <w:tcPr>
            <w:tcW w:w="0" w:type="dxa"/>
            <w:shd w:val="clear" w:color="auto" w:fill="DBE5F1"/>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569</w:t>
            </w:r>
          </w:p>
        </w:tc>
      </w:tr>
    </w:tbl>
    <w:p w:rsidR="00AA5065" w:rsidRPr="00AA5065" w:rsidP="00860D89">
      <w:pPr>
        <w:spacing w:line="269" w:lineRule="auto"/>
        <w:jc w:val="left"/>
        <w:rPr>
          <w:rFonts w:eastAsia="Calibri"/>
          <w:szCs w:val="20"/>
          <w:rtl/>
        </w:rPr>
      </w:pPr>
      <w:r w:rsidRPr="00AA5065">
        <w:rPr>
          <w:rFonts w:eastAsia="Calibri" w:hint="eastAsia"/>
          <w:szCs w:val="20"/>
          <w:rtl/>
        </w:rPr>
        <w:t>על</w:t>
      </w:r>
      <w:r w:rsidRPr="00AA5065">
        <w:rPr>
          <w:rFonts w:eastAsia="Calibri"/>
          <w:szCs w:val="20"/>
          <w:rtl/>
        </w:rPr>
        <w:t xml:space="preserve"> </w:t>
      </w:r>
      <w:r w:rsidRPr="00AA5065">
        <w:rPr>
          <w:rFonts w:eastAsia="Calibri" w:hint="eastAsia"/>
          <w:szCs w:val="20"/>
          <w:rtl/>
        </w:rPr>
        <w:t>פי</w:t>
      </w:r>
      <w:r w:rsidRPr="00AA5065">
        <w:rPr>
          <w:rFonts w:eastAsia="Calibri"/>
          <w:szCs w:val="20"/>
          <w:rtl/>
        </w:rPr>
        <w:t xml:space="preserve"> </w:t>
      </w:r>
      <w:r w:rsidRPr="00AA5065">
        <w:rPr>
          <w:rFonts w:eastAsia="Calibri" w:hint="eastAsia"/>
          <w:szCs w:val="20"/>
          <w:rtl/>
        </w:rPr>
        <w:t>נתוני</w:t>
      </w:r>
      <w:r w:rsidRPr="00AA5065">
        <w:rPr>
          <w:rFonts w:eastAsia="Calibri"/>
          <w:szCs w:val="20"/>
          <w:rtl/>
        </w:rPr>
        <w:t xml:space="preserve"> חברת מקורות, </w:t>
      </w:r>
      <w:r w:rsidRPr="00AA5065">
        <w:rPr>
          <w:rFonts w:eastAsia="Calibri" w:hint="eastAsia"/>
          <w:szCs w:val="20"/>
          <w:rtl/>
        </w:rPr>
        <w:t>בעיבוד</w:t>
      </w:r>
      <w:r w:rsidRPr="00AA5065">
        <w:rPr>
          <w:rFonts w:eastAsia="Calibri"/>
          <w:szCs w:val="20"/>
          <w:rtl/>
        </w:rPr>
        <w:t xml:space="preserve"> </w:t>
      </w:r>
      <w:r w:rsidRPr="00AA5065">
        <w:rPr>
          <w:rFonts w:eastAsia="Calibri" w:hint="eastAsia"/>
          <w:szCs w:val="20"/>
          <w:rtl/>
        </w:rPr>
        <w:t>משרד</w:t>
      </w:r>
      <w:r w:rsidRPr="00AA5065">
        <w:rPr>
          <w:rFonts w:eastAsia="Calibri"/>
          <w:szCs w:val="20"/>
          <w:rtl/>
        </w:rPr>
        <w:t xml:space="preserve"> </w:t>
      </w:r>
      <w:r w:rsidRPr="00AA5065">
        <w:rPr>
          <w:rFonts w:eastAsia="Calibri" w:hint="eastAsia"/>
          <w:szCs w:val="20"/>
          <w:rtl/>
        </w:rPr>
        <w:t>מבקר</w:t>
      </w:r>
      <w:r w:rsidRPr="00AA5065">
        <w:rPr>
          <w:rFonts w:eastAsia="Calibri"/>
          <w:szCs w:val="20"/>
          <w:rtl/>
        </w:rPr>
        <w:t xml:space="preserve"> </w:t>
      </w:r>
      <w:r w:rsidRPr="00AA5065">
        <w:rPr>
          <w:rFonts w:eastAsia="Calibri" w:hint="eastAsia"/>
          <w:szCs w:val="20"/>
          <w:rtl/>
        </w:rPr>
        <w:t>המדינה</w:t>
      </w:r>
      <w:r w:rsidRPr="00AA5065">
        <w:rPr>
          <w:rFonts w:eastAsia="Calibri"/>
          <w:szCs w:val="20"/>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b/>
          <w:bCs/>
          <w:rtl/>
        </w:rPr>
        <w:t>מהלוח ניתן לראות כי מדובר במספר אירועים רב, בממוצע כ-103 אירועים מדי שנה, המסתכמים בתקופה מתחילת שנת 2019 ועד יולי 2024 ב-569 אירועים.</w:t>
      </w:r>
      <w:r w:rsidRPr="00AA5065">
        <w:rPr>
          <w:rFonts w:eastAsia="Calibri" w:hint="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 xml:space="preserve">בלוח </w:t>
      </w:r>
      <w:r w:rsidRPr="00AA5065">
        <w:rPr>
          <w:rFonts w:eastAsia="Calibri" w:hint="cs"/>
          <w:rtl/>
        </w:rPr>
        <w:t>19 ש</w:t>
      </w:r>
      <w:r w:rsidRPr="00AA5065">
        <w:rPr>
          <w:rFonts w:eastAsia="Calibri"/>
          <w:rtl/>
        </w:rPr>
        <w:t xml:space="preserve">להלן </w:t>
      </w:r>
      <w:r w:rsidRPr="00AA5065">
        <w:rPr>
          <w:rFonts w:eastAsia="Calibri" w:hint="cs"/>
          <w:rtl/>
        </w:rPr>
        <w:t>מוצגים</w:t>
      </w:r>
      <w:r w:rsidRPr="00AA5065">
        <w:rPr>
          <w:rFonts w:eastAsia="Calibri"/>
          <w:rtl/>
        </w:rPr>
        <w:t xml:space="preserve"> נתונים </w:t>
      </w:r>
      <w:r w:rsidRPr="00AA5065">
        <w:rPr>
          <w:rFonts w:eastAsia="Calibri" w:hint="cs"/>
          <w:rtl/>
        </w:rPr>
        <w:t xml:space="preserve">על </w:t>
      </w:r>
      <w:r w:rsidRPr="00AA5065">
        <w:rPr>
          <w:rFonts w:eastAsia="Calibri"/>
          <w:rtl/>
        </w:rPr>
        <w:t xml:space="preserve">מקרים בולטים מבין </w:t>
      </w:r>
      <w:r w:rsidRPr="00AA5065">
        <w:rPr>
          <w:rFonts w:eastAsia="Calibri" w:hint="cs"/>
          <w:rtl/>
        </w:rPr>
        <w:t xml:space="preserve">569 </w:t>
      </w:r>
      <w:r w:rsidRPr="00AA5065">
        <w:rPr>
          <w:rFonts w:eastAsia="Calibri"/>
          <w:rtl/>
        </w:rPr>
        <w:t xml:space="preserve">האירועים </w:t>
      </w:r>
      <w:r w:rsidRPr="00AA5065">
        <w:rPr>
          <w:rFonts w:eastAsia="Calibri" w:hint="cs"/>
          <w:rtl/>
        </w:rPr>
        <w:t>ש</w:t>
      </w:r>
      <w:r w:rsidRPr="00AA5065">
        <w:rPr>
          <w:rFonts w:eastAsia="Calibri"/>
          <w:rtl/>
        </w:rPr>
        <w:t>לעיל, כולל אומדן הנזק מהפגיעה ברכוש</w:t>
      </w:r>
      <w:r w:rsidRPr="00AA5065">
        <w:rPr>
          <w:rFonts w:eastAsia="Calibri" w:hint="cs"/>
          <w:rtl/>
        </w:rPr>
        <w:t>.</w:t>
      </w:r>
    </w:p>
    <w:p w:rsidR="00AA5065" w:rsidRPr="00AA5065" w:rsidP="00860D89">
      <w:pPr>
        <w:spacing w:line="269" w:lineRule="auto"/>
        <w:ind w:left="-567"/>
        <w:rPr>
          <w:rFonts w:eastAsia="Calibri"/>
          <w:szCs w:val="20"/>
          <w:rtl/>
        </w:rPr>
      </w:pPr>
    </w:p>
    <w:p w:rsidR="00AA5065" w:rsidRPr="00AA5065" w:rsidP="00AE73D8">
      <w:pPr>
        <w:keepNext/>
        <w:keepLines/>
        <w:spacing w:line="269" w:lineRule="auto"/>
        <w:jc w:val="center"/>
        <w:rPr>
          <w:rFonts w:eastAsia="Calibri"/>
          <w:b/>
          <w:bCs/>
          <w:rtl/>
        </w:rPr>
      </w:pPr>
      <w:r w:rsidRPr="00AA5065">
        <w:rPr>
          <w:rFonts w:eastAsia="Times New Roman" w:hint="cs"/>
          <w:rtl/>
          <w:lang w:eastAsia="he-IL"/>
        </w:rPr>
        <w:t>לוח 19</w:t>
      </w:r>
      <w:r w:rsidRPr="00AA5065">
        <w:rPr>
          <w:rFonts w:eastAsia="Times New Roman"/>
          <w:rtl/>
          <w:lang w:eastAsia="he-IL"/>
        </w:rPr>
        <w:t>:</w:t>
      </w:r>
      <w:r w:rsidRPr="00AA5065">
        <w:rPr>
          <w:rFonts w:eastAsia="Times New Roman" w:hint="cs"/>
          <w:b/>
          <w:bCs/>
          <w:rtl/>
          <w:lang w:eastAsia="he-IL"/>
        </w:rPr>
        <w:t xml:space="preserve"> החבלות המרכזיות, ובכלל זה אומדן הנזק, במתקני חברת מקורות בצפון הנגב,</w:t>
      </w:r>
      <w:r w:rsidRPr="00AA5065">
        <w:rPr>
          <w:rFonts w:eastAsia="Calibri" w:hint="cs"/>
          <w:b/>
          <w:bCs/>
          <w:rtl/>
        </w:rPr>
        <w:t xml:space="preserve"> </w:t>
      </w:r>
      <w:r w:rsidRPr="00AA5065">
        <w:rPr>
          <w:rFonts w:eastAsia="Calibri"/>
          <w:b/>
          <w:bCs/>
          <w:rtl/>
        </w:rPr>
        <w:br/>
      </w:r>
      <w:r w:rsidRPr="00AA5065">
        <w:rPr>
          <w:rFonts w:eastAsia="Calibri" w:hint="cs"/>
          <w:b/>
          <w:bCs/>
          <w:rtl/>
        </w:rPr>
        <w:t>2019 - 2024</w:t>
      </w:r>
    </w:p>
    <w:tbl>
      <w:tblPr>
        <w:tblStyle w:val="5-11"/>
        <w:bidiVisual/>
        <w:tblW w:w="7644" w:type="dxa"/>
        <w:jc w:val="center"/>
        <w:tblLook w:val="04A0"/>
      </w:tblPr>
      <w:tblGrid>
        <w:gridCol w:w="573"/>
        <w:gridCol w:w="1671"/>
        <w:gridCol w:w="1939"/>
        <w:gridCol w:w="1825"/>
        <w:gridCol w:w="1636"/>
      </w:tblGrid>
      <w:tr w:rsidTr="00AF3FA8">
        <w:tblPrEx>
          <w:tblW w:w="7644" w:type="dxa"/>
          <w:jc w:val="center"/>
          <w:tblLook w:val="04A0"/>
        </w:tblPrEx>
        <w:trPr>
          <w:trHeight w:val="639"/>
          <w:tblHeader/>
          <w:jc w:val="center"/>
        </w:trPr>
        <w:tc>
          <w:tcPr>
            <w:tcW w:w="573" w:type="dxa"/>
            <w:noWrap/>
            <w:hideMark/>
          </w:tcPr>
          <w:p w:rsidR="00AA5065" w:rsidRPr="00AA5065" w:rsidP="00860D89">
            <w:pPr>
              <w:bidi w:val="0"/>
              <w:spacing w:line="269" w:lineRule="auto"/>
              <w:jc w:val="center"/>
              <w:rPr>
                <w:rFonts w:ascii="David" w:eastAsia="Calibri" w:hAnsi="David"/>
                <w:color w:val="000000"/>
                <w:sz w:val="22"/>
                <w:szCs w:val="22"/>
              </w:rPr>
            </w:pPr>
          </w:p>
        </w:tc>
        <w:tc>
          <w:tcPr>
            <w:tcW w:w="1671"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w:t>
            </w:r>
            <w:r w:rsidRPr="00AA5065">
              <w:rPr>
                <w:rFonts w:ascii="David" w:eastAsia="Calibri" w:hAnsi="David" w:hint="eastAsia"/>
                <w:color w:val="000000"/>
                <w:sz w:val="22"/>
                <w:szCs w:val="22"/>
                <w:rtl/>
              </w:rPr>
              <w:t>תאריך</w:t>
            </w:r>
          </w:p>
        </w:tc>
        <w:tc>
          <w:tcPr>
            <w:tcW w:w="1939"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eastAsia"/>
                <w:color w:val="000000"/>
                <w:sz w:val="22"/>
                <w:szCs w:val="22"/>
                <w:rtl/>
              </w:rPr>
              <w:t>שם</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המתקן</w:t>
            </w:r>
            <w:r w:rsidRPr="00AA5065">
              <w:rPr>
                <w:rFonts w:ascii="David" w:eastAsia="Calibri" w:hAnsi="David"/>
                <w:color w:val="000000"/>
                <w:sz w:val="22"/>
                <w:szCs w:val="22"/>
                <w:rtl/>
              </w:rPr>
              <w:t>/קו</w:t>
            </w:r>
          </w:p>
        </w:tc>
        <w:tc>
          <w:tcPr>
            <w:tcW w:w="1825"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eastAsia"/>
                <w:color w:val="000000"/>
                <w:sz w:val="22"/>
                <w:szCs w:val="22"/>
                <w:rtl/>
              </w:rPr>
              <w:t>ת</w:t>
            </w:r>
            <w:r w:rsidRPr="00AA5065">
              <w:rPr>
                <w:rFonts w:ascii="David" w:eastAsia="Calibri" w:hAnsi="David" w:hint="cs"/>
                <w:color w:val="000000"/>
                <w:sz w:val="22"/>
                <w:szCs w:val="22"/>
                <w:rtl/>
              </w:rPr>
              <w:t>י</w:t>
            </w:r>
            <w:r w:rsidRPr="00AA5065">
              <w:rPr>
                <w:rFonts w:ascii="David" w:eastAsia="Calibri" w:hAnsi="David" w:hint="eastAsia"/>
                <w:color w:val="000000"/>
                <w:sz w:val="22"/>
                <w:szCs w:val="22"/>
                <w:rtl/>
              </w:rPr>
              <w:t>אור</w:t>
            </w:r>
            <w:r w:rsidRPr="00AA5065">
              <w:rPr>
                <w:rFonts w:ascii="David" w:eastAsia="Calibri" w:hAnsi="David"/>
                <w:color w:val="000000"/>
                <w:sz w:val="22"/>
                <w:szCs w:val="22"/>
                <w:rtl/>
              </w:rPr>
              <w:t xml:space="preserve"> החבלה</w:t>
            </w:r>
          </w:p>
        </w:tc>
        <w:tc>
          <w:tcPr>
            <w:tcW w:w="1636" w:type="dxa"/>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hint="eastAsia"/>
                <w:color w:val="000000"/>
                <w:sz w:val="22"/>
                <w:szCs w:val="22"/>
                <w:rtl/>
              </w:rPr>
              <w:t>הערכת</w:t>
            </w:r>
            <w:r w:rsidRPr="00AA5065">
              <w:rPr>
                <w:rFonts w:ascii="David" w:eastAsia="Calibri" w:hAnsi="David"/>
                <w:color w:val="000000"/>
                <w:sz w:val="22"/>
                <w:szCs w:val="22"/>
                <w:rtl/>
              </w:rPr>
              <w:t xml:space="preserve"> </w:t>
            </w:r>
            <w:r w:rsidRPr="00AA5065">
              <w:rPr>
                <w:rFonts w:ascii="David" w:eastAsia="Calibri" w:hAnsi="David" w:hint="cs"/>
                <w:color w:val="000000"/>
                <w:sz w:val="22"/>
                <w:szCs w:val="22"/>
                <w:rtl/>
              </w:rPr>
              <w:t>ה</w:t>
            </w:r>
            <w:r w:rsidRPr="00AA5065">
              <w:rPr>
                <w:rFonts w:ascii="David" w:eastAsia="Calibri" w:hAnsi="David" w:hint="eastAsia"/>
                <w:color w:val="000000"/>
                <w:sz w:val="22"/>
                <w:szCs w:val="22"/>
                <w:rtl/>
              </w:rPr>
              <w:t>עלות</w:t>
            </w:r>
            <w:r w:rsidRPr="00AA5065">
              <w:rPr>
                <w:rFonts w:ascii="David" w:eastAsia="Calibri" w:hAnsi="David"/>
                <w:color w:val="000000"/>
                <w:sz w:val="22"/>
                <w:szCs w:val="22"/>
                <w:rtl/>
              </w:rPr>
              <w:t xml:space="preserve"> </w:t>
            </w:r>
            <w:r w:rsidRPr="00AA5065">
              <w:rPr>
                <w:rFonts w:ascii="David" w:eastAsia="Calibri" w:hAnsi="David" w:hint="cs"/>
                <w:color w:val="000000"/>
                <w:sz w:val="22"/>
                <w:szCs w:val="22"/>
                <w:rtl/>
              </w:rPr>
              <w:t>ה</w:t>
            </w:r>
            <w:r w:rsidRPr="00AA5065">
              <w:rPr>
                <w:rFonts w:ascii="David" w:eastAsia="Calibri" w:hAnsi="David" w:hint="eastAsia"/>
                <w:color w:val="000000"/>
                <w:sz w:val="22"/>
                <w:szCs w:val="22"/>
                <w:rtl/>
              </w:rPr>
              <w:t>כספית</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בש</w:t>
            </w:r>
            <w:r w:rsidRPr="00AA5065">
              <w:rPr>
                <w:rFonts w:ascii="David" w:eastAsia="Calibri" w:hAnsi="David"/>
                <w:color w:val="000000"/>
                <w:sz w:val="22"/>
                <w:szCs w:val="22"/>
                <w:rtl/>
              </w:rPr>
              <w:t>"ח</w:t>
            </w:r>
          </w:p>
        </w:tc>
      </w:tr>
      <w:tr w:rsidTr="00AA5065">
        <w:tblPrEx>
          <w:tblW w:w="7644" w:type="dxa"/>
          <w:jc w:val="center"/>
          <w:tblLook w:val="04A0"/>
        </w:tblPrEx>
        <w:trPr>
          <w:trHeight w:val="570"/>
          <w:jc w:val="center"/>
        </w:trPr>
        <w:tc>
          <w:tcPr>
            <w:tcW w:w="573"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color w:val="000000"/>
                <w:sz w:val="22"/>
                <w:szCs w:val="22"/>
              </w:rPr>
              <w:t>1</w:t>
            </w:r>
          </w:p>
        </w:tc>
        <w:tc>
          <w:tcPr>
            <w:tcW w:w="167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29.3.19</w:t>
            </w:r>
          </w:p>
        </w:tc>
        <w:tc>
          <w:tcPr>
            <w:tcW w:w="1939" w:type="dxa"/>
            <w:noWrap/>
            <w:hideMark/>
          </w:tcPr>
          <w:p w:rsidR="00AA5065" w:rsidRPr="00AA5065" w:rsidP="00860D89">
            <w:pPr>
              <w:spacing w:line="269" w:lineRule="auto"/>
              <w:rPr>
                <w:rFonts w:ascii="David" w:eastAsia="Calibri" w:hAnsi="David"/>
                <w:color w:val="000000"/>
                <w:sz w:val="22"/>
                <w:szCs w:val="22"/>
              </w:rPr>
            </w:pPr>
            <w:r w:rsidRPr="00AA5065">
              <w:rPr>
                <w:rFonts w:ascii="David" w:eastAsia="Calibri" w:hAnsi="David" w:hint="cs"/>
                <w:color w:val="000000"/>
                <w:sz w:val="22"/>
                <w:szCs w:val="22"/>
                <w:rtl/>
              </w:rPr>
              <w:t>מרכז ה</w:t>
            </w:r>
            <w:r w:rsidRPr="00AA5065">
              <w:rPr>
                <w:rFonts w:ascii="David" w:eastAsia="Calibri" w:hAnsi="David" w:hint="eastAsia"/>
                <w:color w:val="000000"/>
                <w:sz w:val="22"/>
                <w:szCs w:val="22"/>
                <w:rtl/>
              </w:rPr>
              <w:t>נגב</w:t>
            </w:r>
          </w:p>
        </w:tc>
        <w:tc>
          <w:tcPr>
            <w:tcW w:w="1825" w:type="dxa"/>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eastAsia"/>
                <w:color w:val="000000"/>
                <w:sz w:val="22"/>
                <w:szCs w:val="22"/>
                <w:rtl/>
              </w:rPr>
              <w:t>נגנב</w:t>
            </w:r>
            <w:r w:rsidRPr="00AA5065">
              <w:rPr>
                <w:rFonts w:ascii="David" w:eastAsia="Calibri" w:hAnsi="David"/>
                <w:color w:val="000000"/>
                <w:sz w:val="22"/>
                <w:szCs w:val="22"/>
                <w:rtl/>
              </w:rPr>
              <w:t xml:space="preserve"> רכב מסוג טויוטה </w:t>
            </w:r>
            <w:r w:rsidRPr="00AA5065">
              <w:rPr>
                <w:rFonts w:ascii="David" w:eastAsia="Calibri" w:hAnsi="David" w:hint="eastAsia"/>
                <w:color w:val="000000"/>
                <w:sz w:val="22"/>
                <w:szCs w:val="22"/>
                <w:rtl/>
              </w:rPr>
              <w:t>היילקס</w:t>
            </w:r>
            <w:r w:rsidRPr="00AA5065">
              <w:rPr>
                <w:rFonts w:ascii="David" w:eastAsia="Calibri" w:hAnsi="David"/>
                <w:color w:val="000000"/>
                <w:sz w:val="22"/>
                <w:szCs w:val="22"/>
                <w:rtl/>
              </w:rPr>
              <w:t xml:space="preserve"> מביתו של עובד. הוגשה תלונה במשטרה</w:t>
            </w:r>
            <w:r w:rsidRPr="00AA5065">
              <w:rPr>
                <w:rFonts w:ascii="David" w:eastAsia="Calibri" w:hAnsi="David" w:hint="cs"/>
                <w:color w:val="000000"/>
                <w:sz w:val="22"/>
                <w:szCs w:val="22"/>
                <w:rtl/>
              </w:rPr>
              <w:t>.</w:t>
            </w:r>
          </w:p>
        </w:tc>
        <w:tc>
          <w:tcPr>
            <w:tcW w:w="163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113,700</w:t>
            </w:r>
          </w:p>
        </w:tc>
      </w:tr>
      <w:tr w:rsidTr="00AA5065">
        <w:tblPrEx>
          <w:tblW w:w="7644" w:type="dxa"/>
          <w:jc w:val="center"/>
          <w:tblLook w:val="04A0"/>
        </w:tblPrEx>
        <w:trPr>
          <w:trHeight w:val="570"/>
          <w:jc w:val="center"/>
        </w:trPr>
        <w:tc>
          <w:tcPr>
            <w:tcW w:w="57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2</w:t>
            </w:r>
          </w:p>
        </w:tc>
        <w:tc>
          <w:tcPr>
            <w:tcW w:w="167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29.7.21</w:t>
            </w:r>
          </w:p>
        </w:tc>
        <w:tc>
          <w:tcPr>
            <w:tcW w:w="1939" w:type="dxa"/>
            <w:noWrap/>
            <w:hideMark/>
          </w:tcPr>
          <w:p w:rsidR="00AA5065" w:rsidRPr="00AA5065" w:rsidP="00860D89">
            <w:pPr>
              <w:spacing w:line="269" w:lineRule="auto"/>
              <w:rPr>
                <w:rFonts w:ascii="David" w:eastAsia="Calibri" w:hAnsi="David"/>
                <w:color w:val="000000"/>
                <w:sz w:val="22"/>
                <w:szCs w:val="22"/>
              </w:rPr>
            </w:pPr>
            <w:r w:rsidRPr="00AA5065">
              <w:rPr>
                <w:rFonts w:ascii="David" w:eastAsia="Calibri" w:hAnsi="David" w:hint="eastAsia"/>
                <w:color w:val="000000"/>
                <w:sz w:val="22"/>
                <w:szCs w:val="22"/>
                <w:rtl/>
              </w:rPr>
              <w:t>ק</w:t>
            </w:r>
            <w:r w:rsidRPr="00AA5065">
              <w:rPr>
                <w:rFonts w:ascii="David" w:eastAsia="Calibri" w:hAnsi="David" w:hint="cs"/>
                <w:color w:val="000000"/>
                <w:sz w:val="22"/>
                <w:szCs w:val="22"/>
                <w:rtl/>
              </w:rPr>
              <w:t>י</w:t>
            </w:r>
            <w:r w:rsidRPr="00AA5065">
              <w:rPr>
                <w:rFonts w:ascii="David" w:eastAsia="Calibri" w:hAnsi="David" w:hint="eastAsia"/>
                <w:color w:val="000000"/>
                <w:sz w:val="22"/>
                <w:szCs w:val="22"/>
                <w:rtl/>
              </w:rPr>
              <w:t>דוח</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מכתש</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קטן</w:t>
            </w:r>
            <w:r w:rsidRPr="00AA5065">
              <w:rPr>
                <w:rFonts w:ascii="David" w:eastAsia="Calibri" w:hAnsi="David"/>
                <w:color w:val="000000"/>
                <w:sz w:val="22"/>
                <w:szCs w:val="22"/>
                <w:rtl/>
              </w:rPr>
              <w:t xml:space="preserve"> 4</w:t>
            </w:r>
          </w:p>
        </w:tc>
        <w:tc>
          <w:tcPr>
            <w:tcW w:w="1825" w:type="dxa"/>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 xml:space="preserve">אירעה </w:t>
            </w:r>
            <w:r w:rsidRPr="00AA5065">
              <w:rPr>
                <w:rFonts w:ascii="David" w:eastAsia="Calibri" w:hAnsi="David" w:hint="eastAsia"/>
                <w:color w:val="000000"/>
                <w:sz w:val="22"/>
                <w:szCs w:val="22"/>
                <w:rtl/>
              </w:rPr>
              <w:t>פריצה</w:t>
            </w:r>
            <w:r w:rsidRPr="00AA5065">
              <w:rPr>
                <w:rFonts w:ascii="David" w:eastAsia="Calibri" w:hAnsi="David"/>
                <w:color w:val="000000"/>
                <w:sz w:val="22"/>
                <w:szCs w:val="22"/>
                <w:rtl/>
              </w:rPr>
              <w:t xml:space="preserve"> לחדר חשמל ו</w:t>
            </w:r>
            <w:r w:rsidRPr="00AA5065">
              <w:rPr>
                <w:rFonts w:ascii="David" w:eastAsia="Calibri" w:hAnsi="David" w:hint="cs"/>
                <w:color w:val="000000"/>
                <w:sz w:val="22"/>
                <w:szCs w:val="22"/>
                <w:rtl/>
              </w:rPr>
              <w:t xml:space="preserve">נגרמה </w:t>
            </w:r>
            <w:r w:rsidRPr="00AA5065">
              <w:rPr>
                <w:rFonts w:ascii="David" w:eastAsia="Calibri" w:hAnsi="David"/>
                <w:color w:val="000000"/>
                <w:sz w:val="22"/>
                <w:szCs w:val="22"/>
                <w:rtl/>
              </w:rPr>
              <w:t xml:space="preserve">חבלה </w:t>
            </w:r>
            <w:r w:rsidRPr="00AA5065">
              <w:rPr>
                <w:rFonts w:ascii="David" w:eastAsia="Calibri" w:hAnsi="David" w:hint="cs"/>
                <w:color w:val="000000"/>
                <w:sz w:val="22"/>
                <w:szCs w:val="22"/>
                <w:rtl/>
              </w:rPr>
              <w:t>ל</w:t>
            </w:r>
            <w:r w:rsidRPr="00AA5065">
              <w:rPr>
                <w:rFonts w:ascii="David" w:eastAsia="Calibri" w:hAnsi="David"/>
                <w:color w:val="000000"/>
                <w:sz w:val="22"/>
                <w:szCs w:val="22"/>
                <w:rtl/>
              </w:rPr>
              <w:t xml:space="preserve">לוח החשמל. נגנב שנאי של </w:t>
            </w:r>
            <w:r w:rsidRPr="00AA5065">
              <w:rPr>
                <w:rFonts w:ascii="David" w:eastAsia="Calibri" w:hAnsi="David" w:hint="eastAsia"/>
                <w:color w:val="000000"/>
                <w:sz w:val="22"/>
                <w:szCs w:val="22"/>
                <w:rtl/>
              </w:rPr>
              <w:t>חח</w:t>
            </w:r>
            <w:r w:rsidRPr="00AA5065">
              <w:rPr>
                <w:rFonts w:ascii="David" w:eastAsia="Calibri" w:hAnsi="David"/>
                <w:color w:val="000000"/>
                <w:sz w:val="22"/>
                <w:szCs w:val="22"/>
                <w:rtl/>
              </w:rPr>
              <w:t>"י.</w:t>
            </w:r>
          </w:p>
        </w:tc>
        <w:tc>
          <w:tcPr>
            <w:tcW w:w="163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100,000</w:t>
            </w:r>
          </w:p>
        </w:tc>
      </w:tr>
      <w:tr w:rsidTr="00AA5065">
        <w:tblPrEx>
          <w:tblW w:w="7644" w:type="dxa"/>
          <w:jc w:val="center"/>
          <w:tblLook w:val="04A0"/>
        </w:tblPrEx>
        <w:trPr>
          <w:trHeight w:val="1140"/>
          <w:jc w:val="center"/>
        </w:trPr>
        <w:tc>
          <w:tcPr>
            <w:tcW w:w="57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3</w:t>
            </w:r>
          </w:p>
        </w:tc>
        <w:tc>
          <w:tcPr>
            <w:tcW w:w="167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06.2.22</w:t>
            </w:r>
          </w:p>
        </w:tc>
        <w:tc>
          <w:tcPr>
            <w:tcW w:w="1939" w:type="dxa"/>
            <w:noWrap/>
            <w:hideMark/>
          </w:tcPr>
          <w:p w:rsidR="00AA5065" w:rsidRPr="00AA5065" w:rsidP="00860D89">
            <w:pPr>
              <w:spacing w:line="269" w:lineRule="auto"/>
              <w:rPr>
                <w:rFonts w:ascii="David" w:eastAsia="Calibri" w:hAnsi="David"/>
                <w:color w:val="000000"/>
                <w:sz w:val="22"/>
                <w:szCs w:val="22"/>
              </w:rPr>
            </w:pPr>
            <w:r w:rsidRPr="00AA5065">
              <w:rPr>
                <w:rFonts w:ascii="David" w:eastAsia="Calibri" w:hAnsi="David" w:hint="eastAsia"/>
                <w:color w:val="000000"/>
                <w:sz w:val="22"/>
                <w:szCs w:val="22"/>
                <w:rtl/>
              </w:rPr>
              <w:t>תחנת</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מכתש</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קטן</w:t>
            </w:r>
          </w:p>
        </w:tc>
        <w:tc>
          <w:tcPr>
            <w:tcW w:w="1825" w:type="dxa"/>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 xml:space="preserve">חצר השנאים פורקה כולל חיתוך הכבלים והנחושת. בתוך מבנה החשמל נגנבו כבלי החשמל בתעלות והכבלים של היחידות. </w:t>
            </w:r>
          </w:p>
        </w:tc>
        <w:tc>
          <w:tcPr>
            <w:tcW w:w="163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100,000</w:t>
            </w:r>
          </w:p>
        </w:tc>
      </w:tr>
      <w:tr w:rsidTr="00AA5065">
        <w:tblPrEx>
          <w:tblW w:w="7644" w:type="dxa"/>
          <w:jc w:val="center"/>
          <w:tblLook w:val="04A0"/>
        </w:tblPrEx>
        <w:trPr>
          <w:trHeight w:val="570"/>
          <w:jc w:val="center"/>
        </w:trPr>
        <w:tc>
          <w:tcPr>
            <w:tcW w:w="57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4</w:t>
            </w:r>
          </w:p>
        </w:tc>
        <w:tc>
          <w:tcPr>
            <w:tcW w:w="167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14.4.22</w:t>
            </w:r>
          </w:p>
        </w:tc>
        <w:tc>
          <w:tcPr>
            <w:tcW w:w="1939" w:type="dxa"/>
            <w:noWrap/>
            <w:hideMark/>
          </w:tcPr>
          <w:p w:rsidR="00AA5065" w:rsidRPr="00AA5065" w:rsidP="00860D89">
            <w:pPr>
              <w:spacing w:line="269" w:lineRule="auto"/>
              <w:rPr>
                <w:rFonts w:ascii="David" w:eastAsia="Calibri" w:hAnsi="David"/>
                <w:color w:val="000000"/>
                <w:sz w:val="22"/>
                <w:szCs w:val="22"/>
              </w:rPr>
            </w:pPr>
            <w:r w:rsidRPr="00AA5065">
              <w:rPr>
                <w:rFonts w:ascii="David" w:eastAsia="Calibri" w:hAnsi="David" w:hint="cs"/>
                <w:color w:val="000000"/>
                <w:sz w:val="22"/>
                <w:szCs w:val="22"/>
                <w:rtl/>
              </w:rPr>
              <w:t>צפון ה</w:t>
            </w:r>
            <w:r w:rsidRPr="00AA5065">
              <w:rPr>
                <w:rFonts w:ascii="David" w:eastAsia="Calibri" w:hAnsi="David" w:hint="eastAsia"/>
                <w:color w:val="000000"/>
                <w:sz w:val="22"/>
                <w:szCs w:val="22"/>
                <w:rtl/>
              </w:rPr>
              <w:t>נגב</w:t>
            </w:r>
            <w:r w:rsidRPr="00AA5065">
              <w:rPr>
                <w:rFonts w:ascii="David" w:eastAsia="Calibri" w:hAnsi="David"/>
                <w:color w:val="000000"/>
                <w:sz w:val="22"/>
                <w:szCs w:val="22"/>
                <w:rtl/>
              </w:rPr>
              <w:t xml:space="preserve"> </w:t>
            </w:r>
          </w:p>
        </w:tc>
        <w:tc>
          <w:tcPr>
            <w:tcW w:w="1825" w:type="dxa"/>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eastAsia"/>
                <w:color w:val="000000"/>
                <w:sz w:val="22"/>
                <w:szCs w:val="22"/>
                <w:rtl/>
              </w:rPr>
              <w:t>נגנב</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טנדר</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טויוטה</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הוגשה</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תלונה</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במשטרה</w:t>
            </w:r>
            <w:r w:rsidRPr="00AA5065">
              <w:rPr>
                <w:rFonts w:ascii="David" w:eastAsia="Calibri" w:hAnsi="David" w:hint="cs"/>
                <w:color w:val="000000"/>
                <w:sz w:val="22"/>
                <w:szCs w:val="22"/>
                <w:rtl/>
              </w:rPr>
              <w:t>.</w:t>
            </w:r>
          </w:p>
        </w:tc>
        <w:tc>
          <w:tcPr>
            <w:tcW w:w="163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158,757</w:t>
            </w:r>
          </w:p>
        </w:tc>
      </w:tr>
      <w:tr w:rsidTr="00AA5065">
        <w:tblPrEx>
          <w:tblW w:w="7644" w:type="dxa"/>
          <w:jc w:val="center"/>
          <w:tblLook w:val="04A0"/>
        </w:tblPrEx>
        <w:trPr>
          <w:trHeight w:val="285"/>
          <w:jc w:val="center"/>
        </w:trPr>
        <w:tc>
          <w:tcPr>
            <w:tcW w:w="57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5</w:t>
            </w:r>
          </w:p>
        </w:tc>
        <w:tc>
          <w:tcPr>
            <w:tcW w:w="167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10.6.22</w:t>
            </w:r>
          </w:p>
        </w:tc>
        <w:tc>
          <w:tcPr>
            <w:tcW w:w="1939" w:type="dxa"/>
            <w:noWrap/>
            <w:hideMark/>
          </w:tcPr>
          <w:p w:rsidR="00AA5065" w:rsidRPr="00AA5065" w:rsidP="00860D89">
            <w:pPr>
              <w:spacing w:line="269" w:lineRule="auto"/>
              <w:rPr>
                <w:rFonts w:ascii="David" w:eastAsia="Calibri" w:hAnsi="David"/>
                <w:color w:val="000000"/>
                <w:sz w:val="22"/>
                <w:szCs w:val="22"/>
              </w:rPr>
            </w:pPr>
            <w:r w:rsidRPr="00AA5065">
              <w:rPr>
                <w:rFonts w:ascii="David" w:eastAsia="Calibri" w:hAnsi="David" w:hint="cs"/>
                <w:color w:val="000000"/>
                <w:sz w:val="22"/>
                <w:szCs w:val="22"/>
                <w:rtl/>
              </w:rPr>
              <w:t xml:space="preserve">צפון </w:t>
            </w:r>
            <w:r w:rsidRPr="00AA5065">
              <w:rPr>
                <w:rFonts w:ascii="David" w:eastAsia="Calibri" w:hAnsi="David" w:hint="eastAsia"/>
                <w:color w:val="000000"/>
                <w:sz w:val="22"/>
                <w:szCs w:val="22"/>
                <w:rtl/>
              </w:rPr>
              <w:t>נגב</w:t>
            </w:r>
            <w:r w:rsidRPr="00AA5065">
              <w:rPr>
                <w:rFonts w:ascii="David" w:eastAsia="Calibri" w:hAnsi="David"/>
                <w:color w:val="000000"/>
                <w:sz w:val="22"/>
                <w:szCs w:val="22"/>
                <w:rtl/>
              </w:rPr>
              <w:t xml:space="preserve"> </w:t>
            </w:r>
          </w:p>
        </w:tc>
        <w:tc>
          <w:tcPr>
            <w:tcW w:w="1825" w:type="dxa"/>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eastAsia"/>
                <w:color w:val="000000"/>
                <w:sz w:val="22"/>
                <w:szCs w:val="22"/>
                <w:rtl/>
              </w:rPr>
              <w:t>נגנב</w:t>
            </w:r>
            <w:r w:rsidRPr="00AA5065">
              <w:rPr>
                <w:rFonts w:ascii="David" w:eastAsia="Calibri" w:hAnsi="David"/>
                <w:color w:val="000000"/>
                <w:sz w:val="22"/>
                <w:szCs w:val="22"/>
                <w:rtl/>
              </w:rPr>
              <w:t xml:space="preserve"> טנדר טויוטה </w:t>
            </w:r>
            <w:r w:rsidRPr="00AA5065">
              <w:rPr>
                <w:rFonts w:ascii="David" w:eastAsia="Calibri" w:hAnsi="David" w:hint="eastAsia"/>
                <w:color w:val="000000"/>
                <w:sz w:val="22"/>
                <w:szCs w:val="22"/>
                <w:rtl/>
              </w:rPr>
              <w:t>היילקס</w:t>
            </w:r>
            <w:r w:rsidRPr="00AA5065">
              <w:rPr>
                <w:rFonts w:ascii="David" w:eastAsia="Calibri" w:hAnsi="David" w:hint="cs"/>
                <w:color w:val="000000"/>
                <w:sz w:val="22"/>
                <w:szCs w:val="22"/>
                <w:rtl/>
              </w:rPr>
              <w:t>.</w:t>
            </w:r>
          </w:p>
        </w:tc>
        <w:tc>
          <w:tcPr>
            <w:tcW w:w="163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186,000</w:t>
            </w:r>
          </w:p>
        </w:tc>
      </w:tr>
      <w:tr w:rsidTr="00AA5065">
        <w:tblPrEx>
          <w:tblW w:w="7644" w:type="dxa"/>
          <w:jc w:val="center"/>
          <w:tblLook w:val="04A0"/>
        </w:tblPrEx>
        <w:trPr>
          <w:trHeight w:val="285"/>
          <w:jc w:val="center"/>
        </w:trPr>
        <w:tc>
          <w:tcPr>
            <w:tcW w:w="57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6</w:t>
            </w:r>
          </w:p>
        </w:tc>
        <w:tc>
          <w:tcPr>
            <w:tcW w:w="167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14.7.22</w:t>
            </w:r>
          </w:p>
        </w:tc>
        <w:tc>
          <w:tcPr>
            <w:tcW w:w="1939" w:type="dxa"/>
            <w:noWrap/>
            <w:hideMark/>
          </w:tcPr>
          <w:p w:rsidR="00AA5065" w:rsidRPr="00AA5065" w:rsidP="00860D89">
            <w:pPr>
              <w:spacing w:line="269" w:lineRule="auto"/>
              <w:rPr>
                <w:rFonts w:ascii="David" w:eastAsia="Calibri" w:hAnsi="David"/>
                <w:color w:val="000000"/>
                <w:sz w:val="22"/>
                <w:szCs w:val="22"/>
              </w:rPr>
            </w:pPr>
            <w:r w:rsidRPr="00AA5065">
              <w:rPr>
                <w:rFonts w:ascii="David" w:eastAsia="Calibri" w:hAnsi="David" w:hint="cs"/>
                <w:color w:val="000000"/>
                <w:sz w:val="22"/>
                <w:szCs w:val="22"/>
                <w:rtl/>
              </w:rPr>
              <w:t>מרכז ה</w:t>
            </w:r>
            <w:r w:rsidRPr="00AA5065">
              <w:rPr>
                <w:rFonts w:ascii="David" w:eastAsia="Calibri" w:hAnsi="David" w:hint="eastAsia"/>
                <w:color w:val="000000"/>
                <w:sz w:val="22"/>
                <w:szCs w:val="22"/>
                <w:rtl/>
              </w:rPr>
              <w:t>נגב</w:t>
            </w:r>
            <w:r w:rsidRPr="00AA5065">
              <w:rPr>
                <w:rFonts w:ascii="David" w:eastAsia="Calibri" w:hAnsi="David"/>
                <w:color w:val="000000"/>
                <w:sz w:val="22"/>
                <w:szCs w:val="22"/>
                <w:rtl/>
              </w:rPr>
              <w:t xml:space="preserve"> </w:t>
            </w:r>
          </w:p>
        </w:tc>
        <w:tc>
          <w:tcPr>
            <w:tcW w:w="1825" w:type="dxa"/>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eastAsia"/>
                <w:color w:val="000000"/>
                <w:sz w:val="22"/>
                <w:szCs w:val="22"/>
                <w:rtl/>
              </w:rPr>
              <w:t>נגנב</w:t>
            </w:r>
            <w:r w:rsidRPr="00AA5065">
              <w:rPr>
                <w:rFonts w:ascii="David" w:eastAsia="Calibri" w:hAnsi="David"/>
                <w:color w:val="000000"/>
                <w:sz w:val="22"/>
                <w:szCs w:val="22"/>
                <w:rtl/>
              </w:rPr>
              <w:t xml:space="preserve"> טנדר טויוטה </w:t>
            </w:r>
            <w:r w:rsidRPr="00AA5065">
              <w:rPr>
                <w:rFonts w:ascii="David" w:eastAsia="Calibri" w:hAnsi="David" w:hint="eastAsia"/>
                <w:color w:val="000000"/>
                <w:sz w:val="22"/>
                <w:szCs w:val="22"/>
                <w:rtl/>
              </w:rPr>
              <w:t>היילקס</w:t>
            </w:r>
            <w:r w:rsidRPr="00AA5065">
              <w:rPr>
                <w:rFonts w:ascii="David" w:eastAsia="Calibri" w:hAnsi="David" w:hint="cs"/>
                <w:color w:val="000000"/>
                <w:sz w:val="22"/>
                <w:szCs w:val="22"/>
                <w:rtl/>
              </w:rPr>
              <w:t>.</w:t>
            </w:r>
          </w:p>
        </w:tc>
        <w:tc>
          <w:tcPr>
            <w:tcW w:w="163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145,640</w:t>
            </w:r>
          </w:p>
        </w:tc>
      </w:tr>
      <w:tr w:rsidTr="00AA5065">
        <w:tblPrEx>
          <w:tblW w:w="7644" w:type="dxa"/>
          <w:jc w:val="center"/>
          <w:tblLook w:val="04A0"/>
        </w:tblPrEx>
        <w:trPr>
          <w:trHeight w:val="285"/>
          <w:jc w:val="center"/>
        </w:trPr>
        <w:tc>
          <w:tcPr>
            <w:tcW w:w="57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7</w:t>
            </w:r>
          </w:p>
        </w:tc>
        <w:tc>
          <w:tcPr>
            <w:tcW w:w="167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6.9.22</w:t>
            </w:r>
          </w:p>
        </w:tc>
        <w:tc>
          <w:tcPr>
            <w:tcW w:w="1939" w:type="dxa"/>
            <w:noWrap/>
            <w:hideMark/>
          </w:tcPr>
          <w:p w:rsidR="00AA5065" w:rsidRPr="00AA5065" w:rsidP="00860D89">
            <w:pPr>
              <w:spacing w:line="269" w:lineRule="auto"/>
              <w:rPr>
                <w:rFonts w:ascii="David" w:eastAsia="Calibri" w:hAnsi="David"/>
                <w:color w:val="000000"/>
                <w:sz w:val="22"/>
                <w:szCs w:val="22"/>
              </w:rPr>
            </w:pPr>
            <w:r w:rsidRPr="00AA5065">
              <w:rPr>
                <w:rFonts w:ascii="David" w:eastAsia="Calibri" w:hAnsi="David" w:hint="cs"/>
                <w:color w:val="000000"/>
                <w:sz w:val="22"/>
                <w:szCs w:val="22"/>
                <w:rtl/>
              </w:rPr>
              <w:t>מרכז ה</w:t>
            </w:r>
            <w:r w:rsidRPr="00AA5065">
              <w:rPr>
                <w:rFonts w:ascii="David" w:eastAsia="Calibri" w:hAnsi="David" w:hint="eastAsia"/>
                <w:color w:val="000000"/>
                <w:sz w:val="22"/>
                <w:szCs w:val="22"/>
                <w:rtl/>
              </w:rPr>
              <w:t>נגב</w:t>
            </w:r>
            <w:r w:rsidRPr="00AA5065">
              <w:rPr>
                <w:rFonts w:ascii="David" w:eastAsia="Calibri" w:hAnsi="David"/>
                <w:color w:val="000000"/>
                <w:sz w:val="22"/>
                <w:szCs w:val="22"/>
                <w:rtl/>
              </w:rPr>
              <w:t xml:space="preserve"> </w:t>
            </w:r>
          </w:p>
        </w:tc>
        <w:tc>
          <w:tcPr>
            <w:tcW w:w="1825" w:type="dxa"/>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eastAsia"/>
                <w:color w:val="000000"/>
                <w:sz w:val="22"/>
                <w:szCs w:val="22"/>
                <w:rtl/>
              </w:rPr>
              <w:t>נגנב</w:t>
            </w:r>
            <w:r w:rsidRPr="00AA5065">
              <w:rPr>
                <w:rFonts w:ascii="David" w:eastAsia="Calibri" w:hAnsi="David"/>
                <w:color w:val="000000"/>
                <w:sz w:val="22"/>
                <w:szCs w:val="22"/>
                <w:rtl/>
              </w:rPr>
              <w:t xml:space="preserve"> טנדר טויוטה </w:t>
            </w:r>
            <w:r w:rsidRPr="00AA5065">
              <w:rPr>
                <w:rFonts w:ascii="David" w:eastAsia="Calibri" w:hAnsi="David" w:hint="eastAsia"/>
                <w:color w:val="000000"/>
                <w:sz w:val="22"/>
                <w:szCs w:val="22"/>
                <w:rtl/>
              </w:rPr>
              <w:t>היילקס</w:t>
            </w:r>
            <w:r w:rsidRPr="00AA5065">
              <w:rPr>
                <w:rFonts w:ascii="David" w:eastAsia="Calibri" w:hAnsi="David" w:hint="cs"/>
                <w:color w:val="000000"/>
                <w:sz w:val="22"/>
                <w:szCs w:val="22"/>
                <w:rtl/>
              </w:rPr>
              <w:t>.</w:t>
            </w:r>
          </w:p>
        </w:tc>
        <w:tc>
          <w:tcPr>
            <w:tcW w:w="163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191,400</w:t>
            </w:r>
          </w:p>
        </w:tc>
      </w:tr>
      <w:tr w:rsidTr="00AA5065">
        <w:tblPrEx>
          <w:tblW w:w="7644" w:type="dxa"/>
          <w:jc w:val="center"/>
          <w:tblLook w:val="04A0"/>
        </w:tblPrEx>
        <w:trPr>
          <w:trHeight w:val="285"/>
          <w:jc w:val="center"/>
        </w:trPr>
        <w:tc>
          <w:tcPr>
            <w:tcW w:w="57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8</w:t>
            </w:r>
          </w:p>
        </w:tc>
        <w:tc>
          <w:tcPr>
            <w:tcW w:w="167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4.10.22</w:t>
            </w:r>
          </w:p>
        </w:tc>
        <w:tc>
          <w:tcPr>
            <w:tcW w:w="1939" w:type="dxa"/>
            <w:noWrap/>
            <w:hideMark/>
          </w:tcPr>
          <w:p w:rsidR="00AA5065" w:rsidRPr="00AA5065" w:rsidP="00860D89">
            <w:pPr>
              <w:spacing w:line="269" w:lineRule="auto"/>
              <w:rPr>
                <w:rFonts w:ascii="David" w:eastAsia="Calibri" w:hAnsi="David"/>
                <w:color w:val="000000"/>
                <w:sz w:val="22"/>
                <w:szCs w:val="22"/>
              </w:rPr>
            </w:pPr>
            <w:r w:rsidRPr="00AA5065">
              <w:rPr>
                <w:rFonts w:ascii="David" w:eastAsia="Calibri" w:hAnsi="David" w:hint="eastAsia"/>
                <w:color w:val="000000"/>
                <w:sz w:val="22"/>
                <w:szCs w:val="22"/>
                <w:rtl/>
              </w:rPr>
              <w:t>ק</w:t>
            </w:r>
            <w:r w:rsidRPr="00AA5065">
              <w:rPr>
                <w:rFonts w:ascii="David" w:eastAsia="Calibri" w:hAnsi="David" w:hint="cs"/>
                <w:color w:val="000000"/>
                <w:sz w:val="22"/>
                <w:szCs w:val="22"/>
                <w:rtl/>
              </w:rPr>
              <w:t>י</w:t>
            </w:r>
            <w:r w:rsidRPr="00AA5065">
              <w:rPr>
                <w:rFonts w:ascii="David" w:eastAsia="Calibri" w:hAnsi="David" w:hint="eastAsia"/>
                <w:color w:val="000000"/>
                <w:sz w:val="22"/>
                <w:szCs w:val="22"/>
                <w:rtl/>
              </w:rPr>
              <w:t>דוח</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ציקלג</w:t>
            </w:r>
            <w:r w:rsidRPr="00AA5065">
              <w:rPr>
                <w:rFonts w:ascii="David" w:eastAsia="Calibri" w:hAnsi="David"/>
                <w:color w:val="000000"/>
                <w:sz w:val="22"/>
                <w:szCs w:val="22"/>
                <w:rtl/>
              </w:rPr>
              <w:t xml:space="preserve"> 3</w:t>
            </w:r>
          </w:p>
        </w:tc>
        <w:tc>
          <w:tcPr>
            <w:tcW w:w="1825" w:type="dxa"/>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נ</w:t>
            </w:r>
            <w:r w:rsidRPr="00AA5065">
              <w:rPr>
                <w:rFonts w:ascii="David" w:eastAsia="Calibri" w:hAnsi="David" w:hint="eastAsia"/>
                <w:color w:val="000000"/>
                <w:sz w:val="22"/>
                <w:szCs w:val="22"/>
                <w:rtl/>
              </w:rPr>
              <w:t>גנ</w:t>
            </w:r>
            <w:r w:rsidRPr="00AA5065">
              <w:rPr>
                <w:rFonts w:ascii="David" w:eastAsia="Calibri" w:hAnsi="David" w:hint="cs"/>
                <w:color w:val="000000"/>
                <w:sz w:val="22"/>
                <w:szCs w:val="22"/>
                <w:rtl/>
              </w:rPr>
              <w:t>ב</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שנאי</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של</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מקורות</w:t>
            </w:r>
            <w:r w:rsidRPr="00AA5065">
              <w:rPr>
                <w:rFonts w:ascii="David" w:eastAsia="Calibri" w:hAnsi="David" w:hint="cs"/>
                <w:color w:val="000000"/>
                <w:sz w:val="22"/>
                <w:szCs w:val="22"/>
                <w:rtl/>
              </w:rPr>
              <w:t>.</w:t>
            </w:r>
          </w:p>
        </w:tc>
        <w:tc>
          <w:tcPr>
            <w:tcW w:w="163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100,000</w:t>
            </w:r>
          </w:p>
        </w:tc>
      </w:tr>
      <w:tr w:rsidTr="00AA5065">
        <w:tblPrEx>
          <w:tblW w:w="7644" w:type="dxa"/>
          <w:jc w:val="center"/>
          <w:tblLook w:val="04A0"/>
        </w:tblPrEx>
        <w:trPr>
          <w:trHeight w:val="285"/>
          <w:jc w:val="center"/>
        </w:trPr>
        <w:tc>
          <w:tcPr>
            <w:tcW w:w="57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9</w:t>
            </w:r>
          </w:p>
        </w:tc>
        <w:tc>
          <w:tcPr>
            <w:tcW w:w="167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3.1.23</w:t>
            </w:r>
          </w:p>
        </w:tc>
        <w:tc>
          <w:tcPr>
            <w:tcW w:w="1939" w:type="dxa"/>
            <w:noWrap/>
            <w:hideMark/>
          </w:tcPr>
          <w:p w:rsidR="00AA5065" w:rsidRPr="00AA5065" w:rsidP="00860D89">
            <w:pPr>
              <w:spacing w:line="269" w:lineRule="auto"/>
              <w:rPr>
                <w:rFonts w:ascii="David" w:eastAsia="Calibri" w:hAnsi="David"/>
                <w:color w:val="000000"/>
                <w:sz w:val="22"/>
                <w:szCs w:val="22"/>
              </w:rPr>
            </w:pPr>
            <w:r w:rsidRPr="00AA5065">
              <w:rPr>
                <w:rFonts w:ascii="David" w:eastAsia="Calibri" w:hAnsi="David" w:hint="cs"/>
                <w:color w:val="000000"/>
                <w:sz w:val="22"/>
                <w:szCs w:val="22"/>
                <w:rtl/>
              </w:rPr>
              <w:t>צפון ה</w:t>
            </w:r>
            <w:r w:rsidRPr="00AA5065">
              <w:rPr>
                <w:rFonts w:ascii="David" w:eastAsia="Calibri" w:hAnsi="David" w:hint="eastAsia"/>
                <w:color w:val="000000"/>
                <w:sz w:val="22"/>
                <w:szCs w:val="22"/>
                <w:rtl/>
              </w:rPr>
              <w:t>נגב</w:t>
            </w:r>
            <w:r w:rsidRPr="00AA5065">
              <w:rPr>
                <w:rFonts w:ascii="David" w:eastAsia="Calibri" w:hAnsi="David"/>
                <w:color w:val="000000"/>
                <w:sz w:val="22"/>
                <w:szCs w:val="22"/>
                <w:rtl/>
              </w:rPr>
              <w:t xml:space="preserve"> </w:t>
            </w:r>
          </w:p>
        </w:tc>
        <w:tc>
          <w:tcPr>
            <w:tcW w:w="1825" w:type="dxa"/>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eastAsia"/>
                <w:color w:val="000000"/>
                <w:sz w:val="22"/>
                <w:szCs w:val="22"/>
                <w:rtl/>
              </w:rPr>
              <w:t>נגנב</w:t>
            </w:r>
            <w:r w:rsidRPr="00AA5065">
              <w:rPr>
                <w:rFonts w:ascii="David" w:eastAsia="Calibri" w:hAnsi="David"/>
                <w:color w:val="000000"/>
                <w:sz w:val="22"/>
                <w:szCs w:val="22"/>
                <w:rtl/>
              </w:rPr>
              <w:t xml:space="preserve"> טנדר טויוטה </w:t>
            </w:r>
            <w:r w:rsidRPr="00AA5065">
              <w:rPr>
                <w:rFonts w:ascii="David" w:eastAsia="Calibri" w:hAnsi="David" w:hint="eastAsia"/>
                <w:color w:val="000000"/>
                <w:sz w:val="22"/>
                <w:szCs w:val="22"/>
                <w:rtl/>
              </w:rPr>
              <w:t>היילקס</w:t>
            </w:r>
            <w:r w:rsidRPr="00AA5065">
              <w:rPr>
                <w:rFonts w:ascii="David" w:eastAsia="Calibri" w:hAnsi="David" w:hint="cs"/>
                <w:color w:val="000000"/>
                <w:sz w:val="22"/>
                <w:szCs w:val="22"/>
                <w:rtl/>
              </w:rPr>
              <w:t>.</w:t>
            </w:r>
          </w:p>
        </w:tc>
        <w:tc>
          <w:tcPr>
            <w:tcW w:w="163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117,000</w:t>
            </w:r>
          </w:p>
        </w:tc>
      </w:tr>
      <w:tr w:rsidTr="00AA5065">
        <w:tblPrEx>
          <w:tblW w:w="7644" w:type="dxa"/>
          <w:jc w:val="center"/>
          <w:tblLook w:val="04A0"/>
        </w:tblPrEx>
        <w:trPr>
          <w:trHeight w:val="570"/>
          <w:jc w:val="center"/>
        </w:trPr>
        <w:tc>
          <w:tcPr>
            <w:tcW w:w="57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10</w:t>
            </w:r>
          </w:p>
        </w:tc>
        <w:tc>
          <w:tcPr>
            <w:tcW w:w="167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22.5.23</w:t>
            </w:r>
          </w:p>
        </w:tc>
        <w:tc>
          <w:tcPr>
            <w:tcW w:w="1939" w:type="dxa"/>
            <w:noWrap/>
            <w:hideMark/>
          </w:tcPr>
          <w:p w:rsidR="00AA5065" w:rsidRPr="00AA5065" w:rsidP="00860D89">
            <w:pPr>
              <w:spacing w:line="269" w:lineRule="auto"/>
              <w:rPr>
                <w:rFonts w:ascii="David" w:eastAsia="Calibri" w:hAnsi="David"/>
                <w:color w:val="000000"/>
                <w:sz w:val="22"/>
                <w:szCs w:val="22"/>
              </w:rPr>
            </w:pPr>
            <w:r w:rsidRPr="00AA5065">
              <w:rPr>
                <w:rFonts w:ascii="David" w:eastAsia="Calibri" w:hAnsi="David" w:hint="eastAsia"/>
                <w:color w:val="000000"/>
                <w:sz w:val="22"/>
                <w:szCs w:val="22"/>
                <w:rtl/>
              </w:rPr>
              <w:t>אפעה</w:t>
            </w:r>
            <w:r w:rsidRPr="00AA5065">
              <w:rPr>
                <w:rFonts w:ascii="David" w:eastAsia="Calibri" w:hAnsi="David"/>
                <w:color w:val="000000"/>
                <w:sz w:val="22"/>
                <w:szCs w:val="22"/>
                <w:rtl/>
              </w:rPr>
              <w:t xml:space="preserve"> 13</w:t>
            </w:r>
          </w:p>
        </w:tc>
        <w:tc>
          <w:tcPr>
            <w:tcW w:w="1825" w:type="dxa"/>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eastAsia"/>
                <w:color w:val="000000"/>
                <w:sz w:val="22"/>
                <w:szCs w:val="22"/>
                <w:rtl/>
              </w:rPr>
              <w:t>ה</w:t>
            </w:r>
            <w:r w:rsidRPr="00AA5065">
              <w:rPr>
                <w:rFonts w:ascii="David" w:eastAsia="Calibri" w:hAnsi="David" w:hint="cs"/>
                <w:color w:val="000000"/>
                <w:sz w:val="22"/>
                <w:szCs w:val="22"/>
                <w:rtl/>
              </w:rPr>
              <w:t>ו</w:t>
            </w:r>
            <w:r w:rsidRPr="00AA5065">
              <w:rPr>
                <w:rFonts w:ascii="David" w:eastAsia="Calibri" w:hAnsi="David" w:hint="eastAsia"/>
                <w:color w:val="000000"/>
                <w:sz w:val="22"/>
                <w:szCs w:val="22"/>
                <w:rtl/>
              </w:rPr>
              <w:t>צת</w:t>
            </w:r>
            <w:r w:rsidRPr="00AA5065">
              <w:rPr>
                <w:rFonts w:ascii="David" w:eastAsia="Calibri" w:hAnsi="David" w:hint="cs"/>
                <w:color w:val="000000"/>
                <w:sz w:val="22"/>
                <w:szCs w:val="22"/>
                <w:rtl/>
              </w:rPr>
              <w:t>ו</w:t>
            </w:r>
            <w:r w:rsidRPr="00AA5065">
              <w:rPr>
                <w:rFonts w:ascii="David" w:eastAsia="Calibri" w:hAnsi="David"/>
                <w:color w:val="000000"/>
                <w:sz w:val="22"/>
                <w:szCs w:val="22"/>
                <w:rtl/>
              </w:rPr>
              <w:t xml:space="preserve"> </w:t>
            </w:r>
            <w:r w:rsidRPr="00AA5065">
              <w:rPr>
                <w:rFonts w:ascii="David" w:eastAsia="Calibri" w:hAnsi="David" w:hint="cs"/>
                <w:color w:val="000000"/>
                <w:sz w:val="22"/>
                <w:szCs w:val="22"/>
                <w:rtl/>
              </w:rPr>
              <w:t>שני</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השנאים</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בתחנה</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הוגשה</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תלונה</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במשטרה</w:t>
            </w:r>
            <w:r w:rsidRPr="00AA5065">
              <w:rPr>
                <w:rFonts w:ascii="David" w:eastAsia="Calibri" w:hAnsi="David" w:hint="cs"/>
                <w:color w:val="000000"/>
                <w:sz w:val="22"/>
                <w:szCs w:val="22"/>
                <w:rtl/>
              </w:rPr>
              <w:t>.</w:t>
            </w:r>
          </w:p>
        </w:tc>
        <w:tc>
          <w:tcPr>
            <w:tcW w:w="163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250,000</w:t>
            </w:r>
          </w:p>
        </w:tc>
      </w:tr>
      <w:tr w:rsidTr="00AA5065">
        <w:tblPrEx>
          <w:tblW w:w="7644" w:type="dxa"/>
          <w:jc w:val="center"/>
          <w:tblLook w:val="04A0"/>
        </w:tblPrEx>
        <w:trPr>
          <w:trHeight w:val="285"/>
          <w:jc w:val="center"/>
        </w:trPr>
        <w:tc>
          <w:tcPr>
            <w:tcW w:w="57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1</w:t>
            </w:r>
            <w:r w:rsidRPr="00AA5065">
              <w:rPr>
                <w:rFonts w:ascii="David" w:eastAsia="Calibri" w:hAnsi="David" w:hint="cs"/>
                <w:color w:val="000000"/>
                <w:sz w:val="22"/>
                <w:szCs w:val="22"/>
                <w:rtl/>
              </w:rPr>
              <w:t>1</w:t>
            </w:r>
          </w:p>
        </w:tc>
        <w:tc>
          <w:tcPr>
            <w:tcW w:w="167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7.9.23</w:t>
            </w:r>
          </w:p>
        </w:tc>
        <w:tc>
          <w:tcPr>
            <w:tcW w:w="1939" w:type="dxa"/>
            <w:noWrap/>
            <w:hideMark/>
          </w:tcPr>
          <w:p w:rsidR="00AA5065" w:rsidRPr="00AA5065" w:rsidP="00860D89">
            <w:pPr>
              <w:spacing w:line="269" w:lineRule="auto"/>
              <w:rPr>
                <w:rFonts w:ascii="David" w:eastAsia="Calibri" w:hAnsi="David"/>
                <w:color w:val="000000"/>
                <w:sz w:val="22"/>
                <w:szCs w:val="22"/>
              </w:rPr>
            </w:pPr>
            <w:r w:rsidRPr="00AA5065">
              <w:rPr>
                <w:rFonts w:ascii="David" w:eastAsia="Calibri" w:hAnsi="David" w:hint="eastAsia"/>
                <w:color w:val="000000"/>
                <w:sz w:val="22"/>
                <w:szCs w:val="22"/>
                <w:rtl/>
              </w:rPr>
              <w:t>תחנת</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לכיש</w:t>
            </w:r>
          </w:p>
        </w:tc>
        <w:tc>
          <w:tcPr>
            <w:tcW w:w="1825" w:type="dxa"/>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נ</w:t>
            </w:r>
            <w:r w:rsidRPr="00AA5065">
              <w:rPr>
                <w:rFonts w:ascii="David" w:eastAsia="Calibri" w:hAnsi="David" w:hint="eastAsia"/>
                <w:color w:val="000000"/>
                <w:sz w:val="22"/>
                <w:szCs w:val="22"/>
                <w:rtl/>
              </w:rPr>
              <w:t>גנ</w:t>
            </w:r>
            <w:r w:rsidRPr="00AA5065">
              <w:rPr>
                <w:rFonts w:ascii="David" w:eastAsia="Calibri" w:hAnsi="David" w:hint="cs"/>
                <w:color w:val="000000"/>
                <w:sz w:val="22"/>
                <w:szCs w:val="22"/>
                <w:rtl/>
              </w:rPr>
              <w:t>בו</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כבלי</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חשמל</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מחצר</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השנאים</w:t>
            </w:r>
            <w:r w:rsidRPr="00AA5065">
              <w:rPr>
                <w:rFonts w:ascii="David" w:eastAsia="Calibri" w:hAnsi="David" w:hint="cs"/>
                <w:color w:val="000000"/>
                <w:sz w:val="22"/>
                <w:szCs w:val="22"/>
                <w:rtl/>
              </w:rPr>
              <w:t>.</w:t>
            </w:r>
          </w:p>
        </w:tc>
        <w:tc>
          <w:tcPr>
            <w:tcW w:w="163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120,000</w:t>
            </w:r>
          </w:p>
        </w:tc>
      </w:tr>
      <w:tr w:rsidTr="00AA5065">
        <w:tblPrEx>
          <w:tblW w:w="7644" w:type="dxa"/>
          <w:jc w:val="center"/>
          <w:tblLook w:val="04A0"/>
        </w:tblPrEx>
        <w:trPr>
          <w:trHeight w:val="570"/>
          <w:jc w:val="center"/>
        </w:trPr>
        <w:tc>
          <w:tcPr>
            <w:tcW w:w="57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1</w:t>
            </w:r>
            <w:r w:rsidRPr="00AA5065">
              <w:rPr>
                <w:rFonts w:ascii="David" w:eastAsia="Calibri" w:hAnsi="David" w:hint="cs"/>
                <w:color w:val="000000"/>
                <w:sz w:val="22"/>
                <w:szCs w:val="22"/>
                <w:rtl/>
              </w:rPr>
              <w:t>2</w:t>
            </w:r>
          </w:p>
        </w:tc>
        <w:tc>
          <w:tcPr>
            <w:tcW w:w="167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20.9.23</w:t>
            </w:r>
          </w:p>
        </w:tc>
        <w:tc>
          <w:tcPr>
            <w:tcW w:w="1939" w:type="dxa"/>
            <w:noWrap/>
            <w:hideMark/>
          </w:tcPr>
          <w:p w:rsidR="00AA5065" w:rsidRPr="00AA5065" w:rsidP="00860D89">
            <w:pPr>
              <w:spacing w:line="269" w:lineRule="auto"/>
              <w:rPr>
                <w:rFonts w:ascii="David" w:eastAsia="Calibri" w:hAnsi="David"/>
                <w:color w:val="000000"/>
                <w:sz w:val="22"/>
                <w:szCs w:val="22"/>
              </w:rPr>
            </w:pPr>
            <w:r w:rsidRPr="00AA5065">
              <w:rPr>
                <w:rFonts w:ascii="David" w:eastAsia="Calibri" w:hAnsi="David" w:hint="eastAsia"/>
                <w:color w:val="000000"/>
                <w:sz w:val="22"/>
                <w:szCs w:val="22"/>
                <w:rtl/>
              </w:rPr>
              <w:t>תחנת</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ניר</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עם</w:t>
            </w:r>
          </w:p>
        </w:tc>
        <w:tc>
          <w:tcPr>
            <w:tcW w:w="1825" w:type="dxa"/>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 xml:space="preserve">אירע </w:t>
            </w:r>
            <w:r w:rsidRPr="00AA5065">
              <w:rPr>
                <w:rFonts w:ascii="David" w:eastAsia="Calibri" w:hAnsi="David" w:hint="eastAsia"/>
                <w:color w:val="000000"/>
                <w:sz w:val="22"/>
                <w:szCs w:val="22"/>
                <w:rtl/>
              </w:rPr>
              <w:t>ניסיון</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לגניבת</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כבלי</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חשמל</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נגרם</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נזק</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לכבלים</w:t>
            </w:r>
            <w:r w:rsidRPr="00AA5065">
              <w:rPr>
                <w:rFonts w:ascii="David" w:eastAsia="Calibri" w:hAnsi="David"/>
                <w:color w:val="000000"/>
                <w:sz w:val="22"/>
                <w:szCs w:val="22"/>
                <w:rtl/>
              </w:rPr>
              <w:t>.</w:t>
            </w:r>
          </w:p>
        </w:tc>
        <w:tc>
          <w:tcPr>
            <w:tcW w:w="163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120,000</w:t>
            </w:r>
          </w:p>
        </w:tc>
      </w:tr>
      <w:tr w:rsidTr="00AA5065">
        <w:tblPrEx>
          <w:tblW w:w="7644" w:type="dxa"/>
          <w:jc w:val="center"/>
          <w:tblLook w:val="04A0"/>
        </w:tblPrEx>
        <w:trPr>
          <w:trHeight w:val="570"/>
          <w:jc w:val="center"/>
        </w:trPr>
        <w:tc>
          <w:tcPr>
            <w:tcW w:w="57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1</w:t>
            </w:r>
            <w:r w:rsidRPr="00AA5065">
              <w:rPr>
                <w:rFonts w:ascii="David" w:eastAsia="Calibri" w:hAnsi="David" w:hint="cs"/>
                <w:color w:val="000000"/>
                <w:sz w:val="22"/>
                <w:szCs w:val="22"/>
                <w:rtl/>
              </w:rPr>
              <w:t>3</w:t>
            </w:r>
          </w:p>
        </w:tc>
        <w:tc>
          <w:tcPr>
            <w:tcW w:w="167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12.11.23</w:t>
            </w:r>
          </w:p>
        </w:tc>
        <w:tc>
          <w:tcPr>
            <w:tcW w:w="1939" w:type="dxa"/>
            <w:noWrap/>
            <w:hideMark/>
          </w:tcPr>
          <w:p w:rsidR="00AA5065" w:rsidRPr="00AA5065" w:rsidP="00860D89">
            <w:pPr>
              <w:spacing w:line="269" w:lineRule="auto"/>
              <w:rPr>
                <w:rFonts w:ascii="David" w:eastAsia="Calibri" w:hAnsi="David"/>
                <w:color w:val="000000"/>
                <w:sz w:val="22"/>
                <w:szCs w:val="22"/>
              </w:rPr>
            </w:pPr>
            <w:r w:rsidRPr="00AA5065">
              <w:rPr>
                <w:rFonts w:ascii="David" w:eastAsia="Calibri" w:hAnsi="David" w:hint="eastAsia"/>
                <w:color w:val="000000"/>
                <w:sz w:val="22"/>
                <w:szCs w:val="22"/>
                <w:rtl/>
              </w:rPr>
              <w:t>ק</w:t>
            </w:r>
            <w:r w:rsidRPr="00AA5065">
              <w:rPr>
                <w:rFonts w:ascii="David" w:eastAsia="Calibri" w:hAnsi="David" w:hint="cs"/>
                <w:color w:val="000000"/>
                <w:sz w:val="22"/>
                <w:szCs w:val="22"/>
                <w:rtl/>
              </w:rPr>
              <w:t>י</w:t>
            </w:r>
            <w:r w:rsidRPr="00AA5065">
              <w:rPr>
                <w:rFonts w:ascii="David" w:eastAsia="Calibri" w:hAnsi="David" w:hint="eastAsia"/>
                <w:color w:val="000000"/>
                <w:sz w:val="22"/>
                <w:szCs w:val="22"/>
                <w:rtl/>
              </w:rPr>
              <w:t>דוח</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פארן</w:t>
            </w:r>
            <w:r w:rsidRPr="00AA5065">
              <w:rPr>
                <w:rFonts w:ascii="David" w:eastAsia="Calibri" w:hAnsi="David"/>
                <w:color w:val="000000"/>
                <w:sz w:val="22"/>
                <w:szCs w:val="22"/>
                <w:rtl/>
              </w:rPr>
              <w:t xml:space="preserve"> 119</w:t>
            </w:r>
          </w:p>
        </w:tc>
        <w:tc>
          <w:tcPr>
            <w:tcW w:w="1825" w:type="dxa"/>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נ</w:t>
            </w:r>
            <w:r w:rsidRPr="00AA5065">
              <w:rPr>
                <w:rFonts w:ascii="David" w:eastAsia="Calibri" w:hAnsi="David" w:hint="eastAsia"/>
                <w:color w:val="000000"/>
                <w:sz w:val="22"/>
                <w:szCs w:val="22"/>
                <w:rtl/>
              </w:rPr>
              <w:t>גנ</w:t>
            </w:r>
            <w:r w:rsidRPr="00AA5065">
              <w:rPr>
                <w:rFonts w:ascii="David" w:eastAsia="Calibri" w:hAnsi="David" w:hint="cs"/>
                <w:color w:val="000000"/>
                <w:sz w:val="22"/>
                <w:szCs w:val="22"/>
                <w:rtl/>
              </w:rPr>
              <w:t>ב</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שנאי</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מקורות</w:t>
            </w:r>
            <w:r w:rsidRPr="00AA5065">
              <w:rPr>
                <w:rFonts w:ascii="David" w:eastAsia="Calibri" w:hAnsi="David"/>
                <w:color w:val="000000"/>
                <w:sz w:val="22"/>
                <w:szCs w:val="22"/>
                <w:rtl/>
              </w:rPr>
              <w:t xml:space="preserve">, </w:t>
            </w:r>
            <w:r w:rsidRPr="00AA5065">
              <w:rPr>
                <w:rFonts w:ascii="David" w:eastAsia="Calibri" w:hAnsi="David" w:hint="cs"/>
                <w:color w:val="000000"/>
                <w:sz w:val="22"/>
                <w:szCs w:val="22"/>
                <w:rtl/>
              </w:rPr>
              <w:t xml:space="preserve">נגרם </w:t>
            </w:r>
            <w:r w:rsidRPr="00AA5065">
              <w:rPr>
                <w:rFonts w:ascii="David" w:eastAsia="Calibri" w:hAnsi="David" w:hint="eastAsia"/>
                <w:color w:val="000000"/>
                <w:sz w:val="22"/>
                <w:szCs w:val="22"/>
                <w:rtl/>
              </w:rPr>
              <w:t>נזק</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למבנה</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חשמל</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ו</w:t>
            </w:r>
            <w:r w:rsidRPr="00AA5065">
              <w:rPr>
                <w:rFonts w:ascii="David" w:eastAsia="Calibri" w:hAnsi="David" w:hint="cs"/>
                <w:color w:val="000000"/>
                <w:sz w:val="22"/>
                <w:szCs w:val="22"/>
                <w:rtl/>
              </w:rPr>
              <w:t>ל</w:t>
            </w:r>
            <w:r w:rsidRPr="00AA5065">
              <w:rPr>
                <w:rFonts w:ascii="David" w:eastAsia="Calibri" w:hAnsi="David" w:hint="eastAsia"/>
                <w:color w:val="000000"/>
                <w:sz w:val="22"/>
                <w:szCs w:val="22"/>
                <w:rtl/>
              </w:rPr>
              <w:t>גדר</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היקפית</w:t>
            </w:r>
            <w:r w:rsidRPr="00AA5065">
              <w:rPr>
                <w:rFonts w:ascii="David" w:eastAsia="Calibri" w:hAnsi="David" w:hint="cs"/>
                <w:color w:val="000000"/>
                <w:sz w:val="22"/>
                <w:szCs w:val="22"/>
                <w:rtl/>
              </w:rPr>
              <w:t>.</w:t>
            </w:r>
          </w:p>
        </w:tc>
        <w:tc>
          <w:tcPr>
            <w:tcW w:w="163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262,400</w:t>
            </w:r>
          </w:p>
        </w:tc>
      </w:tr>
      <w:tr w:rsidTr="00AA5065">
        <w:tblPrEx>
          <w:tblW w:w="7644" w:type="dxa"/>
          <w:jc w:val="center"/>
          <w:tblLook w:val="04A0"/>
        </w:tblPrEx>
        <w:trPr>
          <w:trHeight w:val="570"/>
          <w:jc w:val="center"/>
        </w:trPr>
        <w:tc>
          <w:tcPr>
            <w:tcW w:w="57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1</w:t>
            </w:r>
            <w:r w:rsidRPr="00AA5065">
              <w:rPr>
                <w:rFonts w:ascii="David" w:eastAsia="Calibri" w:hAnsi="David" w:hint="cs"/>
                <w:color w:val="000000"/>
                <w:sz w:val="22"/>
                <w:szCs w:val="22"/>
                <w:rtl/>
              </w:rPr>
              <w:t>4</w:t>
            </w:r>
          </w:p>
        </w:tc>
        <w:tc>
          <w:tcPr>
            <w:tcW w:w="167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9.12.23</w:t>
            </w:r>
          </w:p>
        </w:tc>
        <w:tc>
          <w:tcPr>
            <w:tcW w:w="1939" w:type="dxa"/>
            <w:noWrap/>
            <w:hideMark/>
          </w:tcPr>
          <w:p w:rsidR="00AA5065" w:rsidRPr="00AA5065" w:rsidP="00860D89">
            <w:pPr>
              <w:spacing w:line="269" w:lineRule="auto"/>
              <w:rPr>
                <w:rFonts w:ascii="David" w:eastAsia="Calibri" w:hAnsi="David"/>
                <w:color w:val="000000"/>
                <w:sz w:val="22"/>
                <w:szCs w:val="22"/>
              </w:rPr>
            </w:pPr>
            <w:r w:rsidRPr="00AA5065">
              <w:rPr>
                <w:rFonts w:ascii="David" w:eastAsia="Calibri" w:hAnsi="David" w:hint="eastAsia"/>
                <w:color w:val="000000"/>
                <w:sz w:val="22"/>
                <w:szCs w:val="22"/>
                <w:rtl/>
              </w:rPr>
              <w:t>תחנת</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לכיש</w:t>
            </w:r>
          </w:p>
        </w:tc>
        <w:tc>
          <w:tcPr>
            <w:tcW w:w="1825" w:type="dxa"/>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eastAsia"/>
                <w:color w:val="000000"/>
                <w:sz w:val="22"/>
                <w:szCs w:val="22"/>
                <w:rtl/>
              </w:rPr>
              <w:t>גניבת</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כבלי</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חשמל</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מחצר</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השנאים</w:t>
            </w:r>
            <w:r w:rsidRPr="00AA5065">
              <w:rPr>
                <w:rFonts w:ascii="David" w:eastAsia="Calibri" w:hAnsi="David" w:hint="cs"/>
                <w:color w:val="000000"/>
                <w:sz w:val="22"/>
                <w:szCs w:val="22"/>
                <w:rtl/>
              </w:rPr>
              <w:t>.</w:t>
            </w:r>
          </w:p>
        </w:tc>
        <w:tc>
          <w:tcPr>
            <w:tcW w:w="163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120,000</w:t>
            </w:r>
          </w:p>
        </w:tc>
      </w:tr>
      <w:tr w:rsidTr="00AA5065">
        <w:tblPrEx>
          <w:tblW w:w="7644" w:type="dxa"/>
          <w:jc w:val="center"/>
          <w:tblLook w:val="04A0"/>
        </w:tblPrEx>
        <w:trPr>
          <w:trHeight w:val="285"/>
          <w:jc w:val="center"/>
        </w:trPr>
        <w:tc>
          <w:tcPr>
            <w:tcW w:w="57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1</w:t>
            </w:r>
            <w:r w:rsidRPr="00AA5065">
              <w:rPr>
                <w:rFonts w:ascii="David" w:eastAsia="Calibri" w:hAnsi="David" w:hint="cs"/>
                <w:color w:val="000000"/>
                <w:sz w:val="22"/>
                <w:szCs w:val="22"/>
                <w:rtl/>
              </w:rPr>
              <w:t>5</w:t>
            </w:r>
          </w:p>
        </w:tc>
        <w:tc>
          <w:tcPr>
            <w:tcW w:w="167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17.12.23</w:t>
            </w:r>
          </w:p>
        </w:tc>
        <w:tc>
          <w:tcPr>
            <w:tcW w:w="1939" w:type="dxa"/>
            <w:noWrap/>
            <w:hideMark/>
          </w:tcPr>
          <w:p w:rsidR="00AA5065" w:rsidRPr="00AA5065" w:rsidP="00860D89">
            <w:pPr>
              <w:spacing w:line="269" w:lineRule="auto"/>
              <w:rPr>
                <w:rFonts w:ascii="David" w:eastAsia="Calibri" w:hAnsi="David"/>
                <w:color w:val="000000"/>
                <w:sz w:val="22"/>
                <w:szCs w:val="22"/>
              </w:rPr>
            </w:pPr>
            <w:r w:rsidRPr="00AA5065">
              <w:rPr>
                <w:rFonts w:ascii="David" w:eastAsia="Calibri" w:hAnsi="David" w:hint="eastAsia"/>
                <w:color w:val="000000"/>
                <w:sz w:val="22"/>
                <w:szCs w:val="22"/>
                <w:rtl/>
              </w:rPr>
              <w:t>תחנת</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ניר</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עם</w:t>
            </w:r>
          </w:p>
        </w:tc>
        <w:tc>
          <w:tcPr>
            <w:tcW w:w="1825" w:type="dxa"/>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eastAsia"/>
                <w:color w:val="000000"/>
                <w:sz w:val="22"/>
                <w:szCs w:val="22"/>
                <w:rtl/>
              </w:rPr>
              <w:t>גניבת</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כבלי</w:t>
            </w:r>
            <w:r w:rsidRPr="00AA5065">
              <w:rPr>
                <w:rFonts w:ascii="David" w:eastAsia="Calibri" w:hAnsi="David"/>
                <w:color w:val="000000"/>
                <w:sz w:val="22"/>
                <w:szCs w:val="22"/>
                <w:rtl/>
              </w:rPr>
              <w:t xml:space="preserve"> </w:t>
            </w:r>
            <w:r w:rsidRPr="00AA5065">
              <w:rPr>
                <w:rFonts w:ascii="David" w:eastAsia="Calibri" w:hAnsi="David" w:hint="eastAsia"/>
                <w:color w:val="000000"/>
                <w:sz w:val="22"/>
                <w:szCs w:val="22"/>
                <w:rtl/>
              </w:rPr>
              <w:t>חשמל</w:t>
            </w:r>
            <w:r w:rsidRPr="00AA5065">
              <w:rPr>
                <w:rFonts w:ascii="David" w:eastAsia="Calibri" w:hAnsi="David" w:hint="cs"/>
                <w:color w:val="000000"/>
                <w:sz w:val="22"/>
                <w:szCs w:val="22"/>
                <w:rtl/>
              </w:rPr>
              <w:t>.</w:t>
            </w:r>
          </w:p>
        </w:tc>
        <w:tc>
          <w:tcPr>
            <w:tcW w:w="163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120,000</w:t>
            </w:r>
          </w:p>
        </w:tc>
      </w:tr>
    </w:tbl>
    <w:p w:rsidR="00AA5065" w:rsidRPr="00AA5065" w:rsidP="00860D89">
      <w:pPr>
        <w:spacing w:line="269" w:lineRule="auto"/>
        <w:jc w:val="left"/>
        <w:rPr>
          <w:rFonts w:eastAsia="Calibri"/>
          <w:szCs w:val="20"/>
          <w:rtl/>
        </w:rPr>
      </w:pPr>
      <w:r w:rsidRPr="00AA5065">
        <w:rPr>
          <w:rFonts w:eastAsia="Calibri" w:hint="eastAsia"/>
          <w:szCs w:val="20"/>
          <w:rtl/>
        </w:rPr>
        <w:t>על</w:t>
      </w:r>
      <w:r w:rsidRPr="00AA5065">
        <w:rPr>
          <w:rFonts w:eastAsia="Calibri"/>
          <w:szCs w:val="20"/>
          <w:rtl/>
        </w:rPr>
        <w:t xml:space="preserve"> </w:t>
      </w:r>
      <w:r w:rsidRPr="00AA5065">
        <w:rPr>
          <w:rFonts w:eastAsia="Calibri" w:hint="eastAsia"/>
          <w:szCs w:val="20"/>
          <w:rtl/>
        </w:rPr>
        <w:t>פי</w:t>
      </w:r>
      <w:r w:rsidRPr="00AA5065">
        <w:rPr>
          <w:rFonts w:eastAsia="Calibri"/>
          <w:szCs w:val="20"/>
          <w:rtl/>
        </w:rPr>
        <w:t xml:space="preserve"> </w:t>
      </w:r>
      <w:r w:rsidRPr="00AA5065">
        <w:rPr>
          <w:rFonts w:eastAsia="Calibri" w:hint="eastAsia"/>
          <w:szCs w:val="20"/>
          <w:rtl/>
        </w:rPr>
        <w:t>נתוני</w:t>
      </w:r>
      <w:r w:rsidRPr="00AA5065">
        <w:rPr>
          <w:rFonts w:eastAsia="Calibri"/>
          <w:szCs w:val="20"/>
          <w:rtl/>
        </w:rPr>
        <w:t xml:space="preserve"> חברת מקורות, </w:t>
      </w:r>
      <w:r w:rsidRPr="00AA5065">
        <w:rPr>
          <w:rFonts w:eastAsia="Calibri" w:hint="eastAsia"/>
          <w:szCs w:val="20"/>
          <w:rtl/>
        </w:rPr>
        <w:t>בעיבוד</w:t>
      </w:r>
      <w:r w:rsidRPr="00AA5065">
        <w:rPr>
          <w:rFonts w:eastAsia="Calibri"/>
          <w:szCs w:val="20"/>
          <w:rtl/>
        </w:rPr>
        <w:t xml:space="preserve"> </w:t>
      </w:r>
      <w:r w:rsidRPr="00AA5065">
        <w:rPr>
          <w:rFonts w:eastAsia="Calibri" w:hint="eastAsia"/>
          <w:szCs w:val="20"/>
          <w:rtl/>
        </w:rPr>
        <w:t>משרד</w:t>
      </w:r>
      <w:r w:rsidRPr="00AA5065">
        <w:rPr>
          <w:rFonts w:eastAsia="Calibri"/>
          <w:szCs w:val="20"/>
          <w:rtl/>
        </w:rPr>
        <w:t xml:space="preserve"> </w:t>
      </w:r>
      <w:r w:rsidRPr="00AA5065">
        <w:rPr>
          <w:rFonts w:eastAsia="Calibri" w:hint="eastAsia"/>
          <w:szCs w:val="20"/>
          <w:rtl/>
        </w:rPr>
        <w:t>מבקר</w:t>
      </w:r>
      <w:r w:rsidRPr="00AA5065">
        <w:rPr>
          <w:rFonts w:eastAsia="Calibri"/>
          <w:szCs w:val="20"/>
          <w:rtl/>
        </w:rPr>
        <w:t xml:space="preserve"> </w:t>
      </w:r>
      <w:r w:rsidRPr="00AA5065">
        <w:rPr>
          <w:rFonts w:eastAsia="Calibri" w:hint="eastAsia"/>
          <w:szCs w:val="20"/>
          <w:rtl/>
        </w:rPr>
        <w:t>המדינה</w:t>
      </w:r>
      <w:r w:rsidRPr="00AA5065">
        <w:rPr>
          <w:rFonts w:eastAsia="Calibri"/>
          <w:szCs w:val="20"/>
          <w:rtl/>
        </w:rPr>
        <w:t>.</w:t>
      </w:r>
    </w:p>
    <w:p w:rsidR="00AA5065" w:rsidRPr="00AA5065" w:rsidP="00860D89">
      <w:pPr>
        <w:spacing w:line="269" w:lineRule="auto"/>
        <w:rPr>
          <w:rFonts w:eastAsia="Calibri"/>
          <w:b/>
          <w:bCs/>
          <w:rtl/>
        </w:rPr>
      </w:pPr>
      <w:r w:rsidRPr="00AA5065">
        <w:rPr>
          <w:rFonts w:eastAsia="Calibri" w:hint="cs"/>
          <w:b/>
          <w:bCs/>
          <w:rtl/>
        </w:rPr>
        <w:t>עלה כי חברת מקורות התמודדה בשנים 2019 עד 2024, ובייחוד בשנת 2022, בעיקר עם אירועים של גניבת ציוד וכן עם אירועי הצתות וגרימת חבלות לרכוש ופריצה,</w:t>
      </w:r>
      <w:r w:rsidRPr="00AA5065">
        <w:rPr>
          <w:rFonts w:eastAsia="Calibri" w:hint="eastAsia"/>
          <w:b/>
          <w:bCs/>
          <w:rtl/>
        </w:rPr>
        <w:t xml:space="preserve"> </w:t>
      </w:r>
      <w:r w:rsidRPr="00AA5065">
        <w:rPr>
          <w:rFonts w:eastAsia="Calibri" w:hint="cs"/>
          <w:b/>
          <w:bCs/>
          <w:rtl/>
        </w:rPr>
        <w:t xml:space="preserve">וכי </w:t>
      </w:r>
      <w:r w:rsidRPr="00AA5065">
        <w:rPr>
          <w:rFonts w:eastAsia="Calibri" w:hint="eastAsia"/>
          <w:b/>
          <w:bCs/>
          <w:rtl/>
        </w:rPr>
        <w:t>היקף</w:t>
      </w:r>
      <w:r w:rsidRPr="00AA5065">
        <w:rPr>
          <w:rFonts w:eastAsia="Calibri"/>
          <w:b/>
          <w:bCs/>
          <w:rtl/>
        </w:rPr>
        <w:t xml:space="preserve"> הפגיעה </w:t>
      </w:r>
      <w:r w:rsidRPr="00AA5065">
        <w:rPr>
          <w:rFonts w:eastAsia="Calibri" w:hint="eastAsia"/>
          <w:b/>
          <w:bCs/>
          <w:rtl/>
        </w:rPr>
        <w:t>בתשתיות</w:t>
      </w:r>
      <w:r w:rsidRPr="00AA5065">
        <w:rPr>
          <w:rFonts w:eastAsia="Calibri"/>
          <w:b/>
          <w:bCs/>
          <w:rtl/>
        </w:rPr>
        <w:t xml:space="preserve"> החברה </w:t>
      </w:r>
      <w:r w:rsidRPr="00AA5065">
        <w:rPr>
          <w:rFonts w:eastAsia="Calibri" w:hint="cs"/>
          <w:b/>
          <w:bCs/>
          <w:rtl/>
        </w:rPr>
        <w:t xml:space="preserve">בגין 45 מקרים בולטים שלגביהם נאסף מידע היה </w:t>
      </w:r>
      <w:r w:rsidRPr="00AA5065">
        <w:rPr>
          <w:rFonts w:eastAsia="Calibri"/>
          <w:b/>
          <w:bCs/>
          <w:rtl/>
        </w:rPr>
        <w:t>כ-</w:t>
      </w:r>
      <w:r w:rsidRPr="00AA5065">
        <w:rPr>
          <w:rFonts w:eastAsia="Calibri" w:hint="cs"/>
          <w:b/>
          <w:bCs/>
          <w:rtl/>
        </w:rPr>
        <w:t xml:space="preserve">3.1 </w:t>
      </w:r>
      <w:r w:rsidRPr="00AA5065">
        <w:rPr>
          <w:rFonts w:eastAsia="Calibri"/>
          <w:b/>
          <w:bCs/>
          <w:rtl/>
        </w:rPr>
        <w:t>מיליו</w:t>
      </w:r>
      <w:r w:rsidRPr="00AA5065">
        <w:rPr>
          <w:rFonts w:eastAsia="Calibri" w:hint="cs"/>
          <w:b/>
          <w:bCs/>
          <w:rtl/>
        </w:rPr>
        <w:t>ן</w:t>
      </w:r>
      <w:r w:rsidRPr="00AA5065">
        <w:rPr>
          <w:rFonts w:eastAsia="Calibri"/>
          <w:b/>
          <w:bCs/>
          <w:rtl/>
        </w:rPr>
        <w:t xml:space="preserve"> ש"ח.</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כמו כן, </w:t>
      </w:r>
      <w:r w:rsidRPr="00AA5065">
        <w:rPr>
          <w:rFonts w:eastAsia="Calibri" w:hint="eastAsia"/>
          <w:rtl/>
        </w:rPr>
        <w:t>על</w:t>
      </w:r>
      <w:r w:rsidRPr="00AA5065">
        <w:rPr>
          <w:rFonts w:eastAsia="Calibri"/>
          <w:rtl/>
        </w:rPr>
        <w:t xml:space="preserve"> </w:t>
      </w:r>
      <w:r w:rsidRPr="00AA5065">
        <w:rPr>
          <w:rFonts w:eastAsia="Calibri" w:hint="eastAsia"/>
          <w:rtl/>
        </w:rPr>
        <w:t>פי</w:t>
      </w:r>
      <w:r w:rsidRPr="00AA5065">
        <w:rPr>
          <w:rFonts w:eastAsia="Calibri"/>
          <w:rtl/>
        </w:rPr>
        <w:t xml:space="preserve"> </w:t>
      </w:r>
      <w:r w:rsidRPr="00AA5065">
        <w:rPr>
          <w:rFonts w:eastAsia="Calibri" w:hint="eastAsia"/>
          <w:rtl/>
        </w:rPr>
        <w:t>מידע</w:t>
      </w:r>
      <w:r w:rsidRPr="00AA5065">
        <w:rPr>
          <w:rFonts w:eastAsia="Calibri"/>
          <w:rtl/>
        </w:rPr>
        <w:t xml:space="preserve"> </w:t>
      </w:r>
      <w:r w:rsidRPr="00AA5065">
        <w:rPr>
          <w:rFonts w:eastAsia="Calibri" w:hint="eastAsia"/>
          <w:rtl/>
        </w:rPr>
        <w:t>ש</w:t>
      </w:r>
      <w:r w:rsidRPr="00AA5065">
        <w:rPr>
          <w:rFonts w:eastAsia="Calibri" w:hint="cs"/>
          <w:rtl/>
        </w:rPr>
        <w:t>ה</w:t>
      </w:r>
      <w:r w:rsidRPr="00AA5065">
        <w:rPr>
          <w:rFonts w:eastAsia="Calibri" w:hint="eastAsia"/>
          <w:rtl/>
        </w:rPr>
        <w:t>תקבל</w:t>
      </w:r>
      <w:r w:rsidRPr="00AA5065">
        <w:rPr>
          <w:rFonts w:eastAsia="Calibri"/>
          <w:rtl/>
        </w:rPr>
        <w:t xml:space="preserve"> </w:t>
      </w:r>
      <w:r w:rsidRPr="00AA5065">
        <w:rPr>
          <w:rFonts w:eastAsia="Calibri" w:hint="eastAsia"/>
          <w:rtl/>
        </w:rPr>
        <w:t>מחברת</w:t>
      </w:r>
      <w:r w:rsidRPr="00AA5065">
        <w:rPr>
          <w:rFonts w:eastAsia="Calibri"/>
          <w:rtl/>
        </w:rPr>
        <w:t xml:space="preserve"> </w:t>
      </w:r>
      <w:r w:rsidRPr="00AA5065">
        <w:rPr>
          <w:rFonts w:eastAsia="Calibri" w:hint="eastAsia"/>
          <w:rtl/>
        </w:rPr>
        <w:t>מקורות</w:t>
      </w:r>
      <w:r w:rsidRPr="00AA5065">
        <w:rPr>
          <w:rFonts w:eastAsia="Calibri" w:hint="cs"/>
          <w:rtl/>
        </w:rPr>
        <w:t>,</w:t>
      </w:r>
      <w:r w:rsidRPr="00AA5065">
        <w:rPr>
          <w:rFonts w:eastAsia="Calibri"/>
          <w:rtl/>
        </w:rPr>
        <w:t xml:space="preserve"> </w:t>
      </w:r>
      <w:r w:rsidRPr="00AA5065">
        <w:rPr>
          <w:rFonts w:eastAsia="Calibri" w:hint="eastAsia"/>
          <w:rtl/>
        </w:rPr>
        <w:t>בשנים</w:t>
      </w:r>
      <w:r w:rsidRPr="00AA5065">
        <w:rPr>
          <w:rFonts w:eastAsia="Calibri"/>
          <w:rtl/>
        </w:rPr>
        <w:t xml:space="preserve"> </w:t>
      </w:r>
      <w:r w:rsidRPr="00AA5065">
        <w:rPr>
          <w:rFonts w:eastAsia="Calibri" w:hint="eastAsia"/>
          <w:rtl/>
        </w:rPr>
        <w:t>האחרונות</w:t>
      </w:r>
      <w:r w:rsidRPr="00AA5065">
        <w:rPr>
          <w:rFonts w:eastAsia="Calibri"/>
          <w:rtl/>
        </w:rPr>
        <w:t xml:space="preserve"> </w:t>
      </w:r>
      <w:r w:rsidRPr="00AA5065">
        <w:rPr>
          <w:rFonts w:eastAsia="Calibri" w:hint="cs"/>
          <w:rtl/>
        </w:rPr>
        <w:t>נרשמה</w:t>
      </w:r>
      <w:r w:rsidRPr="00AA5065">
        <w:rPr>
          <w:rFonts w:eastAsia="Calibri"/>
          <w:rtl/>
        </w:rPr>
        <w:t xml:space="preserve"> </w:t>
      </w:r>
      <w:r w:rsidRPr="00AA5065">
        <w:rPr>
          <w:rFonts w:eastAsia="Calibri" w:hint="eastAsia"/>
          <w:rtl/>
        </w:rPr>
        <w:t>עלי</w:t>
      </w:r>
      <w:r w:rsidRPr="00AA5065">
        <w:rPr>
          <w:rFonts w:eastAsia="Calibri" w:hint="cs"/>
          <w:rtl/>
        </w:rPr>
        <w:t>י</w:t>
      </w:r>
      <w:r w:rsidRPr="00AA5065">
        <w:rPr>
          <w:rFonts w:eastAsia="Calibri" w:hint="eastAsia"/>
          <w:rtl/>
        </w:rPr>
        <w:t>ה</w:t>
      </w:r>
      <w:r w:rsidRPr="00AA5065">
        <w:rPr>
          <w:rFonts w:eastAsia="Calibri"/>
          <w:rtl/>
        </w:rPr>
        <w:t xml:space="preserve"> </w:t>
      </w:r>
      <w:r w:rsidRPr="00AA5065">
        <w:rPr>
          <w:rFonts w:eastAsia="Calibri" w:hint="cs"/>
          <w:rtl/>
        </w:rPr>
        <w:t>ניכרת</w:t>
      </w:r>
      <w:r w:rsidRPr="00AA5065">
        <w:rPr>
          <w:rFonts w:eastAsia="Calibri"/>
          <w:rtl/>
        </w:rPr>
        <w:t xml:space="preserve"> </w:t>
      </w:r>
      <w:r w:rsidRPr="00AA5065">
        <w:rPr>
          <w:rFonts w:eastAsia="Calibri" w:hint="cs"/>
          <w:rtl/>
        </w:rPr>
        <w:t>בגניבות סולר בעיקר בשנת 2022 ו</w:t>
      </w:r>
      <w:r w:rsidRPr="00AA5065">
        <w:rPr>
          <w:rFonts w:eastAsia="Calibri" w:hint="eastAsia"/>
          <w:rtl/>
        </w:rPr>
        <w:t>בגניבות</w:t>
      </w:r>
      <w:r w:rsidRPr="00AA5065">
        <w:rPr>
          <w:rFonts w:eastAsia="Calibri"/>
          <w:rtl/>
        </w:rPr>
        <w:t xml:space="preserve"> </w:t>
      </w:r>
      <w:r w:rsidRPr="00AA5065">
        <w:rPr>
          <w:rFonts w:eastAsia="Calibri" w:hint="eastAsia"/>
          <w:rtl/>
        </w:rPr>
        <w:t>מים</w:t>
      </w:r>
      <w:r w:rsidRPr="00AA5065">
        <w:rPr>
          <w:rFonts w:eastAsia="Calibri"/>
          <w:rtl/>
        </w:rPr>
        <w:t xml:space="preserve"> </w:t>
      </w:r>
      <w:r w:rsidRPr="00AA5065">
        <w:rPr>
          <w:rFonts w:eastAsia="Calibri" w:hint="eastAsia"/>
          <w:rtl/>
        </w:rPr>
        <w:t>לצורך</w:t>
      </w:r>
      <w:r w:rsidRPr="00AA5065">
        <w:rPr>
          <w:rFonts w:eastAsia="Calibri"/>
          <w:rtl/>
        </w:rPr>
        <w:t xml:space="preserve"> </w:t>
      </w:r>
      <w:r w:rsidRPr="00AA5065">
        <w:rPr>
          <w:rFonts w:eastAsia="Calibri" w:hint="eastAsia"/>
          <w:rtl/>
        </w:rPr>
        <w:t>גידולי</w:t>
      </w:r>
      <w:r w:rsidRPr="00AA5065">
        <w:rPr>
          <w:rFonts w:eastAsia="Calibri"/>
          <w:rtl/>
        </w:rPr>
        <w:t xml:space="preserve"> </w:t>
      </w:r>
      <w:r w:rsidRPr="00AA5065">
        <w:rPr>
          <w:rFonts w:eastAsia="Calibri" w:hint="eastAsia"/>
          <w:rtl/>
        </w:rPr>
        <w:t>קנאביס</w:t>
      </w:r>
      <w:r w:rsidRPr="00AA5065">
        <w:rPr>
          <w:rFonts w:eastAsia="Calibri"/>
          <w:rtl/>
        </w:rPr>
        <w:t xml:space="preserve"> </w:t>
      </w:r>
      <w:r w:rsidRPr="00AA5065">
        <w:rPr>
          <w:rFonts w:eastAsia="Calibri" w:hint="eastAsia"/>
          <w:rtl/>
        </w:rPr>
        <w:t>ב</w:t>
      </w:r>
      <w:r w:rsidRPr="00AA5065">
        <w:rPr>
          <w:rFonts w:eastAsia="Calibri" w:hint="cs"/>
          <w:rtl/>
        </w:rPr>
        <w:t>אזור</w:t>
      </w:r>
      <w:r w:rsidRPr="00AA5065">
        <w:rPr>
          <w:rFonts w:eastAsia="Calibri"/>
          <w:rtl/>
        </w:rPr>
        <w:t xml:space="preserve"> </w:t>
      </w:r>
      <w:r w:rsidRPr="00AA5065">
        <w:rPr>
          <w:rFonts w:eastAsia="Calibri" w:hint="eastAsia"/>
          <w:rtl/>
        </w:rPr>
        <w:t>הר</w:t>
      </w:r>
      <w:r w:rsidRPr="00AA5065">
        <w:rPr>
          <w:rFonts w:eastAsia="Calibri"/>
          <w:rtl/>
        </w:rPr>
        <w:t xml:space="preserve"> </w:t>
      </w:r>
      <w:r w:rsidRPr="00AA5065">
        <w:rPr>
          <w:rFonts w:eastAsia="Calibri" w:hint="eastAsia"/>
          <w:rtl/>
        </w:rPr>
        <w:t>הנגב</w:t>
      </w:r>
      <w:r w:rsidRPr="00AA5065">
        <w:rPr>
          <w:rFonts w:eastAsia="Calibri"/>
          <w:rtl/>
        </w:rPr>
        <w:t xml:space="preserve"> </w:t>
      </w:r>
      <w:r w:rsidRPr="00AA5065">
        <w:rPr>
          <w:rFonts w:eastAsia="Calibri" w:hint="eastAsia"/>
          <w:rtl/>
        </w:rPr>
        <w:t>וחלק</w:t>
      </w:r>
      <w:r w:rsidRPr="00AA5065">
        <w:rPr>
          <w:rFonts w:eastAsia="Calibri"/>
          <w:rtl/>
        </w:rPr>
        <w:t xml:space="preserve"> </w:t>
      </w:r>
      <w:r w:rsidRPr="00AA5065">
        <w:rPr>
          <w:rFonts w:eastAsia="Calibri" w:hint="eastAsia"/>
          <w:rtl/>
        </w:rPr>
        <w:t>מ</w:t>
      </w:r>
      <w:r w:rsidRPr="00AA5065">
        <w:rPr>
          <w:rFonts w:eastAsia="Calibri" w:hint="cs"/>
          <w:rtl/>
        </w:rPr>
        <w:t xml:space="preserve">דרום </w:t>
      </w:r>
      <w:r w:rsidRPr="00AA5065">
        <w:rPr>
          <w:rFonts w:eastAsia="Calibri" w:hint="eastAsia"/>
          <w:rtl/>
        </w:rPr>
        <w:t>הערבה</w:t>
      </w:r>
      <w:r w:rsidRPr="00AA5065">
        <w:rPr>
          <w:rFonts w:eastAsia="Calibri"/>
          <w:rtl/>
        </w:rPr>
        <w:t xml:space="preserve">. </w:t>
      </w:r>
      <w:r w:rsidRPr="00AA5065">
        <w:rPr>
          <w:rFonts w:eastAsia="Calibri" w:hint="eastAsia"/>
          <w:rtl/>
        </w:rPr>
        <w:t>לשם</w:t>
      </w:r>
      <w:r w:rsidRPr="00AA5065">
        <w:rPr>
          <w:rFonts w:eastAsia="Calibri"/>
          <w:rtl/>
        </w:rPr>
        <w:t xml:space="preserve"> </w:t>
      </w:r>
      <w:r w:rsidRPr="00AA5065">
        <w:rPr>
          <w:rFonts w:eastAsia="Calibri" w:hint="eastAsia"/>
          <w:rtl/>
        </w:rPr>
        <w:t>המחשה</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המצב</w:t>
      </w:r>
      <w:r w:rsidRPr="00AA5065">
        <w:rPr>
          <w:rFonts w:eastAsia="Calibri"/>
          <w:rtl/>
        </w:rPr>
        <w:t xml:space="preserve"> </w:t>
      </w:r>
      <w:r w:rsidRPr="00AA5065">
        <w:rPr>
          <w:rFonts w:eastAsia="Calibri" w:hint="eastAsia"/>
          <w:rtl/>
        </w:rPr>
        <w:t>בשטח</w:t>
      </w:r>
      <w:r w:rsidRPr="00AA5065">
        <w:rPr>
          <w:rFonts w:eastAsia="Calibri"/>
          <w:rtl/>
        </w:rPr>
        <w:t xml:space="preserve"> </w:t>
      </w:r>
      <w:r w:rsidRPr="00AA5065">
        <w:rPr>
          <w:rFonts w:eastAsia="Calibri" w:hint="eastAsia"/>
          <w:rtl/>
        </w:rPr>
        <w:t>מובאות</w:t>
      </w:r>
      <w:r w:rsidRPr="00AA5065">
        <w:rPr>
          <w:rFonts w:eastAsia="Calibri"/>
          <w:rtl/>
        </w:rPr>
        <w:t xml:space="preserve"> </w:t>
      </w:r>
      <w:r w:rsidRPr="00AA5065">
        <w:rPr>
          <w:rFonts w:eastAsia="Calibri" w:hint="eastAsia"/>
          <w:rtl/>
        </w:rPr>
        <w:t>להלן</w:t>
      </w:r>
      <w:r w:rsidRPr="00AA5065">
        <w:rPr>
          <w:rFonts w:eastAsia="Calibri"/>
          <w:rtl/>
        </w:rPr>
        <w:t xml:space="preserve"> </w:t>
      </w:r>
      <w:r w:rsidRPr="00AA5065">
        <w:rPr>
          <w:rFonts w:eastAsia="Calibri" w:hint="eastAsia"/>
          <w:rtl/>
        </w:rPr>
        <w:t>תמונות</w:t>
      </w:r>
      <w:r w:rsidRPr="00AA5065">
        <w:rPr>
          <w:rFonts w:eastAsia="Calibri"/>
          <w:rtl/>
        </w:rPr>
        <w:t xml:space="preserve"> </w:t>
      </w:r>
      <w:r w:rsidRPr="00AA5065">
        <w:rPr>
          <w:rFonts w:eastAsia="Calibri" w:hint="eastAsia"/>
          <w:rtl/>
        </w:rPr>
        <w:t>מייצגות</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אירועי</w:t>
      </w:r>
      <w:r w:rsidRPr="00AA5065">
        <w:rPr>
          <w:rFonts w:eastAsia="Calibri"/>
          <w:rtl/>
        </w:rPr>
        <w:t xml:space="preserve"> </w:t>
      </w:r>
      <w:r w:rsidRPr="00AA5065">
        <w:rPr>
          <w:rFonts w:eastAsia="Calibri" w:hint="eastAsia"/>
          <w:rtl/>
        </w:rPr>
        <w:t>גניבת</w:t>
      </w:r>
      <w:r w:rsidRPr="00AA5065">
        <w:rPr>
          <w:rFonts w:eastAsia="Calibri"/>
          <w:rtl/>
        </w:rPr>
        <w:t xml:space="preserve"> </w:t>
      </w:r>
      <w:r w:rsidRPr="00AA5065">
        <w:rPr>
          <w:rFonts w:eastAsia="Calibri" w:hint="eastAsia"/>
          <w:rtl/>
        </w:rPr>
        <w:t>סולר</w:t>
      </w:r>
      <w:r w:rsidRPr="00AA5065">
        <w:rPr>
          <w:rFonts w:eastAsia="Calibri"/>
          <w:rtl/>
        </w:rPr>
        <w:t xml:space="preserve"> </w:t>
      </w:r>
      <w:r w:rsidRPr="00AA5065">
        <w:rPr>
          <w:rFonts w:eastAsia="Calibri" w:hint="eastAsia"/>
          <w:rtl/>
        </w:rPr>
        <w:t>ו</w:t>
      </w:r>
      <w:r w:rsidRPr="00AA5065">
        <w:rPr>
          <w:rFonts w:eastAsia="Calibri" w:hint="cs"/>
          <w:rtl/>
        </w:rPr>
        <w:t>גידולי</w:t>
      </w:r>
      <w:r w:rsidRPr="00AA5065">
        <w:rPr>
          <w:rFonts w:eastAsia="Calibri"/>
          <w:rtl/>
        </w:rPr>
        <w:t xml:space="preserve"> </w:t>
      </w:r>
      <w:r w:rsidRPr="00AA5065">
        <w:rPr>
          <w:rFonts w:eastAsia="Calibri" w:hint="eastAsia"/>
          <w:rtl/>
        </w:rPr>
        <w:t>קנאביס</w:t>
      </w:r>
      <w:r w:rsidRPr="00AA5065">
        <w:rPr>
          <w:rFonts w:eastAsia="Calibri" w:hint="cs"/>
          <w:rtl/>
        </w:rPr>
        <w:t>.</w:t>
      </w:r>
    </w:p>
    <w:p w:rsidR="00AA5065" w:rsidRPr="00AA5065" w:rsidP="00860D89">
      <w:pPr>
        <w:spacing w:line="269" w:lineRule="auto"/>
        <w:ind w:left="-567"/>
        <w:rPr>
          <w:rFonts w:eastAsia="Calibri"/>
          <w:szCs w:val="20"/>
          <w:rtl/>
        </w:rPr>
      </w:pPr>
    </w:p>
    <w:p w:rsidR="00AA5065" w:rsidRPr="00AA5065" w:rsidP="00246618">
      <w:pPr>
        <w:keepNext/>
        <w:keepLines/>
        <w:spacing w:after="120" w:line="269" w:lineRule="auto"/>
        <w:jc w:val="center"/>
        <w:rPr>
          <w:rFonts w:eastAsia="Calibri"/>
          <w:b/>
          <w:bCs/>
          <w:rtl/>
        </w:rPr>
      </w:pPr>
      <w:r w:rsidRPr="00AA5065">
        <w:rPr>
          <w:rFonts w:eastAsia="Calibri" w:hint="eastAsia"/>
          <w:rtl/>
        </w:rPr>
        <w:t>תמונה</w:t>
      </w:r>
      <w:r w:rsidRPr="00AA5065">
        <w:rPr>
          <w:rFonts w:eastAsia="Calibri"/>
          <w:rtl/>
        </w:rPr>
        <w:t xml:space="preserve"> </w:t>
      </w:r>
      <w:r w:rsidRPr="00AA5065">
        <w:rPr>
          <w:rFonts w:eastAsia="Calibri" w:hint="cs"/>
          <w:rtl/>
        </w:rPr>
        <w:t>11</w:t>
      </w:r>
      <w:r w:rsidRPr="00AA5065">
        <w:rPr>
          <w:rFonts w:eastAsia="Calibri"/>
          <w:rtl/>
        </w:rPr>
        <w:t>:</w:t>
      </w:r>
      <w:r w:rsidRPr="00AA5065">
        <w:rPr>
          <w:rFonts w:eastAsia="Calibri" w:hint="cs"/>
          <w:b/>
          <w:bCs/>
          <w:rtl/>
        </w:rPr>
        <w:t xml:space="preserve"> </w:t>
      </w:r>
      <w:r w:rsidRPr="00AA5065">
        <w:rPr>
          <w:rFonts w:eastAsia="Calibri"/>
          <w:b/>
          <w:bCs/>
          <w:rtl/>
        </w:rPr>
        <w:t>שבירת חומת בטון לצורך גניבת סולר בקידוח שוקת 1</w:t>
      </w:r>
    </w:p>
    <w:p w:rsidR="00AA5065" w:rsidRPr="00AA5065" w:rsidP="00860D89">
      <w:pPr>
        <w:spacing w:line="269" w:lineRule="auto"/>
        <w:jc w:val="center"/>
        <w:rPr>
          <w:rFonts w:eastAsia="Calibri"/>
          <w:b/>
          <w:bCs/>
          <w:rtl/>
        </w:rPr>
      </w:pPr>
      <w:r w:rsidRPr="00AA5065">
        <w:rPr>
          <w:rFonts w:eastAsia="Calibri"/>
          <w:b/>
          <w:bCs/>
          <w:noProof/>
        </w:rPr>
        <w:drawing>
          <wp:inline distT="0" distB="0" distL="0" distR="0">
            <wp:extent cx="3476950" cy="6181245"/>
            <wp:effectExtent l="0" t="0" r="9525" b="0"/>
            <wp:docPr id="14" name="תמונה 14"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pic:cNvPicPr>
                      <a:picLocks noChangeAspect="1" noChangeArrowheads="1"/>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513587" cy="6246378"/>
                    </a:xfrm>
                    <a:prstGeom prst="rect">
                      <a:avLst/>
                    </a:prstGeom>
                    <a:noFill/>
                    <a:ln>
                      <a:noFill/>
                    </a:ln>
                  </pic:spPr>
                </pic:pic>
              </a:graphicData>
            </a:graphic>
          </wp:inline>
        </w:drawing>
      </w:r>
    </w:p>
    <w:p w:rsidR="00AA5065" w:rsidRPr="00AA5065" w:rsidP="00246618">
      <w:pPr>
        <w:spacing w:before="120" w:line="269" w:lineRule="auto"/>
        <w:rPr>
          <w:rFonts w:eastAsia="Calibri"/>
          <w:szCs w:val="20"/>
          <w:rtl/>
        </w:rPr>
      </w:pPr>
      <w:r w:rsidRPr="00AA5065">
        <w:rPr>
          <w:rFonts w:eastAsia="Calibri" w:hint="eastAsia"/>
          <w:szCs w:val="20"/>
          <w:rtl/>
        </w:rPr>
        <w:t>צולם</w:t>
      </w:r>
      <w:r w:rsidRPr="00AA5065">
        <w:rPr>
          <w:rFonts w:eastAsia="Calibri"/>
          <w:szCs w:val="20"/>
          <w:rtl/>
        </w:rPr>
        <w:t xml:space="preserve"> </w:t>
      </w:r>
      <w:r w:rsidRPr="00AA5065">
        <w:rPr>
          <w:rFonts w:eastAsia="Calibri" w:hint="eastAsia"/>
          <w:szCs w:val="20"/>
          <w:rtl/>
        </w:rPr>
        <w:t>על</w:t>
      </w:r>
      <w:r w:rsidRPr="00AA5065">
        <w:rPr>
          <w:rFonts w:eastAsia="Calibri"/>
          <w:szCs w:val="20"/>
          <w:rtl/>
        </w:rPr>
        <w:t xml:space="preserve"> </w:t>
      </w:r>
      <w:r w:rsidRPr="00AA5065">
        <w:rPr>
          <w:rFonts w:eastAsia="Calibri" w:hint="eastAsia"/>
          <w:szCs w:val="20"/>
          <w:rtl/>
        </w:rPr>
        <w:t>ידי</w:t>
      </w:r>
      <w:r w:rsidRPr="00AA5065">
        <w:rPr>
          <w:rFonts w:eastAsia="Calibri"/>
          <w:szCs w:val="20"/>
          <w:rtl/>
        </w:rPr>
        <w:t xml:space="preserve"> </w:t>
      </w:r>
      <w:r w:rsidRPr="00AA5065">
        <w:rPr>
          <w:rFonts w:eastAsia="Calibri" w:hint="eastAsia"/>
          <w:szCs w:val="20"/>
          <w:rtl/>
        </w:rPr>
        <w:t>נציגי</w:t>
      </w:r>
      <w:r w:rsidRPr="00AA5065">
        <w:rPr>
          <w:rFonts w:eastAsia="Calibri"/>
          <w:szCs w:val="20"/>
          <w:rtl/>
        </w:rPr>
        <w:t xml:space="preserve"> </w:t>
      </w:r>
      <w:r w:rsidRPr="00AA5065">
        <w:rPr>
          <w:rFonts w:eastAsia="Calibri" w:hint="eastAsia"/>
          <w:szCs w:val="20"/>
          <w:rtl/>
        </w:rPr>
        <w:t>חברת</w:t>
      </w:r>
      <w:r w:rsidRPr="00AA5065">
        <w:rPr>
          <w:rFonts w:eastAsia="Calibri"/>
          <w:szCs w:val="20"/>
          <w:rtl/>
        </w:rPr>
        <w:t xml:space="preserve"> </w:t>
      </w:r>
      <w:r w:rsidRPr="00AA5065">
        <w:rPr>
          <w:rFonts w:eastAsia="Calibri" w:hint="eastAsia"/>
          <w:szCs w:val="20"/>
          <w:rtl/>
        </w:rPr>
        <w:t>מקורות</w:t>
      </w:r>
      <w:r w:rsidRPr="00AA5065">
        <w:rPr>
          <w:rFonts w:eastAsia="Calibri"/>
          <w:szCs w:val="20"/>
          <w:rtl/>
        </w:rPr>
        <w:t xml:space="preserve"> </w:t>
      </w:r>
      <w:r w:rsidRPr="00AA5065">
        <w:rPr>
          <w:rFonts w:eastAsia="Calibri" w:hint="eastAsia"/>
          <w:szCs w:val="20"/>
          <w:rtl/>
        </w:rPr>
        <w:t>ב</w:t>
      </w:r>
      <w:r w:rsidRPr="00AA5065">
        <w:rPr>
          <w:rFonts w:eastAsia="Calibri"/>
          <w:szCs w:val="20"/>
          <w:rtl/>
        </w:rPr>
        <w:t xml:space="preserve">-3.8.24. </w:t>
      </w:r>
    </w:p>
    <w:p w:rsidR="00AA5065" w:rsidRPr="00AA5065" w:rsidP="00860D89">
      <w:pPr>
        <w:bidi w:val="0"/>
        <w:spacing w:line="269" w:lineRule="auto"/>
        <w:rPr>
          <w:rFonts w:eastAsia="Calibri"/>
          <w:b/>
          <w:bCs/>
        </w:rPr>
      </w:pPr>
      <w:r w:rsidRPr="00AA5065">
        <w:rPr>
          <w:rFonts w:eastAsia="Calibri"/>
          <w:b/>
          <w:bCs/>
          <w:rtl/>
        </w:rPr>
        <w:br w:type="page"/>
      </w:r>
    </w:p>
    <w:p w:rsidR="00AA5065" w:rsidRPr="00AA5065" w:rsidP="00246618">
      <w:pPr>
        <w:keepNext/>
        <w:keepLines/>
        <w:spacing w:after="120" w:line="269" w:lineRule="auto"/>
        <w:jc w:val="center"/>
        <w:rPr>
          <w:rFonts w:eastAsia="Calibri"/>
          <w:b/>
          <w:bCs/>
          <w:rtl/>
        </w:rPr>
      </w:pPr>
      <w:r w:rsidRPr="00AA5065">
        <w:rPr>
          <w:rFonts w:eastAsia="Calibri" w:hint="eastAsia"/>
          <w:rtl/>
        </w:rPr>
        <w:t>תמונה</w:t>
      </w:r>
      <w:r w:rsidRPr="00AA5065">
        <w:rPr>
          <w:rFonts w:eastAsia="Calibri"/>
          <w:rtl/>
        </w:rPr>
        <w:t xml:space="preserve"> </w:t>
      </w:r>
      <w:r w:rsidRPr="00AA5065">
        <w:rPr>
          <w:rFonts w:eastAsia="Calibri" w:hint="cs"/>
          <w:rtl/>
        </w:rPr>
        <w:t>12</w:t>
      </w:r>
      <w:r w:rsidRPr="00AA5065">
        <w:rPr>
          <w:rFonts w:eastAsia="Calibri"/>
          <w:rtl/>
        </w:rPr>
        <w:t>:</w:t>
      </w:r>
      <w:r w:rsidRPr="00AA5065">
        <w:rPr>
          <w:rFonts w:eastAsia="Calibri" w:hint="cs"/>
          <w:b/>
          <w:bCs/>
          <w:rtl/>
        </w:rPr>
        <w:t xml:space="preserve"> </w:t>
      </w:r>
      <w:r w:rsidRPr="00AA5065">
        <w:rPr>
          <w:rFonts w:eastAsia="Calibri"/>
          <w:b/>
          <w:bCs/>
          <w:rtl/>
        </w:rPr>
        <w:t>חממ</w:t>
      </w:r>
      <w:r w:rsidRPr="00AA5065">
        <w:rPr>
          <w:rFonts w:eastAsia="Calibri" w:hint="cs"/>
          <w:b/>
          <w:bCs/>
          <w:rtl/>
        </w:rPr>
        <w:t>ה</w:t>
      </w:r>
      <w:r w:rsidRPr="00AA5065">
        <w:rPr>
          <w:rFonts w:eastAsia="Calibri"/>
          <w:b/>
          <w:bCs/>
          <w:rtl/>
        </w:rPr>
        <w:t xml:space="preserve"> לגידול קנאביס באזור אשלים </w:t>
      </w:r>
    </w:p>
    <w:p w:rsidR="00AA5065" w:rsidRPr="00AA5065" w:rsidP="00860D89">
      <w:pPr>
        <w:spacing w:line="269" w:lineRule="auto"/>
        <w:jc w:val="center"/>
        <w:rPr>
          <w:rFonts w:eastAsia="Calibri"/>
          <w:b/>
          <w:bCs/>
          <w:rtl/>
        </w:rPr>
      </w:pPr>
      <w:r w:rsidRPr="00AA5065">
        <w:rPr>
          <w:rFonts w:eastAsia="Calibri"/>
          <w:b/>
          <w:bCs/>
          <w:noProof/>
        </w:rPr>
        <w:drawing>
          <wp:inline distT="0" distB="0" distL="0" distR="0">
            <wp:extent cx="3717925" cy="4957233"/>
            <wp:effectExtent l="0" t="0" r="0" b="0"/>
            <wp:docPr id="15" name="תמונה 15"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pic:cNvPicPr>
                      <a:picLocks noChangeAspect="1" noChangeArrowheads="1"/>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736402" cy="4981869"/>
                    </a:xfrm>
                    <a:prstGeom prst="rect">
                      <a:avLst/>
                    </a:prstGeom>
                    <a:noFill/>
                    <a:ln>
                      <a:noFill/>
                    </a:ln>
                  </pic:spPr>
                </pic:pic>
              </a:graphicData>
            </a:graphic>
          </wp:inline>
        </w:drawing>
      </w:r>
    </w:p>
    <w:p w:rsidR="00AA5065" w:rsidRPr="00AA5065" w:rsidP="00246618">
      <w:pPr>
        <w:spacing w:before="120" w:line="269" w:lineRule="auto"/>
        <w:rPr>
          <w:rFonts w:eastAsia="Calibri"/>
          <w:szCs w:val="20"/>
          <w:rtl/>
        </w:rPr>
      </w:pPr>
      <w:r w:rsidRPr="00AA5065">
        <w:rPr>
          <w:rFonts w:eastAsia="Calibri" w:hint="eastAsia"/>
          <w:szCs w:val="20"/>
          <w:rtl/>
        </w:rPr>
        <w:t>צולם</w:t>
      </w:r>
      <w:r w:rsidRPr="00AA5065">
        <w:rPr>
          <w:rFonts w:eastAsia="Calibri"/>
          <w:szCs w:val="20"/>
          <w:rtl/>
        </w:rPr>
        <w:t xml:space="preserve"> </w:t>
      </w:r>
      <w:r w:rsidRPr="00AA5065">
        <w:rPr>
          <w:rFonts w:eastAsia="Calibri" w:hint="eastAsia"/>
          <w:szCs w:val="20"/>
          <w:rtl/>
        </w:rPr>
        <w:t>על</w:t>
      </w:r>
      <w:r w:rsidRPr="00AA5065">
        <w:rPr>
          <w:rFonts w:eastAsia="Calibri"/>
          <w:szCs w:val="20"/>
          <w:rtl/>
        </w:rPr>
        <w:t xml:space="preserve"> </w:t>
      </w:r>
      <w:r w:rsidRPr="00AA5065">
        <w:rPr>
          <w:rFonts w:eastAsia="Calibri" w:hint="eastAsia"/>
          <w:szCs w:val="20"/>
          <w:rtl/>
        </w:rPr>
        <w:t>ידי</w:t>
      </w:r>
      <w:r w:rsidRPr="00AA5065">
        <w:rPr>
          <w:rFonts w:eastAsia="Calibri"/>
          <w:szCs w:val="20"/>
          <w:rtl/>
        </w:rPr>
        <w:t xml:space="preserve"> </w:t>
      </w:r>
      <w:r w:rsidRPr="00AA5065">
        <w:rPr>
          <w:rFonts w:eastAsia="Calibri" w:hint="eastAsia"/>
          <w:szCs w:val="20"/>
          <w:rtl/>
        </w:rPr>
        <w:t>נציגי</w:t>
      </w:r>
      <w:r w:rsidRPr="00AA5065">
        <w:rPr>
          <w:rFonts w:eastAsia="Calibri"/>
          <w:szCs w:val="20"/>
          <w:rtl/>
        </w:rPr>
        <w:t xml:space="preserve"> </w:t>
      </w:r>
      <w:r w:rsidRPr="00AA5065">
        <w:rPr>
          <w:rFonts w:eastAsia="Calibri" w:hint="eastAsia"/>
          <w:szCs w:val="20"/>
          <w:rtl/>
        </w:rPr>
        <w:t>חברת</w:t>
      </w:r>
      <w:r w:rsidRPr="00AA5065">
        <w:rPr>
          <w:rFonts w:eastAsia="Calibri"/>
          <w:szCs w:val="20"/>
          <w:rtl/>
        </w:rPr>
        <w:t xml:space="preserve"> </w:t>
      </w:r>
      <w:r w:rsidRPr="00AA5065">
        <w:rPr>
          <w:rFonts w:eastAsia="Calibri" w:hint="eastAsia"/>
          <w:szCs w:val="20"/>
          <w:rtl/>
        </w:rPr>
        <w:t>מקורות</w:t>
      </w:r>
      <w:r w:rsidRPr="00AA5065">
        <w:rPr>
          <w:rFonts w:eastAsia="Calibri"/>
          <w:szCs w:val="20"/>
          <w:rtl/>
        </w:rPr>
        <w:t xml:space="preserve"> </w:t>
      </w:r>
      <w:r w:rsidRPr="00AA5065">
        <w:rPr>
          <w:rFonts w:eastAsia="Calibri" w:hint="eastAsia"/>
          <w:szCs w:val="20"/>
          <w:rtl/>
        </w:rPr>
        <w:t>ב</w:t>
      </w:r>
      <w:r w:rsidRPr="00AA5065">
        <w:rPr>
          <w:rFonts w:eastAsia="Calibri"/>
          <w:szCs w:val="20"/>
          <w:rtl/>
        </w:rPr>
        <w:t>-23.7.24.</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bookmarkStart w:id="121" w:name="_Hlk204859534"/>
      <w:r w:rsidRPr="00AA5065">
        <w:rPr>
          <w:rFonts w:eastAsia="Calibri" w:hint="cs"/>
          <w:b/>
          <w:bCs/>
          <w:rtl/>
        </w:rPr>
        <w:t xml:space="preserve">בביקורת הקודמת עלה כי קיימת תופעה של פגיעה בתשתיות חברת מקורות באזור הנגב, וכי </w:t>
      </w:r>
      <w:r w:rsidRPr="00AA5065">
        <w:rPr>
          <w:rFonts w:eastAsia="Calibri"/>
          <w:b/>
          <w:bCs/>
          <w:rtl/>
        </w:rPr>
        <w:t>התרחשו בממוצע כ-105 אירועים מדי שנה, ובסך הכול 1,150 אירועים בשנים 2008 - 2018.‏</w:t>
      </w:r>
      <w:r w:rsidRPr="00AA5065">
        <w:rPr>
          <w:rFonts w:eastAsia="Calibri" w:hint="cs"/>
          <w:b/>
          <w:bCs/>
          <w:rtl/>
        </w:rPr>
        <w:t xml:space="preserve"> בביקורת המעקב נמצא כי הליקוי לא תוקן; ומספר אירועי הפגיעה שעימם מתמודדת חברת מקורות, בממוצע שנתי, נותר כמעט זהה: כ-103 אירועים מדי שנה, ובהם בין היתר חיתוך כבלים, גניבה והצתה של שנאים.</w:t>
      </w:r>
    </w:p>
    <w:bookmarkEnd w:id="121"/>
    <w:p w:rsidR="00AA5065" w:rsidRPr="00AA5065" w:rsidP="00246618">
      <w:pPr>
        <w:spacing w:before="120" w:line="269" w:lineRule="auto"/>
        <w:ind w:left="-567"/>
        <w:rPr>
          <w:rFonts w:eastAsia="Calibri"/>
          <w:szCs w:val="20"/>
          <w:rtl/>
        </w:rPr>
      </w:pPr>
    </w:p>
    <w:p w:rsidR="00AA5065" w:rsidRPr="00AA5065" w:rsidP="00860D89">
      <w:pPr>
        <w:spacing w:line="269" w:lineRule="auto"/>
        <w:jc w:val="center"/>
        <w:rPr>
          <w:rFonts w:eastAsia="Calibri"/>
          <w:b/>
          <w:bCs/>
          <w:rtl/>
        </w:rPr>
      </w:pPr>
      <w:r w:rsidRPr="00AA5065">
        <w:rPr>
          <w:rFonts w:eastAsia="Calibri" w:hint="cs"/>
          <w:b/>
          <w:bCs/>
          <w:rtl/>
        </w:rPr>
        <w:t>מידת תיקון הליקוי</w:t>
      </w:r>
    </w:p>
    <w:p w:rsidR="00AA5065" w:rsidRPr="00AA5065" w:rsidP="00860D89">
      <w:pPr>
        <w:spacing w:line="269" w:lineRule="auto"/>
        <w:rPr>
          <w:rFonts w:eastAsia="Calibri"/>
          <w:b/>
          <w:bCs/>
          <w:rtl/>
        </w:rPr>
      </w:pPr>
      <w:r w:rsidRPr="00AA5065">
        <w:rPr>
          <w:rFonts w:eastAsia="Calibri"/>
          <w:noProof/>
        </w:rPr>
        <w:drawing>
          <wp:anchor distT="0" distB="0" distL="114300" distR="114300" simplePos="0" relativeHeight="251658240" behindDoc="1" locked="0" layoutInCell="1" allowOverlap="1">
            <wp:simplePos x="0" y="0"/>
            <wp:positionH relativeFrom="column">
              <wp:posOffset>916240</wp:posOffset>
            </wp:positionH>
            <wp:positionV relativeFrom="paragraph">
              <wp:posOffset>64938</wp:posOffset>
            </wp:positionV>
            <wp:extent cx="3422650" cy="933450"/>
            <wp:effectExtent l="0" t="0" r="6350" b="0"/>
            <wp:wrapNone/>
            <wp:docPr id="57" name="תמונה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2"/>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265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065" w:rsidRPr="00AA5065" w:rsidP="00860D89">
      <w:pPr>
        <w:spacing w:line="269" w:lineRule="auto"/>
        <w:rPr>
          <w:rFonts w:eastAsia="Calibri"/>
          <w:b/>
          <w:bCs/>
          <w:rtl/>
        </w:rPr>
      </w:pPr>
    </w:p>
    <w:p w:rsidR="00AA5065" w:rsidRPr="00AA5065" w:rsidP="00860D89">
      <w:pPr>
        <w:spacing w:line="269" w:lineRule="auto"/>
        <w:rPr>
          <w:rFonts w:eastAsia="Calibri"/>
          <w:b/>
          <w:bCs/>
          <w:rtl/>
        </w:rPr>
      </w:pPr>
    </w:p>
    <w:p w:rsidR="00AA5065" w:rsidRPr="00AA5065" w:rsidP="00860D89">
      <w:pPr>
        <w:spacing w:line="269" w:lineRule="auto"/>
        <w:rPr>
          <w:rFonts w:eastAsia="Calibri"/>
          <w:b/>
          <w:bCs/>
          <w:rtl/>
        </w:rPr>
      </w:pPr>
    </w:p>
    <w:p w:rsidR="00AA5065" w:rsidRPr="00AA5065" w:rsidP="00860D89">
      <w:pPr>
        <w:spacing w:line="269" w:lineRule="auto"/>
        <w:rPr>
          <w:rFonts w:eastAsia="Calibri"/>
          <w:rtl/>
        </w:rPr>
      </w:pPr>
    </w:p>
    <w:p w:rsidR="00AA5065" w:rsidRPr="00AA5065" w:rsidP="00860D89">
      <w:pPr>
        <w:spacing w:line="269" w:lineRule="auto"/>
        <w:rPr>
          <w:rFonts w:eastAsia="Calibri"/>
          <w:b/>
          <w:bCs/>
          <w:rtl/>
        </w:rPr>
      </w:pPr>
    </w:p>
    <w:p w:rsidR="00AA5065" w:rsidRPr="00AA5065" w:rsidP="00860D89">
      <w:pPr>
        <w:spacing w:line="269" w:lineRule="auto"/>
        <w:rPr>
          <w:rFonts w:eastAsia="Calibri"/>
          <w:b/>
          <w:bCs/>
          <w:rtl/>
        </w:rPr>
      </w:pPr>
    </w:p>
    <w:p w:rsidR="00AA5065" w:rsidRPr="00AA5065" w:rsidP="00860D89">
      <w:pPr>
        <w:spacing w:line="269" w:lineRule="auto"/>
        <w:rPr>
          <w:rFonts w:eastAsia="Calibri"/>
          <w:b/>
          <w:bCs/>
          <w:rtl/>
        </w:rPr>
      </w:pPr>
      <w:r w:rsidRPr="00AA5065">
        <w:rPr>
          <w:rFonts w:eastAsia="Calibri" w:hint="cs"/>
          <w:b/>
          <w:bCs/>
          <w:rtl/>
        </w:rPr>
        <w:t>מומלץ כי משטרת ישראל בשיתוף חברת מקורות יפעלו להגברת האפקטיביות של מערכי ההגנה על תשתיות חברת מקורות ולהגברת שיתוף הפעולה ביניהם בתחום זה.</w:t>
      </w:r>
    </w:p>
    <w:p w:rsidR="00AA5065" w:rsidRPr="00AA5065" w:rsidP="00860D89">
      <w:pPr>
        <w:spacing w:line="269" w:lineRule="auto"/>
        <w:rPr>
          <w:rFonts w:eastAsia="Calibri"/>
          <w:rtl/>
        </w:rPr>
      </w:pPr>
      <w:bookmarkStart w:id="122" w:name="_Hlk208931386"/>
      <w:r w:rsidRPr="00AA5065">
        <w:rPr>
          <w:rFonts w:eastAsia="Calibri" w:hint="cs"/>
          <w:rtl/>
        </w:rPr>
        <w:t>חברת מקורות מסרה בתשובתה</w:t>
      </w:r>
      <w:r w:rsidRPr="00AA5065">
        <w:rPr>
          <w:rFonts w:eastAsia="Calibri"/>
          <w:rtl/>
        </w:rPr>
        <w:t xml:space="preserve"> </w:t>
      </w:r>
      <w:r w:rsidRPr="00AA5065">
        <w:rPr>
          <w:rFonts w:eastAsia="Calibri" w:hint="eastAsia"/>
          <w:rtl/>
        </w:rPr>
        <w:t>מיום</w:t>
      </w:r>
      <w:r w:rsidRPr="00AA5065">
        <w:rPr>
          <w:rFonts w:eastAsia="Calibri"/>
          <w:rtl/>
        </w:rPr>
        <w:t xml:space="preserve"> 1.9.25 כי "במהלך </w:t>
      </w:r>
      <w:bookmarkEnd w:id="122"/>
      <w:r w:rsidRPr="00AA5065">
        <w:rPr>
          <w:rFonts w:eastAsia="Calibri" w:hint="eastAsia"/>
          <w:rtl/>
        </w:rPr>
        <w:t>שנת</w:t>
      </w:r>
      <w:r w:rsidRPr="00AA5065">
        <w:rPr>
          <w:rFonts w:eastAsia="Calibri"/>
          <w:rtl/>
        </w:rPr>
        <w:t xml:space="preserve"> 2023 </w:t>
      </w:r>
      <w:r w:rsidRPr="00AA5065">
        <w:rPr>
          <w:rFonts w:eastAsia="Calibri" w:hint="eastAsia"/>
          <w:rtl/>
        </w:rPr>
        <w:t>החלו</w:t>
      </w:r>
      <w:r w:rsidRPr="00AA5065">
        <w:rPr>
          <w:rFonts w:eastAsia="Calibri"/>
          <w:rtl/>
        </w:rPr>
        <w:t xml:space="preserve"> </w:t>
      </w:r>
      <w:r w:rsidRPr="00AA5065">
        <w:rPr>
          <w:rFonts w:eastAsia="Calibri" w:hint="eastAsia"/>
          <w:rtl/>
        </w:rPr>
        <w:t>תיאומים</w:t>
      </w:r>
      <w:r w:rsidRPr="00AA5065">
        <w:rPr>
          <w:rFonts w:eastAsia="Calibri"/>
          <w:rtl/>
        </w:rPr>
        <w:t xml:space="preserve"> </w:t>
      </w:r>
      <w:r w:rsidRPr="00AA5065">
        <w:rPr>
          <w:rFonts w:eastAsia="Calibri" w:hint="eastAsia"/>
          <w:rtl/>
        </w:rPr>
        <w:t>ראשוניים</w:t>
      </w:r>
      <w:r w:rsidRPr="00AA5065">
        <w:rPr>
          <w:rFonts w:eastAsia="Calibri"/>
          <w:rtl/>
        </w:rPr>
        <w:t xml:space="preserve"> </w:t>
      </w:r>
      <w:r w:rsidRPr="00AA5065">
        <w:rPr>
          <w:rFonts w:eastAsia="Calibri" w:hint="eastAsia"/>
          <w:rtl/>
        </w:rPr>
        <w:t>בין</w:t>
      </w:r>
      <w:r w:rsidRPr="00AA5065">
        <w:rPr>
          <w:rFonts w:eastAsia="Calibri"/>
          <w:rtl/>
        </w:rPr>
        <w:t xml:space="preserve"> </w:t>
      </w:r>
      <w:r w:rsidRPr="00AA5065">
        <w:rPr>
          <w:rFonts w:eastAsia="Calibri" w:hint="eastAsia"/>
          <w:rtl/>
        </w:rPr>
        <w:t>גורמי</w:t>
      </w:r>
      <w:r w:rsidRPr="00AA5065">
        <w:rPr>
          <w:rFonts w:eastAsia="Calibri"/>
          <w:rtl/>
        </w:rPr>
        <w:t xml:space="preserve"> </w:t>
      </w:r>
      <w:r w:rsidRPr="00AA5065">
        <w:rPr>
          <w:rFonts w:eastAsia="Calibri" w:hint="eastAsia"/>
          <w:rtl/>
        </w:rPr>
        <w:t>הביטחון</w:t>
      </w:r>
      <w:r w:rsidRPr="00AA5065">
        <w:rPr>
          <w:rFonts w:eastAsia="Calibri"/>
          <w:rtl/>
        </w:rPr>
        <w:t xml:space="preserve"> של מקורות לבין משטרת ישראל - מחוז דרום, לצורך קידום פעילות משותפת להגנה על מתקני תשתית חיוניים בדרום.</w:t>
      </w:r>
      <w:r w:rsidRPr="00AA5065">
        <w:rPr>
          <w:rFonts w:eastAsia="Calibri" w:hint="cs"/>
          <w:rtl/>
        </w:rPr>
        <w:t xml:space="preserve">.. </w:t>
      </w:r>
      <w:r w:rsidRPr="00AA5065">
        <w:rPr>
          <w:rFonts w:eastAsia="Calibri" w:hint="eastAsia"/>
          <w:rtl/>
        </w:rPr>
        <w:t>עם</w:t>
      </w:r>
      <w:r w:rsidRPr="00AA5065">
        <w:rPr>
          <w:rFonts w:eastAsia="Calibri"/>
          <w:rtl/>
        </w:rPr>
        <w:t xml:space="preserve"> </w:t>
      </w:r>
      <w:r w:rsidRPr="00AA5065">
        <w:rPr>
          <w:rFonts w:eastAsia="Calibri" w:hint="eastAsia"/>
          <w:rtl/>
        </w:rPr>
        <w:t>זאת</w:t>
      </w:r>
      <w:r w:rsidRPr="00AA5065">
        <w:rPr>
          <w:rFonts w:eastAsia="Calibri"/>
          <w:rtl/>
        </w:rPr>
        <w:t xml:space="preserve">, </w:t>
      </w:r>
      <w:r w:rsidRPr="00AA5065">
        <w:rPr>
          <w:rFonts w:eastAsia="Calibri" w:hint="eastAsia"/>
          <w:rtl/>
        </w:rPr>
        <w:t>עקב</w:t>
      </w:r>
      <w:r w:rsidRPr="00AA5065">
        <w:rPr>
          <w:rFonts w:eastAsia="Calibri"/>
          <w:rtl/>
        </w:rPr>
        <w:t xml:space="preserve"> </w:t>
      </w:r>
      <w:r w:rsidRPr="00AA5065">
        <w:rPr>
          <w:rFonts w:eastAsia="Calibri" w:hint="eastAsia"/>
          <w:rtl/>
        </w:rPr>
        <w:t>אירועי</w:t>
      </w:r>
      <w:r w:rsidRPr="00AA5065">
        <w:rPr>
          <w:rFonts w:eastAsia="Calibri"/>
          <w:rtl/>
        </w:rPr>
        <w:t xml:space="preserve"> </w:t>
      </w:r>
      <w:r w:rsidRPr="00AA5065">
        <w:rPr>
          <w:rFonts w:eastAsia="Calibri" w:hint="eastAsia"/>
          <w:rtl/>
        </w:rPr>
        <w:t>ה</w:t>
      </w:r>
      <w:r w:rsidRPr="00AA5065">
        <w:rPr>
          <w:rFonts w:eastAsia="Calibri"/>
          <w:rtl/>
        </w:rPr>
        <w:t xml:space="preserve">-7 </w:t>
      </w:r>
      <w:r w:rsidRPr="00AA5065">
        <w:rPr>
          <w:rFonts w:eastAsia="Calibri" w:hint="eastAsia"/>
          <w:rtl/>
        </w:rPr>
        <w:t>באוקטובר</w:t>
      </w:r>
      <w:r w:rsidRPr="00AA5065">
        <w:rPr>
          <w:rFonts w:eastAsia="Calibri"/>
          <w:rtl/>
        </w:rPr>
        <w:t xml:space="preserve"> </w:t>
      </w:r>
      <w:r w:rsidRPr="00AA5065">
        <w:rPr>
          <w:rFonts w:eastAsia="Calibri" w:hint="eastAsia"/>
          <w:rtl/>
        </w:rPr>
        <w:t>ופרוץ</w:t>
      </w:r>
      <w:r w:rsidRPr="00AA5065">
        <w:rPr>
          <w:rFonts w:eastAsia="Calibri"/>
          <w:rtl/>
        </w:rPr>
        <w:t xml:space="preserve"> </w:t>
      </w:r>
      <w:r w:rsidRPr="00AA5065">
        <w:rPr>
          <w:rFonts w:eastAsia="Calibri" w:hint="eastAsia"/>
          <w:rtl/>
        </w:rPr>
        <w:t>מלחמת</w:t>
      </w:r>
      <w:r w:rsidRPr="00AA5065">
        <w:rPr>
          <w:rFonts w:eastAsia="Calibri"/>
          <w:rtl/>
        </w:rPr>
        <w:t xml:space="preserve"> </w:t>
      </w:r>
      <w:r w:rsidRPr="00AA5065">
        <w:rPr>
          <w:rFonts w:eastAsia="Calibri" w:hint="eastAsia"/>
          <w:rtl/>
        </w:rPr>
        <w:t>חרבות</w:t>
      </w:r>
      <w:r w:rsidRPr="00AA5065">
        <w:rPr>
          <w:rFonts w:eastAsia="Calibri"/>
          <w:rtl/>
        </w:rPr>
        <w:t xml:space="preserve"> </w:t>
      </w:r>
      <w:r w:rsidRPr="00AA5065">
        <w:rPr>
          <w:rFonts w:eastAsia="Calibri" w:hint="eastAsia"/>
          <w:rtl/>
        </w:rPr>
        <w:t>ברזל</w:t>
      </w:r>
      <w:r w:rsidRPr="00AA5065">
        <w:rPr>
          <w:rFonts w:eastAsia="Calibri"/>
          <w:rtl/>
        </w:rPr>
        <w:t xml:space="preserve">, </w:t>
      </w:r>
      <w:r w:rsidRPr="00AA5065">
        <w:rPr>
          <w:rFonts w:eastAsia="Calibri" w:hint="eastAsia"/>
          <w:rtl/>
        </w:rPr>
        <w:t>הופסקו</w:t>
      </w:r>
      <w:r w:rsidRPr="00AA5065">
        <w:rPr>
          <w:rFonts w:eastAsia="Calibri"/>
          <w:rtl/>
        </w:rPr>
        <w:t xml:space="preserve"> </w:t>
      </w:r>
      <w:r w:rsidRPr="00AA5065">
        <w:rPr>
          <w:rFonts w:eastAsia="Calibri" w:hint="eastAsia"/>
          <w:rtl/>
        </w:rPr>
        <w:t>המגעים</w:t>
      </w:r>
      <w:r w:rsidRPr="00AA5065">
        <w:rPr>
          <w:rFonts w:eastAsia="Calibri"/>
          <w:rtl/>
        </w:rPr>
        <w:t xml:space="preserve"> </w:t>
      </w:r>
      <w:r w:rsidRPr="00AA5065">
        <w:rPr>
          <w:rFonts w:eastAsia="Calibri" w:hint="eastAsia"/>
          <w:rtl/>
        </w:rPr>
        <w:t>ולא</w:t>
      </w:r>
      <w:r w:rsidRPr="00AA5065">
        <w:rPr>
          <w:rFonts w:eastAsia="Calibri"/>
          <w:rtl/>
        </w:rPr>
        <w:t xml:space="preserve"> </w:t>
      </w:r>
      <w:r w:rsidRPr="00AA5065">
        <w:rPr>
          <w:rFonts w:eastAsia="Calibri" w:hint="eastAsia"/>
          <w:rtl/>
        </w:rPr>
        <w:t>חודשו</w:t>
      </w:r>
      <w:r w:rsidRPr="00AA5065">
        <w:rPr>
          <w:rFonts w:eastAsia="Calibri"/>
          <w:rtl/>
        </w:rPr>
        <w:t xml:space="preserve"> </w:t>
      </w:r>
      <w:r w:rsidRPr="00AA5065">
        <w:rPr>
          <w:rFonts w:eastAsia="Calibri" w:hint="eastAsia"/>
          <w:rtl/>
        </w:rPr>
        <w:t>עד</w:t>
      </w:r>
      <w:r w:rsidRPr="00AA5065">
        <w:rPr>
          <w:rFonts w:eastAsia="Calibri"/>
          <w:rtl/>
        </w:rPr>
        <w:t xml:space="preserve"> </w:t>
      </w:r>
      <w:r w:rsidRPr="00AA5065">
        <w:rPr>
          <w:rFonts w:eastAsia="Calibri" w:hint="eastAsia"/>
          <w:rtl/>
        </w:rPr>
        <w:t>כה</w:t>
      </w:r>
      <w:r w:rsidRPr="00AA5065">
        <w:rPr>
          <w:rFonts w:eastAsia="Calibri"/>
          <w:rtl/>
        </w:rPr>
        <w:t>.</w:t>
      </w:r>
      <w:r w:rsidRPr="00AA5065">
        <w:rPr>
          <w:rFonts w:eastAsia="Calibri" w:hint="cs"/>
          <w:rtl/>
        </w:rPr>
        <w:t>..</w:t>
      </w:r>
      <w:r w:rsidRPr="00AA5065">
        <w:rPr>
          <w:rFonts w:eastAsia="Calibri"/>
          <w:rtl/>
        </w:rPr>
        <w:t xml:space="preserve"> </w:t>
      </w:r>
      <w:r w:rsidRPr="00AA5065">
        <w:rPr>
          <w:rFonts w:eastAsia="Calibri" w:hint="eastAsia"/>
          <w:rtl/>
        </w:rPr>
        <w:t>בגזרת</w:t>
      </w:r>
      <w:r w:rsidRPr="00AA5065">
        <w:rPr>
          <w:rFonts w:eastAsia="Calibri"/>
          <w:rtl/>
        </w:rPr>
        <w:t xml:space="preserve"> </w:t>
      </w:r>
      <w:r w:rsidRPr="00AA5065">
        <w:rPr>
          <w:rFonts w:eastAsia="Calibri" w:hint="eastAsia"/>
          <w:rtl/>
        </w:rPr>
        <w:t>הדרום</w:t>
      </w:r>
      <w:r w:rsidRPr="00AA5065">
        <w:rPr>
          <w:rFonts w:eastAsia="Calibri"/>
          <w:rtl/>
        </w:rPr>
        <w:t xml:space="preserve"> </w:t>
      </w:r>
      <w:r w:rsidRPr="00AA5065">
        <w:rPr>
          <w:rFonts w:eastAsia="Calibri" w:hint="eastAsia"/>
          <w:rtl/>
        </w:rPr>
        <w:t>נמשכים</w:t>
      </w:r>
      <w:r w:rsidRPr="00AA5065">
        <w:rPr>
          <w:rFonts w:eastAsia="Calibri"/>
          <w:rtl/>
        </w:rPr>
        <w:t xml:space="preserve"> </w:t>
      </w:r>
      <w:r w:rsidRPr="00AA5065">
        <w:rPr>
          <w:rFonts w:eastAsia="Calibri" w:hint="eastAsia"/>
          <w:rtl/>
        </w:rPr>
        <w:t>אירועי</w:t>
      </w:r>
      <w:r w:rsidRPr="00AA5065">
        <w:rPr>
          <w:rFonts w:eastAsia="Calibri"/>
          <w:rtl/>
        </w:rPr>
        <w:t xml:space="preserve"> </w:t>
      </w:r>
      <w:r w:rsidRPr="00AA5065">
        <w:rPr>
          <w:rFonts w:eastAsia="Calibri" w:hint="eastAsia"/>
          <w:rtl/>
        </w:rPr>
        <w:t>פריצה</w:t>
      </w:r>
      <w:r w:rsidRPr="00AA5065">
        <w:rPr>
          <w:rFonts w:eastAsia="Calibri"/>
          <w:rtl/>
        </w:rPr>
        <w:t xml:space="preserve"> </w:t>
      </w:r>
      <w:r w:rsidRPr="00AA5065">
        <w:rPr>
          <w:rFonts w:eastAsia="Calibri" w:hint="eastAsia"/>
          <w:rtl/>
        </w:rPr>
        <w:t>ונזק</w:t>
      </w:r>
      <w:r w:rsidRPr="00AA5065">
        <w:rPr>
          <w:rFonts w:eastAsia="Calibri"/>
          <w:rtl/>
        </w:rPr>
        <w:t xml:space="preserve"> </w:t>
      </w:r>
      <w:r w:rsidRPr="00AA5065">
        <w:rPr>
          <w:rFonts w:eastAsia="Calibri" w:hint="eastAsia"/>
          <w:rtl/>
        </w:rPr>
        <w:t>למתקני</w:t>
      </w:r>
      <w:r w:rsidRPr="00AA5065">
        <w:rPr>
          <w:rFonts w:eastAsia="Calibri"/>
          <w:rtl/>
        </w:rPr>
        <w:t xml:space="preserve"> </w:t>
      </w:r>
      <w:r w:rsidRPr="00AA5065">
        <w:rPr>
          <w:rFonts w:eastAsia="Calibri" w:hint="eastAsia"/>
          <w:rtl/>
        </w:rPr>
        <w:t>מקורות</w:t>
      </w:r>
      <w:r w:rsidRPr="00AA5065">
        <w:rPr>
          <w:rFonts w:eastAsia="Calibri"/>
          <w:rtl/>
        </w:rPr>
        <w:t xml:space="preserve">, </w:t>
      </w:r>
      <w:r w:rsidRPr="00AA5065">
        <w:rPr>
          <w:rFonts w:eastAsia="Calibri" w:hint="eastAsia"/>
          <w:rtl/>
        </w:rPr>
        <w:t>בעיקר</w:t>
      </w:r>
      <w:r w:rsidRPr="00AA5065">
        <w:rPr>
          <w:rFonts w:eastAsia="Calibri"/>
          <w:rtl/>
        </w:rPr>
        <w:t xml:space="preserve"> </w:t>
      </w:r>
      <w:r w:rsidRPr="00AA5065">
        <w:rPr>
          <w:rFonts w:eastAsia="Calibri" w:hint="eastAsia"/>
          <w:rtl/>
        </w:rPr>
        <w:t>לצורך</w:t>
      </w:r>
      <w:r w:rsidRPr="00AA5065">
        <w:rPr>
          <w:rFonts w:eastAsia="Calibri"/>
          <w:rtl/>
        </w:rPr>
        <w:t xml:space="preserve"> </w:t>
      </w:r>
      <w:r w:rsidRPr="00AA5065">
        <w:rPr>
          <w:rFonts w:eastAsia="Calibri" w:hint="eastAsia"/>
          <w:rtl/>
        </w:rPr>
        <w:t>גניבת</w:t>
      </w:r>
      <w:r w:rsidRPr="00AA5065">
        <w:rPr>
          <w:rFonts w:eastAsia="Calibri"/>
          <w:rtl/>
        </w:rPr>
        <w:t xml:space="preserve"> </w:t>
      </w:r>
      <w:r w:rsidRPr="00AA5065">
        <w:rPr>
          <w:rFonts w:eastAsia="Calibri" w:hint="eastAsia"/>
          <w:rtl/>
        </w:rPr>
        <w:t>סולר</w:t>
      </w:r>
      <w:r w:rsidRPr="00AA5065">
        <w:rPr>
          <w:rFonts w:eastAsia="Calibri"/>
          <w:rtl/>
        </w:rPr>
        <w:t xml:space="preserve"> </w:t>
      </w:r>
      <w:r w:rsidRPr="00AA5065">
        <w:rPr>
          <w:rFonts w:eastAsia="Calibri" w:hint="eastAsia"/>
          <w:rtl/>
        </w:rPr>
        <w:t>ונחושת</w:t>
      </w:r>
      <w:r w:rsidRPr="00AA5065">
        <w:rPr>
          <w:rFonts w:eastAsia="Calibri"/>
          <w:rtl/>
        </w:rPr>
        <w:t xml:space="preserve"> </w:t>
      </w:r>
      <w:r w:rsidRPr="00AA5065">
        <w:rPr>
          <w:rFonts w:eastAsia="Calibri" w:hint="eastAsia"/>
          <w:rtl/>
        </w:rPr>
        <w:t>מארונות</w:t>
      </w:r>
      <w:r w:rsidRPr="00AA5065">
        <w:rPr>
          <w:rFonts w:eastAsia="Calibri"/>
          <w:rtl/>
        </w:rPr>
        <w:t xml:space="preserve"> </w:t>
      </w:r>
      <w:r w:rsidRPr="00AA5065">
        <w:rPr>
          <w:rFonts w:eastAsia="Calibri" w:hint="eastAsia"/>
          <w:rtl/>
        </w:rPr>
        <w:t>חשמל</w:t>
      </w:r>
      <w:r w:rsidRPr="00AA5065">
        <w:rPr>
          <w:rFonts w:eastAsia="Calibri"/>
          <w:rtl/>
        </w:rPr>
        <w:t xml:space="preserve"> </w:t>
      </w:r>
      <w:r w:rsidRPr="00AA5065">
        <w:rPr>
          <w:rFonts w:eastAsia="Calibri" w:hint="eastAsia"/>
          <w:rtl/>
        </w:rPr>
        <w:t>ושנאים</w:t>
      </w:r>
      <w:r w:rsidRPr="00AA5065">
        <w:rPr>
          <w:rFonts w:eastAsia="Calibri"/>
          <w:rtl/>
        </w:rPr>
        <w:t xml:space="preserve">. </w:t>
      </w:r>
      <w:r w:rsidRPr="00AA5065">
        <w:rPr>
          <w:rFonts w:eastAsia="Calibri" w:hint="eastAsia"/>
          <w:rtl/>
        </w:rPr>
        <w:t>מדובר</w:t>
      </w:r>
      <w:r w:rsidRPr="00AA5065">
        <w:rPr>
          <w:rFonts w:eastAsia="Calibri"/>
          <w:rtl/>
        </w:rPr>
        <w:t xml:space="preserve"> </w:t>
      </w:r>
      <w:r w:rsidRPr="00AA5065">
        <w:rPr>
          <w:rFonts w:eastAsia="Calibri" w:hint="eastAsia"/>
          <w:rtl/>
        </w:rPr>
        <w:t>בפגיעה</w:t>
      </w:r>
      <w:r w:rsidRPr="00AA5065">
        <w:rPr>
          <w:rFonts w:eastAsia="Calibri"/>
          <w:rtl/>
        </w:rPr>
        <w:t xml:space="preserve"> </w:t>
      </w:r>
      <w:r w:rsidRPr="00AA5065">
        <w:rPr>
          <w:rFonts w:eastAsia="Calibri" w:hint="eastAsia"/>
          <w:rtl/>
        </w:rPr>
        <w:t>ישירה</w:t>
      </w:r>
      <w:r w:rsidRPr="00AA5065">
        <w:rPr>
          <w:rFonts w:eastAsia="Calibri"/>
          <w:rtl/>
        </w:rPr>
        <w:t xml:space="preserve"> </w:t>
      </w:r>
      <w:r w:rsidRPr="00AA5065">
        <w:rPr>
          <w:rFonts w:eastAsia="Calibri" w:hint="eastAsia"/>
          <w:rtl/>
        </w:rPr>
        <w:t>בתשתיות</w:t>
      </w:r>
      <w:r w:rsidRPr="00AA5065">
        <w:rPr>
          <w:rFonts w:eastAsia="Calibri"/>
          <w:rtl/>
        </w:rPr>
        <w:t xml:space="preserve"> </w:t>
      </w:r>
      <w:r w:rsidRPr="00AA5065">
        <w:rPr>
          <w:rFonts w:eastAsia="Calibri" w:hint="eastAsia"/>
          <w:rtl/>
        </w:rPr>
        <w:t>חיוניות</w:t>
      </w:r>
      <w:r w:rsidRPr="00AA5065">
        <w:rPr>
          <w:rFonts w:eastAsia="Calibri"/>
          <w:rtl/>
        </w:rPr>
        <w:t xml:space="preserve"> </w:t>
      </w:r>
      <w:r w:rsidRPr="00AA5065">
        <w:rPr>
          <w:rFonts w:eastAsia="Calibri" w:hint="eastAsia"/>
          <w:rtl/>
        </w:rPr>
        <w:t>ובסיכון</w:t>
      </w:r>
      <w:r w:rsidRPr="00AA5065">
        <w:rPr>
          <w:rFonts w:eastAsia="Calibri"/>
          <w:rtl/>
        </w:rPr>
        <w:t xml:space="preserve"> </w:t>
      </w:r>
      <w:r w:rsidRPr="00AA5065">
        <w:rPr>
          <w:rFonts w:eastAsia="Calibri" w:hint="eastAsia"/>
          <w:rtl/>
        </w:rPr>
        <w:t>ממשי</w:t>
      </w:r>
      <w:r w:rsidRPr="00AA5065">
        <w:rPr>
          <w:rFonts w:eastAsia="Calibri"/>
          <w:rtl/>
        </w:rPr>
        <w:t xml:space="preserve"> </w:t>
      </w:r>
      <w:r w:rsidRPr="00AA5065">
        <w:rPr>
          <w:rFonts w:eastAsia="Calibri" w:hint="eastAsia"/>
          <w:rtl/>
        </w:rPr>
        <w:t>להמשך</w:t>
      </w:r>
      <w:r w:rsidRPr="00AA5065">
        <w:rPr>
          <w:rFonts w:eastAsia="Calibri"/>
          <w:rtl/>
        </w:rPr>
        <w:t xml:space="preserve"> </w:t>
      </w:r>
      <w:r w:rsidRPr="00AA5065">
        <w:rPr>
          <w:rFonts w:eastAsia="Calibri" w:hint="eastAsia"/>
          <w:rtl/>
        </w:rPr>
        <w:t>הרציפות</w:t>
      </w:r>
      <w:r w:rsidRPr="00AA5065">
        <w:rPr>
          <w:rFonts w:eastAsia="Calibri"/>
          <w:rtl/>
        </w:rPr>
        <w:t xml:space="preserve"> </w:t>
      </w:r>
      <w:r w:rsidRPr="00AA5065">
        <w:rPr>
          <w:rFonts w:eastAsia="Calibri" w:hint="eastAsia"/>
          <w:rtl/>
        </w:rPr>
        <w:t>התפקודית</w:t>
      </w:r>
      <w:r w:rsidRPr="00AA5065">
        <w:rPr>
          <w:rFonts w:eastAsia="Calibri"/>
          <w:rtl/>
        </w:rPr>
        <w:t>.</w:t>
      </w:r>
      <w:r w:rsidRPr="00AA5065">
        <w:rPr>
          <w:rFonts w:eastAsia="Calibri" w:hint="cs"/>
          <w:rtl/>
        </w:rPr>
        <w:t>.. לאורך קווי המים של מקורות בנגב נרשמים נזקים תכופים, בעיקר לצורך גניבת מים להשקיית חממות קנאביס בלתי חוקיות... ממוצע האירועים השנתי בגזרת הדרום נותר גבוה ועומד על כ-100 אירועים בשנה, נתון המעיד על הצורך הדחוף בהגברת האכיפה והמשילות באזור. חברת מקורות תמשיך לפעול בשיתוף פעולה עם כלל הגורמים הרלוונטיים... לצמצום הפשיעה הפוגעת בתשתיות הלאומיות ולשמירה על רציפות השירות לאזרחי מדינת ישראל"</w:t>
      </w:r>
      <w:bookmarkStart w:id="123" w:name="_Toc9869677"/>
      <w:bookmarkStart w:id="124" w:name="_Toc31186208"/>
      <w:bookmarkStart w:id="125" w:name="_Toc60063344"/>
      <w:bookmarkStart w:id="126" w:name="_Toc60125414"/>
      <w:bookmarkStart w:id="127" w:name="_Toc72950314"/>
      <w:r w:rsidRPr="00AA5065">
        <w:rPr>
          <w:rFonts w:eastAsia="Calibri" w:hint="cs"/>
          <w:rtl/>
        </w:rPr>
        <w:t>.</w:t>
      </w:r>
    </w:p>
    <w:p w:rsidR="00AA5065" w:rsidRPr="00AA5065" w:rsidP="00860D89">
      <w:pPr>
        <w:spacing w:line="269" w:lineRule="auto"/>
        <w:rPr>
          <w:rFonts w:eastAsia="Calibri"/>
          <w:rtl/>
        </w:rPr>
      </w:pPr>
    </w:p>
    <w:p w:rsidR="00AA5065" w:rsidRPr="00AA5065" w:rsidP="00246618">
      <w:pPr>
        <w:keepNext/>
        <w:keepLines/>
        <w:spacing w:before="120" w:line="269" w:lineRule="auto"/>
        <w:outlineLvl w:val="3"/>
        <w:rPr>
          <w:rFonts w:eastAsia="Times New Roman"/>
          <w:bCs/>
          <w:szCs w:val="26"/>
          <w:rtl/>
        </w:rPr>
      </w:pPr>
      <w:r w:rsidRPr="00AA5065">
        <w:rPr>
          <w:rFonts w:eastAsia="Times New Roman" w:hint="cs"/>
          <w:bCs/>
          <w:szCs w:val="26"/>
          <w:rtl/>
        </w:rPr>
        <w:t>פגיעה בתשתיות חברת החשמל</w:t>
      </w:r>
      <w:bookmarkEnd w:id="123"/>
      <w:bookmarkEnd w:id="124"/>
      <w:bookmarkEnd w:id="125"/>
      <w:bookmarkEnd w:id="126"/>
      <w:bookmarkEnd w:id="127"/>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חברת החשמל לישראל היא חברה ממשלתית וציבורית המייצרת חשמל ומספקת אותו לכל מגזרי המשק הישראלי. חברת החשמל מחזיקה במתקני תשתיות רבים באזור צפון הנגב המשמשים אותה בפעילותה ומבטיחים כי אספקת החשמל ליישובים הפריפריאליים שבאזור זה תתבצע בצורה תקינה ותתנהל באופן סדיר ורצוף.</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חבלה במתקני חברת החשמל</w:t>
      </w:r>
    </w:p>
    <w:p w:rsidR="00AA5065" w:rsidRPr="00AA5065" w:rsidP="00860D89">
      <w:pPr>
        <w:spacing w:line="269" w:lineRule="auto"/>
        <w:rPr>
          <w:rFonts w:eastAsia="Calibri"/>
          <w:rtl/>
        </w:rPr>
      </w:pPr>
    </w:p>
    <w:p w:rsidR="00AA5065" w:rsidRPr="00AA5065" w:rsidP="00860D89">
      <w:pPr>
        <w:keepNext/>
        <w:keepLines/>
        <w:spacing w:line="269" w:lineRule="auto"/>
        <w:outlineLvl w:val="5"/>
        <w:rPr>
          <w:rFonts w:eastAsia="Times New Roman"/>
          <w:spacing w:val="40"/>
        </w:rPr>
      </w:pPr>
      <w:r w:rsidRPr="00AA5065">
        <w:rPr>
          <w:rFonts w:eastAsia="Times New Roman" w:hint="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בביקורת הקודמת הועלה כי </w:t>
      </w:r>
      <w:r w:rsidRPr="00AA5065">
        <w:rPr>
          <w:rFonts w:eastAsia="Calibri" w:hint="eastAsia"/>
          <w:rtl/>
        </w:rPr>
        <w:t>חברת</w:t>
      </w:r>
      <w:r w:rsidRPr="00AA5065">
        <w:rPr>
          <w:rFonts w:eastAsia="Calibri"/>
          <w:rtl/>
        </w:rPr>
        <w:t xml:space="preserve"> </w:t>
      </w:r>
      <w:r w:rsidRPr="00AA5065">
        <w:rPr>
          <w:rFonts w:eastAsia="Calibri" w:hint="eastAsia"/>
          <w:rtl/>
        </w:rPr>
        <w:t>החשמל</w:t>
      </w:r>
      <w:r w:rsidRPr="00AA5065">
        <w:rPr>
          <w:rFonts w:eastAsia="Calibri"/>
          <w:rtl/>
        </w:rPr>
        <w:t xml:space="preserve"> </w:t>
      </w:r>
      <w:r w:rsidRPr="00AA5065">
        <w:rPr>
          <w:rFonts w:eastAsia="Calibri" w:hint="eastAsia"/>
          <w:rtl/>
        </w:rPr>
        <w:t>מתמודדת</w:t>
      </w:r>
      <w:r w:rsidRPr="00AA5065">
        <w:rPr>
          <w:rFonts w:eastAsia="Calibri"/>
          <w:rtl/>
        </w:rPr>
        <w:t xml:space="preserve"> </w:t>
      </w:r>
      <w:r w:rsidRPr="00AA5065">
        <w:rPr>
          <w:rFonts w:eastAsia="Calibri" w:hint="cs"/>
          <w:rtl/>
        </w:rPr>
        <w:t>ב</w:t>
      </w:r>
      <w:r w:rsidRPr="00AA5065">
        <w:rPr>
          <w:rFonts w:eastAsia="Calibri" w:hint="eastAsia"/>
          <w:rtl/>
        </w:rPr>
        <w:t>מתקניה</w:t>
      </w:r>
      <w:r w:rsidRPr="00AA5065">
        <w:rPr>
          <w:rFonts w:eastAsia="Calibri"/>
          <w:rtl/>
        </w:rPr>
        <w:t xml:space="preserve"> </w:t>
      </w:r>
      <w:r w:rsidRPr="00AA5065">
        <w:rPr>
          <w:rFonts w:eastAsia="Calibri" w:hint="eastAsia"/>
          <w:rtl/>
        </w:rPr>
        <w:t>בנגב עם</w:t>
      </w:r>
      <w:r w:rsidRPr="00AA5065">
        <w:rPr>
          <w:rFonts w:eastAsia="Calibri"/>
          <w:rtl/>
        </w:rPr>
        <w:t xml:space="preserve"> </w:t>
      </w:r>
      <w:r w:rsidRPr="00AA5065">
        <w:rPr>
          <w:rFonts w:eastAsia="Calibri" w:hint="eastAsia"/>
          <w:rtl/>
        </w:rPr>
        <w:t>אירועי</w:t>
      </w:r>
      <w:r w:rsidRPr="00AA5065">
        <w:rPr>
          <w:rFonts w:eastAsia="Calibri"/>
          <w:rtl/>
        </w:rPr>
        <w:t xml:space="preserve"> </w:t>
      </w:r>
      <w:r w:rsidRPr="00AA5065">
        <w:rPr>
          <w:rFonts w:eastAsia="Calibri" w:hint="eastAsia"/>
          <w:rtl/>
        </w:rPr>
        <w:t>גניבה רבים</w:t>
      </w:r>
      <w:r w:rsidRPr="00AA5065">
        <w:rPr>
          <w:rFonts w:eastAsia="Calibri"/>
          <w:rtl/>
        </w:rPr>
        <w:t xml:space="preserve">, </w:t>
      </w:r>
      <w:r w:rsidRPr="00AA5065">
        <w:rPr>
          <w:rFonts w:eastAsia="Calibri" w:hint="eastAsia"/>
          <w:rtl/>
        </w:rPr>
        <w:t>בעיקר</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שנאים</w:t>
      </w:r>
      <w:r w:rsidRPr="00AA5065">
        <w:rPr>
          <w:rFonts w:eastAsia="Calibri"/>
          <w:rtl/>
        </w:rPr>
        <w:t xml:space="preserve"> </w:t>
      </w:r>
      <w:r w:rsidRPr="00AA5065">
        <w:rPr>
          <w:rFonts w:eastAsia="Calibri" w:hint="eastAsia"/>
          <w:rtl/>
        </w:rPr>
        <w:t>ממתכת</w:t>
      </w:r>
      <w:r w:rsidRPr="00AA5065">
        <w:rPr>
          <w:rFonts w:eastAsia="Calibri" w:hint="cs"/>
          <w:rtl/>
        </w:rPr>
        <w:t>, וכי מינואר 2018 עד ספטמבר 2019 תועדו 13 אירועי גניבה בצפון הנגב, בעיקר של שנאים, כבלי נחושת וציוד, המשמשים, ככל הנראה, מטרה בעיקר לסוחרי מתכת.</w:t>
      </w:r>
    </w:p>
    <w:p w:rsidR="00AA5065" w:rsidRPr="00AA5065" w:rsidP="00860D89">
      <w:pPr>
        <w:spacing w:line="269" w:lineRule="auto"/>
        <w:rPr>
          <w:rFonts w:eastAsia="Calibri"/>
          <w:rtl/>
        </w:rPr>
      </w:pPr>
    </w:p>
    <w:p w:rsidR="00AA5065" w:rsidRPr="00AA5065" w:rsidP="00860D89">
      <w:pPr>
        <w:keepNext/>
        <w:keepLines/>
        <w:spacing w:line="269" w:lineRule="auto"/>
        <w:outlineLvl w:val="5"/>
        <w:rPr>
          <w:rFonts w:eastAsia="Times New Roman"/>
          <w:spacing w:val="40"/>
          <w:rtl/>
        </w:rPr>
      </w:pPr>
      <w:r w:rsidRPr="00AA5065">
        <w:rPr>
          <w:rFonts w:eastAsia="Times New Roman" w:hint="eastAsia"/>
          <w:spacing w:val="40"/>
          <w:rtl/>
        </w:rPr>
        <w:t>ביקורת</w:t>
      </w:r>
      <w:r w:rsidRPr="00AA5065">
        <w:rPr>
          <w:rFonts w:eastAsia="Times New Roman"/>
          <w:spacing w:val="40"/>
          <w:rtl/>
        </w:rPr>
        <w:t xml:space="preserve"> </w:t>
      </w:r>
      <w:r w:rsidRPr="00AA5065">
        <w:rPr>
          <w:rFonts w:eastAsia="Times New Roman" w:hint="eastAsia"/>
          <w:spacing w:val="40"/>
          <w:rtl/>
        </w:rPr>
        <w:t>המעקב</w:t>
      </w:r>
    </w:p>
    <w:p w:rsidR="00AA5065" w:rsidRPr="00AA5065" w:rsidP="00860D89">
      <w:pPr>
        <w:spacing w:line="269" w:lineRule="auto"/>
        <w:ind w:left="-567"/>
        <w:rPr>
          <w:rFonts w:eastAsia="Calibri"/>
          <w:b/>
          <w:bCs/>
          <w:szCs w:val="20"/>
          <w:rtl/>
        </w:rPr>
      </w:pPr>
    </w:p>
    <w:p w:rsidR="00AA5065" w:rsidRPr="00AA5065" w:rsidP="00860D89">
      <w:pPr>
        <w:spacing w:line="269" w:lineRule="auto"/>
        <w:rPr>
          <w:rFonts w:eastAsia="Calibri"/>
          <w:b/>
          <w:bCs/>
          <w:rtl/>
        </w:rPr>
      </w:pPr>
      <w:r w:rsidRPr="00AA5065">
        <w:rPr>
          <w:rFonts w:eastAsia="Calibri" w:hint="cs"/>
          <w:b/>
          <w:bCs/>
          <w:rtl/>
        </w:rPr>
        <w:t>מנתוני חברת החשמל שהתקבלו בביקורת המעקב עלה כי היקף האירועים שעימם נאלצת להתמודד חברת החשמל עלה באופן ניכר לעומת תקופת הביקורת הקודמת - 131 אירועים מינואר 2020 עד יולי 2024</w:t>
      </w:r>
      <w:r w:rsidRPr="00AA5065">
        <w:rPr>
          <w:rFonts w:eastAsia="Calibri" w:hint="cs"/>
          <w:rtl/>
        </w:rPr>
        <w:t xml:space="preserve"> </w:t>
      </w:r>
      <w:r w:rsidRPr="00AA5065">
        <w:rPr>
          <w:rFonts w:eastAsia="Calibri" w:hint="cs"/>
          <w:b/>
          <w:bCs/>
          <w:rtl/>
        </w:rPr>
        <w:t>לעומת 13 אירועים מינואר 2018 עד ספטמבר 2019). כלומר, ממוצע האירועים לשנה עלה מ-7.8 בתקופת הביקורת הקודמת ל-29 בתקופת 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במכתב ששלח ב-10.10.21 מנהל הביטחון הארצי של חברת החשמל אל מפקד מחוז דרום במשטרה נכתב כי "</w:t>
      </w:r>
      <w:r w:rsidRPr="00AA5065">
        <w:rPr>
          <w:rFonts w:eastAsia="Calibri"/>
          <w:rtl/>
        </w:rPr>
        <w:t>במהלך החודשים האחרונים חזרה והתגברה תופעת גנבות שנאים במרחב דרום.</w:t>
      </w:r>
      <w:r w:rsidRPr="00AA5065">
        <w:rPr>
          <w:rFonts w:eastAsia="Calibri" w:hint="cs"/>
          <w:rtl/>
        </w:rPr>
        <w:t xml:space="preserve"> </w:t>
      </w:r>
      <w:r w:rsidRPr="00AA5065">
        <w:rPr>
          <w:rFonts w:eastAsia="Calibri"/>
          <w:rtl/>
        </w:rPr>
        <w:t>תופעת גנבת השנאים מגלמת בחובה סיכונים רבים וחמורים:</w:t>
      </w:r>
    </w:p>
    <w:p w:rsidR="00AA5065" w:rsidRPr="00AA5065" w:rsidP="00860D89">
      <w:pPr>
        <w:spacing w:line="269" w:lineRule="auto"/>
        <w:rPr>
          <w:rFonts w:eastAsia="Calibri"/>
          <w:rtl/>
        </w:rPr>
      </w:pPr>
    </w:p>
    <w:p w:rsidR="00AA5065" w:rsidRPr="00AA5065" w:rsidP="00860D89">
      <w:pPr>
        <w:spacing w:line="269" w:lineRule="auto"/>
        <w:rPr>
          <w:rFonts w:eastAsia="Calibri"/>
          <w:rtl/>
        </w:rPr>
      </w:pPr>
      <w:r w:rsidRPr="00AA5065">
        <w:rPr>
          <w:rFonts w:eastAsia="Times New Roman"/>
          <w:bCs/>
          <w:spacing w:val="40"/>
          <w:rtl/>
        </w:rPr>
        <w:t>המישור הבטיחותי</w:t>
      </w:r>
      <w:r w:rsidRPr="00AA5065">
        <w:rPr>
          <w:rFonts w:eastAsia="Times New Roman" w:hint="cs"/>
          <w:bCs/>
          <w:spacing w:val="40"/>
          <w:rtl/>
        </w:rPr>
        <w:t>:</w:t>
      </w:r>
      <w:r w:rsidRPr="00AA5065">
        <w:rPr>
          <w:rFonts w:eastAsia="Calibri" w:hint="cs"/>
          <w:rtl/>
        </w:rPr>
        <w:t xml:space="preserve"> </w:t>
      </w:r>
      <w:r w:rsidRPr="00AA5065">
        <w:rPr>
          <w:rFonts w:eastAsia="Calibri"/>
          <w:rtl/>
        </w:rPr>
        <w:t xml:space="preserve">פגיעה בקווי מתח גבוה והשארת מוליכים חשופים </w:t>
      </w:r>
      <w:r w:rsidRPr="00AA5065">
        <w:rPr>
          <w:rFonts w:eastAsia="Calibri" w:hint="cs"/>
          <w:rtl/>
        </w:rPr>
        <w:t xml:space="preserve">- </w:t>
      </w:r>
      <w:r w:rsidRPr="00AA5065">
        <w:rPr>
          <w:rFonts w:eastAsia="Calibri"/>
          <w:rtl/>
        </w:rPr>
        <w:t xml:space="preserve">סכנת חשמול לעוברי אורח. </w:t>
      </w:r>
    </w:p>
    <w:p w:rsidR="00AA5065" w:rsidRPr="00AA5065" w:rsidP="00860D89">
      <w:pPr>
        <w:spacing w:line="269" w:lineRule="auto"/>
        <w:rPr>
          <w:rFonts w:eastAsia="Calibri"/>
          <w:b/>
          <w:bCs/>
          <w:rtl/>
        </w:rPr>
      </w:pPr>
    </w:p>
    <w:p w:rsidR="00AA5065" w:rsidRPr="00AA5065" w:rsidP="00860D89">
      <w:pPr>
        <w:spacing w:line="269" w:lineRule="auto"/>
        <w:rPr>
          <w:rFonts w:eastAsia="Calibri"/>
          <w:rtl/>
        </w:rPr>
      </w:pPr>
      <w:r w:rsidRPr="00AA5065">
        <w:rPr>
          <w:rFonts w:eastAsia="Times New Roman"/>
          <w:bCs/>
          <w:spacing w:val="40"/>
          <w:rtl/>
        </w:rPr>
        <w:t>אמינות אספקה</w:t>
      </w:r>
      <w:r w:rsidRPr="00AA5065">
        <w:rPr>
          <w:rFonts w:eastAsia="Times New Roman" w:hint="cs"/>
          <w:bCs/>
          <w:spacing w:val="40"/>
          <w:rtl/>
        </w:rPr>
        <w:t>:</w:t>
      </w:r>
      <w:r w:rsidRPr="00AA5065">
        <w:rPr>
          <w:rFonts w:eastAsia="Calibri"/>
          <w:rtl/>
        </w:rPr>
        <w:t xml:space="preserve"> פגיעה באמינות אספקת החשמל של חח"י ללקוחותיה, חלקם אסטרטגיים </w:t>
      </w:r>
      <w:r w:rsidRPr="00AA5065">
        <w:rPr>
          <w:rFonts w:eastAsia="Calibri" w:hint="cs"/>
          <w:rtl/>
        </w:rPr>
        <w:t>(</w:t>
      </w:r>
      <w:r w:rsidRPr="00AA5065">
        <w:rPr>
          <w:rFonts w:eastAsia="Calibri"/>
          <w:rtl/>
        </w:rPr>
        <w:t>אספקת מים</w:t>
      </w:r>
      <w:r w:rsidRPr="00AA5065">
        <w:rPr>
          <w:rFonts w:eastAsia="Calibri" w:hint="cs"/>
          <w:rtl/>
        </w:rPr>
        <w:t>).</w:t>
      </w:r>
    </w:p>
    <w:p w:rsidR="00AA5065" w:rsidRPr="00AA5065" w:rsidP="00860D89">
      <w:pPr>
        <w:spacing w:line="269" w:lineRule="auto"/>
        <w:rPr>
          <w:rFonts w:eastAsia="Calibri"/>
          <w:rtl/>
        </w:rPr>
      </w:pPr>
    </w:p>
    <w:p w:rsidR="00AA5065" w:rsidRPr="00AA5065" w:rsidP="00860D89">
      <w:pPr>
        <w:spacing w:line="269" w:lineRule="auto"/>
        <w:rPr>
          <w:rFonts w:eastAsia="Calibri"/>
          <w:rtl/>
        </w:rPr>
      </w:pPr>
      <w:r w:rsidRPr="00AA5065">
        <w:rPr>
          <w:rFonts w:eastAsia="Times New Roman"/>
          <w:bCs/>
          <w:spacing w:val="40"/>
          <w:rtl/>
        </w:rPr>
        <w:t>נזק סביבתי</w:t>
      </w:r>
      <w:r w:rsidRPr="00AA5065">
        <w:rPr>
          <w:rFonts w:eastAsia="Times New Roman" w:hint="cs"/>
          <w:bCs/>
          <w:spacing w:val="40"/>
          <w:rtl/>
        </w:rPr>
        <w:t>:</w:t>
      </w:r>
      <w:r w:rsidRPr="00AA5065">
        <w:rPr>
          <w:rFonts w:eastAsia="Calibri" w:hint="cs"/>
          <w:rtl/>
        </w:rPr>
        <w:t xml:space="preserve"> </w:t>
      </w:r>
      <w:r w:rsidRPr="00AA5065">
        <w:rPr>
          <w:rFonts w:eastAsia="Calibri"/>
          <w:rtl/>
        </w:rPr>
        <w:t xml:space="preserve">שפיכת שמן לקרקע וזיהומה. </w:t>
      </w:r>
    </w:p>
    <w:p w:rsidR="00AA5065" w:rsidRPr="00AA5065" w:rsidP="00860D89">
      <w:pPr>
        <w:spacing w:line="269" w:lineRule="auto"/>
        <w:rPr>
          <w:rFonts w:eastAsia="Calibri"/>
          <w:rtl/>
        </w:rPr>
      </w:pPr>
    </w:p>
    <w:p w:rsidR="00AA5065" w:rsidRPr="00AA5065" w:rsidP="00860D89">
      <w:pPr>
        <w:spacing w:line="269" w:lineRule="auto"/>
        <w:rPr>
          <w:rFonts w:eastAsia="Calibri"/>
          <w:rtl/>
        </w:rPr>
      </w:pPr>
      <w:r w:rsidRPr="00AA5065">
        <w:rPr>
          <w:rFonts w:eastAsia="Times New Roman"/>
          <w:bCs/>
          <w:spacing w:val="40"/>
          <w:rtl/>
        </w:rPr>
        <w:t>נזקים כלכליים</w:t>
      </w:r>
      <w:r w:rsidRPr="00AA5065">
        <w:rPr>
          <w:rFonts w:eastAsia="Times New Roman" w:hint="cs"/>
          <w:bCs/>
          <w:spacing w:val="40"/>
          <w:rtl/>
        </w:rPr>
        <w:t>:</w:t>
      </w:r>
      <w:r w:rsidRPr="00AA5065">
        <w:rPr>
          <w:rFonts w:eastAsia="Calibri" w:hint="cs"/>
          <w:rtl/>
        </w:rPr>
        <w:t xml:space="preserve"> </w:t>
      </w:r>
      <w:r w:rsidRPr="00AA5065">
        <w:rPr>
          <w:rFonts w:eastAsia="Calibri"/>
          <w:rtl/>
        </w:rPr>
        <w:t xml:space="preserve">הן בנזקים לחקלאות </w:t>
      </w:r>
      <w:r w:rsidRPr="00AA5065">
        <w:rPr>
          <w:rFonts w:eastAsia="Calibri" w:hint="cs"/>
          <w:rtl/>
        </w:rPr>
        <w:t>(</w:t>
      </w:r>
      <w:r w:rsidRPr="00AA5065">
        <w:rPr>
          <w:rFonts w:eastAsia="Calibri"/>
          <w:rtl/>
        </w:rPr>
        <w:t>שדות, פרדסים וכד'</w:t>
      </w:r>
      <w:r w:rsidRPr="00AA5065">
        <w:rPr>
          <w:rFonts w:eastAsia="Calibri" w:hint="cs"/>
          <w:rtl/>
        </w:rPr>
        <w:t>)</w:t>
      </w:r>
      <w:r w:rsidRPr="00AA5065">
        <w:rPr>
          <w:rFonts w:eastAsia="Calibri"/>
          <w:rtl/>
        </w:rPr>
        <w:t xml:space="preserve"> והן עלות הפגיעה והחלפת ציוד. </w:t>
      </w:r>
    </w:p>
    <w:p w:rsidR="00AA5065" w:rsidRPr="00AA5065" w:rsidP="00860D89">
      <w:pPr>
        <w:spacing w:line="269" w:lineRule="auto"/>
        <w:rPr>
          <w:rFonts w:eastAsia="Calibri"/>
          <w:rtl/>
        </w:rPr>
      </w:pPr>
      <w:r w:rsidRPr="00AA5065">
        <w:rPr>
          <w:rFonts w:eastAsia="Calibri"/>
          <w:rtl/>
        </w:rPr>
        <w:t xml:space="preserve">לאור חומרת הנושא העבירה הוגדרה כעבירה מסוג </w:t>
      </w:r>
      <w:r w:rsidRPr="00AA5065">
        <w:rPr>
          <w:rFonts w:eastAsia="Calibri" w:hint="cs"/>
          <w:rtl/>
        </w:rPr>
        <w:t>'</w:t>
      </w:r>
      <w:r w:rsidRPr="00AA5065">
        <w:rPr>
          <w:rFonts w:eastAsia="Calibri"/>
          <w:rtl/>
        </w:rPr>
        <w:t>פשע</w:t>
      </w:r>
      <w:r w:rsidRPr="00AA5065">
        <w:rPr>
          <w:rFonts w:eastAsia="Calibri" w:hint="cs"/>
          <w:rtl/>
        </w:rPr>
        <w:t>'</w:t>
      </w:r>
      <w:r w:rsidRPr="00AA5065">
        <w:rPr>
          <w:rFonts w:eastAsia="Calibri"/>
          <w:rtl/>
        </w:rPr>
        <w:t xml:space="preserve"> עפ"י חוק העונשין סעיף 453. </w:t>
      </w:r>
    </w:p>
    <w:p w:rsidR="00AA5065" w:rsidRPr="00AA5065" w:rsidP="00860D89">
      <w:pPr>
        <w:spacing w:line="269" w:lineRule="auto"/>
        <w:rPr>
          <w:rFonts w:eastAsia="Calibri"/>
          <w:rtl/>
        </w:rPr>
      </w:pPr>
      <w:r w:rsidRPr="00AA5065">
        <w:rPr>
          <w:rFonts w:eastAsia="Calibri"/>
          <w:rtl/>
        </w:rPr>
        <w:t>חברת החשמל פועלת רבות למניעת התופעה, אך אנו זקוקים לעזרת המשטרה</w:t>
      </w:r>
      <w:r w:rsidRPr="00AA5065">
        <w:rPr>
          <w:rFonts w:eastAsia="Calibri" w:hint="cs"/>
          <w:rtl/>
        </w:rPr>
        <w:t>..."</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Pr>
      </w:pPr>
      <w:bookmarkStart w:id="128" w:name="_Hlk204859599"/>
      <w:r w:rsidRPr="00AA5065">
        <w:rPr>
          <w:rFonts w:eastAsia="Calibri" w:hint="cs"/>
          <w:b/>
          <w:bCs/>
          <w:rtl/>
        </w:rPr>
        <w:t>בביקורת קודמת עלה כי קיימת תופעה של פגיעה בתשתיות חברת החשמל הנמצאות באזור הנגב. בביקורת המעקב נמצא כי הליקוי לא תוקן, ואף החמיר, גם מבחינת תדירות האירועים.</w:t>
      </w:r>
      <w:r w:rsidRPr="00AA5065">
        <w:rPr>
          <w:rFonts w:eastAsia="Calibri" w:hint="eastAsia"/>
          <w:b/>
          <w:bCs/>
          <w:rtl/>
        </w:rPr>
        <w:t xml:space="preserve"> כך</w:t>
      </w:r>
      <w:r w:rsidRPr="00AA5065">
        <w:rPr>
          <w:rFonts w:eastAsia="Calibri"/>
          <w:b/>
          <w:bCs/>
          <w:rtl/>
        </w:rPr>
        <w:t xml:space="preserve"> נמצא כי אירעו </w:t>
      </w:r>
      <w:r w:rsidRPr="00AA5065">
        <w:rPr>
          <w:rFonts w:eastAsia="Calibri" w:hint="cs"/>
          <w:b/>
          <w:bCs/>
          <w:rtl/>
        </w:rPr>
        <w:t xml:space="preserve">131 </w:t>
      </w:r>
      <w:r w:rsidRPr="00AA5065">
        <w:rPr>
          <w:rFonts w:eastAsia="Calibri"/>
          <w:b/>
          <w:bCs/>
          <w:rtl/>
        </w:rPr>
        <w:t xml:space="preserve">אירועים </w:t>
      </w:r>
      <w:r w:rsidRPr="00AA5065">
        <w:rPr>
          <w:rFonts w:eastAsia="Calibri" w:hint="cs"/>
          <w:b/>
          <w:bCs/>
          <w:rtl/>
        </w:rPr>
        <w:t>ב</w:t>
      </w:r>
      <w:r w:rsidRPr="00AA5065">
        <w:rPr>
          <w:rFonts w:eastAsia="Calibri"/>
          <w:b/>
          <w:bCs/>
          <w:rtl/>
        </w:rPr>
        <w:t>תקופה שמינואר 2020 עד יולי 2024</w:t>
      </w:r>
      <w:r w:rsidRPr="00AA5065">
        <w:rPr>
          <w:rFonts w:eastAsia="Calibri" w:hint="cs"/>
          <w:b/>
          <w:bCs/>
          <w:rtl/>
        </w:rPr>
        <w:t xml:space="preserve"> (</w:t>
      </w:r>
      <w:r w:rsidRPr="00AA5065">
        <w:rPr>
          <w:rFonts w:eastAsia="Calibri"/>
          <w:b/>
          <w:bCs/>
          <w:rtl/>
        </w:rPr>
        <w:t>לעומת תדירות האירועים בדוח הקודם: 13</w:t>
      </w:r>
      <w:r w:rsidRPr="00AA5065">
        <w:rPr>
          <w:rFonts w:eastAsia="Calibri" w:hint="cs"/>
          <w:b/>
          <w:bCs/>
          <w:rtl/>
        </w:rPr>
        <w:t xml:space="preserve"> </w:t>
      </w:r>
      <w:r w:rsidRPr="00AA5065">
        <w:rPr>
          <w:rFonts w:eastAsia="Calibri"/>
          <w:b/>
          <w:bCs/>
          <w:rtl/>
        </w:rPr>
        <w:t xml:space="preserve">אירועים לתקופה שמינואר 2018 </w:t>
      </w:r>
      <w:r w:rsidRPr="00AA5065">
        <w:rPr>
          <w:rFonts w:eastAsia="Calibri" w:hint="cs"/>
          <w:b/>
          <w:bCs/>
          <w:rtl/>
        </w:rPr>
        <w:t xml:space="preserve">עד </w:t>
      </w:r>
      <w:r w:rsidRPr="00AA5065">
        <w:rPr>
          <w:rFonts w:eastAsia="Calibri"/>
          <w:b/>
          <w:bCs/>
          <w:rtl/>
        </w:rPr>
        <w:t>ספטמבר 201</w:t>
      </w:r>
      <w:r w:rsidRPr="00AA5065">
        <w:rPr>
          <w:rFonts w:eastAsia="Calibri" w:hint="cs"/>
          <w:b/>
          <w:bCs/>
          <w:rtl/>
        </w:rPr>
        <w:t>9)</w:t>
      </w:r>
      <w:r w:rsidRPr="00AA5065">
        <w:rPr>
          <w:rFonts w:eastAsia="Calibri"/>
          <w:b/>
          <w:bCs/>
          <w:rtl/>
        </w:rPr>
        <w:t xml:space="preserve">. ממוצע האירועים לשנה </w:t>
      </w:r>
      <w:r w:rsidRPr="00AA5065">
        <w:rPr>
          <w:rFonts w:eastAsia="Calibri" w:hint="cs"/>
          <w:b/>
          <w:bCs/>
          <w:rtl/>
        </w:rPr>
        <w:t xml:space="preserve">שעימם מתמודדת חברת החשמל </w:t>
      </w:r>
      <w:r w:rsidRPr="00AA5065">
        <w:rPr>
          <w:rFonts w:eastAsia="Calibri"/>
          <w:b/>
          <w:bCs/>
          <w:rtl/>
        </w:rPr>
        <w:t>עלה מ-7.8</w:t>
      </w:r>
      <w:r w:rsidRPr="00AA5065">
        <w:rPr>
          <w:rFonts w:eastAsia="Calibri" w:hint="cs"/>
          <w:b/>
          <w:bCs/>
          <w:rtl/>
        </w:rPr>
        <w:t xml:space="preserve"> </w:t>
      </w:r>
      <w:r w:rsidRPr="00AA5065">
        <w:rPr>
          <w:rFonts w:eastAsia="Calibri"/>
          <w:b/>
          <w:bCs/>
          <w:rtl/>
        </w:rPr>
        <w:t>בתקופת הדוח הקודם ל-29 בתקופת ביקורת המעקב</w:t>
      </w:r>
      <w:r w:rsidRPr="00AA5065">
        <w:rPr>
          <w:rFonts w:eastAsia="Calibri"/>
          <w:b/>
          <w:bCs/>
        </w:rPr>
        <w:t>.</w:t>
      </w:r>
    </w:p>
    <w:bookmarkEnd w:id="128"/>
    <w:p w:rsidR="00AA5065" w:rsidRPr="00AA5065" w:rsidP="00860D89">
      <w:pPr>
        <w:spacing w:line="269" w:lineRule="auto"/>
        <w:ind w:left="-567"/>
        <w:rPr>
          <w:rFonts w:eastAsia="Calibri"/>
          <w:szCs w:val="20"/>
          <w:rtl/>
        </w:rPr>
      </w:pPr>
    </w:p>
    <w:p w:rsidR="00AA5065" w:rsidRPr="00AA5065" w:rsidP="00860D89">
      <w:pPr>
        <w:spacing w:line="269" w:lineRule="auto"/>
        <w:jc w:val="center"/>
        <w:rPr>
          <w:rFonts w:eastAsia="Calibri"/>
          <w:b/>
          <w:bCs/>
          <w:rtl/>
        </w:rPr>
      </w:pPr>
      <w:r w:rsidRPr="00AA5065">
        <w:rPr>
          <w:rFonts w:eastAsia="Calibri" w:hint="cs"/>
          <w:b/>
          <w:bCs/>
          <w:rtl/>
        </w:rPr>
        <w:t>מידת תיקון הליקוי</w:t>
      </w:r>
    </w:p>
    <w:p w:rsidR="00AA5065" w:rsidRPr="00AA5065" w:rsidP="00860D89">
      <w:pPr>
        <w:spacing w:line="269" w:lineRule="auto"/>
        <w:jc w:val="center"/>
        <w:rPr>
          <w:rFonts w:eastAsia="Calibri"/>
          <w:rtl/>
        </w:rPr>
      </w:pPr>
      <w:r w:rsidRPr="00AA5065">
        <w:rPr>
          <w:rFonts w:eastAsia="Calibri"/>
          <w:noProof/>
        </w:rPr>
        <w:drawing>
          <wp:inline distT="0" distB="0" distL="0" distR="0">
            <wp:extent cx="3422650" cy="933450"/>
            <wp:effectExtent l="0" t="0" r="6350" b="0"/>
            <wp:docPr id="58" name="תמונה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2650" cy="933450"/>
                    </a:xfrm>
                    <a:prstGeom prst="rect">
                      <a:avLst/>
                    </a:prstGeom>
                    <a:noFill/>
                    <a:ln>
                      <a:noFill/>
                    </a:ln>
                  </pic:spPr>
                </pic:pic>
              </a:graphicData>
            </a:graphic>
          </wp:inline>
        </w:drawing>
      </w:r>
    </w:p>
    <w:p w:rsidR="00AA5065" w:rsidRPr="00AA5065" w:rsidP="00860D89">
      <w:pPr>
        <w:spacing w:line="269" w:lineRule="auto"/>
        <w:rPr>
          <w:rFonts w:eastAsia="Calibri"/>
          <w:rtl/>
        </w:rPr>
      </w:pPr>
    </w:p>
    <w:p w:rsidR="00AA5065" w:rsidRPr="00AA5065" w:rsidP="00860D89">
      <w:pPr>
        <w:spacing w:line="269" w:lineRule="auto"/>
        <w:rPr>
          <w:rFonts w:eastAsia="Calibri"/>
          <w:b/>
          <w:bCs/>
          <w:rtl/>
        </w:rPr>
      </w:pPr>
      <w:r w:rsidRPr="00AA5065">
        <w:rPr>
          <w:rFonts w:eastAsia="Calibri" w:hint="cs"/>
          <w:b/>
          <w:bCs/>
          <w:rtl/>
        </w:rPr>
        <w:t>מומלץ כי משטרת ישראל בשיתוף חברת החשמל יפעלו להגברת האפקטיביות של מערכי ההגנה על תשתיות חברת החשמל ולהגברת שיתוף הפעולה ביניהן בתחום זה.</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חיבורים פיראטיים לרשת החשמל</w:t>
      </w:r>
    </w:p>
    <w:p w:rsidR="00AA5065" w:rsidRPr="00AA5065" w:rsidP="00860D89">
      <w:pPr>
        <w:spacing w:line="269" w:lineRule="auto"/>
        <w:rPr>
          <w:rFonts w:eastAsia="Calibri"/>
          <w:rtl/>
        </w:rPr>
      </w:pPr>
    </w:p>
    <w:p w:rsidR="00AA5065" w:rsidRPr="00AA5065" w:rsidP="00860D89">
      <w:pPr>
        <w:keepNext/>
        <w:keepLines/>
        <w:spacing w:line="269" w:lineRule="auto"/>
        <w:outlineLvl w:val="5"/>
        <w:rPr>
          <w:rFonts w:eastAsia="Times New Roman"/>
          <w:spacing w:val="40"/>
        </w:rPr>
      </w:pPr>
      <w:r w:rsidRPr="00AA5065">
        <w:rPr>
          <w:rFonts w:eastAsia="Times New Roman" w:hint="eastAsia"/>
          <w:spacing w:val="40"/>
          <w:rtl/>
        </w:rPr>
        <w:t>הביקורת</w:t>
      </w:r>
      <w:r w:rsidRPr="00AA5065">
        <w:rPr>
          <w:rFonts w:eastAsia="Times New Roman"/>
          <w:spacing w:val="40"/>
          <w:rtl/>
        </w:rPr>
        <w:t xml:space="preserve"> </w:t>
      </w:r>
      <w:r w:rsidRPr="00AA5065">
        <w:rPr>
          <w:rFonts w:eastAsia="Times New Roman" w:hint="eastAsia"/>
          <w:spacing w:val="40"/>
          <w:rtl/>
        </w:rPr>
        <w:t>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w:t>
      </w:r>
      <w:r w:rsidRPr="00AA5065">
        <w:rPr>
          <w:rFonts w:eastAsia="Calibri" w:hint="eastAsia"/>
          <w:rtl/>
        </w:rPr>
        <w:t>ביקורת</w:t>
      </w:r>
      <w:r w:rsidRPr="00AA5065">
        <w:rPr>
          <w:rFonts w:eastAsia="Calibri" w:hint="cs"/>
          <w:rtl/>
        </w:rPr>
        <w:t xml:space="preserve"> הקודמת</w:t>
      </w:r>
      <w:r w:rsidRPr="00AA5065">
        <w:rPr>
          <w:rFonts w:eastAsia="Calibri"/>
          <w:rtl/>
        </w:rPr>
        <w:t xml:space="preserve"> </w:t>
      </w:r>
      <w:r w:rsidRPr="00AA5065">
        <w:rPr>
          <w:rFonts w:eastAsia="Calibri" w:hint="cs"/>
          <w:rtl/>
        </w:rPr>
        <w:t xml:space="preserve">שנערכה </w:t>
      </w:r>
      <w:r w:rsidRPr="00AA5065">
        <w:rPr>
          <w:rFonts w:eastAsia="Calibri" w:hint="eastAsia"/>
          <w:rtl/>
        </w:rPr>
        <w:t>בחלק</w:t>
      </w:r>
      <w:r w:rsidRPr="00AA5065">
        <w:rPr>
          <w:rFonts w:eastAsia="Calibri"/>
          <w:rtl/>
        </w:rPr>
        <w:t xml:space="preserve"> </w:t>
      </w:r>
      <w:r w:rsidRPr="00AA5065">
        <w:rPr>
          <w:rFonts w:eastAsia="Calibri" w:hint="eastAsia"/>
          <w:rtl/>
        </w:rPr>
        <w:t>מיישובי</w:t>
      </w:r>
      <w:r w:rsidRPr="00AA5065">
        <w:rPr>
          <w:rFonts w:eastAsia="Calibri"/>
          <w:rtl/>
        </w:rPr>
        <w:t xml:space="preserve"> </w:t>
      </w:r>
      <w:r w:rsidRPr="00AA5065">
        <w:rPr>
          <w:rFonts w:eastAsia="Calibri" w:hint="eastAsia"/>
          <w:rtl/>
        </w:rPr>
        <w:t>הבדואים</w:t>
      </w:r>
      <w:r w:rsidRPr="00AA5065">
        <w:rPr>
          <w:rFonts w:eastAsia="Calibri"/>
          <w:rtl/>
        </w:rPr>
        <w:t xml:space="preserve"> </w:t>
      </w:r>
      <w:r w:rsidRPr="00AA5065">
        <w:rPr>
          <w:rFonts w:eastAsia="Calibri" w:hint="eastAsia"/>
          <w:rtl/>
        </w:rPr>
        <w:t>בנגב</w:t>
      </w:r>
      <w:r w:rsidRPr="00AA5065">
        <w:rPr>
          <w:rFonts w:eastAsia="Calibri"/>
          <w:rtl/>
        </w:rPr>
        <w:t xml:space="preserve"> </w:t>
      </w:r>
      <w:r w:rsidRPr="00AA5065">
        <w:rPr>
          <w:rFonts w:eastAsia="Calibri" w:hint="eastAsia"/>
          <w:rtl/>
        </w:rPr>
        <w:t>הועלה</w:t>
      </w:r>
      <w:r w:rsidRPr="00AA5065">
        <w:rPr>
          <w:rFonts w:eastAsia="Calibri"/>
          <w:rtl/>
        </w:rPr>
        <w:t xml:space="preserve"> </w:t>
      </w:r>
      <w:r w:rsidRPr="00AA5065">
        <w:rPr>
          <w:rFonts w:eastAsia="Calibri" w:hint="eastAsia"/>
          <w:rtl/>
        </w:rPr>
        <w:t>כי</w:t>
      </w:r>
      <w:r w:rsidRPr="00AA5065">
        <w:rPr>
          <w:rFonts w:eastAsia="Calibri"/>
          <w:rtl/>
        </w:rPr>
        <w:t xml:space="preserve"> </w:t>
      </w:r>
      <w:r w:rsidRPr="00AA5065">
        <w:rPr>
          <w:rFonts w:eastAsia="Calibri" w:hint="eastAsia"/>
          <w:rtl/>
        </w:rPr>
        <w:t>קיימת</w:t>
      </w:r>
      <w:r w:rsidRPr="00AA5065">
        <w:rPr>
          <w:rFonts w:eastAsia="Calibri"/>
          <w:rtl/>
        </w:rPr>
        <w:t xml:space="preserve"> </w:t>
      </w:r>
      <w:r w:rsidRPr="00AA5065">
        <w:rPr>
          <w:rFonts w:eastAsia="Calibri" w:hint="eastAsia"/>
          <w:rtl/>
        </w:rPr>
        <w:t>התחברות</w:t>
      </w:r>
      <w:r w:rsidRPr="00AA5065">
        <w:rPr>
          <w:rFonts w:eastAsia="Calibri"/>
          <w:rtl/>
        </w:rPr>
        <w:t xml:space="preserve"> </w:t>
      </w:r>
      <w:r w:rsidRPr="00AA5065">
        <w:rPr>
          <w:rFonts w:eastAsia="Calibri" w:hint="eastAsia"/>
          <w:rtl/>
        </w:rPr>
        <w:t>פיר</w:t>
      </w:r>
      <w:r w:rsidRPr="00AA5065">
        <w:rPr>
          <w:rFonts w:eastAsia="Calibri" w:hint="cs"/>
          <w:rtl/>
        </w:rPr>
        <w:t>א</w:t>
      </w:r>
      <w:r w:rsidRPr="00AA5065">
        <w:rPr>
          <w:rFonts w:eastAsia="Calibri" w:hint="eastAsia"/>
          <w:rtl/>
        </w:rPr>
        <w:t>טית</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תושבים</w:t>
      </w:r>
      <w:r w:rsidRPr="00AA5065">
        <w:rPr>
          <w:rFonts w:eastAsia="Calibri"/>
          <w:rtl/>
        </w:rPr>
        <w:t xml:space="preserve"> </w:t>
      </w:r>
      <w:r w:rsidRPr="00AA5065">
        <w:rPr>
          <w:rFonts w:eastAsia="Calibri" w:hint="eastAsia"/>
          <w:rtl/>
        </w:rPr>
        <w:t>מקומיים</w:t>
      </w:r>
      <w:r w:rsidRPr="00AA5065">
        <w:rPr>
          <w:rFonts w:eastAsia="Calibri"/>
          <w:rtl/>
        </w:rPr>
        <w:t xml:space="preserve"> </w:t>
      </w:r>
      <w:r w:rsidRPr="00AA5065">
        <w:rPr>
          <w:rFonts w:eastAsia="Calibri" w:hint="eastAsia"/>
          <w:rtl/>
        </w:rPr>
        <w:t>לתשתיות</w:t>
      </w:r>
      <w:r w:rsidRPr="00AA5065">
        <w:rPr>
          <w:rFonts w:eastAsia="Calibri"/>
          <w:rtl/>
        </w:rPr>
        <w:t xml:space="preserve"> </w:t>
      </w:r>
      <w:r w:rsidRPr="00AA5065">
        <w:rPr>
          <w:rFonts w:eastAsia="Calibri" w:hint="eastAsia"/>
          <w:rtl/>
        </w:rPr>
        <w:t>חשמל</w:t>
      </w:r>
      <w:r w:rsidRPr="00AA5065">
        <w:rPr>
          <w:rFonts w:eastAsia="Calibri" w:hint="cs"/>
          <w:rtl/>
        </w:rPr>
        <w:t xml:space="preserve"> של חברת החשמל או של גופים ציבוריים</w:t>
      </w:r>
      <w:r w:rsidRPr="00AA5065">
        <w:rPr>
          <w:rFonts w:eastAsia="Calibri"/>
          <w:rtl/>
        </w:rPr>
        <w:t xml:space="preserve">, </w:t>
      </w:r>
      <w:r w:rsidRPr="00AA5065">
        <w:rPr>
          <w:rFonts w:eastAsia="Calibri" w:hint="eastAsia"/>
          <w:rtl/>
        </w:rPr>
        <w:t>וכי</w:t>
      </w:r>
      <w:r w:rsidRPr="00AA5065">
        <w:rPr>
          <w:rFonts w:eastAsia="Calibri"/>
          <w:rtl/>
        </w:rPr>
        <w:t xml:space="preserve"> </w:t>
      </w:r>
      <w:r w:rsidRPr="00AA5065">
        <w:rPr>
          <w:rFonts w:eastAsia="Calibri" w:hint="eastAsia"/>
          <w:rtl/>
        </w:rPr>
        <w:t>תופעה</w:t>
      </w:r>
      <w:r w:rsidRPr="00AA5065">
        <w:rPr>
          <w:rFonts w:eastAsia="Calibri"/>
          <w:rtl/>
        </w:rPr>
        <w:t xml:space="preserve"> </w:t>
      </w:r>
      <w:r w:rsidRPr="00AA5065">
        <w:rPr>
          <w:rFonts w:eastAsia="Calibri" w:hint="cs"/>
          <w:rtl/>
        </w:rPr>
        <w:t xml:space="preserve">זו </w:t>
      </w:r>
      <w:r w:rsidRPr="00AA5065">
        <w:rPr>
          <w:rFonts w:eastAsia="Calibri" w:hint="eastAsia"/>
          <w:rtl/>
        </w:rPr>
        <w:t>נפוצה</w:t>
      </w:r>
      <w:r w:rsidRPr="00AA5065">
        <w:rPr>
          <w:rFonts w:eastAsia="Calibri"/>
          <w:rtl/>
        </w:rPr>
        <w:t xml:space="preserve"> </w:t>
      </w:r>
      <w:r w:rsidRPr="00AA5065">
        <w:rPr>
          <w:rFonts w:eastAsia="Calibri" w:hint="eastAsia"/>
          <w:rtl/>
        </w:rPr>
        <w:t>יחסית</w:t>
      </w:r>
      <w:r w:rsidRPr="00AA5065">
        <w:rPr>
          <w:rFonts w:eastAsia="Calibri"/>
          <w:rtl/>
        </w:rPr>
        <w:t xml:space="preserve">. </w:t>
      </w:r>
      <w:r w:rsidRPr="00AA5065">
        <w:rPr>
          <w:rFonts w:eastAsia="Calibri" w:hint="cs"/>
          <w:rtl/>
        </w:rPr>
        <w:t>בין השלכותיה של ה</w:t>
      </w:r>
      <w:r w:rsidRPr="00AA5065">
        <w:rPr>
          <w:rFonts w:eastAsia="Calibri" w:hint="eastAsia"/>
          <w:rtl/>
        </w:rPr>
        <w:t>תופעה</w:t>
      </w:r>
      <w:r w:rsidRPr="00AA5065">
        <w:rPr>
          <w:rFonts w:eastAsia="Calibri" w:hint="cs"/>
          <w:rtl/>
        </w:rPr>
        <w:t xml:space="preserve">: </w:t>
      </w:r>
      <w:r w:rsidRPr="00AA5065">
        <w:rPr>
          <w:rFonts w:eastAsia="Calibri" w:hint="eastAsia"/>
          <w:rtl/>
        </w:rPr>
        <w:t>גניבה</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חשמל</w:t>
      </w:r>
      <w:r w:rsidRPr="00AA5065">
        <w:rPr>
          <w:rFonts w:eastAsia="Calibri" w:hint="cs"/>
          <w:rtl/>
        </w:rPr>
        <w:t>;</w:t>
      </w:r>
      <w:r w:rsidRPr="00AA5065">
        <w:rPr>
          <w:rFonts w:eastAsia="Calibri"/>
          <w:rtl/>
        </w:rPr>
        <w:t xml:space="preserve"> </w:t>
      </w:r>
      <w:r w:rsidRPr="00AA5065">
        <w:rPr>
          <w:rFonts w:eastAsia="Calibri" w:hint="eastAsia"/>
          <w:rtl/>
        </w:rPr>
        <w:t>תקלות</w:t>
      </w:r>
      <w:r w:rsidRPr="00AA5065">
        <w:rPr>
          <w:rFonts w:eastAsia="Calibri"/>
          <w:rtl/>
        </w:rPr>
        <w:t xml:space="preserve"> </w:t>
      </w:r>
      <w:r w:rsidRPr="00AA5065">
        <w:rPr>
          <w:rFonts w:eastAsia="Calibri" w:hint="eastAsia"/>
          <w:rtl/>
        </w:rPr>
        <w:t>ברשת</w:t>
      </w:r>
      <w:r w:rsidRPr="00AA5065">
        <w:rPr>
          <w:rFonts w:eastAsia="Calibri"/>
          <w:rtl/>
        </w:rPr>
        <w:t xml:space="preserve"> </w:t>
      </w:r>
      <w:r w:rsidRPr="00AA5065">
        <w:rPr>
          <w:rFonts w:eastAsia="Calibri" w:hint="eastAsia"/>
          <w:rtl/>
        </w:rPr>
        <w:t>החשמל</w:t>
      </w:r>
      <w:r w:rsidRPr="00AA5065">
        <w:rPr>
          <w:rFonts w:eastAsia="Calibri"/>
          <w:rtl/>
        </w:rPr>
        <w:t xml:space="preserve"> </w:t>
      </w:r>
      <w:r w:rsidRPr="00AA5065">
        <w:rPr>
          <w:rFonts w:eastAsia="Calibri" w:hint="cs"/>
          <w:rtl/>
        </w:rPr>
        <w:t>ה</w:t>
      </w:r>
      <w:r w:rsidRPr="00AA5065">
        <w:rPr>
          <w:rFonts w:eastAsia="Calibri" w:hint="eastAsia"/>
          <w:rtl/>
        </w:rPr>
        <w:t>משפיעות</w:t>
      </w:r>
      <w:r w:rsidRPr="00AA5065">
        <w:rPr>
          <w:rFonts w:eastAsia="Calibri"/>
          <w:rtl/>
        </w:rPr>
        <w:t xml:space="preserve"> </w:t>
      </w:r>
      <w:r w:rsidRPr="00AA5065">
        <w:rPr>
          <w:rFonts w:eastAsia="Calibri" w:hint="eastAsia"/>
          <w:rtl/>
        </w:rPr>
        <w:t>על</w:t>
      </w:r>
      <w:r w:rsidRPr="00AA5065">
        <w:rPr>
          <w:rFonts w:eastAsia="Calibri"/>
          <w:rtl/>
        </w:rPr>
        <w:t xml:space="preserve"> </w:t>
      </w:r>
      <w:r w:rsidRPr="00AA5065">
        <w:rPr>
          <w:rFonts w:eastAsia="Calibri" w:hint="cs"/>
          <w:rtl/>
        </w:rPr>
        <w:t>כלל האוכלוסייה;</w:t>
      </w:r>
      <w:r w:rsidRPr="00AA5065">
        <w:rPr>
          <w:rFonts w:eastAsia="Calibri"/>
          <w:rtl/>
        </w:rPr>
        <w:t xml:space="preserve"> </w:t>
      </w:r>
      <w:r w:rsidRPr="00AA5065">
        <w:rPr>
          <w:rFonts w:eastAsia="Calibri" w:hint="eastAsia"/>
          <w:rtl/>
        </w:rPr>
        <w:t>שריפת</w:t>
      </w:r>
      <w:r w:rsidRPr="00AA5065">
        <w:rPr>
          <w:rFonts w:eastAsia="Calibri"/>
          <w:rtl/>
        </w:rPr>
        <w:t xml:space="preserve"> </w:t>
      </w:r>
      <w:r w:rsidRPr="00AA5065">
        <w:rPr>
          <w:rFonts w:eastAsia="Calibri" w:hint="eastAsia"/>
          <w:rtl/>
        </w:rPr>
        <w:t>נתיכים</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חברת</w:t>
      </w:r>
      <w:r w:rsidRPr="00AA5065">
        <w:rPr>
          <w:rFonts w:eastAsia="Calibri"/>
          <w:rtl/>
        </w:rPr>
        <w:t xml:space="preserve"> </w:t>
      </w:r>
      <w:r w:rsidRPr="00AA5065">
        <w:rPr>
          <w:rFonts w:eastAsia="Calibri" w:hint="eastAsia"/>
          <w:rtl/>
        </w:rPr>
        <w:t>החשמל</w:t>
      </w:r>
      <w:r w:rsidRPr="00AA5065">
        <w:rPr>
          <w:rFonts w:eastAsia="Calibri"/>
          <w:rtl/>
        </w:rPr>
        <w:t xml:space="preserve"> </w:t>
      </w:r>
      <w:r w:rsidRPr="00AA5065">
        <w:rPr>
          <w:rFonts w:eastAsia="Calibri" w:hint="cs"/>
          <w:rtl/>
        </w:rPr>
        <w:t>ו</w:t>
      </w:r>
      <w:r w:rsidRPr="00AA5065">
        <w:rPr>
          <w:rFonts w:eastAsia="Calibri" w:hint="eastAsia"/>
          <w:rtl/>
        </w:rPr>
        <w:t>נזק</w:t>
      </w:r>
      <w:r w:rsidRPr="00AA5065">
        <w:rPr>
          <w:rFonts w:eastAsia="Calibri"/>
          <w:rtl/>
        </w:rPr>
        <w:t xml:space="preserve"> </w:t>
      </w:r>
      <w:r w:rsidRPr="00AA5065">
        <w:rPr>
          <w:rFonts w:eastAsia="Calibri" w:hint="eastAsia"/>
          <w:rtl/>
        </w:rPr>
        <w:t>לציוד</w:t>
      </w:r>
      <w:r w:rsidRPr="00AA5065">
        <w:rPr>
          <w:rFonts w:eastAsia="Calibri" w:hint="cs"/>
          <w:rtl/>
        </w:rPr>
        <w:t>;</w:t>
      </w:r>
      <w:r w:rsidRPr="00AA5065">
        <w:rPr>
          <w:rFonts w:eastAsia="Calibri" w:hint="eastAsia"/>
          <w:rtl/>
        </w:rPr>
        <w:t xml:space="preserve"> סיכון</w:t>
      </w:r>
      <w:r w:rsidRPr="00AA5065">
        <w:rPr>
          <w:rFonts w:eastAsia="Calibri"/>
          <w:rtl/>
        </w:rPr>
        <w:t xml:space="preserve"> </w:t>
      </w:r>
      <w:r w:rsidRPr="00AA5065">
        <w:rPr>
          <w:rFonts w:eastAsia="Calibri" w:hint="eastAsia"/>
          <w:rtl/>
        </w:rPr>
        <w:t>חיי</w:t>
      </w:r>
      <w:r w:rsidRPr="00AA5065">
        <w:rPr>
          <w:rFonts w:eastAsia="Calibri"/>
          <w:rtl/>
        </w:rPr>
        <w:t xml:space="preserve"> </w:t>
      </w:r>
      <w:r w:rsidRPr="00AA5065">
        <w:rPr>
          <w:rFonts w:eastAsia="Calibri" w:hint="eastAsia"/>
          <w:rtl/>
        </w:rPr>
        <w:t>אדם</w:t>
      </w:r>
      <w:r w:rsidRPr="00AA5065">
        <w:rPr>
          <w:rFonts w:eastAsia="Calibri"/>
          <w:rtl/>
        </w:rPr>
        <w:t xml:space="preserve"> </w:t>
      </w:r>
      <w:r w:rsidRPr="00AA5065">
        <w:rPr>
          <w:rFonts w:eastAsia="Calibri" w:hint="cs"/>
          <w:rtl/>
        </w:rPr>
        <w:t>עקב</w:t>
      </w:r>
      <w:r w:rsidRPr="00AA5065">
        <w:rPr>
          <w:rFonts w:eastAsia="Calibri"/>
          <w:rtl/>
        </w:rPr>
        <w:t xml:space="preserve"> </w:t>
      </w:r>
      <w:r w:rsidRPr="00AA5065">
        <w:rPr>
          <w:rFonts w:eastAsia="Calibri" w:hint="cs"/>
          <w:rtl/>
        </w:rPr>
        <w:t>ה</w:t>
      </w:r>
      <w:r w:rsidRPr="00AA5065">
        <w:rPr>
          <w:rFonts w:eastAsia="Calibri" w:hint="eastAsia"/>
          <w:rtl/>
        </w:rPr>
        <w:t>תחברויות</w:t>
      </w:r>
      <w:r w:rsidRPr="00AA5065">
        <w:rPr>
          <w:rFonts w:eastAsia="Calibri"/>
          <w:rtl/>
        </w:rPr>
        <w:t xml:space="preserve"> </w:t>
      </w:r>
      <w:r w:rsidRPr="00AA5065">
        <w:rPr>
          <w:rFonts w:eastAsia="Calibri" w:hint="cs"/>
          <w:rtl/>
        </w:rPr>
        <w:t>שאינן</w:t>
      </w:r>
      <w:r w:rsidRPr="00AA5065">
        <w:rPr>
          <w:rFonts w:eastAsia="Calibri"/>
          <w:rtl/>
        </w:rPr>
        <w:t xml:space="preserve"> </w:t>
      </w:r>
      <w:r w:rsidRPr="00AA5065">
        <w:rPr>
          <w:rFonts w:eastAsia="Calibri" w:hint="eastAsia"/>
          <w:rtl/>
        </w:rPr>
        <w:t>בטיחותיות</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בתשובת חברת החשמל על הדוח הקודם נכתב כי "בהיעדר טיפול בנושא של הסדרת בעלויות קרקע והעדר בפרצלציה (שבעקבותיה לא ניתנים היתרי בניה ובהתאמה טפסי 4), חברת החשמל מנועה באופן חוקי / רגולטורי לחבר מבנים לרשת החשמל. חיבורים אלו מסכנים בראש ובראשונה את התושבים עצמם, יוצרים ריבוי שריפות ומקרי התחשמלות. בנוסף נגרמות תקלות מרובות, חוזרות ובהיקפים גדולים בהרבה מהממוצע הארצי המשפיעים על לקוחות אחרים של חברת החשמל".</w:t>
      </w:r>
    </w:p>
    <w:p w:rsidR="00AA5065" w:rsidRPr="00AA5065" w:rsidP="00860D89">
      <w:pPr>
        <w:spacing w:line="269" w:lineRule="auto"/>
        <w:rPr>
          <w:rFonts w:eastAsia="Calibri"/>
          <w:rtl/>
        </w:rPr>
      </w:pPr>
    </w:p>
    <w:p w:rsidR="00AA5065" w:rsidRPr="00AA5065" w:rsidP="00860D89">
      <w:pPr>
        <w:keepNext/>
        <w:keepLines/>
        <w:spacing w:line="269" w:lineRule="auto"/>
        <w:outlineLvl w:val="5"/>
        <w:rPr>
          <w:rFonts w:eastAsia="Times New Roman"/>
          <w:spacing w:val="40"/>
          <w:rtl/>
        </w:rPr>
      </w:pPr>
      <w:bookmarkStart w:id="129" w:name="_Hlk199319549"/>
      <w:r w:rsidRPr="00AA5065">
        <w:rPr>
          <w:rFonts w:eastAsia="Times New Roman" w:hint="cs"/>
          <w:spacing w:val="40"/>
          <w:rtl/>
        </w:rPr>
        <w:t>ביקורת המעקב</w:t>
      </w:r>
    </w:p>
    <w:bookmarkEnd w:id="129"/>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על פי מצגת שהתקבלה מהמשטרה בדצמבר 2024</w:t>
      </w:r>
      <w:r>
        <w:rPr>
          <w:rFonts w:eastAsia="Calibri"/>
          <w:vertAlign w:val="superscript"/>
          <w:rtl/>
        </w:rPr>
        <w:footnoteReference w:id="143"/>
      </w:r>
      <w:r w:rsidRPr="00AA5065">
        <w:rPr>
          <w:rFonts w:eastAsia="Calibri" w:hint="cs"/>
          <w:rtl/>
        </w:rPr>
        <w:t>, מאפייני הפשיעה הכלכלית בנגב כוללים, בין השאר,</w:t>
      </w:r>
      <w:r w:rsidRPr="00AA5065">
        <w:rPr>
          <w:rFonts w:eastAsia="Calibri" w:hint="cs"/>
          <w:b/>
          <w:bCs/>
          <w:rtl/>
        </w:rPr>
        <w:t xml:space="preserve"> </w:t>
      </w:r>
      <w:r w:rsidRPr="00AA5065">
        <w:rPr>
          <w:rFonts w:eastAsia="Calibri" w:hint="cs"/>
          <w:rtl/>
        </w:rPr>
        <w:t>פחת עצום של חשמל ומים שמקורם בחיבורים פיראטיים וגניבה באמצעות חיבור עוקף של המונים.</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בשיחה שקיימו נציגי משרד מבקר המדינה עם נציגי חברת החשמל בדצמבר 2024 נטען על ידם כי ההתחברות הפיראטית הלא-חוקית גורמת להעלאת העומס על רשת החשמל, והדבר מביא לניתוקים ולהפסקות חשמל רבות בקרב הצרכנים הנורמטיביים שמתגוררים באותו אזור, לפגיעה בבטיחות ובשירות ולהטלת עומס רב על עובדי חברת החשמל אשר נאלצים לתקן את התקלות שנגרמו. נוסף על כך, הדבר גורם לעלויות כספיות גבוהות לחברת החשמל אשר נובעות מהסטת המשאבים הנדרשים לטיפול בתופעה האמורה על חשבון פיתוח ושדרוג של הרשת.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כמו כן ההתחברויות פיראטיות מגדילות את הסיכון לחיי התושבים כתוצאה מהתחשמלות ומשריפות העלולות לפרוץ בגינן. לדוגמה, ביום 5.11.24 פרסמה דוברות מד"א כי בתל שבע שבנגב אותר נער עם סימני כוויות של התחשמלות שנגרמה בשל תשתית חשמל פיראטית ופונה לבית החולים במצב אנוש.</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עוד מסרו נציגי חברת החשמל בשיחה זו כי ממוצע התקלות ביישובי הפזורה בשנים 2018 עד נובמבר 2024 היה פי 2.5 מהממוצע הארצי; כי יש אובדן הכנסה של 181 מיליון ש"ח כתוצאה מאי-הזמנת חיבור; וכי סך החובות בפזורה הוא 61.8 מיליון ש"ח (37.7 מיליון ש"ח בגין תיקים פתוחים בתוספת 24.1 מיליון ש"ח בגין צריכה נמדדת שאינה נרשמת).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בתמונה 13 שלהלן מהיישוב א-סייד מוצגים חיבור של שני כבלים פרטיים לרשת החשמל והתחברות ללא מונה.</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jc w:val="center"/>
        <w:rPr>
          <w:rFonts w:eastAsia="Calibri"/>
          <w:rtl/>
        </w:rPr>
      </w:pPr>
      <w:r w:rsidRPr="00AA5065">
        <w:rPr>
          <w:rFonts w:eastAsia="Calibri" w:hint="cs"/>
          <w:rtl/>
        </w:rPr>
        <w:t xml:space="preserve">תמונה 13: </w:t>
      </w:r>
      <w:r w:rsidRPr="00AA5065">
        <w:rPr>
          <w:rFonts w:eastAsia="Calibri" w:hint="cs"/>
          <w:b/>
          <w:bCs/>
          <w:rtl/>
        </w:rPr>
        <w:t>חיבור שני כבלים פרטיים לרשת החשמל והתחברות ללא מונה ביישוב א-סייד, 2024</w:t>
      </w:r>
    </w:p>
    <w:p w:rsidR="00AA5065" w:rsidRPr="00AA5065" w:rsidP="00860D89">
      <w:pPr>
        <w:spacing w:line="269" w:lineRule="auto"/>
        <w:jc w:val="center"/>
        <w:rPr>
          <w:rFonts w:eastAsia="Calibri"/>
          <w:rtl/>
        </w:rPr>
      </w:pPr>
      <w:r w:rsidRPr="00AA5065">
        <w:rPr>
          <w:rFonts w:eastAsia="Calibri"/>
          <w:noProof/>
          <w:rtl/>
        </w:rPr>
        <w:drawing>
          <wp:inline distT="0" distB="0" distL="0" distR="0">
            <wp:extent cx="5219700" cy="5219700"/>
            <wp:effectExtent l="0" t="0" r="0" b="0"/>
            <wp:docPr id="43" name="תמונה 43"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3"/>
                    <pic:cNvPicPr>
                      <a:picLocks noChangeAspect="1" noChangeArrowheads="1"/>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tretch>
                      <a:fillRect/>
                    </a:stretch>
                  </pic:blipFill>
                  <pic:spPr bwMode="auto">
                    <a:xfrm>
                      <a:off x="0" y="0"/>
                      <a:ext cx="5219700" cy="5219700"/>
                    </a:xfrm>
                    <a:prstGeom prst="rect">
                      <a:avLst/>
                    </a:prstGeom>
                    <a:noFill/>
                    <a:ln>
                      <a:noFill/>
                    </a:ln>
                  </pic:spPr>
                </pic:pic>
              </a:graphicData>
            </a:graphic>
          </wp:inline>
        </w:drawing>
      </w:r>
    </w:p>
    <w:p w:rsidR="00AA5065" w:rsidRPr="00AA5065" w:rsidP="00734ECE">
      <w:pPr>
        <w:spacing w:before="120" w:line="269" w:lineRule="auto"/>
        <w:rPr>
          <w:rFonts w:eastAsia="Calibri"/>
          <w:szCs w:val="20"/>
          <w:rtl/>
        </w:rPr>
      </w:pPr>
      <w:r w:rsidRPr="00AA5065">
        <w:rPr>
          <w:rFonts w:eastAsia="Calibri" w:hint="eastAsia"/>
          <w:szCs w:val="20"/>
          <w:rtl/>
        </w:rPr>
        <w:t>המקור</w:t>
      </w:r>
      <w:r w:rsidRPr="00AA5065">
        <w:rPr>
          <w:rFonts w:eastAsia="Calibri"/>
          <w:szCs w:val="20"/>
          <w:rtl/>
        </w:rPr>
        <w:t xml:space="preserve">: </w:t>
      </w:r>
      <w:r w:rsidRPr="00AA5065">
        <w:rPr>
          <w:rFonts w:eastAsia="Calibri" w:hint="eastAsia"/>
          <w:szCs w:val="20"/>
          <w:rtl/>
        </w:rPr>
        <w:t>מצגת</w:t>
      </w:r>
      <w:r w:rsidRPr="00AA5065">
        <w:rPr>
          <w:rFonts w:eastAsia="Calibri"/>
          <w:szCs w:val="20"/>
          <w:rtl/>
        </w:rPr>
        <w:t xml:space="preserve"> </w:t>
      </w:r>
      <w:r w:rsidRPr="00AA5065">
        <w:rPr>
          <w:rFonts w:eastAsia="Calibri" w:hint="eastAsia"/>
          <w:szCs w:val="20"/>
          <w:rtl/>
        </w:rPr>
        <w:t>מיוני</w:t>
      </w:r>
      <w:r w:rsidRPr="00AA5065">
        <w:rPr>
          <w:rFonts w:eastAsia="Calibri"/>
          <w:szCs w:val="20"/>
          <w:rtl/>
        </w:rPr>
        <w:t xml:space="preserve"> 2024 </w:t>
      </w:r>
      <w:r w:rsidRPr="00AA5065">
        <w:rPr>
          <w:rFonts w:eastAsia="Calibri" w:hint="eastAsia"/>
          <w:szCs w:val="20"/>
          <w:rtl/>
        </w:rPr>
        <w:t>של</w:t>
      </w:r>
      <w:r w:rsidRPr="00AA5065">
        <w:rPr>
          <w:rFonts w:eastAsia="Calibri"/>
          <w:szCs w:val="20"/>
          <w:rtl/>
        </w:rPr>
        <w:t xml:space="preserve"> </w:t>
      </w:r>
      <w:r w:rsidRPr="00AA5065">
        <w:rPr>
          <w:rFonts w:eastAsia="Calibri" w:hint="eastAsia"/>
          <w:szCs w:val="20"/>
          <w:rtl/>
        </w:rPr>
        <w:t>חברת</w:t>
      </w:r>
      <w:r w:rsidRPr="00AA5065">
        <w:rPr>
          <w:rFonts w:eastAsia="Calibri"/>
          <w:szCs w:val="20"/>
          <w:rtl/>
        </w:rPr>
        <w:t xml:space="preserve"> </w:t>
      </w:r>
      <w:r w:rsidRPr="00AA5065">
        <w:rPr>
          <w:rFonts w:eastAsia="Calibri" w:hint="eastAsia"/>
          <w:szCs w:val="20"/>
          <w:rtl/>
        </w:rPr>
        <w:t>החשמל</w:t>
      </w:r>
      <w:r w:rsidRPr="00AA5065">
        <w:rPr>
          <w:rFonts w:eastAsia="Calibri"/>
          <w:szCs w:val="20"/>
          <w:rtl/>
        </w:rPr>
        <w:t xml:space="preserve"> </w:t>
      </w:r>
      <w:r w:rsidRPr="00AA5065">
        <w:rPr>
          <w:rFonts w:eastAsia="Calibri" w:hint="eastAsia"/>
          <w:szCs w:val="20"/>
          <w:rtl/>
        </w:rPr>
        <w:t>לוועדת</w:t>
      </w:r>
      <w:r w:rsidRPr="00AA5065">
        <w:rPr>
          <w:rFonts w:eastAsia="Calibri"/>
          <w:szCs w:val="20"/>
          <w:rtl/>
        </w:rPr>
        <w:t xml:space="preserve"> </w:t>
      </w:r>
      <w:r w:rsidRPr="00AA5065">
        <w:rPr>
          <w:rFonts w:eastAsia="Calibri" w:hint="eastAsia"/>
          <w:szCs w:val="20"/>
          <w:rtl/>
        </w:rPr>
        <w:t>הכלכלה</w:t>
      </w:r>
      <w:r w:rsidRPr="00AA5065">
        <w:rPr>
          <w:rFonts w:eastAsia="Calibri"/>
          <w:szCs w:val="20"/>
          <w:rtl/>
        </w:rPr>
        <w:t xml:space="preserve"> </w:t>
      </w:r>
      <w:r w:rsidRPr="00AA5065">
        <w:rPr>
          <w:rFonts w:eastAsia="Calibri" w:hint="eastAsia"/>
          <w:szCs w:val="20"/>
          <w:rtl/>
        </w:rPr>
        <w:t>של</w:t>
      </w:r>
      <w:r w:rsidRPr="00AA5065">
        <w:rPr>
          <w:rFonts w:eastAsia="Calibri"/>
          <w:szCs w:val="20"/>
          <w:rtl/>
        </w:rPr>
        <w:t xml:space="preserve"> </w:t>
      </w:r>
      <w:r w:rsidRPr="00AA5065">
        <w:rPr>
          <w:rFonts w:eastAsia="Calibri" w:hint="eastAsia"/>
          <w:szCs w:val="20"/>
          <w:rtl/>
        </w:rPr>
        <w:t>הכנסת</w:t>
      </w:r>
      <w:r w:rsidRPr="00AA5065">
        <w:rPr>
          <w:rFonts w:eastAsia="Calibri" w:hint="cs"/>
          <w:szCs w:val="20"/>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בביקורת הקודמת עלה כי קיימת תופעה של התחברות פיראטית למתקני חברת החשמל הנמצאים באזור הנגב. בביקורת המעקב נמצא כי הליקוי לא תוקן.</w:t>
      </w:r>
      <w:r w:rsidRPr="00AA5065">
        <w:rPr>
          <w:rFonts w:eastAsia="Calibri"/>
          <w:b/>
          <w:bCs/>
          <w:rtl/>
        </w:rPr>
        <w:t xml:space="preserve"> ממוצע התקלות ביישובי הפזורה</w:t>
      </w:r>
      <w:r w:rsidRPr="00AA5065">
        <w:rPr>
          <w:rFonts w:eastAsia="Calibri" w:hint="cs"/>
          <w:b/>
          <w:bCs/>
          <w:rtl/>
        </w:rPr>
        <w:t xml:space="preserve"> שעימן התמודדה חברת החשמל</w:t>
      </w:r>
      <w:r w:rsidRPr="00AA5065">
        <w:rPr>
          <w:rFonts w:eastAsia="Calibri"/>
          <w:b/>
          <w:bCs/>
          <w:rtl/>
        </w:rPr>
        <w:t xml:space="preserve"> בשנים 2018 עד נובמבר 2024 </w:t>
      </w:r>
      <w:r w:rsidRPr="00AA5065">
        <w:rPr>
          <w:rFonts w:eastAsia="Calibri" w:hint="cs"/>
          <w:b/>
          <w:bCs/>
          <w:rtl/>
        </w:rPr>
        <w:t>היה</w:t>
      </w:r>
      <w:r w:rsidRPr="00AA5065">
        <w:rPr>
          <w:rFonts w:eastAsia="Calibri"/>
          <w:b/>
          <w:bCs/>
          <w:rtl/>
        </w:rPr>
        <w:t xml:space="preserve"> כ-פי 2.5 מהממוצע הארצי, </w:t>
      </w:r>
      <w:r w:rsidRPr="00AA5065">
        <w:rPr>
          <w:rFonts w:eastAsia="Calibri" w:hint="cs"/>
          <w:b/>
          <w:bCs/>
          <w:rtl/>
        </w:rPr>
        <w:t>נכון לסוף שנת 2024 נרשם</w:t>
      </w:r>
      <w:r w:rsidRPr="00AA5065">
        <w:rPr>
          <w:rFonts w:eastAsia="Calibri"/>
          <w:b/>
          <w:bCs/>
          <w:rtl/>
        </w:rPr>
        <w:t xml:space="preserve"> אובדן הכנסה של 181 מיליו</w:t>
      </w:r>
      <w:r w:rsidRPr="00AA5065">
        <w:rPr>
          <w:rFonts w:eastAsia="Calibri" w:hint="cs"/>
          <w:b/>
          <w:bCs/>
          <w:rtl/>
        </w:rPr>
        <w:t xml:space="preserve">ן </w:t>
      </w:r>
      <w:r w:rsidRPr="00AA5065">
        <w:rPr>
          <w:rFonts w:eastAsia="Calibri"/>
          <w:b/>
          <w:bCs/>
          <w:rtl/>
        </w:rPr>
        <w:t xml:space="preserve">ש"ח </w:t>
      </w:r>
      <w:r w:rsidRPr="00AA5065">
        <w:rPr>
          <w:rFonts w:eastAsia="Calibri" w:hint="cs"/>
          <w:b/>
          <w:bCs/>
          <w:rtl/>
        </w:rPr>
        <w:t>עקב</w:t>
      </w:r>
      <w:r w:rsidRPr="00AA5065">
        <w:rPr>
          <w:rFonts w:eastAsia="Calibri"/>
          <w:b/>
          <w:bCs/>
          <w:rtl/>
        </w:rPr>
        <w:t xml:space="preserve"> אי</w:t>
      </w:r>
      <w:r w:rsidRPr="00AA5065">
        <w:rPr>
          <w:rFonts w:eastAsia="Calibri" w:hint="cs"/>
          <w:b/>
          <w:bCs/>
          <w:rtl/>
        </w:rPr>
        <w:t>-</w:t>
      </w:r>
      <w:r w:rsidRPr="00AA5065">
        <w:rPr>
          <w:rFonts w:eastAsia="Calibri"/>
          <w:b/>
          <w:bCs/>
          <w:rtl/>
        </w:rPr>
        <w:t>הזמנת חיבור</w:t>
      </w:r>
      <w:r w:rsidRPr="00AA5065">
        <w:rPr>
          <w:rFonts w:eastAsia="Calibri" w:hint="cs"/>
          <w:b/>
          <w:bCs/>
          <w:rtl/>
        </w:rPr>
        <w:t>ים לרשת החשמל.</w:t>
      </w:r>
      <w:r w:rsidRPr="00AA5065">
        <w:rPr>
          <w:rFonts w:eastAsia="Calibri"/>
          <w:b/>
          <w:bCs/>
          <w:rtl/>
        </w:rPr>
        <w:t xml:space="preserve"> </w:t>
      </w:r>
      <w:r w:rsidRPr="00AA5065">
        <w:rPr>
          <w:rFonts w:eastAsia="Calibri" w:hint="cs"/>
          <w:b/>
          <w:bCs/>
          <w:rtl/>
        </w:rPr>
        <w:t>נוסף</w:t>
      </w:r>
      <w:r w:rsidR="00AF3FA8">
        <w:rPr>
          <w:rFonts w:eastAsia="Calibri" w:hint="cs"/>
          <w:b/>
          <w:bCs/>
          <w:rtl/>
        </w:rPr>
        <w:t xml:space="preserve"> על כך</w:t>
      </w:r>
      <w:r w:rsidRPr="00AA5065">
        <w:rPr>
          <w:rFonts w:eastAsia="Calibri" w:hint="cs"/>
          <w:b/>
          <w:bCs/>
          <w:rtl/>
        </w:rPr>
        <w:t xml:space="preserve">, </w:t>
      </w:r>
      <w:r w:rsidRPr="00AA5065">
        <w:rPr>
          <w:rFonts w:eastAsia="Calibri"/>
          <w:b/>
          <w:bCs/>
          <w:rtl/>
        </w:rPr>
        <w:t>חובות</w:t>
      </w:r>
      <w:r w:rsidRPr="00AA5065">
        <w:rPr>
          <w:rFonts w:eastAsia="Calibri" w:hint="cs"/>
          <w:b/>
          <w:bCs/>
          <w:rtl/>
        </w:rPr>
        <w:t xml:space="preserve"> תושבי</w:t>
      </w:r>
      <w:r w:rsidRPr="00AA5065">
        <w:rPr>
          <w:rFonts w:eastAsia="Calibri"/>
          <w:b/>
          <w:bCs/>
          <w:rtl/>
        </w:rPr>
        <w:t xml:space="preserve"> </w:t>
      </w:r>
      <w:r w:rsidRPr="00AA5065">
        <w:rPr>
          <w:rFonts w:eastAsia="Calibri" w:hint="cs"/>
          <w:b/>
          <w:bCs/>
          <w:rtl/>
        </w:rPr>
        <w:t>ה</w:t>
      </w:r>
      <w:r w:rsidRPr="00AA5065">
        <w:rPr>
          <w:rFonts w:eastAsia="Calibri"/>
          <w:b/>
          <w:bCs/>
          <w:rtl/>
        </w:rPr>
        <w:t>פזורה</w:t>
      </w:r>
      <w:r w:rsidRPr="00AA5065">
        <w:rPr>
          <w:rFonts w:eastAsia="Calibri" w:hint="cs"/>
          <w:b/>
          <w:bCs/>
          <w:rtl/>
        </w:rPr>
        <w:t xml:space="preserve"> </w:t>
      </w:r>
      <w:r w:rsidRPr="00AA5065">
        <w:rPr>
          <w:rFonts w:eastAsia="Calibri"/>
          <w:b/>
          <w:bCs/>
          <w:rtl/>
        </w:rPr>
        <w:t>בגין צריכה בלתי חוקית נאמדים בכ-61.8 מיליון ש"ח.</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eastAsia="Calibri"/>
          <w:b/>
          <w:bCs/>
          <w:rtl/>
        </w:rPr>
      </w:pPr>
      <w:r w:rsidRPr="00AA5065">
        <w:rPr>
          <w:rFonts w:eastAsia="Calibri" w:hint="cs"/>
          <w:b/>
          <w:bCs/>
          <w:rtl/>
        </w:rPr>
        <w:t>מידת תיקון הליקוי</w:t>
      </w:r>
    </w:p>
    <w:p w:rsidR="00AA5065" w:rsidRPr="00AA5065" w:rsidP="00860D89">
      <w:pPr>
        <w:spacing w:line="269" w:lineRule="auto"/>
        <w:jc w:val="center"/>
        <w:rPr>
          <w:rFonts w:eastAsia="Calibri"/>
          <w:rtl/>
        </w:rPr>
      </w:pPr>
      <w:r w:rsidRPr="00AA5065">
        <w:rPr>
          <w:rFonts w:eastAsia="Calibri"/>
          <w:noProof/>
        </w:rPr>
        <w:drawing>
          <wp:inline distT="0" distB="0" distL="0" distR="0">
            <wp:extent cx="3422650" cy="933450"/>
            <wp:effectExtent l="0" t="0" r="6350" b="0"/>
            <wp:docPr id="59" name="תמונה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2"/>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2650" cy="933450"/>
                    </a:xfrm>
                    <a:prstGeom prst="rect">
                      <a:avLst/>
                    </a:prstGeom>
                    <a:noFill/>
                    <a:ln>
                      <a:noFill/>
                    </a:ln>
                  </pic:spPr>
                </pic:pic>
              </a:graphicData>
            </a:graphic>
          </wp:inline>
        </w:drawing>
      </w:r>
    </w:p>
    <w:p w:rsidR="00AA5065" w:rsidRPr="00AA5065" w:rsidP="00860D89">
      <w:pPr>
        <w:tabs>
          <w:tab w:val="left" w:pos="4486"/>
        </w:tabs>
        <w:spacing w:line="269" w:lineRule="auto"/>
        <w:ind w:left="-567"/>
        <w:rPr>
          <w:rFonts w:eastAsia="Calibri"/>
          <w:szCs w:val="20"/>
          <w:rtl/>
        </w:rPr>
      </w:pPr>
      <w:r w:rsidRPr="00AA5065">
        <w:rPr>
          <w:rFonts w:eastAsia="Calibri"/>
          <w:szCs w:val="20"/>
          <w:rtl/>
        </w:rPr>
        <w:tab/>
      </w:r>
    </w:p>
    <w:p w:rsidR="00AA5065" w:rsidRPr="00AA5065" w:rsidP="00860D89">
      <w:pPr>
        <w:spacing w:line="269" w:lineRule="auto"/>
        <w:rPr>
          <w:rFonts w:eastAsia="Calibri"/>
          <w:b/>
          <w:rtl/>
        </w:rPr>
      </w:pPr>
      <w:r w:rsidRPr="00AA5065">
        <w:rPr>
          <w:rFonts w:eastAsia="Calibri" w:hint="eastAsia"/>
          <w:b/>
          <w:bCs/>
          <w:rtl/>
        </w:rPr>
        <w:t>מומלץ</w:t>
      </w:r>
      <w:r w:rsidRPr="00AA5065">
        <w:rPr>
          <w:rFonts w:eastAsia="Calibri"/>
          <w:b/>
          <w:bCs/>
          <w:rtl/>
        </w:rPr>
        <w:t xml:space="preserve"> כי חברת החשמל תגביר </w:t>
      </w:r>
      <w:r w:rsidRPr="00AA5065">
        <w:rPr>
          <w:rFonts w:eastAsia="Calibri" w:hint="eastAsia"/>
          <w:b/>
          <w:bCs/>
          <w:rtl/>
        </w:rPr>
        <w:t>את</w:t>
      </w:r>
      <w:r w:rsidRPr="00AA5065">
        <w:rPr>
          <w:rFonts w:eastAsia="Calibri"/>
          <w:b/>
          <w:bCs/>
          <w:rtl/>
        </w:rPr>
        <w:t xml:space="preserve"> תדירות הבדיקות והבקרה על </w:t>
      </w:r>
      <w:r w:rsidRPr="00AA5065">
        <w:rPr>
          <w:rFonts w:eastAsia="Calibri" w:hint="eastAsia"/>
          <w:b/>
          <w:bCs/>
          <w:rtl/>
        </w:rPr>
        <w:t>ניסיונות</w:t>
      </w:r>
      <w:r w:rsidRPr="00AA5065">
        <w:rPr>
          <w:rFonts w:eastAsia="Calibri"/>
          <w:b/>
          <w:bCs/>
          <w:rtl/>
        </w:rPr>
        <w:t xml:space="preserve"> ה</w:t>
      </w:r>
      <w:r w:rsidRPr="00AA5065">
        <w:rPr>
          <w:rFonts w:eastAsia="Calibri" w:hint="eastAsia"/>
          <w:b/>
          <w:bCs/>
          <w:rtl/>
        </w:rPr>
        <w:t>התחברויות</w:t>
      </w:r>
      <w:r w:rsidRPr="00AA5065">
        <w:rPr>
          <w:rFonts w:eastAsia="Calibri"/>
          <w:b/>
          <w:bCs/>
          <w:rtl/>
        </w:rPr>
        <w:t xml:space="preserve"> </w:t>
      </w:r>
      <w:r w:rsidRPr="00AA5065">
        <w:rPr>
          <w:rFonts w:eastAsia="Calibri" w:hint="eastAsia"/>
          <w:b/>
          <w:bCs/>
          <w:rtl/>
        </w:rPr>
        <w:t>הפיראטיות</w:t>
      </w:r>
      <w:r w:rsidRPr="00AA5065">
        <w:rPr>
          <w:rFonts w:eastAsia="Calibri"/>
          <w:b/>
          <w:bCs/>
          <w:rtl/>
        </w:rPr>
        <w:t xml:space="preserve"> </w:t>
      </w:r>
      <w:r w:rsidRPr="00AA5065">
        <w:rPr>
          <w:rFonts w:eastAsia="Calibri" w:hint="eastAsia"/>
          <w:b/>
          <w:bCs/>
          <w:rtl/>
        </w:rPr>
        <w:t>לרשת</w:t>
      </w:r>
      <w:r w:rsidRPr="00AA5065">
        <w:rPr>
          <w:rFonts w:eastAsia="Calibri"/>
          <w:b/>
          <w:bCs/>
          <w:rtl/>
        </w:rPr>
        <w:t xml:space="preserve"> </w:t>
      </w:r>
      <w:r w:rsidRPr="00AA5065">
        <w:rPr>
          <w:rFonts w:eastAsia="Calibri" w:hint="eastAsia"/>
          <w:b/>
          <w:bCs/>
          <w:rtl/>
        </w:rPr>
        <w:t>החשמל</w:t>
      </w:r>
      <w:r w:rsidRPr="00AA5065">
        <w:rPr>
          <w:rFonts w:eastAsia="Calibri"/>
          <w:b/>
          <w:bCs/>
          <w:rtl/>
        </w:rPr>
        <w:t xml:space="preserve"> </w:t>
      </w:r>
      <w:r w:rsidRPr="00AA5065">
        <w:rPr>
          <w:rFonts w:eastAsia="Calibri" w:hint="eastAsia"/>
          <w:b/>
          <w:bCs/>
          <w:rtl/>
        </w:rPr>
        <w:t>ברחבי</w:t>
      </w:r>
      <w:r w:rsidRPr="00AA5065">
        <w:rPr>
          <w:rFonts w:eastAsia="Calibri"/>
          <w:b/>
          <w:bCs/>
          <w:rtl/>
        </w:rPr>
        <w:t xml:space="preserve"> </w:t>
      </w:r>
      <w:r w:rsidRPr="00AA5065">
        <w:rPr>
          <w:rFonts w:eastAsia="Calibri" w:hint="eastAsia"/>
          <w:b/>
          <w:bCs/>
          <w:rtl/>
        </w:rPr>
        <w:t>הנגב</w:t>
      </w:r>
      <w:r w:rsidRPr="00AA5065">
        <w:rPr>
          <w:rFonts w:eastAsia="Calibri"/>
          <w:b/>
          <w:bCs/>
          <w:rtl/>
        </w:rPr>
        <w:t xml:space="preserve"> </w:t>
      </w:r>
      <w:r w:rsidRPr="00AA5065">
        <w:rPr>
          <w:rFonts w:eastAsia="Calibri" w:hint="eastAsia"/>
          <w:b/>
          <w:bCs/>
          <w:rtl/>
        </w:rPr>
        <w:t>כדי</w:t>
      </w:r>
      <w:r w:rsidRPr="00AA5065">
        <w:rPr>
          <w:rFonts w:eastAsia="Calibri"/>
          <w:b/>
          <w:bCs/>
          <w:rtl/>
        </w:rPr>
        <w:t xml:space="preserve"> </w:t>
      </w:r>
      <w:r w:rsidRPr="00AA5065">
        <w:rPr>
          <w:rFonts w:eastAsia="Calibri" w:hint="eastAsia"/>
          <w:b/>
          <w:bCs/>
          <w:rtl/>
        </w:rPr>
        <w:t>לצמצם</w:t>
      </w:r>
      <w:r w:rsidRPr="00AA5065">
        <w:rPr>
          <w:rFonts w:eastAsia="Calibri"/>
          <w:b/>
          <w:bCs/>
          <w:rtl/>
        </w:rPr>
        <w:t xml:space="preserve"> </w:t>
      </w:r>
      <w:r w:rsidRPr="00AA5065">
        <w:rPr>
          <w:rFonts w:eastAsia="Calibri" w:hint="eastAsia"/>
          <w:b/>
          <w:bCs/>
          <w:rtl/>
        </w:rPr>
        <w:t>את</w:t>
      </w:r>
      <w:r w:rsidRPr="00AA5065">
        <w:rPr>
          <w:rFonts w:eastAsia="Calibri"/>
          <w:b/>
          <w:bCs/>
          <w:rtl/>
        </w:rPr>
        <w:t xml:space="preserve"> </w:t>
      </w:r>
      <w:r w:rsidRPr="00AA5065">
        <w:rPr>
          <w:rFonts w:eastAsia="Calibri" w:hint="eastAsia"/>
          <w:b/>
          <w:bCs/>
          <w:rtl/>
        </w:rPr>
        <w:t>התופעה</w:t>
      </w:r>
      <w:r w:rsidRPr="00AA5065">
        <w:rPr>
          <w:rFonts w:eastAsia="Calibri"/>
          <w:b/>
          <w:bCs/>
          <w:rtl/>
        </w:rPr>
        <w:t xml:space="preserve"> </w:t>
      </w:r>
      <w:r w:rsidRPr="00AA5065">
        <w:rPr>
          <w:rFonts w:eastAsia="Calibri" w:hint="eastAsia"/>
          <w:b/>
          <w:bCs/>
          <w:rtl/>
        </w:rPr>
        <w:t>המסוכנת</w:t>
      </w:r>
      <w:r w:rsidRPr="00AA5065">
        <w:rPr>
          <w:rFonts w:eastAsia="Calibri"/>
          <w:b/>
          <w:bCs/>
          <w:rtl/>
        </w:rPr>
        <w:t xml:space="preserve"> </w:t>
      </w:r>
      <w:r w:rsidRPr="00AA5065">
        <w:rPr>
          <w:rFonts w:eastAsia="Calibri" w:hint="eastAsia"/>
          <w:b/>
          <w:bCs/>
          <w:rtl/>
        </w:rPr>
        <w:t>ככל</w:t>
      </w:r>
      <w:r w:rsidRPr="00AA5065">
        <w:rPr>
          <w:rFonts w:eastAsia="Calibri"/>
          <w:b/>
          <w:bCs/>
          <w:rtl/>
        </w:rPr>
        <w:t xml:space="preserve"> </w:t>
      </w:r>
      <w:r w:rsidRPr="00AA5065">
        <w:rPr>
          <w:rFonts w:eastAsia="Calibri" w:hint="eastAsia"/>
          <w:b/>
          <w:bCs/>
          <w:rtl/>
        </w:rPr>
        <w:t>הניתן</w:t>
      </w:r>
      <w:r w:rsidRPr="00AA5065">
        <w:rPr>
          <w:rFonts w:eastAsia="Calibri"/>
          <w:b/>
          <w:bCs/>
          <w:rtl/>
        </w:rPr>
        <w:t xml:space="preserve">. נוסף על כך, על </w:t>
      </w:r>
      <w:r w:rsidRPr="00AA5065">
        <w:rPr>
          <w:rFonts w:eastAsia="Calibri" w:hint="eastAsia"/>
          <w:b/>
          <w:bCs/>
          <w:rtl/>
        </w:rPr>
        <w:t>חברת</w:t>
      </w:r>
      <w:r w:rsidRPr="00AA5065">
        <w:rPr>
          <w:rFonts w:eastAsia="Calibri"/>
          <w:b/>
          <w:bCs/>
          <w:rtl/>
        </w:rPr>
        <w:t xml:space="preserve"> </w:t>
      </w:r>
      <w:r w:rsidRPr="00AA5065">
        <w:rPr>
          <w:rFonts w:eastAsia="Calibri" w:hint="eastAsia"/>
          <w:b/>
          <w:bCs/>
          <w:rtl/>
        </w:rPr>
        <w:t>החשמל</w:t>
      </w:r>
      <w:r w:rsidRPr="00AA5065">
        <w:rPr>
          <w:rFonts w:eastAsia="Calibri"/>
          <w:b/>
          <w:bCs/>
          <w:rtl/>
        </w:rPr>
        <w:t xml:space="preserve"> </w:t>
      </w:r>
      <w:r w:rsidRPr="00AA5065">
        <w:rPr>
          <w:rFonts w:eastAsia="Calibri" w:hint="eastAsia"/>
          <w:b/>
          <w:bCs/>
          <w:rtl/>
        </w:rPr>
        <w:t>להגביר</w:t>
      </w:r>
      <w:r w:rsidRPr="00AA5065">
        <w:rPr>
          <w:rFonts w:eastAsia="Calibri"/>
          <w:b/>
          <w:bCs/>
          <w:rtl/>
        </w:rPr>
        <w:t xml:space="preserve"> </w:t>
      </w:r>
      <w:r w:rsidRPr="00AA5065">
        <w:rPr>
          <w:rFonts w:eastAsia="Calibri" w:hint="eastAsia"/>
          <w:b/>
          <w:bCs/>
          <w:rtl/>
        </w:rPr>
        <w:t>את</w:t>
      </w:r>
      <w:r w:rsidRPr="00AA5065">
        <w:rPr>
          <w:rFonts w:eastAsia="Calibri"/>
          <w:b/>
          <w:bCs/>
          <w:rtl/>
        </w:rPr>
        <w:t xml:space="preserve"> </w:t>
      </w:r>
      <w:r w:rsidRPr="00AA5065">
        <w:rPr>
          <w:rFonts w:eastAsia="Calibri" w:hint="eastAsia"/>
          <w:b/>
          <w:bCs/>
          <w:rtl/>
        </w:rPr>
        <w:t>פעילות</w:t>
      </w:r>
      <w:r w:rsidRPr="00AA5065">
        <w:rPr>
          <w:rFonts w:eastAsia="Calibri"/>
          <w:b/>
          <w:bCs/>
          <w:rtl/>
        </w:rPr>
        <w:t xml:space="preserve"> </w:t>
      </w:r>
      <w:r w:rsidRPr="00AA5065">
        <w:rPr>
          <w:rFonts w:eastAsia="Calibri" w:hint="eastAsia"/>
          <w:b/>
          <w:bCs/>
          <w:rtl/>
        </w:rPr>
        <w:t>גביית</w:t>
      </w:r>
      <w:r w:rsidRPr="00AA5065">
        <w:rPr>
          <w:rFonts w:eastAsia="Calibri"/>
          <w:b/>
          <w:bCs/>
          <w:rtl/>
        </w:rPr>
        <w:t xml:space="preserve"> </w:t>
      </w:r>
      <w:r w:rsidRPr="00AA5065">
        <w:rPr>
          <w:rFonts w:eastAsia="Calibri" w:hint="eastAsia"/>
          <w:b/>
          <w:bCs/>
          <w:rtl/>
        </w:rPr>
        <w:t>החובות</w:t>
      </w:r>
      <w:r w:rsidRPr="00AA5065">
        <w:rPr>
          <w:rFonts w:eastAsia="Calibri"/>
          <w:b/>
          <w:bCs/>
          <w:rtl/>
        </w:rPr>
        <w:t xml:space="preserve"> </w:t>
      </w:r>
      <w:r w:rsidRPr="00AA5065">
        <w:rPr>
          <w:rFonts w:eastAsia="Calibri" w:hint="eastAsia"/>
          <w:b/>
          <w:bCs/>
          <w:rtl/>
        </w:rPr>
        <w:t>שנוצרו</w:t>
      </w:r>
      <w:r w:rsidRPr="00AA5065">
        <w:rPr>
          <w:rFonts w:eastAsia="Calibri"/>
          <w:b/>
          <w:bCs/>
          <w:rtl/>
        </w:rPr>
        <w:t xml:space="preserve"> </w:t>
      </w:r>
      <w:r w:rsidRPr="00AA5065">
        <w:rPr>
          <w:rFonts w:eastAsia="Calibri" w:hint="eastAsia"/>
          <w:b/>
          <w:bCs/>
          <w:rtl/>
        </w:rPr>
        <w:t>כתוצאה</w:t>
      </w:r>
      <w:r w:rsidRPr="00AA5065">
        <w:rPr>
          <w:rFonts w:eastAsia="Calibri"/>
          <w:b/>
          <w:bCs/>
          <w:rtl/>
        </w:rPr>
        <w:t xml:space="preserve"> </w:t>
      </w:r>
      <w:r w:rsidRPr="00AA5065">
        <w:rPr>
          <w:rFonts w:eastAsia="Calibri" w:hint="eastAsia"/>
          <w:b/>
          <w:bCs/>
          <w:rtl/>
        </w:rPr>
        <w:t>מההתחברויות</w:t>
      </w:r>
      <w:r w:rsidRPr="00AA5065">
        <w:rPr>
          <w:rFonts w:eastAsia="Calibri"/>
          <w:b/>
          <w:bCs/>
          <w:rtl/>
        </w:rPr>
        <w:t xml:space="preserve"> </w:t>
      </w:r>
      <w:r w:rsidRPr="00AA5065">
        <w:rPr>
          <w:rFonts w:eastAsia="Calibri" w:hint="eastAsia"/>
          <w:b/>
          <w:bCs/>
          <w:rtl/>
        </w:rPr>
        <w:t>הפיראטיות</w:t>
      </w:r>
      <w:r w:rsidRPr="00AA5065">
        <w:rPr>
          <w:rFonts w:eastAsia="Calibri"/>
          <w:b/>
          <w:bCs/>
          <w:rtl/>
        </w:rPr>
        <w:t xml:space="preserve"> לרשת החשמל שלה.</w:t>
      </w:r>
    </w:p>
    <w:p w:rsidR="00AA5065" w:rsidRPr="00AA5065" w:rsidP="00860D89">
      <w:pPr>
        <w:spacing w:line="269" w:lineRule="auto"/>
        <w:rPr>
          <w:rFonts w:eastAsia="Calibri"/>
          <w:rtl/>
        </w:rPr>
      </w:pPr>
    </w:p>
    <w:p w:rsidR="00AA5065" w:rsidRPr="00AA5065" w:rsidP="00734ECE">
      <w:pPr>
        <w:keepNext/>
        <w:keepLines/>
        <w:spacing w:before="120" w:line="269" w:lineRule="auto"/>
        <w:outlineLvl w:val="4"/>
        <w:rPr>
          <w:rFonts w:eastAsia="Times New Roman"/>
          <w:bCs/>
          <w:spacing w:val="40"/>
          <w:rtl/>
        </w:rPr>
      </w:pPr>
      <w:r w:rsidRPr="00AA5065">
        <w:rPr>
          <w:rFonts w:eastAsia="Times New Roman" w:hint="eastAsia"/>
          <w:bCs/>
          <w:spacing w:val="40"/>
          <w:rtl/>
        </w:rPr>
        <w:t>פגיעה</w:t>
      </w:r>
      <w:r w:rsidRPr="00AA5065">
        <w:rPr>
          <w:rFonts w:eastAsia="Times New Roman"/>
          <w:bCs/>
          <w:spacing w:val="40"/>
          <w:rtl/>
        </w:rPr>
        <w:t xml:space="preserve"> </w:t>
      </w:r>
      <w:r w:rsidRPr="00AA5065">
        <w:rPr>
          <w:rFonts w:eastAsia="Times New Roman" w:hint="eastAsia"/>
          <w:bCs/>
          <w:spacing w:val="40"/>
          <w:rtl/>
        </w:rPr>
        <w:t>בפיתוח</w:t>
      </w:r>
      <w:r w:rsidRPr="00AA5065">
        <w:rPr>
          <w:rFonts w:eastAsia="Times New Roman"/>
          <w:bCs/>
          <w:spacing w:val="40"/>
          <w:rtl/>
        </w:rPr>
        <w:t xml:space="preserve"> </w:t>
      </w:r>
      <w:r w:rsidRPr="00AA5065">
        <w:rPr>
          <w:rFonts w:eastAsia="Times New Roman" w:hint="eastAsia"/>
          <w:bCs/>
          <w:spacing w:val="40"/>
          <w:rtl/>
        </w:rPr>
        <w:t>רשת</w:t>
      </w:r>
      <w:r w:rsidRPr="00AA5065">
        <w:rPr>
          <w:rFonts w:eastAsia="Times New Roman"/>
          <w:bCs/>
          <w:spacing w:val="40"/>
          <w:rtl/>
        </w:rPr>
        <w:t xml:space="preserve"> </w:t>
      </w:r>
      <w:r w:rsidRPr="00AA5065">
        <w:rPr>
          <w:rFonts w:eastAsia="Times New Roman" w:hint="eastAsia"/>
          <w:bCs/>
          <w:spacing w:val="40"/>
          <w:rtl/>
        </w:rPr>
        <w:t>החשמל</w:t>
      </w:r>
    </w:p>
    <w:p w:rsidR="00AA5065" w:rsidRPr="00AA5065" w:rsidP="00860D89">
      <w:pPr>
        <w:spacing w:line="269" w:lineRule="auto"/>
        <w:rPr>
          <w:rFonts w:eastAsia="Calibri"/>
          <w:rtl/>
        </w:rPr>
      </w:pPr>
    </w:p>
    <w:p w:rsidR="00AA5065" w:rsidRPr="00AA5065" w:rsidP="00860D89">
      <w:pPr>
        <w:keepNext/>
        <w:keepLines/>
        <w:spacing w:line="269" w:lineRule="auto"/>
        <w:outlineLvl w:val="5"/>
        <w:rPr>
          <w:rFonts w:eastAsia="Times New Roman"/>
          <w:spacing w:val="40"/>
        </w:rPr>
      </w:pPr>
      <w:r w:rsidRPr="00AA5065">
        <w:rPr>
          <w:rFonts w:eastAsia="Times New Roman" w:hint="cs"/>
          <w:spacing w:val="40"/>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בדוח הקודם צוין כי חברת החשמל מסרה כי היא "מתמודדת מזה זמן רב עם חסם משמעותי לפעילותה באזור הדרום עקב התיישבות בלתי חוקית של הפזורה הבדואית </w:t>
      </w:r>
      <w:r w:rsidRPr="00AA5065">
        <w:rPr>
          <w:rFonts w:eastAsia="Calibri" w:hint="eastAsia"/>
          <w:rtl/>
        </w:rPr>
        <w:t>בסמוך</w:t>
      </w:r>
      <w:r w:rsidRPr="00AA5065">
        <w:rPr>
          <w:rFonts w:eastAsia="Calibri"/>
          <w:rtl/>
        </w:rPr>
        <w:t xml:space="preserve"> </w:t>
      </w:r>
      <w:r w:rsidRPr="00AA5065">
        <w:rPr>
          <w:rFonts w:eastAsia="Calibri" w:hint="eastAsia"/>
          <w:rtl/>
        </w:rPr>
        <w:t>ומתחת</w:t>
      </w:r>
      <w:r w:rsidRPr="00AA5065">
        <w:rPr>
          <w:rFonts w:eastAsia="Calibri"/>
          <w:rtl/>
        </w:rPr>
        <w:t xml:space="preserve"> </w:t>
      </w:r>
      <w:r w:rsidRPr="00AA5065">
        <w:rPr>
          <w:rFonts w:eastAsia="Calibri" w:hint="eastAsia"/>
          <w:rtl/>
        </w:rPr>
        <w:t>פרוזדורי</w:t>
      </w:r>
      <w:r w:rsidRPr="00AA5065">
        <w:rPr>
          <w:rFonts w:eastAsia="Calibri"/>
          <w:rtl/>
        </w:rPr>
        <w:t xml:space="preserve"> </w:t>
      </w:r>
      <w:r w:rsidRPr="00AA5065">
        <w:rPr>
          <w:rFonts w:eastAsia="Calibri" w:hint="eastAsia"/>
          <w:rtl/>
        </w:rPr>
        <w:t>קווי</w:t>
      </w:r>
      <w:r w:rsidRPr="00AA5065">
        <w:rPr>
          <w:rFonts w:eastAsia="Calibri"/>
          <w:rtl/>
        </w:rPr>
        <w:t xml:space="preserve"> </w:t>
      </w:r>
      <w:r w:rsidRPr="00AA5065">
        <w:rPr>
          <w:rFonts w:eastAsia="Calibri" w:hint="eastAsia"/>
          <w:rtl/>
        </w:rPr>
        <w:t>מתח</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החברה</w:t>
      </w:r>
      <w:r w:rsidRPr="00AA5065">
        <w:rPr>
          <w:rFonts w:eastAsia="Calibri"/>
          <w:rtl/>
        </w:rPr>
        <w:t xml:space="preserve"> </w:t>
      </w:r>
      <w:r w:rsidRPr="00AA5065">
        <w:rPr>
          <w:rFonts w:eastAsia="Calibri" w:hint="eastAsia"/>
          <w:rtl/>
        </w:rPr>
        <w:t>אשר</w:t>
      </w:r>
      <w:r w:rsidRPr="00AA5065">
        <w:rPr>
          <w:rFonts w:eastAsia="Calibri"/>
          <w:rtl/>
        </w:rPr>
        <w:t xml:space="preserve"> </w:t>
      </w:r>
      <w:r w:rsidRPr="00AA5065">
        <w:rPr>
          <w:rFonts w:eastAsia="Calibri" w:hint="eastAsia"/>
          <w:rtl/>
        </w:rPr>
        <w:t>אושרו</w:t>
      </w:r>
      <w:r w:rsidRPr="00AA5065">
        <w:rPr>
          <w:rFonts w:eastAsia="Calibri"/>
          <w:rtl/>
        </w:rPr>
        <w:t xml:space="preserve"> </w:t>
      </w:r>
      <w:r w:rsidRPr="00AA5065">
        <w:rPr>
          <w:rFonts w:eastAsia="Calibri" w:hint="eastAsia"/>
          <w:rtl/>
        </w:rPr>
        <w:t>בתכניות</w:t>
      </w:r>
      <w:r w:rsidRPr="00AA5065">
        <w:rPr>
          <w:rFonts w:eastAsia="Calibri"/>
          <w:rtl/>
        </w:rPr>
        <w:t xml:space="preserve"> </w:t>
      </w:r>
      <w:r w:rsidRPr="00AA5065">
        <w:rPr>
          <w:rFonts w:eastAsia="Calibri" w:hint="eastAsia"/>
          <w:rtl/>
        </w:rPr>
        <w:t>מתאר</w:t>
      </w:r>
      <w:r w:rsidRPr="00AA5065">
        <w:rPr>
          <w:rFonts w:eastAsia="Calibri"/>
          <w:rtl/>
        </w:rPr>
        <w:t xml:space="preserve">, </w:t>
      </w:r>
      <w:r w:rsidRPr="00AA5065">
        <w:rPr>
          <w:rFonts w:eastAsia="Calibri" w:hint="eastAsia"/>
          <w:rtl/>
        </w:rPr>
        <w:t>המהווים</w:t>
      </w:r>
      <w:r w:rsidRPr="00AA5065">
        <w:rPr>
          <w:rFonts w:eastAsia="Calibri"/>
          <w:rtl/>
        </w:rPr>
        <w:t xml:space="preserve"> </w:t>
      </w:r>
      <w:r w:rsidRPr="00AA5065">
        <w:rPr>
          <w:rFonts w:eastAsia="Calibri" w:hint="eastAsia"/>
          <w:rtl/>
        </w:rPr>
        <w:t>עורק</w:t>
      </w:r>
      <w:r w:rsidRPr="00AA5065">
        <w:rPr>
          <w:rFonts w:eastAsia="Calibri"/>
          <w:rtl/>
        </w:rPr>
        <w:t xml:space="preserve"> </w:t>
      </w:r>
      <w:r w:rsidRPr="00AA5065">
        <w:rPr>
          <w:rFonts w:eastAsia="Calibri" w:hint="eastAsia"/>
          <w:rtl/>
        </w:rPr>
        <w:t>מרכזי</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תשתית</w:t>
      </w:r>
      <w:r w:rsidRPr="00AA5065">
        <w:rPr>
          <w:rFonts w:eastAsia="Calibri"/>
          <w:rtl/>
        </w:rPr>
        <w:t xml:space="preserve"> </w:t>
      </w:r>
      <w:r w:rsidRPr="00AA5065">
        <w:rPr>
          <w:rFonts w:eastAsia="Calibri" w:hint="eastAsia"/>
          <w:rtl/>
        </w:rPr>
        <w:t>החשמל</w:t>
      </w:r>
      <w:r w:rsidRPr="00AA5065">
        <w:rPr>
          <w:rFonts w:eastAsia="Calibri"/>
          <w:rtl/>
        </w:rPr>
        <w:t xml:space="preserve"> </w:t>
      </w:r>
      <w:r w:rsidRPr="00AA5065">
        <w:rPr>
          <w:rFonts w:eastAsia="Calibri" w:hint="eastAsia"/>
          <w:rtl/>
        </w:rPr>
        <w:t>בארץ</w:t>
      </w:r>
      <w:r w:rsidRPr="00AA5065">
        <w:rPr>
          <w:rFonts w:eastAsia="Calibri"/>
          <w:rtl/>
        </w:rPr>
        <w:t xml:space="preserve">... </w:t>
      </w:r>
      <w:r w:rsidRPr="00AA5065">
        <w:rPr>
          <w:rFonts w:eastAsia="Calibri" w:hint="eastAsia"/>
          <w:rtl/>
        </w:rPr>
        <w:t>לשם</w:t>
      </w:r>
      <w:r w:rsidRPr="00AA5065">
        <w:rPr>
          <w:rFonts w:eastAsia="Calibri"/>
          <w:rtl/>
        </w:rPr>
        <w:t xml:space="preserve"> </w:t>
      </w:r>
      <w:r w:rsidRPr="00AA5065">
        <w:rPr>
          <w:rFonts w:eastAsia="Calibri" w:hint="eastAsia"/>
          <w:rtl/>
        </w:rPr>
        <w:t>הדוגמה</w:t>
      </w:r>
      <w:r w:rsidRPr="00AA5065">
        <w:rPr>
          <w:rFonts w:eastAsia="Calibri"/>
          <w:rtl/>
        </w:rPr>
        <w:t xml:space="preserve"> </w:t>
      </w:r>
      <w:r w:rsidRPr="00AA5065">
        <w:rPr>
          <w:rFonts w:eastAsia="Calibri" w:hint="eastAsia"/>
          <w:rtl/>
        </w:rPr>
        <w:t>נביא</w:t>
      </w:r>
      <w:r w:rsidRPr="00AA5065">
        <w:rPr>
          <w:rFonts w:eastAsia="Calibri"/>
          <w:rtl/>
        </w:rPr>
        <w:t xml:space="preserve"> </w:t>
      </w:r>
      <w:r w:rsidRPr="00AA5065">
        <w:rPr>
          <w:rFonts w:eastAsia="Calibri" w:hint="eastAsia"/>
          <w:rtl/>
        </w:rPr>
        <w:t>את</w:t>
      </w:r>
      <w:r w:rsidRPr="00AA5065">
        <w:rPr>
          <w:rFonts w:eastAsia="Calibri"/>
          <w:rtl/>
        </w:rPr>
        <w:t xml:space="preserve"> </w:t>
      </w:r>
      <w:r w:rsidRPr="00AA5065">
        <w:rPr>
          <w:rFonts w:eastAsia="Calibri" w:hint="eastAsia"/>
          <w:rtl/>
        </w:rPr>
        <w:t>פרויקט</w:t>
      </w:r>
      <w:r w:rsidRPr="00AA5065">
        <w:rPr>
          <w:rFonts w:eastAsia="Calibri"/>
          <w:rtl/>
        </w:rPr>
        <w:t xml:space="preserve"> </w:t>
      </w:r>
      <w:r w:rsidRPr="00AA5065">
        <w:rPr>
          <w:rFonts w:eastAsia="Calibri" w:hint="eastAsia"/>
          <w:rtl/>
        </w:rPr>
        <w:t>קו</w:t>
      </w:r>
      <w:r w:rsidRPr="00AA5065">
        <w:rPr>
          <w:rFonts w:eastAsia="Calibri"/>
          <w:rtl/>
        </w:rPr>
        <w:t xml:space="preserve"> </w:t>
      </w:r>
      <w:r w:rsidRPr="00AA5065">
        <w:rPr>
          <w:rFonts w:eastAsia="Calibri" w:hint="cs"/>
          <w:rtl/>
        </w:rPr>
        <w:t>'</w:t>
      </w:r>
      <w:r w:rsidRPr="00AA5065">
        <w:rPr>
          <w:rFonts w:eastAsia="Calibri"/>
          <w:rtl/>
        </w:rPr>
        <w:t xml:space="preserve">אשכול </w:t>
      </w:r>
      <w:r w:rsidRPr="00AA5065">
        <w:rPr>
          <w:rFonts w:eastAsia="Calibri" w:hint="eastAsia"/>
          <w:rtl/>
        </w:rPr>
        <w:t>נגב</w:t>
      </w:r>
      <w:r w:rsidRPr="00AA5065">
        <w:rPr>
          <w:rFonts w:eastAsia="Calibri" w:hint="cs"/>
          <w:rtl/>
        </w:rPr>
        <w:t>'</w:t>
      </w:r>
      <w:r w:rsidRPr="00AA5065">
        <w:rPr>
          <w:rFonts w:eastAsia="Calibri"/>
          <w:rtl/>
        </w:rPr>
        <w:t xml:space="preserve"> </w:t>
      </w:r>
      <w:r w:rsidRPr="00AA5065">
        <w:rPr>
          <w:rFonts w:eastAsia="Calibri" w:hint="eastAsia"/>
          <w:rtl/>
        </w:rPr>
        <w:t>אשר</w:t>
      </w:r>
      <w:r w:rsidRPr="00AA5065">
        <w:rPr>
          <w:rFonts w:eastAsia="Calibri"/>
          <w:rtl/>
        </w:rPr>
        <w:t xml:space="preserve"> </w:t>
      </w:r>
      <w:r w:rsidRPr="00AA5065">
        <w:rPr>
          <w:rFonts w:eastAsia="Calibri" w:hint="eastAsia"/>
          <w:rtl/>
        </w:rPr>
        <w:t>בתחומי</w:t>
      </w:r>
      <w:r w:rsidRPr="00AA5065">
        <w:rPr>
          <w:rFonts w:eastAsia="Calibri"/>
          <w:rtl/>
        </w:rPr>
        <w:t xml:space="preserve"> </w:t>
      </w:r>
      <w:r w:rsidRPr="00AA5065">
        <w:rPr>
          <w:rFonts w:eastAsia="Calibri" w:hint="eastAsia"/>
          <w:rtl/>
        </w:rPr>
        <w:t>המקטעים</w:t>
      </w:r>
      <w:r w:rsidRPr="00AA5065">
        <w:rPr>
          <w:rFonts w:eastAsia="Calibri"/>
          <w:rtl/>
        </w:rPr>
        <w:t xml:space="preserve"> </w:t>
      </w:r>
      <w:r w:rsidRPr="00AA5065">
        <w:rPr>
          <w:rFonts w:eastAsia="Calibri" w:hint="eastAsia"/>
          <w:rtl/>
        </w:rPr>
        <w:t>השונים</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הקו</w:t>
      </w:r>
      <w:r w:rsidRPr="00AA5065">
        <w:rPr>
          <w:rFonts w:eastAsia="Calibri"/>
          <w:rtl/>
        </w:rPr>
        <w:t xml:space="preserve"> </w:t>
      </w:r>
      <w:r w:rsidRPr="00AA5065">
        <w:rPr>
          <w:rFonts w:eastAsia="Calibri" w:hint="eastAsia"/>
          <w:rtl/>
        </w:rPr>
        <w:t>מצויים</w:t>
      </w:r>
      <w:r w:rsidRPr="00AA5065">
        <w:rPr>
          <w:rFonts w:eastAsia="Calibri"/>
          <w:rtl/>
        </w:rPr>
        <w:t xml:space="preserve"> </w:t>
      </w:r>
      <w:r w:rsidRPr="00AA5065">
        <w:rPr>
          <w:rFonts w:eastAsia="Calibri" w:hint="eastAsia"/>
          <w:rtl/>
        </w:rPr>
        <w:t>כ</w:t>
      </w:r>
      <w:r w:rsidRPr="00AA5065">
        <w:rPr>
          <w:rFonts w:eastAsia="Calibri"/>
          <w:rtl/>
        </w:rPr>
        <w:t xml:space="preserve">-500 </w:t>
      </w:r>
      <w:r w:rsidRPr="00AA5065">
        <w:rPr>
          <w:rFonts w:eastAsia="Calibri" w:hint="eastAsia"/>
          <w:rtl/>
        </w:rPr>
        <w:t>מבנים</w:t>
      </w:r>
      <w:r w:rsidRPr="00AA5065">
        <w:rPr>
          <w:rFonts w:eastAsia="Calibri"/>
          <w:rtl/>
        </w:rPr>
        <w:t xml:space="preserve"> </w:t>
      </w:r>
      <w:r w:rsidRPr="00AA5065">
        <w:rPr>
          <w:rFonts w:eastAsia="Calibri" w:hint="eastAsia"/>
          <w:rtl/>
        </w:rPr>
        <w:t>בלתי</w:t>
      </w:r>
      <w:r w:rsidRPr="00AA5065">
        <w:rPr>
          <w:rFonts w:eastAsia="Calibri"/>
          <w:rtl/>
        </w:rPr>
        <w:t xml:space="preserve"> </w:t>
      </w:r>
      <w:r w:rsidRPr="00AA5065">
        <w:rPr>
          <w:rFonts w:eastAsia="Calibri" w:hint="eastAsia"/>
          <w:rtl/>
        </w:rPr>
        <w:t>חוקיים</w:t>
      </w:r>
      <w:r w:rsidRPr="00AA5065">
        <w:rPr>
          <w:rFonts w:eastAsia="Calibri"/>
          <w:rtl/>
        </w:rPr>
        <w:t xml:space="preserve"> </w:t>
      </w:r>
      <w:r w:rsidRPr="00AA5065">
        <w:rPr>
          <w:rFonts w:eastAsia="Calibri" w:hint="eastAsia"/>
          <w:rtl/>
        </w:rPr>
        <w:t>שאינם</w:t>
      </w:r>
      <w:r w:rsidRPr="00AA5065">
        <w:rPr>
          <w:rFonts w:eastAsia="Calibri"/>
          <w:rtl/>
        </w:rPr>
        <w:t xml:space="preserve"> </w:t>
      </w:r>
      <w:r w:rsidRPr="00AA5065">
        <w:rPr>
          <w:rFonts w:eastAsia="Calibri" w:hint="eastAsia"/>
          <w:rtl/>
        </w:rPr>
        <w:t>מאפשרים</w:t>
      </w:r>
      <w:r w:rsidRPr="00AA5065">
        <w:rPr>
          <w:rFonts w:eastAsia="Calibri"/>
          <w:rtl/>
        </w:rPr>
        <w:t xml:space="preserve"> </w:t>
      </w:r>
      <w:r w:rsidRPr="00AA5065">
        <w:rPr>
          <w:rFonts w:eastAsia="Calibri" w:hint="eastAsia"/>
          <w:rtl/>
        </w:rPr>
        <w:t>את</w:t>
      </w:r>
      <w:r w:rsidRPr="00AA5065">
        <w:rPr>
          <w:rFonts w:eastAsia="Calibri"/>
          <w:rtl/>
        </w:rPr>
        <w:t xml:space="preserve"> </w:t>
      </w:r>
      <w:r w:rsidRPr="00AA5065">
        <w:rPr>
          <w:rFonts w:eastAsia="Calibri" w:hint="eastAsia"/>
          <w:rtl/>
        </w:rPr>
        <w:t>ביצוע</w:t>
      </w:r>
      <w:r w:rsidRPr="00AA5065">
        <w:rPr>
          <w:rFonts w:eastAsia="Calibri"/>
          <w:rtl/>
        </w:rPr>
        <w:t xml:space="preserve"> </w:t>
      </w:r>
      <w:r w:rsidRPr="00AA5065">
        <w:rPr>
          <w:rFonts w:eastAsia="Calibri" w:hint="eastAsia"/>
          <w:rtl/>
        </w:rPr>
        <w:t>העבודות</w:t>
      </w:r>
      <w:r w:rsidRPr="00AA5065">
        <w:rPr>
          <w:rFonts w:eastAsia="Calibri"/>
          <w:rtl/>
        </w:rPr>
        <w:t xml:space="preserve"> </w:t>
      </w:r>
      <w:r w:rsidRPr="00AA5065">
        <w:rPr>
          <w:rFonts w:eastAsia="Calibri" w:hint="eastAsia"/>
          <w:rtl/>
        </w:rPr>
        <w:t>הנדרשות</w:t>
      </w:r>
      <w:r w:rsidRPr="00AA5065">
        <w:rPr>
          <w:rFonts w:eastAsia="Calibri"/>
          <w:rtl/>
        </w:rPr>
        <w:t xml:space="preserve"> </w:t>
      </w:r>
      <w:r w:rsidRPr="00AA5065">
        <w:rPr>
          <w:rFonts w:eastAsia="Calibri" w:hint="eastAsia"/>
          <w:rtl/>
        </w:rPr>
        <w:t>לביצוע</w:t>
      </w:r>
      <w:r w:rsidRPr="00AA5065">
        <w:rPr>
          <w:rFonts w:eastAsia="Calibri"/>
          <w:rtl/>
        </w:rPr>
        <w:t xml:space="preserve"> </w:t>
      </w:r>
      <w:r w:rsidRPr="00AA5065">
        <w:rPr>
          <w:rFonts w:eastAsia="Calibri" w:hint="eastAsia"/>
          <w:rtl/>
        </w:rPr>
        <w:t>הפרויקט</w:t>
      </w:r>
      <w:r w:rsidRPr="00AA5065">
        <w:rPr>
          <w:rFonts w:eastAsia="Calibri"/>
          <w:rtl/>
        </w:rPr>
        <w:t>"</w:t>
      </w:r>
      <w:r w:rsidRPr="00AA5065">
        <w:rPr>
          <w:rFonts w:eastAsia="Calibri" w:hint="cs"/>
          <w:rtl/>
        </w:rPr>
        <w:t>.</w:t>
      </w:r>
    </w:p>
    <w:p w:rsidR="00AA5065" w:rsidRPr="00AA5065" w:rsidP="00860D89">
      <w:pPr>
        <w:spacing w:line="269" w:lineRule="auto"/>
        <w:rPr>
          <w:rFonts w:eastAsia="Calibri"/>
          <w:rtl/>
        </w:rPr>
      </w:pPr>
    </w:p>
    <w:p w:rsidR="00AA5065" w:rsidRPr="00AA5065" w:rsidP="00860D89">
      <w:pPr>
        <w:keepNext/>
        <w:keepLines/>
        <w:spacing w:line="269" w:lineRule="auto"/>
        <w:outlineLvl w:val="5"/>
        <w:rPr>
          <w:rFonts w:eastAsia="Times New Roman"/>
          <w:spacing w:val="40"/>
          <w:rtl/>
        </w:rPr>
      </w:pPr>
      <w:r w:rsidRPr="00AA5065">
        <w:rPr>
          <w:rFonts w:eastAsia="Times New Roman" w:hint="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בביקורת המעקב נמצא כי תופעה קשה נוספת מתקיימת בהיעדר היכולת של חברת החשמל לקיים ולקדם פיתוח תשתיות: קיימים מקבצים של התיישבות בלתי חוקית בנגב בסמוך ומתחת לפרוזדורי קווי מתח של חברת החשמל אשר נקבעו בתוכנית מתאר ארצית.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בדוח מבקר המדינה</w:t>
      </w:r>
      <w:r>
        <w:rPr>
          <w:rFonts w:eastAsia="Calibri"/>
          <w:vertAlign w:val="superscript"/>
          <w:rtl/>
        </w:rPr>
        <w:footnoteReference w:id="144"/>
      </w:r>
      <w:r w:rsidRPr="00AA5065">
        <w:rPr>
          <w:rFonts w:eastAsia="Calibri" w:hint="cs"/>
          <w:rtl/>
        </w:rPr>
        <w:t xml:space="preserve"> בנושא פיתוח משק החשמל לקראת שנת 2030 שפורסם בנובמבר 2024 נכתב בהקשר זה כי "</w:t>
      </w:r>
      <w:r w:rsidRPr="00AA5065">
        <w:rPr>
          <w:rFonts w:eastAsia="Calibri"/>
          <w:rtl/>
        </w:rPr>
        <w:t>נמצא כי על אף שהיה נדרש להשלים את הקמת שלב אחד בקו אשכול נגב עד דצמבר 2021, ואת שלב שתיים עד דצמבר 2023, חח"י לא הצליחה להשלים את הפרויקט בזמן על רקע אי-היכולת לפנות את ההתיישבות הבדואית בתוואי הקו, וזאת על אף שחח"י נקטה פעולות שונות לקידום הקמת הקו</w:t>
      </w:r>
      <w:r w:rsidRPr="00AA5065">
        <w:rPr>
          <w:rFonts w:eastAsia="Calibri" w:hint="cs"/>
          <w:rtl/>
        </w:rPr>
        <w:t>"</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 xml:space="preserve">חח"י </w:t>
      </w:r>
      <w:r w:rsidRPr="00AA5065">
        <w:rPr>
          <w:rFonts w:eastAsia="Calibri" w:hint="cs"/>
          <w:rtl/>
        </w:rPr>
        <w:t>ציינה בתשובתה מ</w:t>
      </w:r>
      <w:r w:rsidRPr="00AA5065">
        <w:rPr>
          <w:rFonts w:eastAsia="Calibri"/>
          <w:rtl/>
        </w:rPr>
        <w:t xml:space="preserve">מאי 2024 </w:t>
      </w:r>
      <w:r w:rsidRPr="00AA5065">
        <w:rPr>
          <w:rFonts w:eastAsia="Calibri" w:hint="cs"/>
          <w:rtl/>
        </w:rPr>
        <w:t xml:space="preserve">לדוח האמור </w:t>
      </w:r>
      <w:r w:rsidRPr="00AA5065">
        <w:rPr>
          <w:rFonts w:eastAsia="Calibri"/>
          <w:rtl/>
        </w:rPr>
        <w:t>כי הקמת קו אשכול הושלמה, וכי חשמול הקו</w:t>
      </w:r>
      <w:r w:rsidRPr="00AA5065">
        <w:rPr>
          <w:rFonts w:eastAsia="Calibri" w:hint="cs"/>
          <w:rtl/>
        </w:rPr>
        <w:t xml:space="preserve"> </w:t>
      </w:r>
      <w:r w:rsidRPr="00AA5065">
        <w:rPr>
          <w:rFonts w:eastAsia="Calibri"/>
          <w:rtl/>
        </w:rPr>
        <w:t>עומד להתחיל</w:t>
      </w:r>
      <w:r w:rsidRPr="00AA5065">
        <w:rPr>
          <w:rFonts w:eastAsia="Calibri"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כך במסמך מיום 24.6.24 שהוציא מנהל אגף רשת ירושלים והנגב בחברת החשמל אל ועדת הכלכלה של הכנסת נכתב כי "</w:t>
      </w:r>
      <w:r w:rsidRPr="00AA5065">
        <w:rPr>
          <w:rFonts w:eastAsia="Calibri"/>
          <w:rtl/>
        </w:rPr>
        <w:t>מנתונים שנאספו על פני שנים בחברת החשמל לישראל בע"מ</w:t>
      </w:r>
      <w:r w:rsidRPr="00AA5065">
        <w:rPr>
          <w:rFonts w:eastAsia="Calibri" w:hint="cs"/>
          <w:rtl/>
        </w:rPr>
        <w:t xml:space="preserve">... </w:t>
      </w:r>
      <w:r w:rsidRPr="00AA5065">
        <w:rPr>
          <w:rFonts w:eastAsia="Calibri"/>
          <w:rtl/>
        </w:rPr>
        <w:t>עולה כי שיעור מעורבותה של האוכלוסייה הבדואית בנגב הינו מהגבוהים בארץ, במקרים הקשורים לפגיעה והשחתה של תשתיות חשמל של החברה, אירועים של התחברות פיראטית מסוכנת לרשת החשמל ומקרים של גניבת ציוד לאספקת חשמל ושל צריכת חשמל שלא כדין (גניבת חשמל), מבלי שהחשמל נרשם במונה החשמל ומבלי לשלם תמורה לחברת החשמל.</w:t>
      </w:r>
      <w:r w:rsidRPr="00AA5065">
        <w:rPr>
          <w:rFonts w:eastAsia="Calibri" w:hint="cs"/>
          <w:rtl/>
        </w:rPr>
        <w:t xml:space="preserve"> </w:t>
      </w:r>
      <w:r w:rsidRPr="00AA5065">
        <w:rPr>
          <w:rFonts w:eastAsia="Calibri"/>
          <w:rtl/>
        </w:rPr>
        <w:t>כמו כן, קיימת התיישבות ובניה בלתי חוקית של הפזורה הבדואית לאורך תוואי קו החשמל</w:t>
      </w:r>
      <w:r w:rsidRPr="00AA5065">
        <w:rPr>
          <w:rFonts w:eastAsia="Calibri" w:hint="cs"/>
          <w:rtl/>
        </w:rPr>
        <w:t xml:space="preserve"> </w:t>
      </w:r>
      <w:r w:rsidRPr="00AA5065">
        <w:rPr>
          <w:rFonts w:eastAsia="Calibri"/>
          <w:rtl/>
        </w:rPr>
        <w:t>המתוכנן להקמה בנגב וכן לאורך תוואי קווי החשמל קיימים אשר נדרש לשדרגם, באופן המונע את</w:t>
      </w:r>
      <w:r w:rsidRPr="00AA5065">
        <w:rPr>
          <w:rFonts w:eastAsia="Calibri" w:hint="cs"/>
          <w:rtl/>
        </w:rPr>
        <w:t xml:space="preserve"> </w:t>
      </w:r>
      <w:r w:rsidRPr="00AA5065">
        <w:rPr>
          <w:rFonts w:eastAsia="Calibri"/>
          <w:rtl/>
        </w:rPr>
        <w:t>פיתוחה של רשת החשמל של חברת החשמל בנגב.</w:t>
      </w:r>
      <w:r w:rsidRPr="00AA5065">
        <w:rPr>
          <w:rFonts w:eastAsia="Calibri" w:hint="cs"/>
          <w:rtl/>
        </w:rPr>
        <w:t xml:space="preserve"> </w:t>
      </w:r>
      <w:r w:rsidRPr="00AA5065">
        <w:rPr>
          <w:rFonts w:eastAsia="Calibri"/>
          <w:rtl/>
        </w:rPr>
        <w:t>המדובר בתופעה הולכת וגוברת, אשר לה השלכות שליליות רבות ובכללן סיכון חיי אדם כתוצאה</w:t>
      </w:r>
      <w:r w:rsidRPr="00AA5065">
        <w:rPr>
          <w:rFonts w:eastAsia="Calibri" w:hint="cs"/>
          <w:rtl/>
        </w:rPr>
        <w:t xml:space="preserve"> </w:t>
      </w:r>
      <w:r w:rsidRPr="00AA5065">
        <w:rPr>
          <w:rFonts w:eastAsia="Calibri"/>
          <w:rtl/>
        </w:rPr>
        <w:t>מהתחברויות פיראטיות, בלתי חוקיות המהוות סכנה בטיחותית לגוף ולרכוש, בנוסף לפגיעה של</w:t>
      </w:r>
      <w:r w:rsidRPr="00AA5065">
        <w:rPr>
          <w:rFonts w:eastAsia="Calibri" w:hint="cs"/>
          <w:rtl/>
        </w:rPr>
        <w:t xml:space="preserve"> </w:t>
      </w:r>
      <w:r w:rsidRPr="00AA5065">
        <w:rPr>
          <w:rFonts w:eastAsia="Calibri"/>
          <w:rtl/>
        </w:rPr>
        <w:t>ממש באמינות אספקה ובאיכות החשמל של כלל תושבי הנגב והסביבה. כמו כן ומעבר לנזקים</w:t>
      </w:r>
      <w:r w:rsidRPr="00AA5065">
        <w:rPr>
          <w:rFonts w:eastAsia="Calibri" w:hint="cs"/>
          <w:rtl/>
        </w:rPr>
        <w:t xml:space="preserve"> </w:t>
      </w:r>
      <w:r w:rsidRPr="00AA5065">
        <w:rPr>
          <w:rFonts w:eastAsia="Calibri"/>
          <w:rtl/>
        </w:rPr>
        <w:t>התפעוליים והכספיים ולעיכוב שחל בשדרוג ופיתוח מערכת החשמל, תופעה זו גורמת גם לנזק תדמיתי רב לחברת החשמל! תופעה זו דורשת התערבות ומעורבות של כלל משרדי הממשלה והרשויות הרלוונטיות לשם גיבוש תכנית אכיפה נרחבת למיגורה</w:t>
      </w:r>
      <w:r w:rsidRPr="00AA5065">
        <w:rPr>
          <w:rFonts w:eastAsia="Calibri" w:hint="cs"/>
          <w:rtl/>
        </w:rPr>
        <w:t>"</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eastAsia"/>
          <w:b/>
          <w:bCs/>
          <w:rtl/>
        </w:rPr>
        <w:t>הועלה</w:t>
      </w:r>
      <w:r w:rsidRPr="00AA5065">
        <w:rPr>
          <w:rFonts w:eastAsia="Calibri"/>
          <w:b/>
          <w:bCs/>
          <w:rtl/>
        </w:rPr>
        <w:t xml:space="preserve"> </w:t>
      </w:r>
      <w:r w:rsidRPr="00AA5065">
        <w:rPr>
          <w:rFonts w:eastAsia="Calibri" w:hint="eastAsia"/>
          <w:b/>
          <w:bCs/>
          <w:rtl/>
        </w:rPr>
        <w:t>כי</w:t>
      </w:r>
      <w:r w:rsidRPr="00AA5065">
        <w:rPr>
          <w:rFonts w:eastAsia="Calibri"/>
          <w:b/>
          <w:bCs/>
          <w:rtl/>
        </w:rPr>
        <w:t xml:space="preserve"> </w:t>
      </w:r>
      <w:r w:rsidRPr="00AA5065">
        <w:rPr>
          <w:rFonts w:eastAsia="Calibri" w:hint="eastAsia"/>
          <w:b/>
          <w:bCs/>
          <w:rtl/>
        </w:rPr>
        <w:t>עדיין</w:t>
      </w:r>
      <w:r w:rsidRPr="00AA5065">
        <w:rPr>
          <w:rFonts w:eastAsia="Calibri"/>
          <w:b/>
          <w:bCs/>
          <w:rtl/>
        </w:rPr>
        <w:t xml:space="preserve"> </w:t>
      </w:r>
      <w:r w:rsidRPr="00AA5065">
        <w:rPr>
          <w:rFonts w:eastAsia="Calibri" w:hint="eastAsia"/>
          <w:b/>
          <w:bCs/>
          <w:rtl/>
        </w:rPr>
        <w:t>קיימים</w:t>
      </w:r>
      <w:r w:rsidRPr="00AA5065">
        <w:rPr>
          <w:rFonts w:eastAsia="Calibri"/>
          <w:b/>
          <w:bCs/>
          <w:rtl/>
        </w:rPr>
        <w:t xml:space="preserve"> עיכובים בפ</w:t>
      </w:r>
      <w:r w:rsidRPr="00AA5065">
        <w:rPr>
          <w:rFonts w:eastAsia="Calibri" w:hint="eastAsia"/>
          <w:b/>
          <w:bCs/>
          <w:rtl/>
        </w:rPr>
        <w:t>יתוח</w:t>
      </w:r>
      <w:r w:rsidRPr="00AA5065">
        <w:rPr>
          <w:rFonts w:eastAsia="Calibri"/>
          <w:b/>
          <w:bCs/>
          <w:rtl/>
        </w:rPr>
        <w:t xml:space="preserve"> </w:t>
      </w:r>
      <w:r w:rsidRPr="00AA5065">
        <w:rPr>
          <w:rFonts w:eastAsia="Calibri" w:hint="eastAsia"/>
          <w:b/>
          <w:bCs/>
          <w:rtl/>
        </w:rPr>
        <w:t>רשת</w:t>
      </w:r>
      <w:r w:rsidRPr="00AA5065">
        <w:rPr>
          <w:rFonts w:eastAsia="Calibri"/>
          <w:b/>
          <w:bCs/>
          <w:rtl/>
        </w:rPr>
        <w:t xml:space="preserve"> </w:t>
      </w:r>
      <w:r w:rsidRPr="00AA5065">
        <w:rPr>
          <w:rFonts w:eastAsia="Calibri" w:hint="eastAsia"/>
          <w:b/>
          <w:bCs/>
          <w:rtl/>
        </w:rPr>
        <w:t>החשמל</w:t>
      </w:r>
      <w:r w:rsidRPr="00AA5065">
        <w:rPr>
          <w:rFonts w:eastAsia="Calibri"/>
          <w:b/>
          <w:bCs/>
          <w:rtl/>
        </w:rPr>
        <w:t xml:space="preserve"> </w:t>
      </w:r>
      <w:r w:rsidRPr="00AA5065">
        <w:rPr>
          <w:rFonts w:eastAsia="Calibri" w:hint="eastAsia"/>
          <w:b/>
          <w:bCs/>
          <w:rtl/>
        </w:rPr>
        <w:t>בנגב</w:t>
      </w:r>
      <w:r w:rsidRPr="00AA5065">
        <w:rPr>
          <w:rFonts w:eastAsia="Calibri"/>
          <w:b/>
          <w:bCs/>
          <w:rtl/>
        </w:rPr>
        <w:t xml:space="preserve"> </w:t>
      </w:r>
      <w:r w:rsidRPr="00AA5065">
        <w:rPr>
          <w:rFonts w:eastAsia="Calibri" w:hint="eastAsia"/>
          <w:b/>
          <w:bCs/>
          <w:rtl/>
        </w:rPr>
        <w:t>כתוצאה</w:t>
      </w:r>
      <w:r w:rsidRPr="00AA5065">
        <w:rPr>
          <w:rFonts w:eastAsia="Calibri"/>
          <w:b/>
          <w:bCs/>
          <w:rtl/>
        </w:rPr>
        <w:t xml:space="preserve"> </w:t>
      </w:r>
      <w:r w:rsidRPr="00AA5065">
        <w:rPr>
          <w:rFonts w:eastAsia="Calibri" w:hint="eastAsia"/>
          <w:b/>
          <w:bCs/>
          <w:rtl/>
        </w:rPr>
        <w:t>מבנייה</w:t>
      </w:r>
      <w:r w:rsidRPr="00AA5065">
        <w:rPr>
          <w:rFonts w:eastAsia="Calibri"/>
          <w:b/>
          <w:bCs/>
          <w:rtl/>
        </w:rPr>
        <w:t xml:space="preserve"> </w:t>
      </w:r>
      <w:r w:rsidRPr="00AA5065">
        <w:rPr>
          <w:rFonts w:eastAsia="Calibri" w:hint="eastAsia"/>
          <w:b/>
          <w:bCs/>
          <w:rtl/>
        </w:rPr>
        <w:t>לא</w:t>
      </w:r>
      <w:r w:rsidRPr="00AA5065">
        <w:rPr>
          <w:rFonts w:eastAsia="Calibri"/>
          <w:b/>
          <w:bCs/>
          <w:rtl/>
        </w:rPr>
        <w:t xml:space="preserve"> </w:t>
      </w:r>
      <w:r w:rsidRPr="00AA5065">
        <w:rPr>
          <w:rFonts w:eastAsia="Calibri" w:hint="eastAsia"/>
          <w:b/>
          <w:bCs/>
          <w:rtl/>
        </w:rPr>
        <w:t>חוקית</w:t>
      </w:r>
      <w:r w:rsidRPr="00AA5065">
        <w:rPr>
          <w:rFonts w:eastAsia="Calibri"/>
          <w:b/>
          <w:bCs/>
          <w:rtl/>
        </w:rPr>
        <w:t xml:space="preserve"> </w:t>
      </w:r>
      <w:r w:rsidRPr="00AA5065">
        <w:rPr>
          <w:rFonts w:eastAsia="Calibri" w:hint="eastAsia"/>
          <w:b/>
          <w:bCs/>
          <w:rtl/>
        </w:rPr>
        <w:t>באזורים</w:t>
      </w:r>
      <w:r w:rsidRPr="00AA5065">
        <w:rPr>
          <w:rFonts w:eastAsia="Calibri"/>
          <w:b/>
          <w:bCs/>
          <w:rtl/>
        </w:rPr>
        <w:t xml:space="preserve"> נרחבים </w:t>
      </w:r>
      <w:r w:rsidRPr="00AA5065">
        <w:rPr>
          <w:rFonts w:eastAsia="Calibri" w:hint="cs"/>
          <w:b/>
          <w:bCs/>
          <w:rtl/>
        </w:rPr>
        <w:t>ש</w:t>
      </w:r>
      <w:r w:rsidRPr="00AA5065">
        <w:rPr>
          <w:rFonts w:eastAsia="Calibri"/>
          <w:b/>
          <w:bCs/>
          <w:rtl/>
        </w:rPr>
        <w:t xml:space="preserve">בהם </w:t>
      </w:r>
      <w:r w:rsidRPr="00AA5065">
        <w:rPr>
          <w:rFonts w:eastAsia="Calibri" w:hint="eastAsia"/>
          <w:b/>
          <w:bCs/>
          <w:rtl/>
        </w:rPr>
        <w:t>חברת</w:t>
      </w:r>
      <w:r w:rsidRPr="00AA5065">
        <w:rPr>
          <w:rFonts w:eastAsia="Calibri"/>
          <w:b/>
          <w:bCs/>
          <w:rtl/>
        </w:rPr>
        <w:t xml:space="preserve"> </w:t>
      </w:r>
      <w:r w:rsidRPr="00AA5065">
        <w:rPr>
          <w:rFonts w:eastAsia="Calibri" w:hint="eastAsia"/>
          <w:b/>
          <w:bCs/>
          <w:rtl/>
        </w:rPr>
        <w:t>החשמל</w:t>
      </w:r>
      <w:r w:rsidRPr="00AA5065">
        <w:rPr>
          <w:rFonts w:eastAsia="Calibri"/>
          <w:b/>
          <w:bCs/>
          <w:rtl/>
        </w:rPr>
        <w:t xml:space="preserve"> </w:t>
      </w:r>
      <w:r w:rsidRPr="00AA5065">
        <w:rPr>
          <w:rFonts w:eastAsia="Calibri" w:hint="eastAsia"/>
          <w:b/>
          <w:bCs/>
          <w:rtl/>
        </w:rPr>
        <w:t>הייתה</w:t>
      </w:r>
      <w:r w:rsidRPr="00AA5065">
        <w:rPr>
          <w:rFonts w:eastAsia="Calibri"/>
          <w:b/>
          <w:bCs/>
          <w:rtl/>
        </w:rPr>
        <w:t xml:space="preserve"> אמורה </w:t>
      </w:r>
      <w:r w:rsidRPr="00AA5065">
        <w:rPr>
          <w:rFonts w:eastAsia="Calibri" w:hint="eastAsia"/>
          <w:b/>
          <w:bCs/>
          <w:rtl/>
        </w:rPr>
        <w:t>לפרוס</w:t>
      </w:r>
      <w:r w:rsidRPr="00AA5065">
        <w:rPr>
          <w:rFonts w:eastAsia="Calibri"/>
          <w:b/>
          <w:bCs/>
          <w:rtl/>
        </w:rPr>
        <w:t xml:space="preserve"> </w:t>
      </w:r>
      <w:r w:rsidRPr="00AA5065">
        <w:rPr>
          <w:rFonts w:eastAsia="Calibri" w:hint="eastAsia"/>
          <w:b/>
          <w:bCs/>
          <w:rtl/>
        </w:rPr>
        <w:t>תשתיות</w:t>
      </w:r>
      <w:r w:rsidRPr="00AA5065">
        <w:rPr>
          <w:rFonts w:eastAsia="Calibri"/>
          <w:b/>
          <w:bCs/>
          <w:rtl/>
        </w:rPr>
        <w:t xml:space="preserve"> </w:t>
      </w:r>
      <w:r w:rsidRPr="00AA5065">
        <w:rPr>
          <w:rFonts w:eastAsia="Calibri" w:hint="eastAsia"/>
          <w:b/>
          <w:bCs/>
          <w:rtl/>
        </w:rPr>
        <w:t>חשמל</w:t>
      </w:r>
      <w:r w:rsidRPr="00AA5065">
        <w:rPr>
          <w:rFonts w:eastAsia="Calibri"/>
          <w:b/>
          <w:bCs/>
          <w:rtl/>
        </w:rPr>
        <w:t xml:space="preserve"> </w:t>
      </w:r>
      <w:r w:rsidRPr="00AA5065">
        <w:rPr>
          <w:rFonts w:eastAsia="Calibri" w:hint="eastAsia"/>
          <w:b/>
          <w:bCs/>
          <w:rtl/>
        </w:rPr>
        <w:t>לטובת</w:t>
      </w:r>
      <w:r w:rsidRPr="00AA5065">
        <w:rPr>
          <w:rFonts w:eastAsia="Calibri"/>
          <w:b/>
          <w:bCs/>
          <w:rtl/>
        </w:rPr>
        <w:t xml:space="preserve"> </w:t>
      </w:r>
      <w:r w:rsidRPr="00AA5065">
        <w:rPr>
          <w:rFonts w:eastAsia="Calibri" w:hint="eastAsia"/>
          <w:b/>
          <w:bCs/>
          <w:rtl/>
        </w:rPr>
        <w:t>תושבי</w:t>
      </w:r>
      <w:r w:rsidRPr="00AA5065">
        <w:rPr>
          <w:rFonts w:eastAsia="Calibri"/>
          <w:b/>
          <w:bCs/>
          <w:rtl/>
        </w:rPr>
        <w:t xml:space="preserve"> </w:t>
      </w:r>
      <w:r w:rsidRPr="00AA5065">
        <w:rPr>
          <w:rFonts w:eastAsia="Calibri" w:hint="eastAsia"/>
          <w:b/>
          <w:bCs/>
          <w:rtl/>
        </w:rPr>
        <w:t>האזור</w:t>
      </w:r>
      <w:r w:rsidRPr="00AA5065">
        <w:rPr>
          <w:rFonts w:eastAsia="Calibri"/>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b/>
          <w:bCs/>
          <w:rtl/>
        </w:rPr>
        <w:t>מומלץ</w:t>
      </w:r>
      <w:r w:rsidRPr="00AA5065">
        <w:rPr>
          <w:rFonts w:eastAsia="Calibri" w:hint="cs"/>
          <w:b/>
          <w:bCs/>
          <w:rtl/>
        </w:rPr>
        <w:t xml:space="preserve"> </w:t>
      </w:r>
      <w:r w:rsidRPr="00AA5065">
        <w:rPr>
          <w:rFonts w:eastAsia="Calibri"/>
          <w:b/>
          <w:bCs/>
          <w:rtl/>
        </w:rPr>
        <w:t>למשרד האנרגיה</w:t>
      </w:r>
      <w:r w:rsidRPr="00AA5065">
        <w:rPr>
          <w:rFonts w:eastAsia="Calibri" w:hint="cs"/>
          <w:b/>
          <w:bCs/>
          <w:rtl/>
        </w:rPr>
        <w:t xml:space="preserve"> לחזק את</w:t>
      </w:r>
      <w:r w:rsidRPr="00AA5065">
        <w:rPr>
          <w:rFonts w:eastAsia="Calibri"/>
          <w:b/>
          <w:bCs/>
          <w:rtl/>
        </w:rPr>
        <w:t xml:space="preserve"> </w:t>
      </w:r>
      <w:r w:rsidRPr="00AA5065">
        <w:rPr>
          <w:rFonts w:eastAsia="Calibri" w:hint="cs"/>
          <w:b/>
          <w:bCs/>
          <w:rtl/>
        </w:rPr>
        <w:t>שיתוף הפעולה עם הרשות להסדרת התיישבות הבדואים בנגב וחברת החשמל,</w:t>
      </w:r>
      <w:r w:rsidRPr="00AA5065">
        <w:rPr>
          <w:rFonts w:eastAsia="Calibri"/>
          <w:b/>
          <w:bCs/>
          <w:rtl/>
        </w:rPr>
        <w:t xml:space="preserve"> </w:t>
      </w:r>
      <w:r w:rsidRPr="00AA5065">
        <w:rPr>
          <w:rFonts w:eastAsia="Calibri" w:hint="cs"/>
          <w:b/>
          <w:bCs/>
          <w:rtl/>
        </w:rPr>
        <w:t xml:space="preserve">וזאת על מנת לטפל </w:t>
      </w:r>
      <w:r w:rsidRPr="00AA5065">
        <w:rPr>
          <w:rFonts w:eastAsia="Calibri"/>
          <w:b/>
          <w:bCs/>
          <w:rtl/>
        </w:rPr>
        <w:t xml:space="preserve">במקרים בהם קיימת בעיה של הקמת תשתיות מעל להתיישבות בלתי חוקית ובסמוך אליה.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משרד האנרגיה מסר בתשובתו מיום</w:t>
      </w:r>
      <w:r w:rsidRPr="00AA5065">
        <w:rPr>
          <w:rFonts w:eastAsia="Calibri"/>
          <w:rtl/>
        </w:rPr>
        <w:t xml:space="preserve"> 3.9.25 כי</w:t>
      </w:r>
      <w:r w:rsidRPr="00AA5065">
        <w:rPr>
          <w:rFonts w:eastAsia="Calibri" w:hint="cs"/>
          <w:rtl/>
        </w:rPr>
        <w:t xml:space="preserve"> הוא</w:t>
      </w:r>
      <w:r w:rsidRPr="00AA5065">
        <w:rPr>
          <w:rFonts w:eastAsia="Calibri"/>
          <w:rtl/>
        </w:rPr>
        <w:t xml:space="preserve"> "עומל זה </w:t>
      </w:r>
      <w:r w:rsidRPr="00AA5065">
        <w:rPr>
          <w:rFonts w:eastAsia="Calibri" w:hint="eastAsia"/>
          <w:rtl/>
        </w:rPr>
        <w:t>מכבר</w:t>
      </w:r>
      <w:r w:rsidRPr="00AA5065">
        <w:rPr>
          <w:rFonts w:eastAsia="Calibri"/>
          <w:rtl/>
        </w:rPr>
        <w:t xml:space="preserve"> על הקמת התשתיות ברשת ההולכה והחלוקה, שחלקן עוברות מעל </w:t>
      </w:r>
      <w:r w:rsidRPr="00AA5065">
        <w:rPr>
          <w:rFonts w:eastAsia="Calibri" w:hint="eastAsia"/>
          <w:rtl/>
        </w:rPr>
        <w:t>להת</w:t>
      </w:r>
      <w:r w:rsidRPr="00AA5065">
        <w:rPr>
          <w:rFonts w:eastAsia="Calibri" w:hint="cs"/>
          <w:rtl/>
        </w:rPr>
        <w:t>י</w:t>
      </w:r>
      <w:r w:rsidRPr="00AA5065">
        <w:rPr>
          <w:rFonts w:eastAsia="Calibri" w:hint="eastAsia"/>
          <w:rtl/>
        </w:rPr>
        <w:t>ישבות</w:t>
      </w:r>
      <w:r w:rsidRPr="00AA5065">
        <w:rPr>
          <w:rFonts w:eastAsia="Calibri"/>
          <w:rtl/>
        </w:rPr>
        <w:t xml:space="preserve"> בלתי חוקית ובסמוך אליה</w:t>
      </w:r>
      <w:r w:rsidRPr="00AA5065">
        <w:rPr>
          <w:rFonts w:eastAsia="Calibri" w:hint="cs"/>
          <w:rtl/>
        </w:rPr>
        <w:t>"</w:t>
      </w:r>
      <w:r w:rsidRPr="00AA5065">
        <w:rPr>
          <w:rFonts w:eastAsia="Calibri"/>
          <w:rtl/>
        </w:rPr>
        <w:t xml:space="preserve">. במסגרת ועדת החסמים </w:t>
      </w:r>
      <w:r w:rsidRPr="00AA5065">
        <w:rPr>
          <w:rFonts w:eastAsia="Calibri" w:hint="eastAsia"/>
          <w:rtl/>
        </w:rPr>
        <w:t>ברשת</w:t>
      </w:r>
      <w:r w:rsidRPr="00AA5065">
        <w:rPr>
          <w:rFonts w:eastAsia="Calibri"/>
          <w:rtl/>
        </w:rPr>
        <w:t xml:space="preserve"> </w:t>
      </w:r>
      <w:r w:rsidRPr="00AA5065">
        <w:rPr>
          <w:rFonts w:eastAsia="Calibri" w:hint="eastAsia"/>
          <w:rtl/>
        </w:rPr>
        <w:t>ההולכה</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המשרד</w:t>
      </w:r>
      <w:r w:rsidRPr="00AA5065">
        <w:rPr>
          <w:rFonts w:eastAsia="Calibri"/>
          <w:rtl/>
        </w:rPr>
        <w:t xml:space="preserve">, </w:t>
      </w:r>
      <w:r w:rsidRPr="00AA5065">
        <w:rPr>
          <w:rFonts w:eastAsia="Calibri" w:hint="eastAsia"/>
          <w:rtl/>
        </w:rPr>
        <w:t>שמתבצעת</w:t>
      </w:r>
      <w:r w:rsidRPr="00AA5065">
        <w:rPr>
          <w:rFonts w:eastAsia="Calibri"/>
          <w:rtl/>
        </w:rPr>
        <w:t xml:space="preserve"> </w:t>
      </w:r>
      <w:r w:rsidRPr="00AA5065">
        <w:rPr>
          <w:rFonts w:eastAsia="Calibri" w:hint="eastAsia"/>
          <w:rtl/>
        </w:rPr>
        <w:t>אחת</w:t>
      </w:r>
      <w:r w:rsidRPr="00AA5065">
        <w:rPr>
          <w:rFonts w:eastAsia="Calibri"/>
          <w:rtl/>
        </w:rPr>
        <w:t xml:space="preserve"> </w:t>
      </w:r>
      <w:r w:rsidRPr="00AA5065">
        <w:rPr>
          <w:rFonts w:eastAsia="Calibri" w:hint="eastAsia"/>
          <w:rtl/>
        </w:rPr>
        <w:t>לחודש</w:t>
      </w:r>
      <w:r w:rsidRPr="00AA5065">
        <w:rPr>
          <w:rFonts w:eastAsia="Calibri"/>
          <w:rtl/>
        </w:rPr>
        <w:t xml:space="preserve"> </w:t>
      </w:r>
      <w:r w:rsidRPr="00AA5065">
        <w:rPr>
          <w:rFonts w:eastAsia="Calibri" w:hint="eastAsia"/>
          <w:rtl/>
        </w:rPr>
        <w:t>בהשתתפות</w:t>
      </w:r>
      <w:r w:rsidRPr="00AA5065">
        <w:rPr>
          <w:rFonts w:eastAsia="Calibri"/>
          <w:rtl/>
        </w:rPr>
        <w:t xml:space="preserve"> </w:t>
      </w:r>
      <w:r w:rsidRPr="00AA5065">
        <w:rPr>
          <w:rFonts w:eastAsia="Calibri" w:hint="eastAsia"/>
          <w:rtl/>
        </w:rPr>
        <w:t>גורמי</w:t>
      </w:r>
      <w:r w:rsidRPr="00AA5065">
        <w:rPr>
          <w:rFonts w:eastAsia="Calibri"/>
          <w:rtl/>
        </w:rPr>
        <w:t xml:space="preserve"> </w:t>
      </w:r>
      <w:r w:rsidRPr="00AA5065">
        <w:rPr>
          <w:rFonts w:eastAsia="Calibri" w:hint="eastAsia"/>
          <w:rtl/>
        </w:rPr>
        <w:t>המקצוע</w:t>
      </w:r>
      <w:r w:rsidRPr="00AA5065">
        <w:rPr>
          <w:rFonts w:eastAsia="Calibri"/>
          <w:rtl/>
        </w:rPr>
        <w:t xml:space="preserve"> </w:t>
      </w:r>
      <w:r w:rsidRPr="00AA5065">
        <w:rPr>
          <w:rFonts w:eastAsia="Calibri" w:hint="eastAsia"/>
          <w:rtl/>
        </w:rPr>
        <w:t>הרלוונטיים</w:t>
      </w:r>
      <w:r w:rsidRPr="00AA5065">
        <w:rPr>
          <w:rFonts w:eastAsia="Calibri"/>
          <w:rtl/>
        </w:rPr>
        <w:t xml:space="preserve">, </w:t>
      </w:r>
      <w:r w:rsidRPr="00AA5065">
        <w:rPr>
          <w:rFonts w:eastAsia="Calibri" w:hint="eastAsia"/>
          <w:rtl/>
        </w:rPr>
        <w:t>חברת</w:t>
      </w:r>
      <w:r w:rsidRPr="00AA5065">
        <w:rPr>
          <w:rFonts w:eastAsia="Calibri"/>
          <w:rtl/>
        </w:rPr>
        <w:t xml:space="preserve"> </w:t>
      </w:r>
      <w:r w:rsidRPr="00AA5065">
        <w:rPr>
          <w:rFonts w:eastAsia="Calibri" w:hint="eastAsia"/>
          <w:rtl/>
        </w:rPr>
        <w:t>החשמל</w:t>
      </w:r>
      <w:r w:rsidRPr="00AA5065">
        <w:rPr>
          <w:rFonts w:eastAsia="Calibri"/>
          <w:rtl/>
        </w:rPr>
        <w:t xml:space="preserve"> </w:t>
      </w:r>
      <w:r w:rsidRPr="00AA5065">
        <w:rPr>
          <w:rFonts w:eastAsia="Calibri" w:hint="cs"/>
          <w:rtl/>
        </w:rPr>
        <w:t>מעלה</w:t>
      </w:r>
      <w:r w:rsidRPr="00AA5065">
        <w:rPr>
          <w:rFonts w:eastAsia="Calibri"/>
          <w:rtl/>
        </w:rPr>
        <w:t xml:space="preserve"> </w:t>
      </w:r>
      <w:r w:rsidRPr="00AA5065">
        <w:rPr>
          <w:rFonts w:eastAsia="Calibri" w:hint="eastAsia"/>
          <w:rtl/>
        </w:rPr>
        <w:t>את</w:t>
      </w:r>
      <w:r w:rsidRPr="00AA5065">
        <w:rPr>
          <w:rFonts w:eastAsia="Calibri"/>
          <w:rtl/>
        </w:rPr>
        <w:t xml:space="preserve"> </w:t>
      </w:r>
      <w:r w:rsidRPr="00AA5065">
        <w:rPr>
          <w:rFonts w:eastAsia="Calibri" w:hint="eastAsia"/>
          <w:rtl/>
        </w:rPr>
        <w:t>הבעיות</w:t>
      </w:r>
      <w:r w:rsidRPr="00AA5065">
        <w:rPr>
          <w:rFonts w:eastAsia="Calibri"/>
          <w:rtl/>
        </w:rPr>
        <w:t xml:space="preserve"> </w:t>
      </w:r>
      <w:r w:rsidRPr="00AA5065">
        <w:rPr>
          <w:rFonts w:eastAsia="Calibri" w:hint="eastAsia"/>
          <w:rtl/>
        </w:rPr>
        <w:t>הקיימות</w:t>
      </w:r>
      <w:r w:rsidRPr="00AA5065">
        <w:rPr>
          <w:rFonts w:eastAsia="Calibri"/>
          <w:rtl/>
        </w:rPr>
        <w:t xml:space="preserve"> </w:t>
      </w:r>
      <w:r w:rsidRPr="00AA5065">
        <w:rPr>
          <w:rFonts w:eastAsia="Calibri" w:hint="eastAsia"/>
          <w:rtl/>
        </w:rPr>
        <w:t>בנושאי</w:t>
      </w:r>
      <w:r w:rsidRPr="00AA5065">
        <w:rPr>
          <w:rFonts w:eastAsia="Calibri"/>
          <w:rtl/>
        </w:rPr>
        <w:t xml:space="preserve"> </w:t>
      </w:r>
      <w:r w:rsidRPr="00AA5065">
        <w:rPr>
          <w:rFonts w:eastAsia="Calibri" w:hint="eastAsia"/>
          <w:rtl/>
        </w:rPr>
        <w:t>הרגולציה</w:t>
      </w:r>
      <w:r w:rsidRPr="00AA5065">
        <w:rPr>
          <w:rFonts w:eastAsia="Calibri" w:hint="cs"/>
          <w:rtl/>
        </w:rPr>
        <w:t xml:space="preserve"> בפני וועדת החסמים לרשת ההולכה של המשרד, המקיימת פגישות חודשיות, ובמסגרת זו</w:t>
      </w:r>
      <w:r w:rsidRPr="00AA5065">
        <w:rPr>
          <w:rFonts w:eastAsia="Calibri"/>
          <w:rtl/>
        </w:rPr>
        <w:t xml:space="preserve"> </w:t>
      </w:r>
      <w:r w:rsidRPr="00AA5065">
        <w:rPr>
          <w:rFonts w:eastAsia="Calibri" w:hint="eastAsia"/>
          <w:rtl/>
        </w:rPr>
        <w:t>נידונים</w:t>
      </w:r>
      <w:r w:rsidRPr="00AA5065">
        <w:rPr>
          <w:rFonts w:eastAsia="Calibri"/>
          <w:rtl/>
        </w:rPr>
        <w:t xml:space="preserve"> </w:t>
      </w:r>
      <w:r w:rsidRPr="00AA5065">
        <w:rPr>
          <w:rFonts w:eastAsia="Calibri" w:hint="eastAsia"/>
          <w:rtl/>
        </w:rPr>
        <w:t>הפתרונות</w:t>
      </w:r>
      <w:r w:rsidRPr="00AA5065">
        <w:rPr>
          <w:rFonts w:eastAsia="Calibri"/>
          <w:rtl/>
        </w:rPr>
        <w:t xml:space="preserve"> </w:t>
      </w:r>
      <w:r w:rsidRPr="00AA5065">
        <w:rPr>
          <w:rFonts w:eastAsia="Calibri" w:hint="eastAsia"/>
          <w:rtl/>
        </w:rPr>
        <w:t>להסדרתם</w:t>
      </w:r>
      <w:r w:rsidRPr="00AA5065">
        <w:rPr>
          <w:rFonts w:eastAsia="Calibri" w:hint="cs"/>
          <w:rtl/>
        </w:rPr>
        <w:t xml:space="preserve">, בין היתר, </w:t>
      </w:r>
      <w:r w:rsidRPr="00AA5065">
        <w:rPr>
          <w:rFonts w:eastAsia="Calibri"/>
          <w:rtl/>
        </w:rPr>
        <w:t>נידונים הנושאים העוסקים ברשויות הבדואיות בדרום</w:t>
      </w:r>
      <w:r w:rsidRPr="00AA5065">
        <w:rPr>
          <w:rFonts w:eastAsia="Calibri" w:hint="cs"/>
          <w:rtl/>
        </w:rPr>
        <w:t xml:space="preserve">. כמו כן, </w:t>
      </w:r>
      <w:r w:rsidRPr="00AA5065">
        <w:rPr>
          <w:rFonts w:eastAsia="Calibri" w:hint="eastAsia"/>
          <w:rtl/>
        </w:rPr>
        <w:t>מתקיים</w:t>
      </w:r>
      <w:r w:rsidRPr="00AA5065">
        <w:rPr>
          <w:rFonts w:eastAsia="Calibri"/>
          <w:rtl/>
        </w:rPr>
        <w:t xml:space="preserve"> </w:t>
      </w:r>
      <w:r w:rsidRPr="00AA5065">
        <w:rPr>
          <w:rFonts w:eastAsia="Calibri" w:hint="eastAsia"/>
          <w:rtl/>
        </w:rPr>
        <w:t>שיתוף</w:t>
      </w:r>
      <w:r w:rsidRPr="00AA5065">
        <w:rPr>
          <w:rFonts w:eastAsia="Calibri"/>
          <w:rtl/>
        </w:rPr>
        <w:t xml:space="preserve"> </w:t>
      </w:r>
      <w:r w:rsidRPr="00AA5065">
        <w:rPr>
          <w:rFonts w:eastAsia="Calibri" w:hint="eastAsia"/>
          <w:rtl/>
        </w:rPr>
        <w:t>פעולה</w:t>
      </w:r>
      <w:r w:rsidRPr="00AA5065">
        <w:rPr>
          <w:rFonts w:eastAsia="Calibri"/>
          <w:rtl/>
        </w:rPr>
        <w:t xml:space="preserve"> </w:t>
      </w:r>
      <w:r w:rsidRPr="00AA5065">
        <w:rPr>
          <w:rFonts w:eastAsia="Calibri" w:hint="eastAsia"/>
          <w:rtl/>
        </w:rPr>
        <w:t>אדוק</w:t>
      </w:r>
      <w:r w:rsidRPr="00AA5065">
        <w:rPr>
          <w:rFonts w:eastAsia="Calibri"/>
          <w:rtl/>
        </w:rPr>
        <w:t xml:space="preserve"> </w:t>
      </w:r>
      <w:r w:rsidRPr="00AA5065">
        <w:rPr>
          <w:rFonts w:eastAsia="Calibri" w:hint="eastAsia"/>
          <w:rtl/>
        </w:rPr>
        <w:t>עם</w:t>
      </w:r>
      <w:r w:rsidRPr="00AA5065">
        <w:rPr>
          <w:rFonts w:eastAsia="Calibri"/>
          <w:rtl/>
        </w:rPr>
        <w:t xml:space="preserve"> </w:t>
      </w:r>
      <w:r w:rsidRPr="00AA5065">
        <w:rPr>
          <w:rFonts w:eastAsia="Calibri" w:hint="eastAsia"/>
          <w:rtl/>
        </w:rPr>
        <w:t>המטה</w:t>
      </w:r>
      <w:r w:rsidRPr="00AA5065">
        <w:rPr>
          <w:rFonts w:eastAsia="Calibri"/>
          <w:rtl/>
        </w:rPr>
        <w:t xml:space="preserve"> </w:t>
      </w:r>
      <w:r w:rsidRPr="00AA5065">
        <w:rPr>
          <w:rFonts w:eastAsia="Calibri" w:hint="eastAsia"/>
          <w:rtl/>
        </w:rPr>
        <w:t>למאבק</w:t>
      </w:r>
      <w:r w:rsidRPr="00AA5065">
        <w:rPr>
          <w:rFonts w:eastAsia="Calibri"/>
          <w:rtl/>
        </w:rPr>
        <w:t xml:space="preserve"> </w:t>
      </w:r>
      <w:r w:rsidRPr="00AA5065">
        <w:rPr>
          <w:rFonts w:eastAsia="Calibri" w:hint="eastAsia"/>
          <w:rtl/>
        </w:rPr>
        <w:t>בפשיעה</w:t>
      </w:r>
      <w:r w:rsidRPr="00AA5065">
        <w:rPr>
          <w:rFonts w:eastAsia="Calibri"/>
          <w:rtl/>
        </w:rPr>
        <w:t xml:space="preserve"> </w:t>
      </w:r>
      <w:r w:rsidRPr="00AA5065">
        <w:rPr>
          <w:rFonts w:eastAsia="Calibri" w:hint="eastAsia"/>
          <w:rtl/>
        </w:rPr>
        <w:t>במגזר</w:t>
      </w:r>
      <w:r w:rsidRPr="00AA5065">
        <w:rPr>
          <w:rFonts w:eastAsia="Calibri"/>
          <w:rtl/>
        </w:rPr>
        <w:t xml:space="preserve"> </w:t>
      </w:r>
      <w:r w:rsidRPr="00AA5065">
        <w:rPr>
          <w:rFonts w:eastAsia="Calibri" w:hint="eastAsia"/>
          <w:rtl/>
        </w:rPr>
        <w:t>הערבי</w:t>
      </w:r>
      <w:r w:rsidRPr="00AA5065">
        <w:rPr>
          <w:rFonts w:eastAsia="Calibri" w:hint="cs"/>
          <w:rtl/>
        </w:rPr>
        <w:t xml:space="preserve"> במשרד רוה"מ וכן עם המשרד לביטחון לאומי ומשטרת ישראל.</w:t>
      </w:r>
      <w:r w:rsidRPr="00AA5065">
        <w:rPr>
          <w:rFonts w:eastAsia="Calibri" w:hint="cs"/>
          <w:rtl/>
        </w:rPr>
        <w:t xml:space="preserve"> </w:t>
      </w:r>
      <w:r w:rsidRPr="00AA5065">
        <w:rPr>
          <w:rFonts w:eastAsia="Calibri" w:hint="cs"/>
          <w:rtl/>
        </w:rPr>
        <w:t>עוד מסר המשרד כי "בימים אלו רשות החשמל שוקדת על יצירת מנגנות שיפוי/פיצוי לתושבי הפזורה הבדואית במידת הצורך, עפ"י אמות מידה קבועות. המשרד יביא לתשומת ליבו לזמן להבא לדיוני הועדה נציג מטעם הרשות להסדרת התיישבות הבדואים בנגב להידוק שיתוף הפעולה".</w:t>
      </w:r>
    </w:p>
    <w:p w:rsidR="00AA5065" w:rsidRPr="00AA5065" w:rsidP="00860D89">
      <w:pPr>
        <w:spacing w:line="269" w:lineRule="auto"/>
        <w:rPr>
          <w:rFonts w:eastAsia="Calibri"/>
          <w:rtl/>
        </w:rPr>
      </w:pPr>
    </w:p>
    <w:p w:rsidR="00AA5065" w:rsidRPr="00AA5065" w:rsidP="00734ECE">
      <w:pPr>
        <w:keepNext/>
        <w:keepLines/>
        <w:spacing w:before="120" w:line="269" w:lineRule="auto"/>
        <w:outlineLvl w:val="3"/>
        <w:rPr>
          <w:rFonts w:eastAsia="Times New Roman"/>
          <w:bCs/>
          <w:szCs w:val="26"/>
          <w:rtl/>
        </w:rPr>
      </w:pPr>
      <w:bookmarkStart w:id="130" w:name="_Toc9869680"/>
      <w:bookmarkStart w:id="131" w:name="_Toc31186209"/>
      <w:bookmarkStart w:id="132" w:name="_Toc60063345"/>
      <w:bookmarkStart w:id="133" w:name="_Toc60125415"/>
      <w:bookmarkStart w:id="134" w:name="_Toc72950315"/>
      <w:r w:rsidRPr="00AA5065">
        <w:rPr>
          <w:rFonts w:eastAsia="Times New Roman" w:hint="cs"/>
          <w:bCs/>
          <w:szCs w:val="26"/>
          <w:rtl/>
        </w:rPr>
        <w:t xml:space="preserve">פגיעה בתשתיות חברת </w:t>
      </w:r>
      <w:bookmarkEnd w:id="130"/>
      <w:bookmarkEnd w:id="131"/>
      <w:r w:rsidRPr="00AA5065">
        <w:rPr>
          <w:rFonts w:eastAsia="Times New Roman" w:hint="cs"/>
          <w:bCs/>
          <w:szCs w:val="26"/>
          <w:rtl/>
        </w:rPr>
        <w:t>תש"א</w:t>
      </w:r>
      <w:bookmarkEnd w:id="132"/>
      <w:bookmarkEnd w:id="133"/>
      <w:bookmarkEnd w:id="134"/>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חברת תש"א משמשת</w:t>
      </w:r>
      <w:r w:rsidRPr="00AA5065">
        <w:rPr>
          <w:rFonts w:eastAsia="Calibri"/>
          <w:rtl/>
        </w:rPr>
        <w:t xml:space="preserve"> חברת התשתית הלאומית של משק הדלק והאנרג</w:t>
      </w:r>
      <w:r w:rsidRPr="00AA5065">
        <w:rPr>
          <w:rFonts w:eastAsia="Calibri" w:hint="cs"/>
          <w:rtl/>
        </w:rPr>
        <w:t>י</w:t>
      </w:r>
      <w:r w:rsidRPr="00AA5065">
        <w:rPr>
          <w:rFonts w:eastAsia="Calibri"/>
          <w:rtl/>
        </w:rPr>
        <w:t>ה בישראל</w:t>
      </w:r>
      <w:r w:rsidRPr="00AA5065">
        <w:rPr>
          <w:rFonts w:eastAsia="Calibri" w:hint="cs"/>
          <w:rtl/>
        </w:rPr>
        <w:t>,</w:t>
      </w:r>
      <w:r w:rsidRPr="00AA5065">
        <w:rPr>
          <w:rFonts w:eastAsia="Calibri"/>
          <w:rtl/>
        </w:rPr>
        <w:t xml:space="preserve"> </w:t>
      </w:r>
      <w:r w:rsidRPr="00AA5065">
        <w:rPr>
          <w:rFonts w:eastAsia="Calibri" w:hint="cs"/>
          <w:rtl/>
        </w:rPr>
        <w:t>והיא</w:t>
      </w:r>
      <w:r w:rsidRPr="00AA5065">
        <w:rPr>
          <w:rFonts w:eastAsia="Calibri"/>
          <w:rtl/>
        </w:rPr>
        <w:t xml:space="preserve"> בבעלות מלאה (100%) של המדינה.</w:t>
      </w:r>
      <w:r w:rsidRPr="00AA5065">
        <w:rPr>
          <w:rFonts w:eastAsia="Calibri" w:hint="cs"/>
          <w:rtl/>
        </w:rPr>
        <w:t xml:space="preserve"> </w:t>
      </w:r>
      <w:r w:rsidRPr="00AA5065">
        <w:rPr>
          <w:rFonts w:eastAsia="Calibri"/>
          <w:rtl/>
        </w:rPr>
        <w:t>החברה אחראית לספק את צורכי משק האנרג</w:t>
      </w:r>
      <w:r w:rsidRPr="00AA5065">
        <w:rPr>
          <w:rFonts w:eastAsia="Calibri" w:hint="cs"/>
          <w:rtl/>
        </w:rPr>
        <w:t>י</w:t>
      </w:r>
      <w:r w:rsidRPr="00AA5065">
        <w:rPr>
          <w:rFonts w:eastAsia="Calibri"/>
          <w:rtl/>
        </w:rPr>
        <w:t>ה הן בשגרה והן בחירום</w:t>
      </w:r>
      <w:r w:rsidRPr="00AA5065">
        <w:rPr>
          <w:rFonts w:eastAsia="Calibri" w:hint="cs"/>
          <w:rtl/>
        </w:rPr>
        <w:t>,</w:t>
      </w:r>
      <w:r w:rsidRPr="00AA5065">
        <w:rPr>
          <w:rFonts w:eastAsia="Calibri"/>
          <w:rtl/>
        </w:rPr>
        <w:t xml:space="preserve"> ופעילותה</w:t>
      </w:r>
      <w:r w:rsidRPr="00AA5065">
        <w:rPr>
          <w:rFonts w:eastAsia="Calibri" w:hint="cs"/>
          <w:rtl/>
        </w:rPr>
        <w:t xml:space="preserve"> כוללת בין השאר</w:t>
      </w:r>
      <w:r w:rsidRPr="00AA5065">
        <w:rPr>
          <w:rFonts w:eastAsia="Calibri"/>
          <w:rtl/>
        </w:rPr>
        <w:t xml:space="preserve"> פריקה, אחסון וטעינה של נפט גולמי ומוצריו, ניפוק מוצרי דלק לחברות השיווק השונות והזרמת הדלק ברשת קווי דלק תת</w:t>
      </w:r>
      <w:r w:rsidRPr="00AA5065">
        <w:rPr>
          <w:rFonts w:eastAsia="Calibri" w:hint="cs"/>
          <w:rtl/>
        </w:rPr>
        <w:t>-</w:t>
      </w:r>
      <w:r w:rsidRPr="00AA5065">
        <w:rPr>
          <w:rFonts w:eastAsia="Calibri"/>
          <w:rtl/>
        </w:rPr>
        <w:t>קרקעיים</w:t>
      </w:r>
      <w:r w:rsidRPr="00AA5065">
        <w:rPr>
          <w:rFonts w:eastAsia="Calibri" w:hint="cs"/>
          <w:rtl/>
        </w:rPr>
        <w:t>,</w:t>
      </w:r>
      <w:r w:rsidRPr="00AA5065">
        <w:rPr>
          <w:rFonts w:eastAsia="Calibri"/>
          <w:rtl/>
        </w:rPr>
        <w:t xml:space="preserve"> </w:t>
      </w:r>
      <w:r w:rsidRPr="00AA5065">
        <w:rPr>
          <w:rFonts w:eastAsia="Calibri" w:hint="cs"/>
          <w:rtl/>
        </w:rPr>
        <w:t>ה</w:t>
      </w:r>
      <w:r w:rsidRPr="00AA5065">
        <w:rPr>
          <w:rFonts w:eastAsia="Calibri"/>
          <w:rtl/>
        </w:rPr>
        <w:t xml:space="preserve">מקשרת בין מקורות הדלק, הנמלים ובתי הזיקוק אל אתרי האחסון והצרכנים הסופיים: חברת </w:t>
      </w:r>
      <w:r w:rsidRPr="00AA5065">
        <w:rPr>
          <w:rFonts w:eastAsia="Calibri" w:hint="cs"/>
          <w:rtl/>
        </w:rPr>
        <w:t>ה</w:t>
      </w:r>
      <w:r w:rsidRPr="00AA5065">
        <w:rPr>
          <w:rFonts w:eastAsia="Calibri"/>
          <w:rtl/>
        </w:rPr>
        <w:t>חשמל, מערכת הביטחון, נ</w:t>
      </w:r>
      <w:r w:rsidRPr="00AA5065">
        <w:rPr>
          <w:rFonts w:eastAsia="Calibri" w:hint="cs"/>
          <w:rtl/>
        </w:rPr>
        <w:t>מל התעופה בן גוריון</w:t>
      </w:r>
      <w:r w:rsidRPr="00AA5065">
        <w:rPr>
          <w:rFonts w:eastAsia="Calibri"/>
          <w:rtl/>
        </w:rPr>
        <w:t xml:space="preserve"> ועוד</w:t>
      </w:r>
      <w:r w:rsidRPr="00AA5065">
        <w:rPr>
          <w:rFonts w:eastAsia="Calibri"/>
        </w:rPr>
        <w:t>.</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Pr>
      </w:pPr>
      <w:r w:rsidRPr="00AA5065">
        <w:rPr>
          <w:rFonts w:eastAsia="Times New Roman" w:hint="eastAsia"/>
          <w:bCs/>
          <w:spacing w:val="40"/>
          <w:rtl/>
        </w:rPr>
        <w:t>הביקורת</w:t>
      </w:r>
      <w:r w:rsidRPr="00AA5065">
        <w:rPr>
          <w:rFonts w:eastAsia="Times New Roman"/>
          <w:bCs/>
          <w:spacing w:val="40"/>
          <w:rtl/>
        </w:rPr>
        <w:t xml:space="preserve"> </w:t>
      </w:r>
      <w:r w:rsidRPr="00AA5065">
        <w:rPr>
          <w:rFonts w:eastAsia="Times New Roman" w:hint="eastAsia"/>
          <w:bCs/>
          <w:spacing w:val="40"/>
          <w:rtl/>
        </w:rPr>
        <w:t>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בביקורת הקודמת עלה</w:t>
      </w:r>
      <w:r w:rsidRPr="00AA5065">
        <w:rPr>
          <w:rFonts w:eastAsia="Calibri"/>
          <w:rtl/>
        </w:rPr>
        <w:t xml:space="preserve"> כי זה שנים מתמודדת חבר</w:t>
      </w:r>
      <w:r w:rsidRPr="00AA5065">
        <w:rPr>
          <w:rFonts w:eastAsia="Calibri" w:hint="cs"/>
          <w:rtl/>
        </w:rPr>
        <w:t>ת תש"א</w:t>
      </w:r>
      <w:r w:rsidRPr="00AA5065">
        <w:rPr>
          <w:rFonts w:eastAsia="Calibri"/>
          <w:rtl/>
        </w:rPr>
        <w:t xml:space="preserve"> עם </w:t>
      </w:r>
      <w:r w:rsidRPr="00AA5065">
        <w:rPr>
          <w:rFonts w:eastAsia="Calibri" w:hint="cs"/>
          <w:rtl/>
        </w:rPr>
        <w:t>אירועים של</w:t>
      </w:r>
      <w:r w:rsidRPr="00AA5065">
        <w:rPr>
          <w:rFonts w:eastAsia="Calibri"/>
          <w:rtl/>
        </w:rPr>
        <w:t xml:space="preserve"> </w:t>
      </w:r>
      <w:r w:rsidRPr="00AA5065">
        <w:rPr>
          <w:rFonts w:eastAsia="Calibri" w:hint="eastAsia"/>
          <w:rtl/>
        </w:rPr>
        <w:t>פגיעות</w:t>
      </w:r>
      <w:r w:rsidRPr="00AA5065">
        <w:rPr>
          <w:rFonts w:eastAsia="Calibri"/>
          <w:rtl/>
        </w:rPr>
        <w:t xml:space="preserve"> בקווי הדלק של החברה בדרום </w:t>
      </w:r>
      <w:r w:rsidRPr="00AA5065">
        <w:rPr>
          <w:rFonts w:eastAsia="Calibri" w:hint="cs"/>
          <w:rtl/>
        </w:rPr>
        <w:t xml:space="preserve">ועם </w:t>
      </w:r>
      <w:r w:rsidRPr="00AA5065">
        <w:rPr>
          <w:rFonts w:eastAsia="Calibri"/>
          <w:rtl/>
        </w:rPr>
        <w:t>ניסיונות לגנוב דלק מקווי הצנרת התת</w:t>
      </w:r>
      <w:r w:rsidRPr="00AA5065">
        <w:rPr>
          <w:rFonts w:eastAsia="Calibri" w:hint="cs"/>
          <w:rtl/>
        </w:rPr>
        <w:t>-</w:t>
      </w:r>
      <w:r w:rsidRPr="00AA5065">
        <w:rPr>
          <w:rFonts w:eastAsia="Calibri"/>
          <w:rtl/>
        </w:rPr>
        <w:t>קרקעיים</w:t>
      </w:r>
      <w:r w:rsidRPr="00AA5065">
        <w:rPr>
          <w:rFonts w:eastAsia="Calibri" w:hint="cs"/>
          <w:rtl/>
        </w:rPr>
        <w:t xml:space="preserve"> שלה</w:t>
      </w:r>
      <w:r w:rsidRPr="00AA5065">
        <w:rPr>
          <w:rFonts w:eastAsia="Calibri"/>
          <w:rtl/>
        </w:rPr>
        <w:t>.</w:t>
      </w:r>
      <w:r w:rsidRPr="00AA5065">
        <w:rPr>
          <w:rFonts w:eastAsia="Calibri" w:hint="cs"/>
          <w:rtl/>
        </w:rPr>
        <w:t xml:space="preserve"> </w:t>
      </w:r>
      <w:r w:rsidRPr="00AA5065">
        <w:rPr>
          <w:rFonts w:eastAsia="Calibri" w:hint="eastAsia"/>
          <w:rtl/>
        </w:rPr>
        <w:t>מ</w:t>
      </w:r>
      <w:r w:rsidRPr="00AA5065">
        <w:rPr>
          <w:rFonts w:eastAsia="Calibri" w:hint="cs"/>
          <w:rtl/>
        </w:rPr>
        <w:t>לבד</w:t>
      </w:r>
      <w:r w:rsidRPr="00AA5065">
        <w:rPr>
          <w:rFonts w:eastAsia="Calibri"/>
          <w:rtl/>
        </w:rPr>
        <w:t xml:space="preserve"> </w:t>
      </w:r>
      <w:r w:rsidRPr="00AA5065">
        <w:rPr>
          <w:rFonts w:eastAsia="Calibri" w:hint="cs"/>
          <w:rtl/>
        </w:rPr>
        <w:t>ה</w:t>
      </w:r>
      <w:r w:rsidRPr="00AA5065">
        <w:rPr>
          <w:rFonts w:eastAsia="Calibri" w:hint="eastAsia"/>
          <w:rtl/>
        </w:rPr>
        <w:t>פגיעה</w:t>
      </w:r>
      <w:r w:rsidRPr="00AA5065">
        <w:rPr>
          <w:rFonts w:eastAsia="Calibri"/>
          <w:rtl/>
        </w:rPr>
        <w:t xml:space="preserve"> </w:t>
      </w:r>
      <w:r w:rsidRPr="00AA5065">
        <w:rPr>
          <w:rFonts w:eastAsia="Calibri" w:hint="eastAsia"/>
          <w:rtl/>
        </w:rPr>
        <w:t>הכלכלית</w:t>
      </w:r>
      <w:r w:rsidRPr="00AA5065">
        <w:rPr>
          <w:rFonts w:eastAsia="Calibri" w:hint="cs"/>
          <w:rtl/>
        </w:rPr>
        <w:t xml:space="preserve"> בחברה</w:t>
      </w:r>
      <w:r w:rsidRPr="00AA5065">
        <w:rPr>
          <w:rFonts w:eastAsia="Calibri"/>
          <w:rtl/>
        </w:rPr>
        <w:t xml:space="preserve"> </w:t>
      </w:r>
      <w:r w:rsidRPr="00AA5065">
        <w:rPr>
          <w:rFonts w:eastAsia="Calibri" w:hint="eastAsia"/>
          <w:rtl/>
        </w:rPr>
        <w:t>קיימת</w:t>
      </w:r>
      <w:r w:rsidRPr="00AA5065">
        <w:rPr>
          <w:rFonts w:eastAsia="Calibri"/>
          <w:rtl/>
        </w:rPr>
        <w:t xml:space="preserve"> </w:t>
      </w:r>
      <w:r w:rsidRPr="00AA5065">
        <w:rPr>
          <w:rFonts w:eastAsia="Calibri" w:hint="eastAsia"/>
          <w:rtl/>
        </w:rPr>
        <w:t>גם</w:t>
      </w:r>
      <w:r w:rsidRPr="00AA5065">
        <w:rPr>
          <w:rFonts w:eastAsia="Calibri"/>
          <w:rtl/>
        </w:rPr>
        <w:t xml:space="preserve"> </w:t>
      </w:r>
      <w:r w:rsidRPr="00AA5065">
        <w:rPr>
          <w:rFonts w:eastAsia="Calibri" w:hint="eastAsia"/>
          <w:rtl/>
        </w:rPr>
        <w:t>פגיעה</w:t>
      </w:r>
      <w:r w:rsidRPr="00AA5065">
        <w:rPr>
          <w:rFonts w:eastAsia="Calibri"/>
          <w:rtl/>
        </w:rPr>
        <w:t xml:space="preserve"> </w:t>
      </w:r>
      <w:r w:rsidRPr="00AA5065">
        <w:rPr>
          <w:rFonts w:eastAsia="Calibri" w:hint="eastAsia"/>
          <w:rtl/>
        </w:rPr>
        <w:t>ברציפות</w:t>
      </w:r>
      <w:r w:rsidRPr="00AA5065">
        <w:rPr>
          <w:rFonts w:eastAsia="Calibri"/>
          <w:rtl/>
        </w:rPr>
        <w:t xml:space="preserve"> </w:t>
      </w:r>
      <w:r w:rsidRPr="00AA5065">
        <w:rPr>
          <w:rFonts w:eastAsia="Calibri" w:hint="eastAsia"/>
          <w:rtl/>
        </w:rPr>
        <w:t>האספקה</w:t>
      </w:r>
      <w:r w:rsidRPr="00AA5065">
        <w:rPr>
          <w:rFonts w:eastAsia="Calibri"/>
          <w:rtl/>
        </w:rPr>
        <w:t xml:space="preserve"> </w:t>
      </w:r>
      <w:r w:rsidRPr="00AA5065">
        <w:rPr>
          <w:rFonts w:eastAsia="Calibri" w:hint="eastAsia"/>
          <w:rtl/>
        </w:rPr>
        <w:t>למתקנים</w:t>
      </w:r>
      <w:r w:rsidRPr="00AA5065">
        <w:rPr>
          <w:rFonts w:eastAsia="Calibri"/>
          <w:rtl/>
        </w:rPr>
        <w:t xml:space="preserve"> </w:t>
      </w:r>
      <w:r w:rsidRPr="00AA5065">
        <w:rPr>
          <w:rFonts w:eastAsia="Calibri" w:hint="eastAsia"/>
          <w:rtl/>
        </w:rPr>
        <w:t>חיוניים</w:t>
      </w:r>
      <w:r w:rsidRPr="00AA5065">
        <w:rPr>
          <w:rFonts w:eastAsia="Calibri"/>
          <w:rtl/>
        </w:rPr>
        <w:t xml:space="preserve"> </w:t>
      </w:r>
      <w:r w:rsidRPr="00AA5065">
        <w:rPr>
          <w:rFonts w:eastAsia="Calibri" w:hint="eastAsia"/>
          <w:rtl/>
        </w:rPr>
        <w:t>וכן</w:t>
      </w:r>
      <w:r w:rsidRPr="00AA5065">
        <w:rPr>
          <w:rFonts w:eastAsia="Calibri"/>
          <w:rtl/>
        </w:rPr>
        <w:t xml:space="preserve"> </w:t>
      </w:r>
      <w:r w:rsidRPr="00AA5065">
        <w:rPr>
          <w:rFonts w:eastAsia="Calibri" w:hint="eastAsia"/>
          <w:rtl/>
        </w:rPr>
        <w:t>פגיעה</w:t>
      </w:r>
      <w:r w:rsidRPr="00AA5065">
        <w:rPr>
          <w:rFonts w:eastAsia="Calibri"/>
          <w:rtl/>
        </w:rPr>
        <w:t xml:space="preserve"> </w:t>
      </w:r>
      <w:r w:rsidRPr="00AA5065">
        <w:rPr>
          <w:rFonts w:eastAsia="Calibri" w:hint="eastAsia"/>
          <w:rtl/>
        </w:rPr>
        <w:t>בסביבה</w:t>
      </w:r>
      <w:r w:rsidRPr="00AA5065">
        <w:rPr>
          <w:rFonts w:eastAsia="Calibri"/>
          <w:rtl/>
        </w:rPr>
        <w:t xml:space="preserve"> </w:t>
      </w:r>
      <w:r w:rsidRPr="00AA5065">
        <w:rPr>
          <w:rFonts w:eastAsia="Calibri" w:hint="eastAsia"/>
          <w:rtl/>
        </w:rPr>
        <w:t>כתוצאה</w:t>
      </w:r>
      <w:r w:rsidRPr="00AA5065">
        <w:rPr>
          <w:rFonts w:eastAsia="Calibri"/>
          <w:rtl/>
        </w:rPr>
        <w:t xml:space="preserve"> </w:t>
      </w:r>
      <w:r w:rsidRPr="00AA5065">
        <w:rPr>
          <w:rFonts w:eastAsia="Calibri" w:hint="eastAsia"/>
          <w:rtl/>
        </w:rPr>
        <w:t>מדליפת</w:t>
      </w:r>
      <w:r w:rsidRPr="00AA5065">
        <w:rPr>
          <w:rFonts w:eastAsia="Calibri"/>
          <w:rtl/>
        </w:rPr>
        <w:t xml:space="preserve"> </w:t>
      </w:r>
      <w:r w:rsidRPr="00AA5065">
        <w:rPr>
          <w:rFonts w:eastAsia="Calibri" w:hint="eastAsia"/>
          <w:rtl/>
        </w:rPr>
        <w:t>דלק</w:t>
      </w:r>
      <w:r w:rsidRPr="00AA5065">
        <w:rPr>
          <w:rFonts w:eastAsia="Calibri"/>
          <w:rtl/>
        </w:rPr>
        <w:t xml:space="preserve"> </w:t>
      </w:r>
      <w:r w:rsidRPr="00AA5065">
        <w:rPr>
          <w:rFonts w:eastAsia="Calibri" w:hint="eastAsia"/>
          <w:rtl/>
        </w:rPr>
        <w:t>לקרקע</w:t>
      </w:r>
      <w:r w:rsidRPr="00AA5065">
        <w:rPr>
          <w:rFonts w:eastAsia="Calibri"/>
          <w:rtl/>
        </w:rPr>
        <w:t>.</w:t>
      </w:r>
      <w:r w:rsidRPr="00AA5065">
        <w:rPr>
          <w:rFonts w:eastAsia="Calibri" w:hint="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חברת תש"א טענה כי </w:t>
      </w:r>
      <w:r w:rsidRPr="00AA5065">
        <w:rPr>
          <w:rFonts w:eastAsia="Calibri"/>
          <w:rtl/>
        </w:rPr>
        <w:t>כל ניסיונות</w:t>
      </w:r>
      <w:r w:rsidRPr="00AA5065">
        <w:rPr>
          <w:rFonts w:eastAsia="Calibri" w:hint="cs"/>
          <w:rtl/>
        </w:rPr>
        <w:t xml:space="preserve"> הפגיעה</w:t>
      </w:r>
      <w:r w:rsidRPr="00AA5065">
        <w:rPr>
          <w:rFonts w:eastAsia="Calibri"/>
          <w:rtl/>
        </w:rPr>
        <w:t xml:space="preserve"> אותרו על יד</w:t>
      </w:r>
      <w:r w:rsidRPr="00AA5065">
        <w:rPr>
          <w:rFonts w:eastAsia="Calibri" w:hint="cs"/>
          <w:rtl/>
        </w:rPr>
        <w:t>ה</w:t>
      </w:r>
      <w:r w:rsidRPr="00AA5065">
        <w:rPr>
          <w:rFonts w:eastAsia="Calibri"/>
          <w:rtl/>
        </w:rPr>
        <w:t>,</w:t>
      </w:r>
      <w:r w:rsidRPr="00AA5065">
        <w:rPr>
          <w:rFonts w:eastAsia="Calibri" w:hint="cs"/>
          <w:rtl/>
        </w:rPr>
        <w:t xml:space="preserve"> והיא</w:t>
      </w:r>
      <w:r w:rsidRPr="00AA5065">
        <w:rPr>
          <w:rFonts w:eastAsia="Calibri"/>
          <w:rtl/>
        </w:rPr>
        <w:t xml:space="preserve"> נאלצ</w:t>
      </w:r>
      <w:r w:rsidRPr="00AA5065">
        <w:rPr>
          <w:rFonts w:eastAsia="Calibri" w:hint="cs"/>
          <w:rtl/>
        </w:rPr>
        <w:t>ה</w:t>
      </w:r>
      <w:r w:rsidRPr="00AA5065">
        <w:rPr>
          <w:rFonts w:eastAsia="Calibri"/>
          <w:rtl/>
        </w:rPr>
        <w:t xml:space="preserve"> להשקיע סכומי כסף גדולים</w:t>
      </w:r>
      <w:r w:rsidRPr="00AA5065">
        <w:rPr>
          <w:rFonts w:eastAsia="Calibri" w:hint="cs"/>
          <w:rtl/>
        </w:rPr>
        <w:t xml:space="preserve"> בהיקף של כ-300,000 ש"ח</w:t>
      </w:r>
      <w:r w:rsidRPr="00AA5065">
        <w:rPr>
          <w:rFonts w:eastAsia="Calibri"/>
          <w:rtl/>
        </w:rPr>
        <w:t xml:space="preserve"> </w:t>
      </w:r>
      <w:r w:rsidRPr="00AA5065">
        <w:rPr>
          <w:rFonts w:eastAsia="Calibri" w:hint="cs"/>
          <w:rtl/>
        </w:rPr>
        <w:t xml:space="preserve">מאוקטובר 2017 ועד פברואר 2019 </w:t>
      </w:r>
      <w:r w:rsidRPr="00AA5065">
        <w:rPr>
          <w:rFonts w:eastAsia="Calibri"/>
          <w:rtl/>
        </w:rPr>
        <w:t>לתיקון הנזקים</w:t>
      </w:r>
      <w:r w:rsidRPr="00AA5065">
        <w:rPr>
          <w:rFonts w:eastAsia="Calibri" w:hint="cs"/>
          <w:rtl/>
        </w:rPr>
        <w:t>. תיקון זה נדרש להתבצע מיידית</w:t>
      </w:r>
      <w:r w:rsidRPr="00AA5065">
        <w:rPr>
          <w:rFonts w:eastAsia="Calibri"/>
          <w:rtl/>
        </w:rPr>
        <w:t xml:space="preserve"> </w:t>
      </w:r>
      <w:r w:rsidRPr="00AA5065">
        <w:rPr>
          <w:rFonts w:eastAsia="Calibri" w:hint="cs"/>
          <w:rtl/>
        </w:rPr>
        <w:t xml:space="preserve">ובאופן </w:t>
      </w:r>
      <w:r w:rsidRPr="00AA5065">
        <w:rPr>
          <w:rFonts w:eastAsia="Calibri"/>
          <w:rtl/>
        </w:rPr>
        <w:t xml:space="preserve">מהיר </w:t>
      </w:r>
      <w:r w:rsidRPr="00AA5065">
        <w:rPr>
          <w:rFonts w:eastAsia="Calibri" w:hint="cs"/>
          <w:rtl/>
        </w:rPr>
        <w:t>כדי</w:t>
      </w:r>
      <w:r w:rsidRPr="00AA5065">
        <w:rPr>
          <w:rFonts w:eastAsia="Calibri"/>
          <w:rtl/>
        </w:rPr>
        <w:t xml:space="preserve"> להבטיח את מבצעיות הקווים</w:t>
      </w:r>
      <w:r w:rsidRPr="00AA5065">
        <w:rPr>
          <w:rFonts w:eastAsia="Calibri" w:hint="cs"/>
          <w:rtl/>
        </w:rPr>
        <w:t>,</w:t>
      </w:r>
      <w:r w:rsidRPr="00AA5065">
        <w:rPr>
          <w:rFonts w:eastAsia="Calibri"/>
          <w:rtl/>
        </w:rPr>
        <w:t xml:space="preserve"> שהם בעלי חשיבות אסטרטגית</w:t>
      </w:r>
      <w:r w:rsidRPr="00AA5065">
        <w:rPr>
          <w:rFonts w:eastAsia="Calibri" w:hint="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ה</w:t>
      </w:r>
      <w:r w:rsidRPr="00AA5065">
        <w:rPr>
          <w:rFonts w:eastAsia="Calibri"/>
          <w:rtl/>
        </w:rPr>
        <w:t>ומלץ כי משרדי הממשלה והחברות הרלוונטיות ייערכו למיגור התופעה תוך שיתוף פעולה הדוק ביניהם</w:t>
      </w:r>
      <w:r w:rsidRPr="00AA5065">
        <w:rPr>
          <w:rFonts w:eastAsia="Calibri" w:hint="cs"/>
          <w:rtl/>
        </w:rPr>
        <w:t>, וכי</w:t>
      </w:r>
      <w:r w:rsidRPr="00AA5065">
        <w:rPr>
          <w:rFonts w:eastAsia="Calibri"/>
          <w:rtl/>
        </w:rPr>
        <w:t xml:space="preserve"> רשויות אכיפת החוק ו</w:t>
      </w:r>
      <w:r w:rsidRPr="00AA5065">
        <w:rPr>
          <w:rFonts w:eastAsia="Calibri" w:hint="cs"/>
          <w:rtl/>
        </w:rPr>
        <w:t>ה</w:t>
      </w:r>
      <w:r w:rsidRPr="00AA5065">
        <w:rPr>
          <w:rFonts w:eastAsia="Calibri"/>
          <w:rtl/>
        </w:rPr>
        <w:t>משטר</w:t>
      </w:r>
      <w:r w:rsidRPr="00AA5065">
        <w:rPr>
          <w:rFonts w:eastAsia="Calibri" w:hint="cs"/>
          <w:rtl/>
        </w:rPr>
        <w:t>ה</w:t>
      </w:r>
      <w:r w:rsidRPr="00AA5065">
        <w:rPr>
          <w:rFonts w:eastAsia="Calibri"/>
          <w:rtl/>
        </w:rPr>
        <w:t xml:space="preserve"> הפועלות בנגב </w:t>
      </w:r>
      <w:r w:rsidRPr="00AA5065">
        <w:rPr>
          <w:rFonts w:eastAsia="Calibri" w:hint="cs"/>
          <w:rtl/>
        </w:rPr>
        <w:t>יתעדפו</w:t>
      </w:r>
      <w:r w:rsidRPr="00AA5065">
        <w:rPr>
          <w:rFonts w:eastAsia="Calibri"/>
          <w:rtl/>
        </w:rPr>
        <w:t xml:space="preserve"> </w:t>
      </w:r>
      <w:r w:rsidRPr="00AA5065">
        <w:rPr>
          <w:rFonts w:eastAsia="Calibri" w:hint="cs"/>
          <w:rtl/>
        </w:rPr>
        <w:t>את</w:t>
      </w:r>
      <w:r w:rsidRPr="00AA5065">
        <w:rPr>
          <w:rFonts w:eastAsia="Calibri"/>
          <w:rtl/>
        </w:rPr>
        <w:t xml:space="preserve"> הטיפול בפגיעה בתשתיות</w:t>
      </w:r>
      <w:r w:rsidRPr="00AA5065">
        <w:rPr>
          <w:rFonts w:eastAsia="Calibri"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חברת תש"א ציינה בתשובתה לדוח הקודם כי היא פועלת למגר את התופעה באמצעים העומדים לרשותה ובשיתוף פעולה עם המשטרה ועם חברות התשתית.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ascii="David" w:eastAsia="Times New Roman" w:hAnsi="David" w:hint="cs"/>
          <w:sz w:val="24"/>
          <w:rtl/>
          <w:lang w:eastAsia="he-IL"/>
        </w:rPr>
        <w:t xml:space="preserve">בדיווח המשטרה במסגרת הערות ראש הממשלה מאוגוסט 2021 לדוח מבקר המדינה נכתב כי </w:t>
      </w:r>
      <w:r w:rsidRPr="00AA5065">
        <w:rPr>
          <w:rFonts w:ascii="Tahoma" w:eastAsia="Calibri" w:hAnsi="Tahoma"/>
          <w:rtl/>
        </w:rPr>
        <w:t>הפגיעה בתשתיות נעשית גם ממניעים פליליים נוספים שאינם סד"ח, כגון גניבת</w:t>
      </w:r>
      <w:r w:rsidRPr="00AA5065">
        <w:rPr>
          <w:rFonts w:ascii="Tahoma" w:eastAsia="Calibri" w:hAnsi="Tahoma" w:hint="cs"/>
          <w:rtl/>
        </w:rPr>
        <w:t xml:space="preserve"> </w:t>
      </w:r>
      <w:r w:rsidRPr="00AA5065">
        <w:rPr>
          <w:rFonts w:ascii="Tahoma" w:eastAsia="Calibri" w:hAnsi="Tahoma"/>
          <w:rtl/>
        </w:rPr>
        <w:t>תשתיות לשם שימוש בה</w:t>
      </w:r>
      <w:r w:rsidRPr="00AA5065">
        <w:rPr>
          <w:rFonts w:ascii="Tahoma" w:eastAsia="Calibri" w:hAnsi="Tahoma" w:hint="cs"/>
          <w:rtl/>
        </w:rPr>
        <w:t>ן</w:t>
      </w:r>
      <w:r w:rsidRPr="00AA5065">
        <w:rPr>
          <w:rFonts w:ascii="Tahoma" w:eastAsia="Calibri" w:hAnsi="Tahoma"/>
          <w:rtl/>
        </w:rPr>
        <w:t xml:space="preserve"> ללא עלות</w:t>
      </w:r>
      <w:r w:rsidRPr="00AA5065">
        <w:rPr>
          <w:rFonts w:ascii="Tahoma" w:eastAsia="Calibri" w:hAnsi="Tahoma" w:hint="cs"/>
          <w:rtl/>
        </w:rPr>
        <w:t>,</w:t>
      </w:r>
      <w:r w:rsidRPr="00AA5065">
        <w:rPr>
          <w:rFonts w:ascii="Tahoma" w:eastAsia="Calibri" w:hAnsi="Tahoma"/>
          <w:rtl/>
        </w:rPr>
        <w:t xml:space="preserve"> מכירתן בעלות מופחתת ו</w:t>
      </w:r>
      <w:r w:rsidRPr="00AA5065">
        <w:rPr>
          <w:rFonts w:ascii="Tahoma" w:eastAsia="Calibri" w:hAnsi="Tahoma" w:hint="cs"/>
          <w:rtl/>
        </w:rPr>
        <w:t xml:space="preserve">שימוש בהן </w:t>
      </w:r>
      <w:r w:rsidRPr="00AA5065">
        <w:rPr>
          <w:rFonts w:ascii="Tahoma" w:eastAsia="Calibri" w:hAnsi="Tahoma"/>
          <w:rtl/>
        </w:rPr>
        <w:t>כתשתית תומכת</w:t>
      </w:r>
      <w:r w:rsidRPr="00AA5065">
        <w:rPr>
          <w:rFonts w:ascii="Tahoma" w:eastAsia="Calibri" w:hAnsi="Tahoma" w:hint="cs"/>
          <w:rtl/>
        </w:rPr>
        <w:t xml:space="preserve"> </w:t>
      </w:r>
      <w:r w:rsidRPr="00AA5065">
        <w:rPr>
          <w:rFonts w:ascii="Tahoma" w:eastAsia="Calibri" w:hAnsi="Tahoma"/>
          <w:rtl/>
        </w:rPr>
        <w:t xml:space="preserve">לביצוע פעילות פלילית נוספת </w:t>
      </w:r>
      <w:r w:rsidRPr="00AA5065">
        <w:rPr>
          <w:rFonts w:ascii="Tahoma" w:eastAsia="Calibri" w:hAnsi="Tahoma" w:hint="cs"/>
          <w:rtl/>
        </w:rPr>
        <w:t>(כמו</w:t>
      </w:r>
      <w:r w:rsidRPr="00AA5065">
        <w:rPr>
          <w:rFonts w:ascii="Tahoma" w:eastAsia="Calibri" w:hAnsi="Tahoma"/>
          <w:rtl/>
        </w:rPr>
        <w:t xml:space="preserve"> גידול</w:t>
      </w:r>
      <w:r w:rsidRPr="00AA5065">
        <w:rPr>
          <w:rFonts w:ascii="Tahoma" w:eastAsia="Calibri" w:hAnsi="Tahoma" w:hint="cs"/>
          <w:rtl/>
        </w:rPr>
        <w:t xml:space="preserve"> סמים או </w:t>
      </w:r>
      <w:r w:rsidRPr="00AA5065">
        <w:rPr>
          <w:rFonts w:ascii="Tahoma" w:eastAsia="Calibri" w:hAnsi="Tahoma"/>
          <w:rtl/>
        </w:rPr>
        <w:t>ייצור סמים</w:t>
      </w:r>
      <w:r w:rsidRPr="00AA5065">
        <w:rPr>
          <w:rFonts w:ascii="Tahoma" w:eastAsia="Calibri" w:hAnsi="Tahoma" w:hint="cs"/>
          <w:rtl/>
        </w:rPr>
        <w:t>)</w:t>
      </w:r>
      <w:r w:rsidRPr="00AA5065">
        <w:rPr>
          <w:rFonts w:ascii="Tahoma" w:eastAsia="Calibri" w:hAnsi="Tahoma"/>
          <w:rtl/>
        </w:rPr>
        <w:t>. קיימת חשיבות לש</w:t>
      </w:r>
      <w:r w:rsidRPr="00AA5065">
        <w:rPr>
          <w:rFonts w:ascii="Tahoma" w:eastAsia="Calibri" w:hAnsi="Tahoma" w:hint="cs"/>
          <w:rtl/>
        </w:rPr>
        <w:t>יתוף פעולה</w:t>
      </w:r>
      <w:r w:rsidRPr="00AA5065">
        <w:rPr>
          <w:rFonts w:ascii="Tahoma" w:eastAsia="Calibri" w:hAnsi="Tahoma"/>
          <w:rtl/>
        </w:rPr>
        <w:t xml:space="preserve"> עם</w:t>
      </w:r>
      <w:r w:rsidRPr="00AA5065">
        <w:rPr>
          <w:rFonts w:ascii="Tahoma" w:eastAsia="Calibri" w:hAnsi="Tahoma" w:hint="cs"/>
          <w:rtl/>
        </w:rPr>
        <w:t xml:space="preserve"> </w:t>
      </w:r>
      <w:r w:rsidRPr="00AA5065">
        <w:rPr>
          <w:rFonts w:ascii="Tahoma" w:eastAsia="Calibri" w:hAnsi="Tahoma"/>
          <w:rtl/>
        </w:rPr>
        <w:t>רשויות מקומיות</w:t>
      </w:r>
      <w:r w:rsidRPr="00AA5065">
        <w:rPr>
          <w:rFonts w:ascii="Tahoma" w:eastAsia="Calibri" w:hAnsi="Tahoma" w:hint="cs"/>
          <w:rtl/>
        </w:rPr>
        <w:t xml:space="preserve"> ו</w:t>
      </w:r>
      <w:r w:rsidRPr="00AA5065">
        <w:rPr>
          <w:rFonts w:ascii="Tahoma" w:eastAsia="Calibri" w:hAnsi="Tahoma"/>
          <w:rtl/>
        </w:rPr>
        <w:t>חברות ממשלתיות לצורך העברת דיווח על התנהלות חריגה</w:t>
      </w:r>
      <w:r w:rsidRPr="00AA5065">
        <w:rPr>
          <w:rFonts w:ascii="Tahoma" w:eastAsia="Calibri" w:hAnsi="Tahoma" w:hint="cs"/>
          <w:rtl/>
        </w:rPr>
        <w:t>. התנהלות שכזו</w:t>
      </w:r>
      <w:r w:rsidRPr="00AA5065">
        <w:rPr>
          <w:rFonts w:ascii="Tahoma" w:eastAsia="Calibri" w:hAnsi="Tahoma"/>
          <w:rtl/>
        </w:rPr>
        <w:t xml:space="preserve"> עשויה להצביע על ביצוע פעילות פלילית מסוג זה ו</w:t>
      </w:r>
      <w:r w:rsidRPr="00AA5065">
        <w:rPr>
          <w:rFonts w:ascii="Tahoma" w:eastAsia="Calibri" w:hAnsi="Tahoma" w:hint="cs"/>
          <w:rtl/>
        </w:rPr>
        <w:t>להוביל</w:t>
      </w:r>
      <w:r w:rsidRPr="00AA5065">
        <w:rPr>
          <w:rFonts w:ascii="Tahoma" w:eastAsia="Calibri" w:hAnsi="Tahoma"/>
          <w:rtl/>
        </w:rPr>
        <w:t xml:space="preserve"> לפתיחה בחקירה.</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rtl/>
        </w:rPr>
        <w:t>בלוח 20 שלהלן מוצגים אירועי חבלה וגניבה</w:t>
      </w:r>
      <w:r w:rsidRPr="00AA5065">
        <w:rPr>
          <w:rFonts w:eastAsia="Calibri"/>
          <w:rtl/>
        </w:rPr>
        <w:t xml:space="preserve"> </w:t>
      </w:r>
      <w:r w:rsidRPr="00AA5065">
        <w:rPr>
          <w:rFonts w:eastAsia="Calibri" w:hint="cs"/>
          <w:rtl/>
        </w:rPr>
        <w:t xml:space="preserve">שאירעו </w:t>
      </w:r>
      <w:r w:rsidRPr="00AA5065">
        <w:rPr>
          <w:rFonts w:eastAsia="Calibri"/>
          <w:rtl/>
        </w:rPr>
        <w:t xml:space="preserve">במתקני </w:t>
      </w:r>
      <w:r w:rsidRPr="00AA5065">
        <w:rPr>
          <w:rFonts w:eastAsia="Calibri" w:hint="cs"/>
          <w:rtl/>
        </w:rPr>
        <w:t>החברה</w:t>
      </w:r>
      <w:r w:rsidRPr="00AA5065">
        <w:rPr>
          <w:rFonts w:eastAsia="Calibri"/>
          <w:rtl/>
        </w:rPr>
        <w:t xml:space="preserve"> </w:t>
      </w:r>
      <w:r w:rsidRPr="00AA5065">
        <w:rPr>
          <w:rFonts w:eastAsia="Calibri" w:hint="cs"/>
          <w:rtl/>
        </w:rPr>
        <w:t>ב</w:t>
      </w:r>
      <w:r w:rsidRPr="00AA5065">
        <w:rPr>
          <w:rFonts w:eastAsia="Calibri"/>
          <w:rtl/>
        </w:rPr>
        <w:t>שנים 20</w:t>
      </w:r>
      <w:r w:rsidRPr="00AA5065">
        <w:rPr>
          <w:rFonts w:eastAsia="Calibri" w:hint="cs"/>
          <w:rtl/>
        </w:rPr>
        <w:t xml:space="preserve">19 עד </w:t>
      </w:r>
      <w:r w:rsidRPr="00AA5065">
        <w:rPr>
          <w:rFonts w:eastAsia="Calibri"/>
          <w:rtl/>
        </w:rPr>
        <w:t>20</w:t>
      </w:r>
      <w:r w:rsidRPr="00AA5065">
        <w:rPr>
          <w:rFonts w:eastAsia="Calibri" w:hint="cs"/>
          <w:rtl/>
        </w:rPr>
        <w:t>24</w:t>
      </w:r>
      <w:r w:rsidRPr="00AA5065">
        <w:rPr>
          <w:rFonts w:eastAsia="Calibri"/>
          <w:rtl/>
        </w:rPr>
        <w:t xml:space="preserve"> באזור</w:t>
      </w:r>
      <w:r w:rsidRPr="00AA5065">
        <w:rPr>
          <w:rFonts w:eastAsia="Calibri" w:hint="cs"/>
          <w:rtl/>
        </w:rPr>
        <w:t xml:space="preserve"> הנגב.</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ascii="Tahoma" w:eastAsia="Calibri" w:hAnsi="Tahoma"/>
          <w:rtl/>
        </w:rPr>
      </w:pPr>
      <w:r w:rsidRPr="00AA5065">
        <w:rPr>
          <w:rFonts w:eastAsia="Times New Roman" w:hint="cs"/>
          <w:rtl/>
          <w:lang w:eastAsia="he-IL"/>
        </w:rPr>
        <w:t>לוח 20:</w:t>
      </w:r>
      <w:r w:rsidRPr="00AA5065">
        <w:rPr>
          <w:rFonts w:eastAsia="Times New Roman" w:hint="cs"/>
          <w:b/>
          <w:bCs/>
          <w:rtl/>
          <w:lang w:eastAsia="he-IL"/>
        </w:rPr>
        <w:t xml:space="preserve"> מספר אירועי חבלה וגניבה שאירעו במתקני חברת תש"א באזור הנגב,</w:t>
      </w:r>
      <w:r w:rsidRPr="00AA5065">
        <w:rPr>
          <w:rFonts w:eastAsia="Calibri" w:hint="cs"/>
          <w:b/>
          <w:bCs/>
          <w:rtl/>
        </w:rPr>
        <w:t xml:space="preserve"> 2019 - 2024</w:t>
      </w:r>
    </w:p>
    <w:tbl>
      <w:tblPr>
        <w:tblStyle w:val="5-11"/>
        <w:bidiVisual/>
        <w:tblW w:w="8212" w:type="dxa"/>
        <w:tblInd w:w="15" w:type="dxa"/>
        <w:tblLook w:val="04A0"/>
      </w:tblPr>
      <w:tblGrid>
        <w:gridCol w:w="1559"/>
        <w:gridCol w:w="5669"/>
        <w:gridCol w:w="984"/>
      </w:tblGrid>
      <w:tr w:rsidTr="00AF3FA8">
        <w:tblPrEx>
          <w:tblW w:w="8212" w:type="dxa"/>
          <w:tblInd w:w="15" w:type="dxa"/>
          <w:tblLook w:val="04A0"/>
        </w:tblPrEx>
        <w:trPr>
          <w:trHeight w:val="355"/>
        </w:trPr>
        <w:tc>
          <w:tcPr>
            <w:tcW w:w="0" w:type="dxa"/>
            <w:vMerge w:val="restart"/>
            <w:shd w:val="clear" w:color="auto" w:fill="DBE5F1"/>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המתקן</w:t>
            </w:r>
          </w:p>
        </w:tc>
        <w:tc>
          <w:tcPr>
            <w:tcW w:w="0" w:type="dxa"/>
            <w:vMerge w:val="restart"/>
            <w:shd w:val="clear" w:color="auto" w:fill="DBE5F1"/>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hint="cs"/>
                <w:color w:val="000000"/>
                <w:sz w:val="22"/>
                <w:szCs w:val="22"/>
                <w:rtl/>
              </w:rPr>
              <w:t>תיאור האירוע</w:t>
            </w:r>
          </w:p>
        </w:tc>
        <w:tc>
          <w:tcPr>
            <w:tcW w:w="0" w:type="dxa"/>
            <w:shd w:val="clear" w:color="auto" w:fill="DBE5F1"/>
            <w:hideMark/>
          </w:tcPr>
          <w:p w:rsidR="00AA5065" w:rsidRPr="00AA5065" w:rsidP="00AF3FA8">
            <w:pPr>
              <w:bidi w:val="0"/>
              <w:spacing w:line="269" w:lineRule="auto"/>
              <w:jc w:val="center"/>
              <w:rPr>
                <w:rFonts w:ascii="David" w:eastAsia="Calibri" w:hAnsi="David"/>
                <w:color w:val="000000"/>
                <w:sz w:val="22"/>
                <w:szCs w:val="22"/>
                <w:rtl/>
              </w:rPr>
            </w:pPr>
            <w:r w:rsidRPr="00AA5065">
              <w:rPr>
                <w:rFonts w:ascii="David" w:eastAsia="Calibri" w:hAnsi="David" w:hint="cs"/>
                <w:color w:val="000000"/>
                <w:sz w:val="22"/>
                <w:szCs w:val="22"/>
                <w:rtl/>
              </w:rPr>
              <w:t>התאריך</w:t>
            </w:r>
          </w:p>
        </w:tc>
      </w:tr>
      <w:tr w:rsidTr="00AF3FA8">
        <w:tblPrEx>
          <w:tblW w:w="8212" w:type="dxa"/>
          <w:tblInd w:w="15" w:type="dxa"/>
          <w:tblLook w:val="04A0"/>
        </w:tblPrEx>
        <w:trPr>
          <w:trHeight w:val="120"/>
        </w:trPr>
        <w:tc>
          <w:tcPr>
            <w:tcW w:w="0" w:type="dxa"/>
            <w:vMerge/>
            <w:shd w:val="clear" w:color="auto" w:fill="DBE5F1"/>
            <w:hideMark/>
          </w:tcPr>
          <w:p w:rsidR="00AA5065" w:rsidRPr="00AA5065" w:rsidP="00860D89">
            <w:pPr>
              <w:bidi w:val="0"/>
              <w:spacing w:line="269" w:lineRule="auto"/>
              <w:jc w:val="center"/>
              <w:rPr>
                <w:rFonts w:ascii="David" w:eastAsia="Calibri" w:hAnsi="David"/>
                <w:color w:val="000000"/>
                <w:sz w:val="22"/>
                <w:szCs w:val="22"/>
              </w:rPr>
            </w:pPr>
          </w:p>
        </w:tc>
        <w:tc>
          <w:tcPr>
            <w:tcW w:w="0" w:type="dxa"/>
            <w:vMerge/>
            <w:shd w:val="clear" w:color="auto" w:fill="DBE5F1"/>
            <w:hideMark/>
          </w:tcPr>
          <w:p w:rsidR="00AA5065" w:rsidRPr="00AA5065" w:rsidP="00860D89">
            <w:pPr>
              <w:bidi w:val="0"/>
              <w:spacing w:line="269" w:lineRule="auto"/>
              <w:jc w:val="center"/>
              <w:rPr>
                <w:rFonts w:ascii="David" w:eastAsia="Calibri" w:hAnsi="David"/>
                <w:color w:val="000000"/>
                <w:sz w:val="22"/>
                <w:szCs w:val="22"/>
              </w:rPr>
            </w:pPr>
          </w:p>
        </w:tc>
        <w:tc>
          <w:tcPr>
            <w:tcW w:w="0" w:type="dxa"/>
            <w:shd w:val="clear" w:color="auto" w:fill="DBE5F1"/>
            <w:hideMark/>
          </w:tcPr>
          <w:p w:rsidR="00AA5065" w:rsidRPr="00AA5065" w:rsidP="00AF3FA8">
            <w:pPr>
              <w:bidi w:val="0"/>
              <w:spacing w:line="269" w:lineRule="auto"/>
              <w:jc w:val="right"/>
              <w:rPr>
                <w:rFonts w:ascii="David" w:eastAsia="Calibri" w:hAnsi="David"/>
                <w:color w:val="000000"/>
                <w:sz w:val="22"/>
                <w:szCs w:val="22"/>
              </w:rPr>
            </w:pPr>
          </w:p>
        </w:tc>
      </w:tr>
      <w:tr w:rsidTr="00AA5065">
        <w:tblPrEx>
          <w:tblW w:w="8212" w:type="dxa"/>
          <w:tblInd w:w="15" w:type="dxa"/>
          <w:tblLook w:val="04A0"/>
        </w:tblPrEx>
        <w:trPr>
          <w:trHeight w:hRule="exact" w:val="1098"/>
        </w:trPr>
        <w:tc>
          <w:tcPr>
            <w:tcW w:w="1559" w:type="dxa"/>
            <w:shd w:val="clear" w:color="auto" w:fill="DBE5F1"/>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שוחת תל שוקת</w:t>
            </w:r>
          </w:p>
        </w:tc>
        <w:tc>
          <w:tcPr>
            <w:tcW w:w="5669" w:type="dxa"/>
            <w:hideMark/>
          </w:tcPr>
          <w:p w:rsidR="00AA5065" w:rsidRPr="00AA5065" w:rsidP="00860D89">
            <w:pPr>
              <w:spacing w:line="269" w:lineRule="auto"/>
              <w:rPr>
                <w:rFonts w:ascii="David" w:eastAsia="Calibri" w:hAnsi="David"/>
                <w:color w:val="000000"/>
                <w:sz w:val="22"/>
                <w:szCs w:val="22"/>
                <w:rtl/>
              </w:rPr>
            </w:pPr>
            <w:r w:rsidRPr="00AA5065">
              <w:rPr>
                <w:rFonts w:ascii="David" w:eastAsia="Calibri" w:hAnsi="David" w:hint="cs"/>
                <w:color w:val="000000"/>
                <w:sz w:val="22"/>
                <w:szCs w:val="22"/>
                <w:rtl/>
              </w:rPr>
              <w:t>בשעה</w:t>
            </w:r>
            <w:r w:rsidRPr="00AA5065">
              <w:rPr>
                <w:rFonts w:ascii="David" w:eastAsia="Calibri" w:hAnsi="David" w:hint="cs"/>
                <w:color w:val="000000"/>
                <w:sz w:val="22"/>
                <w:szCs w:val="22"/>
              </w:rPr>
              <w:t xml:space="preserve"> 2:55 </w:t>
            </w:r>
            <w:r w:rsidRPr="00AA5065">
              <w:rPr>
                <w:rFonts w:ascii="David" w:eastAsia="Calibri" w:hAnsi="David" w:hint="cs"/>
                <w:color w:val="000000"/>
                <w:sz w:val="22"/>
                <w:szCs w:val="22"/>
                <w:rtl/>
              </w:rPr>
              <w:t>התקבלה התרעה מחברת חשמל על חוסר מתח בשוחת שוקת. סייר שהגיע למקום גילה</w:t>
            </w:r>
            <w:r w:rsidRPr="00AA5065">
              <w:rPr>
                <w:rFonts w:ascii="David" w:eastAsia="Calibri" w:hAnsi="David" w:hint="cs"/>
                <w:color w:val="000000"/>
                <w:sz w:val="22"/>
                <w:szCs w:val="22"/>
              </w:rPr>
              <w:t xml:space="preserve"> </w:t>
            </w:r>
            <w:r w:rsidRPr="00AA5065">
              <w:rPr>
                <w:rFonts w:ascii="David" w:eastAsia="Calibri" w:hAnsi="David" w:hint="cs"/>
                <w:color w:val="000000"/>
                <w:sz w:val="22"/>
                <w:szCs w:val="22"/>
                <w:rtl/>
              </w:rPr>
              <w:t>ונדליזם חמור במקום. נמסר על נזק לארונות התקשורת והחשמל.</w:t>
            </w:r>
          </w:p>
        </w:tc>
        <w:tc>
          <w:tcPr>
            <w:tcW w:w="984" w:type="dxa"/>
            <w:hideMark/>
          </w:tcPr>
          <w:p w:rsidR="00AA5065" w:rsidRPr="00AA5065" w:rsidP="00AF3FA8">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Pr>
              <w:t>6.10.21</w:t>
            </w:r>
          </w:p>
        </w:tc>
      </w:tr>
      <w:tr w:rsidTr="00AA5065">
        <w:tblPrEx>
          <w:tblW w:w="8212" w:type="dxa"/>
          <w:tblInd w:w="15" w:type="dxa"/>
          <w:tblLook w:val="04A0"/>
        </w:tblPrEx>
        <w:trPr>
          <w:trHeight w:hRule="exact" w:val="717"/>
        </w:trPr>
        <w:tc>
          <w:tcPr>
            <w:tcW w:w="0" w:type="dxa"/>
            <w:shd w:val="clear" w:color="auto" w:fill="DBE5F1"/>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שוחת תל שוקת</w:t>
            </w:r>
          </w:p>
        </w:tc>
        <w:tc>
          <w:tcPr>
            <w:tcW w:w="0" w:type="dxa"/>
            <w:shd w:val="clear" w:color="auto" w:fill="DBE5F1"/>
            <w:hideMark/>
          </w:tcPr>
          <w:p w:rsidR="00AA5065" w:rsidRPr="00AA5065" w:rsidP="00860D89">
            <w:pPr>
              <w:spacing w:line="269" w:lineRule="auto"/>
              <w:rPr>
                <w:rFonts w:ascii="David" w:eastAsia="Calibri" w:hAnsi="David"/>
                <w:color w:val="000000"/>
                <w:sz w:val="22"/>
                <w:szCs w:val="22"/>
                <w:rtl/>
              </w:rPr>
            </w:pPr>
            <w:r w:rsidRPr="00AA5065">
              <w:rPr>
                <w:rFonts w:ascii="David" w:eastAsia="Calibri" w:hAnsi="David" w:hint="cs"/>
                <w:color w:val="000000"/>
                <w:sz w:val="22"/>
                <w:szCs w:val="22"/>
                <w:rtl/>
              </w:rPr>
              <w:t>בשעה</w:t>
            </w:r>
            <w:r w:rsidRPr="00AA5065">
              <w:rPr>
                <w:rFonts w:ascii="David" w:eastAsia="Calibri" w:hAnsi="David" w:hint="cs"/>
                <w:color w:val="000000"/>
                <w:sz w:val="22"/>
                <w:szCs w:val="22"/>
              </w:rPr>
              <w:t xml:space="preserve"> 2:19 </w:t>
            </w:r>
            <w:r w:rsidRPr="00AA5065">
              <w:rPr>
                <w:rFonts w:ascii="David" w:eastAsia="Calibri" w:hAnsi="David" w:hint="cs"/>
                <w:color w:val="000000"/>
                <w:sz w:val="22"/>
                <w:szCs w:val="22"/>
                <w:rtl/>
              </w:rPr>
              <w:t>התקבלה התרעה על הפסקת חשמל בשוחת שוקת (קו אשל נבטים). סייר שהגיע למקום בשעה 3:45 דיווח על גניבת שנאי המזין את ארון החשמל.</w:t>
            </w:r>
          </w:p>
        </w:tc>
        <w:tc>
          <w:tcPr>
            <w:tcW w:w="0" w:type="dxa"/>
            <w:shd w:val="clear" w:color="auto" w:fill="DBE5F1"/>
            <w:hideMark/>
          </w:tcPr>
          <w:p w:rsidR="00AA5065" w:rsidRPr="00AA5065" w:rsidP="00AF3FA8">
            <w:pPr>
              <w:bidi w:val="0"/>
              <w:spacing w:line="269" w:lineRule="auto"/>
              <w:jc w:val="right"/>
              <w:rPr>
                <w:rFonts w:ascii="David" w:eastAsia="Calibri" w:hAnsi="David"/>
                <w:color w:val="000000"/>
                <w:sz w:val="22"/>
                <w:szCs w:val="22"/>
              </w:rPr>
            </w:pPr>
            <w:r w:rsidRPr="00AA5065">
              <w:rPr>
                <w:rFonts w:ascii="David" w:eastAsia="Calibri" w:hAnsi="David" w:hint="cs"/>
                <w:color w:val="000000"/>
                <w:sz w:val="22"/>
                <w:szCs w:val="22"/>
              </w:rPr>
              <w:t>22.10.21</w:t>
            </w:r>
          </w:p>
        </w:tc>
      </w:tr>
      <w:tr w:rsidTr="00AA5065">
        <w:tblPrEx>
          <w:tblW w:w="8212" w:type="dxa"/>
          <w:tblInd w:w="15" w:type="dxa"/>
          <w:tblLook w:val="04A0"/>
        </w:tblPrEx>
        <w:trPr>
          <w:trHeight w:hRule="exact" w:val="555"/>
        </w:trPr>
        <w:tc>
          <w:tcPr>
            <w:tcW w:w="0" w:type="dxa"/>
            <w:shd w:val="clear" w:color="auto" w:fill="DBE5F1"/>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שוחת תל שוקת</w:t>
            </w:r>
          </w:p>
        </w:tc>
        <w:tc>
          <w:tcPr>
            <w:tcW w:w="0" w:type="dxa"/>
            <w:hideMark/>
          </w:tcPr>
          <w:p w:rsidR="00AA5065" w:rsidRPr="00AA5065" w:rsidP="00860D89">
            <w:pPr>
              <w:spacing w:line="269" w:lineRule="auto"/>
              <w:rPr>
                <w:rFonts w:ascii="David" w:eastAsia="Calibri" w:hAnsi="David"/>
                <w:color w:val="000000"/>
                <w:sz w:val="22"/>
                <w:szCs w:val="22"/>
                <w:rtl/>
              </w:rPr>
            </w:pPr>
            <w:r w:rsidRPr="00AA5065">
              <w:rPr>
                <w:rFonts w:ascii="David" w:eastAsia="Calibri" w:hAnsi="David" w:hint="cs"/>
                <w:color w:val="000000"/>
                <w:sz w:val="22"/>
                <w:szCs w:val="22"/>
                <w:rtl/>
              </w:rPr>
              <w:t>פריצה</w:t>
            </w:r>
            <w:r w:rsidRPr="00AA5065">
              <w:rPr>
                <w:rFonts w:ascii="David" w:eastAsia="Calibri" w:hAnsi="David" w:hint="cs"/>
                <w:color w:val="000000"/>
                <w:sz w:val="22"/>
                <w:szCs w:val="22"/>
              </w:rPr>
              <w:t xml:space="preserve"> </w:t>
            </w:r>
            <w:r w:rsidRPr="00AA5065">
              <w:rPr>
                <w:rFonts w:ascii="David" w:eastAsia="Calibri" w:hAnsi="David" w:hint="cs"/>
                <w:color w:val="000000"/>
                <w:sz w:val="22"/>
                <w:szCs w:val="22"/>
                <w:rtl/>
              </w:rPr>
              <w:t>לשוחת תל שוקת, גרימת נזק לגדר.</w:t>
            </w:r>
          </w:p>
        </w:tc>
        <w:tc>
          <w:tcPr>
            <w:tcW w:w="0" w:type="dxa"/>
            <w:hideMark/>
          </w:tcPr>
          <w:p w:rsidR="00AA5065" w:rsidRPr="00AA5065" w:rsidP="00AF3FA8">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Pr>
              <w:t>29.4.22</w:t>
            </w:r>
          </w:p>
        </w:tc>
      </w:tr>
      <w:tr w:rsidTr="00AA5065">
        <w:tblPrEx>
          <w:tblW w:w="8212" w:type="dxa"/>
          <w:tblInd w:w="15" w:type="dxa"/>
          <w:tblLook w:val="04A0"/>
        </w:tblPrEx>
        <w:trPr>
          <w:trHeight w:hRule="exact" w:val="555"/>
        </w:trPr>
        <w:tc>
          <w:tcPr>
            <w:tcW w:w="0" w:type="dxa"/>
            <w:shd w:val="clear" w:color="auto" w:fill="DBE5F1"/>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שוחת תל שוקת</w:t>
            </w:r>
          </w:p>
        </w:tc>
        <w:tc>
          <w:tcPr>
            <w:tcW w:w="0" w:type="dxa"/>
            <w:shd w:val="clear" w:color="auto" w:fill="DBE5F1"/>
            <w:hideMark/>
          </w:tcPr>
          <w:p w:rsidR="00AA5065" w:rsidRPr="00AA5065" w:rsidP="00860D89">
            <w:pPr>
              <w:spacing w:line="269" w:lineRule="auto"/>
              <w:rPr>
                <w:rFonts w:ascii="David" w:eastAsia="Calibri" w:hAnsi="David"/>
                <w:color w:val="000000"/>
                <w:sz w:val="22"/>
                <w:szCs w:val="22"/>
                <w:rtl/>
              </w:rPr>
            </w:pPr>
            <w:r w:rsidRPr="00AA5065">
              <w:rPr>
                <w:rFonts w:ascii="David" w:eastAsia="Calibri" w:hAnsi="David" w:hint="cs"/>
                <w:color w:val="000000"/>
                <w:sz w:val="22"/>
                <w:szCs w:val="22"/>
                <w:rtl/>
              </w:rPr>
              <w:t>במהלך</w:t>
            </w:r>
            <w:r w:rsidRPr="00AA5065">
              <w:rPr>
                <w:rFonts w:ascii="David" w:eastAsia="Calibri" w:hAnsi="David" w:hint="cs"/>
                <w:color w:val="000000"/>
                <w:sz w:val="22"/>
                <w:szCs w:val="22"/>
              </w:rPr>
              <w:t xml:space="preserve"> </w:t>
            </w:r>
            <w:r w:rsidRPr="00AA5065">
              <w:rPr>
                <w:rFonts w:ascii="David" w:eastAsia="Calibri" w:hAnsi="David" w:hint="cs"/>
                <w:color w:val="000000"/>
                <w:sz w:val="22"/>
                <w:szCs w:val="22"/>
                <w:rtl/>
              </w:rPr>
              <w:t>סיור שגרתי התגלתה פריצה בגדר בשוחת שוקת.</w:t>
            </w:r>
          </w:p>
        </w:tc>
        <w:tc>
          <w:tcPr>
            <w:tcW w:w="0" w:type="dxa"/>
            <w:shd w:val="clear" w:color="auto" w:fill="DBE5F1"/>
            <w:hideMark/>
          </w:tcPr>
          <w:p w:rsidR="00AA5065" w:rsidRPr="00AA5065" w:rsidP="00AF3FA8">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Pr>
              <w:t>5.9.22</w:t>
            </w:r>
          </w:p>
        </w:tc>
      </w:tr>
      <w:tr w:rsidTr="00AA5065">
        <w:tblPrEx>
          <w:tblW w:w="8212" w:type="dxa"/>
          <w:tblInd w:w="15" w:type="dxa"/>
          <w:tblLook w:val="04A0"/>
        </w:tblPrEx>
        <w:trPr>
          <w:trHeight w:hRule="exact" w:val="555"/>
        </w:trPr>
        <w:tc>
          <w:tcPr>
            <w:tcW w:w="0" w:type="dxa"/>
            <w:shd w:val="clear" w:color="auto" w:fill="DBE5F1"/>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קו אשל פלוגות</w:t>
            </w:r>
          </w:p>
        </w:tc>
        <w:tc>
          <w:tcPr>
            <w:tcW w:w="0" w:type="dxa"/>
            <w:hideMark/>
          </w:tcPr>
          <w:p w:rsidR="00AA5065" w:rsidRPr="00AA5065" w:rsidP="00860D89">
            <w:pPr>
              <w:spacing w:line="269" w:lineRule="auto"/>
              <w:rPr>
                <w:rFonts w:ascii="David" w:eastAsia="Calibri" w:hAnsi="David"/>
                <w:color w:val="000000"/>
                <w:sz w:val="22"/>
                <w:szCs w:val="22"/>
                <w:rtl/>
              </w:rPr>
            </w:pPr>
            <w:r w:rsidRPr="00AA5065">
              <w:rPr>
                <w:rFonts w:ascii="David" w:eastAsia="Calibri" w:hAnsi="David" w:hint="cs"/>
                <w:color w:val="000000"/>
                <w:sz w:val="22"/>
                <w:szCs w:val="22"/>
                <w:rtl/>
              </w:rPr>
              <w:t>פגיעה</w:t>
            </w:r>
            <w:r w:rsidRPr="00AA5065">
              <w:rPr>
                <w:rFonts w:ascii="David" w:eastAsia="Calibri" w:hAnsi="David" w:hint="cs"/>
                <w:color w:val="000000"/>
                <w:sz w:val="22"/>
                <w:szCs w:val="22"/>
              </w:rPr>
              <w:t xml:space="preserve"> </w:t>
            </w:r>
            <w:r w:rsidRPr="00AA5065">
              <w:rPr>
                <w:rFonts w:ascii="David" w:eastAsia="Calibri" w:hAnsi="David" w:hint="cs"/>
                <w:color w:val="000000"/>
                <w:sz w:val="22"/>
                <w:szCs w:val="22"/>
                <w:rtl/>
              </w:rPr>
              <w:t>בסיב אופטי אשל פלוגות כ-4.2 ק״מ דרומית לשוחת פלוגות.</w:t>
            </w:r>
          </w:p>
        </w:tc>
        <w:tc>
          <w:tcPr>
            <w:tcW w:w="0" w:type="dxa"/>
            <w:hideMark/>
          </w:tcPr>
          <w:p w:rsidR="00AA5065" w:rsidRPr="00AA5065" w:rsidP="00AF3FA8">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Pr>
              <w:t>16.11.22</w:t>
            </w:r>
          </w:p>
        </w:tc>
      </w:tr>
      <w:tr w:rsidTr="00AA5065">
        <w:tblPrEx>
          <w:tblW w:w="8212" w:type="dxa"/>
          <w:tblInd w:w="15" w:type="dxa"/>
          <w:tblLook w:val="04A0"/>
        </w:tblPrEx>
        <w:trPr>
          <w:trHeight w:hRule="exact" w:val="929"/>
        </w:trPr>
        <w:tc>
          <w:tcPr>
            <w:tcW w:w="1559" w:type="dxa"/>
            <w:shd w:val="clear" w:color="auto" w:fill="DBE5F1"/>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שוחת תל שוקת</w:t>
            </w:r>
          </w:p>
        </w:tc>
        <w:tc>
          <w:tcPr>
            <w:tcW w:w="5669" w:type="dxa"/>
            <w:shd w:val="clear" w:color="auto" w:fill="DBE5F1"/>
            <w:hideMark/>
          </w:tcPr>
          <w:p w:rsidR="00AA5065" w:rsidRPr="00AA5065" w:rsidP="00860D89">
            <w:pPr>
              <w:spacing w:line="269" w:lineRule="auto"/>
              <w:rPr>
                <w:rFonts w:ascii="David" w:eastAsia="Calibri" w:hAnsi="David"/>
                <w:color w:val="000000"/>
                <w:sz w:val="22"/>
                <w:szCs w:val="22"/>
                <w:rtl/>
              </w:rPr>
            </w:pPr>
            <w:r w:rsidRPr="00AA5065">
              <w:rPr>
                <w:rFonts w:ascii="David" w:eastAsia="Calibri" w:hAnsi="David" w:hint="cs"/>
                <w:color w:val="000000"/>
                <w:sz w:val="22"/>
                <w:szCs w:val="22"/>
                <w:rtl/>
              </w:rPr>
              <w:t>פריצת</w:t>
            </w:r>
            <w:r w:rsidRPr="00AA5065">
              <w:rPr>
                <w:rFonts w:ascii="David" w:eastAsia="Calibri" w:hAnsi="David" w:hint="cs"/>
                <w:color w:val="000000"/>
                <w:sz w:val="22"/>
                <w:szCs w:val="22"/>
              </w:rPr>
              <w:t xml:space="preserve"> </w:t>
            </w:r>
            <w:r w:rsidRPr="00AA5065">
              <w:rPr>
                <w:rFonts w:ascii="David" w:eastAsia="Calibri" w:hAnsi="David" w:hint="cs"/>
                <w:color w:val="000000"/>
                <w:sz w:val="22"/>
                <w:szCs w:val="22"/>
                <w:rtl/>
              </w:rPr>
              <w:t>שער הכניסה של שוחת תל שוקת (חתכו את רשת הברזל שמותקנת על שער הכניסה). נגרם נזק</w:t>
            </w:r>
            <w:r w:rsidRPr="00AA5065">
              <w:rPr>
                <w:rFonts w:ascii="David" w:eastAsia="Calibri" w:hAnsi="David" w:hint="cs"/>
                <w:color w:val="000000"/>
                <w:sz w:val="22"/>
                <w:szCs w:val="22"/>
              </w:rPr>
              <w:t xml:space="preserve"> </w:t>
            </w:r>
            <w:r w:rsidRPr="00AA5065">
              <w:rPr>
                <w:rFonts w:ascii="David" w:eastAsia="Calibri" w:hAnsi="David" w:hint="cs"/>
                <w:color w:val="000000"/>
                <w:sz w:val="22"/>
                <w:szCs w:val="22"/>
                <w:rtl/>
              </w:rPr>
              <w:t>למערכת ההתרעה (הרמקולים של האזעקה ניזוקו ממכות).</w:t>
            </w:r>
          </w:p>
        </w:tc>
        <w:tc>
          <w:tcPr>
            <w:tcW w:w="984" w:type="dxa"/>
            <w:shd w:val="clear" w:color="auto" w:fill="DBE5F1"/>
            <w:hideMark/>
          </w:tcPr>
          <w:p w:rsidR="00AA5065" w:rsidRPr="00AA5065" w:rsidP="00AF3FA8">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Pr>
              <w:t>4.9.23</w:t>
            </w:r>
          </w:p>
        </w:tc>
      </w:tr>
      <w:tr w:rsidTr="00AA5065">
        <w:tblPrEx>
          <w:tblW w:w="8212" w:type="dxa"/>
          <w:tblInd w:w="15" w:type="dxa"/>
          <w:tblLook w:val="04A0"/>
        </w:tblPrEx>
        <w:trPr>
          <w:trHeight w:hRule="exact" w:val="1832"/>
        </w:trPr>
        <w:tc>
          <w:tcPr>
            <w:tcW w:w="1559" w:type="dxa"/>
            <w:shd w:val="clear" w:color="auto" w:fill="DBE5F1"/>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 xml:space="preserve">קו אשל נבטים </w:t>
            </w:r>
            <w:r w:rsidRPr="00AA5065">
              <w:rPr>
                <w:rFonts w:ascii="David" w:eastAsia="Calibri" w:hAnsi="David"/>
                <w:color w:val="000000"/>
                <w:sz w:val="22"/>
                <w:szCs w:val="22"/>
                <w:rtl/>
              </w:rPr>
              <w:br/>
            </w:r>
            <w:r w:rsidRPr="00AA5065">
              <w:rPr>
                <w:rFonts w:ascii="David" w:eastAsia="Calibri" w:hAnsi="David" w:hint="cs"/>
                <w:color w:val="000000"/>
                <w:sz w:val="22"/>
                <w:szCs w:val="22"/>
                <w:rtl/>
              </w:rPr>
              <w:t>כ-5 ק"מ מנבטים</w:t>
            </w:r>
          </w:p>
        </w:tc>
        <w:tc>
          <w:tcPr>
            <w:tcW w:w="5669" w:type="dxa"/>
            <w:hideMark/>
          </w:tcPr>
          <w:p w:rsidR="00AA5065" w:rsidRPr="00AA5065" w:rsidP="00860D89">
            <w:pPr>
              <w:spacing w:line="269" w:lineRule="auto"/>
              <w:rPr>
                <w:rFonts w:ascii="David" w:eastAsia="Calibri" w:hAnsi="David"/>
                <w:color w:val="000000"/>
                <w:sz w:val="22"/>
                <w:szCs w:val="22"/>
                <w:rtl/>
              </w:rPr>
            </w:pPr>
            <w:r w:rsidRPr="00AA5065">
              <w:rPr>
                <w:rFonts w:ascii="David" w:eastAsia="Calibri" w:hAnsi="David" w:hint="cs"/>
                <w:color w:val="000000"/>
                <w:sz w:val="22"/>
                <w:szCs w:val="22"/>
                <w:rtl/>
              </w:rPr>
              <w:t>בתאריך 28.7.23 בשעה 2:30 זוהתה ירידה רגעית של 1.5 אטמוספרות בקו אשל נבטים. לא היה חיווי של כניסה</w:t>
            </w:r>
            <w:r w:rsidRPr="00AA5065">
              <w:rPr>
                <w:rFonts w:ascii="David" w:eastAsia="Calibri" w:hAnsi="David" w:hint="cs"/>
                <w:color w:val="000000"/>
                <w:sz w:val="22"/>
                <w:szCs w:val="22"/>
              </w:rPr>
              <w:t xml:space="preserve"> </w:t>
            </w:r>
            <w:r w:rsidRPr="00AA5065">
              <w:rPr>
                <w:rFonts w:ascii="David" w:eastAsia="Calibri" w:hAnsi="David" w:hint="cs"/>
                <w:color w:val="000000"/>
                <w:sz w:val="22"/>
                <w:szCs w:val="22"/>
                <w:rtl/>
              </w:rPr>
              <w:t>לשוחות, והוחלט לשחרר לחץ בקו לכיוון אשל. בסיור רגלי מורחב של מחלקת הסיור</w:t>
            </w:r>
            <w:r w:rsidRPr="00AA5065">
              <w:rPr>
                <w:rFonts w:ascii="David" w:eastAsia="Calibri" w:hAnsi="David" w:hint="cs"/>
                <w:color w:val="000000"/>
                <w:sz w:val="22"/>
                <w:szCs w:val="22"/>
              </w:rPr>
              <w:t xml:space="preserve"> </w:t>
            </w:r>
            <w:r w:rsidRPr="00AA5065">
              <w:rPr>
                <w:rFonts w:ascii="David" w:eastAsia="Calibri" w:hAnsi="David" w:hint="cs"/>
                <w:color w:val="000000"/>
                <w:sz w:val="22"/>
                <w:szCs w:val="22"/>
                <w:rtl/>
              </w:rPr>
              <w:t>אותרו צנרות השקיה שמבצבצים מהקרקע. בעקבות הגילוי הוקפץ כלי חפירה ואותר החיבור</w:t>
            </w:r>
            <w:r w:rsidRPr="00AA5065">
              <w:rPr>
                <w:rFonts w:ascii="David" w:eastAsia="Calibri" w:hAnsi="David" w:hint="cs"/>
                <w:color w:val="000000"/>
                <w:sz w:val="22"/>
                <w:szCs w:val="22"/>
              </w:rPr>
              <w:t xml:space="preserve"> </w:t>
            </w:r>
            <w:r w:rsidRPr="00AA5065">
              <w:rPr>
                <w:rFonts w:ascii="David" w:eastAsia="Calibri" w:hAnsi="David" w:hint="cs"/>
                <w:color w:val="000000"/>
                <w:sz w:val="22"/>
                <w:szCs w:val="22"/>
                <w:rtl/>
              </w:rPr>
              <w:t xml:space="preserve">הפיראטי בקו. החיבור תוקן על ידי הקבלן. </w:t>
            </w:r>
          </w:p>
        </w:tc>
        <w:tc>
          <w:tcPr>
            <w:tcW w:w="984" w:type="dxa"/>
            <w:hideMark/>
          </w:tcPr>
          <w:p w:rsidR="00AA5065" w:rsidRPr="00AA5065" w:rsidP="00AF3FA8">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Pr>
              <w:t>5.9.23</w:t>
            </w:r>
          </w:p>
        </w:tc>
      </w:tr>
      <w:tr w:rsidTr="00AA5065">
        <w:tblPrEx>
          <w:tblW w:w="8212" w:type="dxa"/>
          <w:tblInd w:w="15" w:type="dxa"/>
          <w:tblLook w:val="04A0"/>
        </w:tblPrEx>
        <w:trPr>
          <w:trHeight w:hRule="exact" w:val="991"/>
        </w:trPr>
        <w:tc>
          <w:tcPr>
            <w:tcW w:w="0" w:type="dxa"/>
            <w:shd w:val="clear" w:color="auto" w:fill="DBE5F1"/>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צנרת קמ״ד, שוחת שוקת</w:t>
            </w:r>
          </w:p>
        </w:tc>
        <w:tc>
          <w:tcPr>
            <w:tcW w:w="0" w:type="dxa"/>
            <w:shd w:val="clear" w:color="auto" w:fill="DBE5F1"/>
            <w:hideMark/>
          </w:tcPr>
          <w:p w:rsidR="00AA5065" w:rsidRPr="00AA5065" w:rsidP="00860D89">
            <w:pPr>
              <w:spacing w:line="269" w:lineRule="auto"/>
              <w:rPr>
                <w:rFonts w:ascii="David" w:eastAsia="Calibri" w:hAnsi="David"/>
                <w:color w:val="000000"/>
                <w:sz w:val="22"/>
                <w:szCs w:val="22"/>
                <w:rtl/>
              </w:rPr>
            </w:pPr>
            <w:r w:rsidRPr="00AA5065">
              <w:rPr>
                <w:rFonts w:ascii="David" w:eastAsia="Calibri" w:hAnsi="David" w:hint="cs"/>
                <w:color w:val="000000"/>
                <w:sz w:val="22"/>
                <w:szCs w:val="22"/>
                <w:rtl/>
              </w:rPr>
              <w:t>בתאריך</w:t>
            </w:r>
            <w:r w:rsidRPr="00AA5065">
              <w:rPr>
                <w:rFonts w:ascii="David" w:eastAsia="Calibri" w:hAnsi="David" w:hint="cs"/>
                <w:color w:val="000000"/>
                <w:sz w:val="22"/>
                <w:szCs w:val="22"/>
              </w:rPr>
              <w:t xml:space="preserve"> 2.</w:t>
            </w:r>
            <w:r w:rsidRPr="00AA5065">
              <w:rPr>
                <w:rFonts w:ascii="David" w:eastAsia="Calibri" w:hAnsi="David" w:hint="cs"/>
                <w:color w:val="000000"/>
                <w:sz w:val="22"/>
                <w:szCs w:val="22"/>
              </w:rPr>
              <w:t xml:space="preserve"> </w:t>
            </w:r>
            <w:r w:rsidRPr="00AA5065">
              <w:rPr>
                <w:rFonts w:ascii="David" w:eastAsia="Calibri" w:hAnsi="David" w:hint="cs"/>
                <w:color w:val="000000"/>
                <w:sz w:val="22"/>
                <w:szCs w:val="22"/>
              </w:rPr>
              <w:t xml:space="preserve">2.24 </w:t>
            </w:r>
            <w:r w:rsidRPr="00AA5065">
              <w:rPr>
                <w:rFonts w:ascii="David" w:eastAsia="Calibri" w:hAnsi="David" w:hint="cs"/>
                <w:color w:val="000000"/>
                <w:sz w:val="22"/>
                <w:szCs w:val="22"/>
                <w:rtl/>
              </w:rPr>
              <w:t>בשעה 22:21 נצפתה ירידת לחץ בקו אשל נבטים. בסיור שבוצע למוחרת התגלתה</w:t>
            </w:r>
            <w:r w:rsidRPr="00AA5065">
              <w:rPr>
                <w:rFonts w:ascii="David" w:eastAsia="Calibri" w:hAnsi="David" w:hint="cs"/>
                <w:color w:val="000000"/>
                <w:sz w:val="22"/>
                <w:szCs w:val="22"/>
              </w:rPr>
              <w:t xml:space="preserve"> </w:t>
            </w:r>
            <w:r w:rsidRPr="00AA5065">
              <w:rPr>
                <w:rFonts w:ascii="David" w:eastAsia="Calibri" w:hAnsi="David" w:hint="cs"/>
                <w:color w:val="000000"/>
                <w:sz w:val="22"/>
                <w:szCs w:val="22"/>
                <w:rtl/>
              </w:rPr>
              <w:t>נקודת התחברות לקו. הוזמן קבלן לתיקון הקו.</w:t>
            </w:r>
          </w:p>
        </w:tc>
        <w:tc>
          <w:tcPr>
            <w:tcW w:w="0" w:type="dxa"/>
            <w:shd w:val="clear" w:color="auto" w:fill="DBE5F1"/>
            <w:hideMark/>
          </w:tcPr>
          <w:p w:rsidR="00AA5065" w:rsidRPr="00AA5065" w:rsidP="00AF3FA8">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Pr>
              <w:t>2.2.24</w:t>
            </w:r>
          </w:p>
        </w:tc>
      </w:tr>
      <w:tr w:rsidTr="00AA5065">
        <w:tblPrEx>
          <w:tblW w:w="8212" w:type="dxa"/>
          <w:tblInd w:w="15" w:type="dxa"/>
          <w:tblLook w:val="04A0"/>
        </w:tblPrEx>
        <w:trPr>
          <w:trHeight w:hRule="exact" w:val="999"/>
        </w:trPr>
        <w:tc>
          <w:tcPr>
            <w:tcW w:w="0" w:type="dxa"/>
            <w:shd w:val="clear" w:color="auto" w:fill="DBE5F1"/>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tl/>
              </w:rPr>
              <w:t xml:space="preserve">צנרת קמ״ד, </w:t>
            </w:r>
            <w:r w:rsidRPr="00AA5065">
              <w:rPr>
                <w:rFonts w:ascii="David" w:eastAsia="Calibri" w:hAnsi="David"/>
                <w:color w:val="000000"/>
                <w:sz w:val="22"/>
                <w:szCs w:val="22"/>
                <w:rtl/>
              </w:rPr>
              <w:br/>
            </w:r>
            <w:r w:rsidRPr="00AA5065">
              <w:rPr>
                <w:rFonts w:ascii="David" w:eastAsia="Calibri" w:hAnsi="David" w:hint="cs"/>
                <w:color w:val="000000"/>
                <w:sz w:val="22"/>
                <w:szCs w:val="22"/>
                <w:rtl/>
              </w:rPr>
              <w:t>קו אשל נבטים</w:t>
            </w:r>
          </w:p>
        </w:tc>
        <w:tc>
          <w:tcPr>
            <w:tcW w:w="0" w:type="dxa"/>
            <w:hideMark/>
          </w:tcPr>
          <w:p w:rsidR="00AA5065" w:rsidRPr="00AA5065" w:rsidP="00860D89">
            <w:pPr>
              <w:spacing w:line="269" w:lineRule="auto"/>
              <w:rPr>
                <w:rFonts w:ascii="David" w:eastAsia="Calibri" w:hAnsi="David"/>
                <w:color w:val="000000"/>
                <w:sz w:val="22"/>
                <w:szCs w:val="22"/>
              </w:rPr>
            </w:pPr>
            <w:r w:rsidRPr="00AA5065">
              <w:rPr>
                <w:rFonts w:ascii="David" w:eastAsia="Calibri" w:hAnsi="David" w:hint="cs"/>
                <w:color w:val="000000"/>
                <w:sz w:val="22"/>
                <w:szCs w:val="22"/>
                <w:rtl/>
              </w:rPr>
              <w:t>דיווח</w:t>
            </w:r>
            <w:r w:rsidRPr="00AA5065">
              <w:rPr>
                <w:rFonts w:ascii="David" w:eastAsia="Calibri" w:hAnsi="David" w:hint="cs"/>
                <w:color w:val="000000"/>
                <w:sz w:val="22"/>
                <w:szCs w:val="22"/>
              </w:rPr>
              <w:t xml:space="preserve"> </w:t>
            </w:r>
            <w:r w:rsidRPr="00AA5065">
              <w:rPr>
                <w:rFonts w:ascii="David" w:eastAsia="Calibri" w:hAnsi="David" w:hint="cs"/>
                <w:color w:val="000000"/>
                <w:sz w:val="22"/>
                <w:szCs w:val="22"/>
                <w:rtl/>
              </w:rPr>
              <w:t>של מפעיל על ירידת לחץ בקו אשל נבטים הביא לסיור ולגילוי שתי נקודות חפירה על הקו.</w:t>
            </w:r>
            <w:r w:rsidRPr="00AA5065">
              <w:rPr>
                <w:rFonts w:ascii="David" w:eastAsia="Calibri" w:hAnsi="David" w:hint="cs"/>
                <w:color w:val="000000"/>
                <w:sz w:val="22"/>
                <w:szCs w:val="22"/>
              </w:rPr>
              <w:t xml:space="preserve"> </w:t>
            </w:r>
            <w:r w:rsidRPr="00AA5065">
              <w:rPr>
                <w:rFonts w:ascii="David" w:eastAsia="Calibri" w:hAnsi="David" w:hint="cs"/>
                <w:color w:val="000000"/>
                <w:sz w:val="22"/>
                <w:szCs w:val="22"/>
                <w:rtl/>
              </w:rPr>
              <w:t>באחת החפירות נמצאה התחברות לקו וניסיון לגנבת דלק. הוזמן קבלן שטיפל בשתי</w:t>
            </w:r>
            <w:r w:rsidRPr="00AA5065">
              <w:rPr>
                <w:rFonts w:ascii="David" w:eastAsia="Calibri" w:hAnsi="David" w:hint="cs"/>
                <w:color w:val="000000"/>
                <w:sz w:val="22"/>
                <w:szCs w:val="22"/>
              </w:rPr>
              <w:t xml:space="preserve"> </w:t>
            </w:r>
            <w:r w:rsidRPr="00AA5065">
              <w:rPr>
                <w:rFonts w:ascii="David" w:eastAsia="Calibri" w:hAnsi="David" w:hint="cs"/>
                <w:color w:val="000000"/>
                <w:sz w:val="22"/>
                <w:szCs w:val="22"/>
                <w:rtl/>
              </w:rPr>
              <w:t>הנקודות ותיקן את הקו</w:t>
            </w:r>
            <w:r w:rsidRPr="00AA5065">
              <w:rPr>
                <w:rFonts w:ascii="David" w:eastAsia="Calibri" w:hAnsi="David" w:hint="cs"/>
                <w:color w:val="000000"/>
                <w:sz w:val="22"/>
                <w:szCs w:val="22"/>
              </w:rPr>
              <w:t>.</w:t>
            </w:r>
          </w:p>
        </w:tc>
        <w:tc>
          <w:tcPr>
            <w:tcW w:w="0" w:type="dxa"/>
            <w:hideMark/>
          </w:tcPr>
          <w:p w:rsidR="00AA5065" w:rsidRPr="00AA5065" w:rsidP="00AF3FA8">
            <w:pPr>
              <w:bidi w:val="0"/>
              <w:spacing w:line="269" w:lineRule="auto"/>
              <w:jc w:val="right"/>
              <w:rPr>
                <w:rFonts w:ascii="David" w:eastAsia="Calibri" w:hAnsi="David"/>
                <w:color w:val="000000"/>
                <w:sz w:val="22"/>
                <w:szCs w:val="22"/>
                <w:rtl/>
              </w:rPr>
            </w:pPr>
            <w:r w:rsidRPr="00AA5065">
              <w:rPr>
                <w:rFonts w:ascii="David" w:eastAsia="Calibri" w:hAnsi="David" w:hint="cs"/>
                <w:color w:val="000000"/>
                <w:sz w:val="22"/>
                <w:szCs w:val="22"/>
              </w:rPr>
              <w:t>30.5.24</w:t>
            </w:r>
          </w:p>
        </w:tc>
      </w:tr>
    </w:tbl>
    <w:p w:rsidR="00AA5065" w:rsidRPr="00AA5065" w:rsidP="00860D89">
      <w:pPr>
        <w:spacing w:line="269" w:lineRule="auto"/>
        <w:jc w:val="left"/>
        <w:rPr>
          <w:rFonts w:eastAsia="Calibri"/>
          <w:szCs w:val="20"/>
          <w:rtl/>
        </w:rPr>
      </w:pPr>
      <w:r w:rsidRPr="00AA5065">
        <w:rPr>
          <w:rFonts w:eastAsia="Calibri" w:hint="eastAsia"/>
          <w:szCs w:val="20"/>
          <w:rtl/>
        </w:rPr>
        <w:t>על</w:t>
      </w:r>
      <w:r w:rsidRPr="00AA5065">
        <w:rPr>
          <w:rFonts w:eastAsia="Calibri"/>
          <w:szCs w:val="20"/>
          <w:rtl/>
        </w:rPr>
        <w:t xml:space="preserve"> </w:t>
      </w:r>
      <w:r w:rsidRPr="00AA5065">
        <w:rPr>
          <w:rFonts w:eastAsia="Calibri" w:hint="eastAsia"/>
          <w:szCs w:val="20"/>
          <w:rtl/>
        </w:rPr>
        <w:t>פי</w:t>
      </w:r>
      <w:r w:rsidRPr="00AA5065">
        <w:rPr>
          <w:rFonts w:eastAsia="Calibri"/>
          <w:szCs w:val="20"/>
          <w:rtl/>
        </w:rPr>
        <w:t xml:space="preserve"> נתוני </w:t>
      </w:r>
      <w:r w:rsidRPr="00AA5065">
        <w:rPr>
          <w:rFonts w:eastAsia="Calibri" w:hint="eastAsia"/>
          <w:szCs w:val="20"/>
          <w:rtl/>
        </w:rPr>
        <w:t>חברת</w:t>
      </w:r>
      <w:r w:rsidRPr="00AA5065">
        <w:rPr>
          <w:rFonts w:eastAsia="Calibri"/>
          <w:szCs w:val="20"/>
          <w:rtl/>
        </w:rPr>
        <w:t xml:space="preserve"> </w:t>
      </w:r>
      <w:r w:rsidRPr="00AA5065">
        <w:rPr>
          <w:rFonts w:eastAsia="Calibri" w:hint="eastAsia"/>
          <w:szCs w:val="20"/>
          <w:rtl/>
        </w:rPr>
        <w:t>תש</w:t>
      </w:r>
      <w:r w:rsidRPr="00AA5065">
        <w:rPr>
          <w:rFonts w:eastAsia="Calibri"/>
          <w:szCs w:val="20"/>
          <w:rtl/>
        </w:rPr>
        <w:t>"</w:t>
      </w:r>
      <w:r w:rsidRPr="00AA5065">
        <w:rPr>
          <w:rFonts w:eastAsia="Calibri" w:hint="eastAsia"/>
          <w:szCs w:val="20"/>
          <w:rtl/>
        </w:rPr>
        <w:t>א</w:t>
      </w:r>
      <w:r w:rsidRPr="00AA5065">
        <w:rPr>
          <w:rFonts w:eastAsia="Calibri"/>
          <w:szCs w:val="20"/>
          <w:rtl/>
        </w:rPr>
        <w:t xml:space="preserve">, </w:t>
      </w:r>
      <w:r w:rsidRPr="00AA5065">
        <w:rPr>
          <w:rFonts w:eastAsia="Calibri" w:hint="eastAsia"/>
          <w:szCs w:val="20"/>
          <w:rtl/>
        </w:rPr>
        <w:t>בעיבוד</w:t>
      </w:r>
      <w:r w:rsidRPr="00AA5065">
        <w:rPr>
          <w:rFonts w:eastAsia="Calibri"/>
          <w:szCs w:val="20"/>
          <w:rtl/>
        </w:rPr>
        <w:t xml:space="preserve"> </w:t>
      </w:r>
      <w:r w:rsidRPr="00AA5065">
        <w:rPr>
          <w:rFonts w:eastAsia="Calibri" w:hint="eastAsia"/>
          <w:szCs w:val="20"/>
          <w:rtl/>
        </w:rPr>
        <w:t>משרד</w:t>
      </w:r>
      <w:r w:rsidRPr="00AA5065">
        <w:rPr>
          <w:rFonts w:eastAsia="Calibri"/>
          <w:szCs w:val="20"/>
          <w:rtl/>
        </w:rPr>
        <w:t xml:space="preserve"> </w:t>
      </w:r>
      <w:r w:rsidRPr="00AA5065">
        <w:rPr>
          <w:rFonts w:eastAsia="Calibri" w:hint="eastAsia"/>
          <w:szCs w:val="20"/>
          <w:rtl/>
        </w:rPr>
        <w:t>מבקר</w:t>
      </w:r>
      <w:r w:rsidRPr="00AA5065">
        <w:rPr>
          <w:rFonts w:eastAsia="Calibri"/>
          <w:szCs w:val="20"/>
          <w:rtl/>
        </w:rPr>
        <w:t xml:space="preserve"> </w:t>
      </w:r>
      <w:r w:rsidRPr="00AA5065">
        <w:rPr>
          <w:rFonts w:eastAsia="Calibri" w:hint="eastAsia"/>
          <w:szCs w:val="20"/>
          <w:rtl/>
        </w:rPr>
        <w:t>המדינה</w:t>
      </w:r>
      <w:r w:rsidRPr="00AA5065">
        <w:rPr>
          <w:rFonts w:eastAsia="Calibri"/>
          <w:szCs w:val="20"/>
          <w:rtl/>
        </w:rPr>
        <w:t>.</w:t>
      </w:r>
    </w:p>
    <w:p w:rsidR="00AA5065" w:rsidRPr="00AA5065" w:rsidP="00860D89">
      <w:pPr>
        <w:spacing w:line="269" w:lineRule="auto"/>
        <w:rPr>
          <w:rFonts w:eastAsia="Calibri"/>
          <w:b/>
          <w:bCs/>
          <w:rtl/>
        </w:rPr>
      </w:pPr>
      <w:r w:rsidRPr="00AA5065">
        <w:rPr>
          <w:rFonts w:eastAsia="Calibri" w:hint="cs"/>
          <w:b/>
          <w:bCs/>
          <w:rtl/>
        </w:rPr>
        <w:t>מהלוח עולה כי נמשכת התופעה של ניסיונות גניבת הדלק שעימם מתמודדת תש"א. בשנים 2017 עד 2019 אירעו שלושה אירועי גניבת דלק, ואילו בשנים 2019 עד 2024 היו שלושה אירועי גניבת דלק וגם שישה אירועי חבלה נוספים בתשתיות החברה.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לשם</w:t>
      </w:r>
      <w:r w:rsidRPr="00AA5065">
        <w:rPr>
          <w:rFonts w:eastAsia="Calibri"/>
          <w:rtl/>
        </w:rPr>
        <w:t xml:space="preserve"> </w:t>
      </w:r>
      <w:r w:rsidRPr="00AA5065">
        <w:rPr>
          <w:rFonts w:eastAsia="Calibri" w:hint="eastAsia"/>
          <w:rtl/>
        </w:rPr>
        <w:t>המחשה</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המצב</w:t>
      </w:r>
      <w:r w:rsidRPr="00AA5065">
        <w:rPr>
          <w:rFonts w:eastAsia="Calibri"/>
          <w:rtl/>
        </w:rPr>
        <w:t xml:space="preserve"> </w:t>
      </w:r>
      <w:r w:rsidRPr="00AA5065">
        <w:rPr>
          <w:rFonts w:eastAsia="Calibri" w:hint="eastAsia"/>
          <w:rtl/>
        </w:rPr>
        <w:t>בשטח</w:t>
      </w:r>
      <w:r w:rsidRPr="00AA5065">
        <w:rPr>
          <w:rFonts w:eastAsia="Calibri"/>
          <w:rtl/>
        </w:rPr>
        <w:t xml:space="preserve"> </w:t>
      </w:r>
      <w:r w:rsidRPr="00AA5065">
        <w:rPr>
          <w:rFonts w:eastAsia="Calibri" w:hint="eastAsia"/>
          <w:rtl/>
        </w:rPr>
        <w:t>מובאת</w:t>
      </w:r>
      <w:r w:rsidRPr="00AA5065">
        <w:rPr>
          <w:rFonts w:eastAsia="Calibri"/>
          <w:rtl/>
        </w:rPr>
        <w:t xml:space="preserve"> </w:t>
      </w:r>
      <w:r w:rsidRPr="00AA5065">
        <w:rPr>
          <w:rFonts w:eastAsia="Calibri" w:hint="eastAsia"/>
          <w:rtl/>
        </w:rPr>
        <w:t>להלן</w:t>
      </w:r>
      <w:r w:rsidRPr="00AA5065">
        <w:rPr>
          <w:rFonts w:eastAsia="Calibri"/>
          <w:rtl/>
        </w:rPr>
        <w:t xml:space="preserve"> </w:t>
      </w:r>
      <w:r w:rsidRPr="00AA5065">
        <w:rPr>
          <w:rFonts w:eastAsia="Calibri" w:hint="eastAsia"/>
          <w:rtl/>
        </w:rPr>
        <w:t>תמונה</w:t>
      </w:r>
      <w:r w:rsidRPr="00AA5065">
        <w:rPr>
          <w:rFonts w:eastAsia="Calibri"/>
          <w:rtl/>
        </w:rPr>
        <w:t xml:space="preserve"> </w:t>
      </w:r>
      <w:r w:rsidRPr="00AA5065">
        <w:rPr>
          <w:rFonts w:eastAsia="Calibri" w:hint="cs"/>
          <w:rtl/>
        </w:rPr>
        <w:t>14 ה</w:t>
      </w:r>
      <w:r w:rsidRPr="00AA5065">
        <w:rPr>
          <w:rFonts w:eastAsia="Calibri" w:hint="eastAsia"/>
          <w:rtl/>
        </w:rPr>
        <w:t>מ</w:t>
      </w:r>
      <w:r w:rsidRPr="00AA5065">
        <w:rPr>
          <w:rFonts w:eastAsia="Calibri" w:hint="cs"/>
          <w:rtl/>
        </w:rPr>
        <w:t>ציגה</w:t>
      </w:r>
      <w:r w:rsidRPr="00AA5065">
        <w:rPr>
          <w:rFonts w:eastAsia="Calibri"/>
          <w:rtl/>
        </w:rPr>
        <w:t xml:space="preserve"> </w:t>
      </w:r>
      <w:r w:rsidRPr="00AA5065">
        <w:rPr>
          <w:rFonts w:eastAsia="Calibri" w:hint="eastAsia"/>
          <w:rtl/>
        </w:rPr>
        <w:t>אירוע</w:t>
      </w:r>
      <w:r w:rsidRPr="00AA5065">
        <w:rPr>
          <w:rFonts w:eastAsia="Calibri"/>
          <w:rtl/>
        </w:rPr>
        <w:t xml:space="preserve"> </w:t>
      </w:r>
      <w:r w:rsidRPr="00AA5065">
        <w:rPr>
          <w:rFonts w:eastAsia="Calibri" w:hint="eastAsia"/>
          <w:rtl/>
        </w:rPr>
        <w:t>גניבת</w:t>
      </w:r>
      <w:r w:rsidRPr="00AA5065">
        <w:rPr>
          <w:rFonts w:eastAsia="Calibri"/>
          <w:rtl/>
        </w:rPr>
        <w:t xml:space="preserve"> </w:t>
      </w:r>
      <w:r w:rsidRPr="00AA5065">
        <w:rPr>
          <w:rFonts w:eastAsia="Calibri" w:hint="eastAsia"/>
          <w:rtl/>
        </w:rPr>
        <w:t>דלק</w:t>
      </w:r>
      <w:r w:rsidRPr="00AA5065">
        <w:rPr>
          <w:rFonts w:eastAsia="Calibri"/>
          <w:rtl/>
        </w:rPr>
        <w:t xml:space="preserve"> </w:t>
      </w:r>
      <w:r w:rsidRPr="00AA5065">
        <w:rPr>
          <w:rFonts w:eastAsia="Calibri" w:hint="eastAsia"/>
          <w:rtl/>
        </w:rPr>
        <w:t>שהתבצע</w:t>
      </w:r>
      <w:r w:rsidRPr="00AA5065">
        <w:rPr>
          <w:rFonts w:eastAsia="Calibri"/>
          <w:rtl/>
        </w:rPr>
        <w:t xml:space="preserve"> </w:t>
      </w:r>
      <w:r w:rsidRPr="00AA5065">
        <w:rPr>
          <w:rFonts w:eastAsia="Calibri" w:hint="eastAsia"/>
          <w:rtl/>
        </w:rPr>
        <w:t>בקו</w:t>
      </w:r>
      <w:r w:rsidRPr="00AA5065">
        <w:rPr>
          <w:rFonts w:eastAsia="Calibri"/>
          <w:rtl/>
        </w:rPr>
        <w:t xml:space="preserve"> </w:t>
      </w:r>
      <w:r w:rsidRPr="00AA5065">
        <w:rPr>
          <w:rFonts w:eastAsia="Calibri" w:hint="eastAsia"/>
          <w:rtl/>
        </w:rPr>
        <w:t>נבטים</w:t>
      </w:r>
      <w:r w:rsidRPr="00AA5065">
        <w:rPr>
          <w:rFonts w:eastAsia="Calibri"/>
          <w:rtl/>
        </w:rPr>
        <w:t xml:space="preserve"> </w:t>
      </w:r>
      <w:r w:rsidRPr="00AA5065">
        <w:rPr>
          <w:rFonts w:eastAsia="Calibri" w:hint="eastAsia"/>
          <w:rtl/>
        </w:rPr>
        <w:t>דרומית</w:t>
      </w:r>
      <w:r w:rsidRPr="00AA5065">
        <w:rPr>
          <w:rFonts w:eastAsia="Calibri"/>
          <w:rtl/>
        </w:rPr>
        <w:t xml:space="preserve"> </w:t>
      </w:r>
      <w:r w:rsidRPr="00AA5065">
        <w:rPr>
          <w:rFonts w:eastAsia="Calibri" w:hint="eastAsia"/>
          <w:rtl/>
        </w:rPr>
        <w:t>לכביש</w:t>
      </w:r>
      <w:r w:rsidRPr="00AA5065">
        <w:rPr>
          <w:rFonts w:eastAsia="Calibri"/>
          <w:rtl/>
        </w:rPr>
        <w:t xml:space="preserve"> 31 </w:t>
      </w:r>
      <w:r w:rsidRPr="00AA5065">
        <w:rPr>
          <w:rFonts w:eastAsia="Calibri" w:hint="eastAsia"/>
          <w:rtl/>
        </w:rPr>
        <w:t>במאי</w:t>
      </w:r>
      <w:r w:rsidRPr="00AA5065">
        <w:rPr>
          <w:rFonts w:eastAsia="Calibri"/>
          <w:rtl/>
        </w:rPr>
        <w:t xml:space="preserve"> 2024</w:t>
      </w:r>
      <w:r w:rsidRPr="00AA5065">
        <w:rPr>
          <w:rFonts w:eastAsia="Calibri" w:hint="cs"/>
          <w:rtl/>
        </w:rPr>
        <w:t>.</w:t>
      </w:r>
    </w:p>
    <w:p w:rsidR="00AA5065" w:rsidRPr="00AA5065" w:rsidP="00860D89">
      <w:pPr>
        <w:spacing w:line="269" w:lineRule="auto"/>
        <w:ind w:left="-567"/>
        <w:rPr>
          <w:rFonts w:eastAsia="Calibri"/>
          <w:szCs w:val="20"/>
          <w:rtl/>
        </w:rPr>
      </w:pPr>
    </w:p>
    <w:p w:rsidR="00AA5065" w:rsidRPr="00AA5065" w:rsidP="00734ECE">
      <w:pPr>
        <w:spacing w:after="120" w:line="269" w:lineRule="auto"/>
        <w:jc w:val="center"/>
        <w:rPr>
          <w:rFonts w:eastAsia="Calibri"/>
          <w:b/>
          <w:bCs/>
          <w:rtl/>
        </w:rPr>
      </w:pPr>
      <w:r w:rsidRPr="00AA5065">
        <w:rPr>
          <w:rFonts w:eastAsia="Calibri" w:hint="cs"/>
          <w:rtl/>
        </w:rPr>
        <w:t xml:space="preserve">תמונה 14: </w:t>
      </w:r>
      <w:r w:rsidRPr="00AA5065">
        <w:rPr>
          <w:rFonts w:eastAsia="Calibri" w:hint="cs"/>
          <w:b/>
          <w:bCs/>
          <w:rtl/>
        </w:rPr>
        <w:t>אירוע גניבת דלק בקו נבטים, דרומית לכביש 31, מאי 2024</w:t>
      </w:r>
    </w:p>
    <w:p w:rsidR="00AA5065" w:rsidRPr="00AA5065" w:rsidP="00860D89">
      <w:pPr>
        <w:spacing w:line="269" w:lineRule="auto"/>
        <w:jc w:val="center"/>
        <w:rPr>
          <w:rFonts w:eastAsia="Calibri"/>
          <w:b/>
          <w:bCs/>
          <w:rtl/>
        </w:rPr>
      </w:pPr>
      <w:r w:rsidRPr="00AA5065">
        <w:rPr>
          <w:rFonts w:eastAsia="Calibri"/>
          <w:b/>
          <w:bCs/>
          <w:noProof/>
          <w:rtl/>
        </w:rPr>
        <w:drawing>
          <wp:inline distT="0" distB="0" distL="0" distR="0">
            <wp:extent cx="2967265" cy="5276850"/>
            <wp:effectExtent l="0" t="0" r="5080" b="0"/>
            <wp:docPr id="9" name="תמונה 9" descr="בתמונה חפירה בקרקע וצינור דלק שניזו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pic:cNvPicPr>
                      <a:picLocks noChangeAspect="1" noChangeArrowheads="1"/>
                    </pic:cNvPicPr>
                  </pic:nvPicPr>
                  <pic:blipFill>
                    <a:blip xmlns:r="http://schemas.openxmlformats.org/officeDocument/2006/relationships" r:embed="rId3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76974" cy="5294116"/>
                    </a:xfrm>
                    <a:prstGeom prst="rect">
                      <a:avLst/>
                    </a:prstGeom>
                    <a:noFill/>
                    <a:ln>
                      <a:noFill/>
                    </a:ln>
                  </pic:spPr>
                </pic:pic>
              </a:graphicData>
            </a:graphic>
          </wp:inline>
        </w:drawing>
      </w:r>
    </w:p>
    <w:p w:rsidR="00AA5065" w:rsidRPr="00AA5065" w:rsidP="00734ECE">
      <w:pPr>
        <w:spacing w:before="120" w:line="269" w:lineRule="auto"/>
        <w:rPr>
          <w:rFonts w:eastAsia="Calibri"/>
          <w:sz w:val="16"/>
          <w:szCs w:val="20"/>
          <w:rtl/>
        </w:rPr>
      </w:pPr>
      <w:r w:rsidRPr="00AA5065">
        <w:rPr>
          <w:rFonts w:eastAsia="Calibri" w:hint="eastAsia"/>
          <w:sz w:val="16"/>
          <w:szCs w:val="20"/>
          <w:rtl/>
        </w:rPr>
        <w:t>צולם</w:t>
      </w:r>
      <w:r w:rsidRPr="00AA5065">
        <w:rPr>
          <w:rFonts w:eastAsia="Calibri"/>
          <w:sz w:val="16"/>
          <w:szCs w:val="20"/>
          <w:rtl/>
        </w:rPr>
        <w:t xml:space="preserve"> </w:t>
      </w:r>
      <w:r w:rsidRPr="00AA5065">
        <w:rPr>
          <w:rFonts w:eastAsia="Calibri" w:hint="eastAsia"/>
          <w:sz w:val="16"/>
          <w:szCs w:val="20"/>
          <w:rtl/>
        </w:rPr>
        <w:t>על</w:t>
      </w:r>
      <w:r w:rsidRPr="00AA5065">
        <w:rPr>
          <w:rFonts w:eastAsia="Calibri"/>
          <w:sz w:val="16"/>
          <w:szCs w:val="20"/>
          <w:rtl/>
        </w:rPr>
        <w:t xml:space="preserve"> </w:t>
      </w:r>
      <w:r w:rsidRPr="00AA5065">
        <w:rPr>
          <w:rFonts w:eastAsia="Calibri" w:hint="eastAsia"/>
          <w:sz w:val="16"/>
          <w:szCs w:val="20"/>
          <w:rtl/>
        </w:rPr>
        <w:t>ידי</w:t>
      </w:r>
      <w:r w:rsidRPr="00AA5065">
        <w:rPr>
          <w:rFonts w:eastAsia="Calibri"/>
          <w:sz w:val="16"/>
          <w:szCs w:val="20"/>
          <w:rtl/>
        </w:rPr>
        <w:t xml:space="preserve"> </w:t>
      </w:r>
      <w:r w:rsidRPr="00AA5065">
        <w:rPr>
          <w:rFonts w:eastAsia="Calibri" w:hint="eastAsia"/>
          <w:sz w:val="16"/>
          <w:szCs w:val="20"/>
          <w:rtl/>
        </w:rPr>
        <w:t>נציגי</w:t>
      </w:r>
      <w:r w:rsidRPr="00AA5065">
        <w:rPr>
          <w:rFonts w:eastAsia="Calibri"/>
          <w:sz w:val="16"/>
          <w:szCs w:val="20"/>
          <w:rtl/>
        </w:rPr>
        <w:t xml:space="preserve"> </w:t>
      </w:r>
      <w:r w:rsidRPr="00AA5065">
        <w:rPr>
          <w:rFonts w:eastAsia="Calibri" w:hint="eastAsia"/>
          <w:sz w:val="16"/>
          <w:szCs w:val="20"/>
          <w:rtl/>
        </w:rPr>
        <w:t>חברת</w:t>
      </w:r>
      <w:r w:rsidRPr="00AA5065">
        <w:rPr>
          <w:rFonts w:eastAsia="Calibri"/>
          <w:sz w:val="16"/>
          <w:szCs w:val="20"/>
          <w:rtl/>
        </w:rPr>
        <w:t xml:space="preserve"> </w:t>
      </w:r>
      <w:r w:rsidRPr="00AA5065">
        <w:rPr>
          <w:rFonts w:eastAsia="Calibri" w:hint="eastAsia"/>
          <w:sz w:val="16"/>
          <w:szCs w:val="20"/>
          <w:rtl/>
        </w:rPr>
        <w:t>תש</w:t>
      </w:r>
      <w:r w:rsidRPr="00AA5065">
        <w:rPr>
          <w:rFonts w:eastAsia="Calibri"/>
          <w:sz w:val="16"/>
          <w:szCs w:val="20"/>
          <w:rtl/>
        </w:rPr>
        <w:t xml:space="preserve">"א </w:t>
      </w:r>
      <w:r w:rsidRPr="00AA5065">
        <w:rPr>
          <w:rFonts w:eastAsia="Calibri" w:hint="eastAsia"/>
          <w:sz w:val="16"/>
          <w:szCs w:val="20"/>
          <w:rtl/>
        </w:rPr>
        <w:t>במאי</w:t>
      </w:r>
      <w:r w:rsidRPr="00AA5065">
        <w:rPr>
          <w:rFonts w:eastAsia="Calibri"/>
          <w:sz w:val="16"/>
          <w:szCs w:val="20"/>
          <w:rtl/>
        </w:rPr>
        <w:t xml:space="preserve"> 2024.</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בביקורת הקודמת עלה כי חברת תש"א מתמודדת עם אירועי חבלה וגניבת דלק במתקניה הנמצאים באזור הנגב. בביקורת המעקב נמצא כי הליקוי לא תוקן; אירועי החבלה והגניבה עדיין ממשיכים להתרחש במתקני החברה.</w:t>
      </w:r>
      <w:r w:rsidRPr="00AA5065">
        <w:rPr>
          <w:rFonts w:eastAsia="Calibri"/>
          <w:b/>
          <w:bCs/>
          <w:rtl/>
        </w:rPr>
        <w:t xml:space="preserve"> בשנים </w:t>
      </w:r>
      <w:r w:rsidRPr="00AA5065">
        <w:rPr>
          <w:rFonts w:eastAsia="Calibri" w:hint="cs"/>
          <w:b/>
          <w:bCs/>
          <w:rtl/>
        </w:rPr>
        <w:t xml:space="preserve">2017 - 2019 </w:t>
      </w:r>
      <w:r w:rsidRPr="00AA5065">
        <w:rPr>
          <w:rFonts w:eastAsia="Calibri"/>
          <w:b/>
          <w:bCs/>
          <w:rtl/>
        </w:rPr>
        <w:t>אירעו שלושה אירועי גניבת דלק</w:t>
      </w:r>
      <w:r w:rsidRPr="00AA5065">
        <w:rPr>
          <w:rFonts w:eastAsia="Calibri" w:hint="cs"/>
          <w:b/>
          <w:bCs/>
          <w:rtl/>
        </w:rPr>
        <w:t>,</w:t>
      </w:r>
      <w:r w:rsidRPr="00AA5065">
        <w:rPr>
          <w:rFonts w:eastAsia="Calibri"/>
          <w:b/>
          <w:bCs/>
          <w:rtl/>
        </w:rPr>
        <w:t xml:space="preserve"> </w:t>
      </w:r>
      <w:r w:rsidRPr="00AA5065">
        <w:rPr>
          <w:rFonts w:eastAsia="Calibri" w:hint="cs"/>
          <w:b/>
          <w:bCs/>
          <w:rtl/>
        </w:rPr>
        <w:t>ואילו בשנים 2019 - 2024</w:t>
      </w:r>
      <w:r w:rsidRPr="00AA5065">
        <w:rPr>
          <w:rFonts w:eastAsia="Calibri"/>
          <w:b/>
          <w:bCs/>
        </w:rPr>
        <w:t xml:space="preserve"> </w:t>
      </w:r>
      <w:r w:rsidRPr="00AA5065">
        <w:rPr>
          <w:rFonts w:eastAsia="Calibri"/>
          <w:b/>
          <w:bCs/>
          <w:rtl/>
        </w:rPr>
        <w:t xml:space="preserve">היו שלושה אירועי גניבת דלק וגם </w:t>
      </w:r>
      <w:r w:rsidRPr="00AA5065">
        <w:rPr>
          <w:rFonts w:eastAsia="Calibri" w:hint="cs"/>
          <w:b/>
          <w:bCs/>
          <w:rtl/>
        </w:rPr>
        <w:t>שישה</w:t>
      </w:r>
      <w:r w:rsidRPr="00AA5065">
        <w:rPr>
          <w:rFonts w:eastAsia="Calibri"/>
          <w:b/>
          <w:bCs/>
          <w:rtl/>
        </w:rPr>
        <w:t xml:space="preserve"> אירועי חבלה נוספים בתשתיות החברה</w:t>
      </w:r>
      <w:r w:rsidRPr="00AA5065">
        <w:rPr>
          <w:rFonts w:eastAsia="Calibri"/>
          <w:b/>
          <w:bCs/>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מומלץ כי חברת תש"א בשיתוף משטרת ישראל יפעלו להגברת האפקטיביות של מערכי ההגנה על תשתיות חברת תש"א ולהגברת שיתוף הפעולה ביניהם בתחום זה.</w:t>
      </w:r>
    </w:p>
    <w:p w:rsidR="00AA5065" w:rsidRPr="00AA5065" w:rsidP="00860D89">
      <w:pPr>
        <w:spacing w:line="269" w:lineRule="auto"/>
        <w:jc w:val="center"/>
        <w:rPr>
          <w:rFonts w:eastAsia="Calibri"/>
          <w:b/>
          <w:bCs/>
          <w:rtl/>
        </w:rPr>
      </w:pPr>
      <w:r w:rsidRPr="00AA5065">
        <w:rPr>
          <w:rFonts w:eastAsia="Calibri" w:hint="cs"/>
          <w:b/>
          <w:bCs/>
          <w:rtl/>
        </w:rPr>
        <w:t>מידת תיקון הליקוי</w:t>
      </w:r>
    </w:p>
    <w:p w:rsidR="00AA5065" w:rsidRPr="00AA5065" w:rsidP="00860D89">
      <w:pPr>
        <w:spacing w:line="269" w:lineRule="auto"/>
        <w:jc w:val="center"/>
        <w:rPr>
          <w:rFonts w:eastAsia="Calibri"/>
          <w:rtl/>
        </w:rPr>
      </w:pPr>
      <w:r w:rsidRPr="00AA5065">
        <w:rPr>
          <w:rFonts w:eastAsia="Calibri"/>
          <w:noProof/>
        </w:rPr>
        <w:drawing>
          <wp:inline distT="0" distB="0" distL="0" distR="0">
            <wp:extent cx="3422650" cy="933450"/>
            <wp:effectExtent l="0" t="0" r="6350" b="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2650" cy="933450"/>
                    </a:xfrm>
                    <a:prstGeom prst="rect">
                      <a:avLst/>
                    </a:prstGeom>
                    <a:noFill/>
                    <a:ln>
                      <a:noFill/>
                    </a:ln>
                  </pic:spPr>
                </pic:pic>
              </a:graphicData>
            </a:graphic>
          </wp:inline>
        </w:drawing>
      </w:r>
    </w:p>
    <w:p w:rsidR="00AA5065" w:rsidRPr="00AA5065" w:rsidP="00860D89">
      <w:pPr>
        <w:spacing w:line="269" w:lineRule="auto"/>
        <w:rPr>
          <w:rFonts w:eastAsia="Calibri"/>
          <w:sz w:val="24"/>
          <w:rtl/>
        </w:rPr>
      </w:pPr>
    </w:p>
    <w:p w:rsidR="00AA5065" w:rsidRPr="00AA5065" w:rsidP="00860D89">
      <w:pPr>
        <w:spacing w:line="269" w:lineRule="auto"/>
        <w:rPr>
          <w:rFonts w:eastAsia="Calibri"/>
          <w:sz w:val="24"/>
          <w:rtl/>
        </w:rPr>
      </w:pPr>
      <w:r w:rsidRPr="00AA5065">
        <w:rPr>
          <w:rFonts w:eastAsia="Calibri" w:hint="eastAsia"/>
          <w:sz w:val="24"/>
          <w:rtl/>
        </w:rPr>
        <w:t>חברת</w:t>
      </w:r>
      <w:r w:rsidRPr="00AA5065">
        <w:rPr>
          <w:rFonts w:eastAsia="Calibri"/>
          <w:sz w:val="24"/>
          <w:rtl/>
        </w:rPr>
        <w:t xml:space="preserve"> </w:t>
      </w:r>
      <w:r w:rsidRPr="00AA5065">
        <w:rPr>
          <w:rFonts w:eastAsia="Calibri" w:hint="eastAsia"/>
          <w:sz w:val="24"/>
          <w:rtl/>
        </w:rPr>
        <w:t>תש</w:t>
      </w:r>
      <w:r w:rsidRPr="00AA5065">
        <w:rPr>
          <w:rFonts w:eastAsia="Calibri"/>
          <w:sz w:val="24"/>
          <w:rtl/>
        </w:rPr>
        <w:t xml:space="preserve">"א </w:t>
      </w:r>
      <w:r w:rsidRPr="00AA5065">
        <w:rPr>
          <w:rFonts w:eastAsia="Calibri" w:hint="cs"/>
          <w:sz w:val="24"/>
          <w:rtl/>
        </w:rPr>
        <w:t xml:space="preserve">מסרה בתשובתה </w:t>
      </w:r>
      <w:r w:rsidRPr="00AA5065">
        <w:rPr>
          <w:rFonts w:eastAsia="Calibri"/>
          <w:sz w:val="24"/>
          <w:rtl/>
        </w:rPr>
        <w:t>מיום 29.9.25 כי ל</w:t>
      </w:r>
      <w:r w:rsidRPr="00AA5065">
        <w:rPr>
          <w:rFonts w:eastAsia="Calibri" w:hint="cs"/>
          <w:sz w:val="24"/>
          <w:rtl/>
        </w:rPr>
        <w:t>נוכח</w:t>
      </w:r>
      <w:r w:rsidRPr="00AA5065">
        <w:rPr>
          <w:rFonts w:eastAsia="Calibri"/>
          <w:sz w:val="24"/>
          <w:rtl/>
        </w:rPr>
        <w:t xml:space="preserve"> ארבעת </w:t>
      </w:r>
      <w:r w:rsidRPr="00AA5065">
        <w:rPr>
          <w:rFonts w:eastAsia="Calibri" w:hint="cs"/>
          <w:sz w:val="24"/>
          <w:rtl/>
        </w:rPr>
        <w:t>ניסיונות</w:t>
      </w:r>
      <w:r w:rsidRPr="00AA5065">
        <w:rPr>
          <w:rFonts w:eastAsia="Calibri"/>
          <w:sz w:val="24"/>
          <w:rtl/>
        </w:rPr>
        <w:t xml:space="preserve"> הגניבה שאירעו בקו הדלק לנבטים</w:t>
      </w:r>
      <w:r w:rsidRPr="00AA5065">
        <w:rPr>
          <w:rFonts w:eastAsia="Calibri" w:hint="cs"/>
          <w:sz w:val="24"/>
          <w:rtl/>
        </w:rPr>
        <w:t>,</w:t>
      </w:r>
      <w:r w:rsidRPr="00AA5065">
        <w:rPr>
          <w:rFonts w:eastAsia="Calibri"/>
          <w:sz w:val="24"/>
          <w:rtl/>
        </w:rPr>
        <w:t xml:space="preserve"> </w:t>
      </w:r>
      <w:r w:rsidRPr="00AA5065">
        <w:rPr>
          <w:rFonts w:eastAsia="Calibri" w:hint="cs"/>
          <w:sz w:val="24"/>
          <w:rtl/>
        </w:rPr>
        <w:t>היא</w:t>
      </w:r>
      <w:r w:rsidRPr="00AA5065">
        <w:rPr>
          <w:rFonts w:eastAsia="Calibri"/>
          <w:sz w:val="24"/>
          <w:rtl/>
        </w:rPr>
        <w:t xml:space="preserve"> יצרה קשר עם משטרת ישראל מחוז דרום.</w:t>
      </w:r>
      <w:r w:rsidRPr="00AA5065">
        <w:rPr>
          <w:rFonts w:eastAsia="Calibri" w:hint="cs"/>
          <w:sz w:val="24"/>
          <w:rtl/>
        </w:rPr>
        <w:t xml:space="preserve"> עוד היא מסרה כי ביולי 2024</w:t>
      </w:r>
      <w:r w:rsidRPr="00AA5065">
        <w:rPr>
          <w:rFonts w:eastAsia="Calibri"/>
          <w:sz w:val="24"/>
          <w:rtl/>
        </w:rPr>
        <w:t xml:space="preserve"> התקיימה פגישה בהשתתפות מפקד תחנת ערוער</w:t>
      </w:r>
      <w:r w:rsidRPr="00AA5065">
        <w:rPr>
          <w:rFonts w:eastAsia="Calibri" w:hint="cs"/>
          <w:sz w:val="24"/>
          <w:rtl/>
        </w:rPr>
        <w:t>,</w:t>
      </w:r>
      <w:r w:rsidRPr="00AA5065">
        <w:rPr>
          <w:rFonts w:eastAsia="Calibri"/>
          <w:sz w:val="24"/>
          <w:rtl/>
        </w:rPr>
        <w:t xml:space="preserve"> </w:t>
      </w:r>
      <w:r w:rsidRPr="00AA5065">
        <w:rPr>
          <w:rFonts w:eastAsia="Calibri" w:hint="cs"/>
          <w:sz w:val="24"/>
          <w:rtl/>
        </w:rPr>
        <w:t>ה</w:t>
      </w:r>
      <w:r w:rsidRPr="00AA5065">
        <w:rPr>
          <w:rFonts w:eastAsia="Calibri"/>
          <w:sz w:val="24"/>
          <w:rtl/>
        </w:rPr>
        <w:t xml:space="preserve">משטרה </w:t>
      </w:r>
      <w:r w:rsidRPr="00AA5065">
        <w:rPr>
          <w:rFonts w:eastAsia="Calibri" w:hint="cs"/>
          <w:sz w:val="24"/>
          <w:rtl/>
        </w:rPr>
        <w:t>ה</w:t>
      </w:r>
      <w:r w:rsidRPr="00AA5065">
        <w:rPr>
          <w:rFonts w:eastAsia="Calibri"/>
          <w:sz w:val="24"/>
          <w:rtl/>
        </w:rPr>
        <w:t>ירוקה, נציגי חברת תש"א,</w:t>
      </w:r>
      <w:r w:rsidRPr="00AA5065">
        <w:rPr>
          <w:rFonts w:eastAsia="Calibri" w:hint="cs"/>
          <w:sz w:val="24"/>
          <w:rtl/>
        </w:rPr>
        <w:t xml:space="preserve"> </w:t>
      </w:r>
      <w:r w:rsidRPr="00AA5065">
        <w:rPr>
          <w:rFonts w:eastAsia="Calibri"/>
          <w:sz w:val="24"/>
          <w:rtl/>
        </w:rPr>
        <w:t xml:space="preserve">נציגי חיל האוויר מבסיס נבטים </w:t>
      </w:r>
      <w:r w:rsidRPr="00AA5065">
        <w:rPr>
          <w:rFonts w:eastAsia="Calibri" w:hint="cs"/>
          <w:sz w:val="24"/>
          <w:rtl/>
        </w:rPr>
        <w:t>ו</w:t>
      </w:r>
      <w:r w:rsidRPr="00AA5065">
        <w:rPr>
          <w:rFonts w:eastAsia="Calibri"/>
          <w:sz w:val="24"/>
          <w:rtl/>
        </w:rPr>
        <w:t xml:space="preserve">קצינים מיחידת החקירות והמודיעין לדיון ייעודי </w:t>
      </w:r>
      <w:r w:rsidRPr="00AA5065">
        <w:rPr>
          <w:rFonts w:eastAsia="Calibri" w:hint="cs"/>
          <w:sz w:val="24"/>
          <w:rtl/>
        </w:rPr>
        <w:t xml:space="preserve">בנוגע </w:t>
      </w:r>
      <w:r w:rsidRPr="00AA5065">
        <w:rPr>
          <w:rFonts w:eastAsia="Calibri"/>
          <w:sz w:val="24"/>
          <w:rtl/>
        </w:rPr>
        <w:t xml:space="preserve">לפגיעה בתשתיות. בדיון נקבע כי המשטרה תפעיל כלים שברשותה, לרבות </w:t>
      </w:r>
      <w:r w:rsidRPr="00AA5065">
        <w:rPr>
          <w:rFonts w:eastAsia="Calibri" w:hint="cs"/>
          <w:sz w:val="24"/>
          <w:rtl/>
        </w:rPr>
        <w:t xml:space="preserve">כלים </w:t>
      </w:r>
      <w:r w:rsidRPr="00AA5065">
        <w:rPr>
          <w:rFonts w:eastAsia="Calibri"/>
          <w:sz w:val="24"/>
          <w:rtl/>
        </w:rPr>
        <w:t>חקירתיים</w:t>
      </w:r>
      <w:r w:rsidRPr="00AA5065">
        <w:rPr>
          <w:rFonts w:eastAsia="Calibri" w:hint="cs"/>
          <w:sz w:val="24"/>
          <w:rtl/>
        </w:rPr>
        <w:t>,</w:t>
      </w:r>
      <w:r w:rsidRPr="00AA5065">
        <w:rPr>
          <w:rFonts w:eastAsia="Calibri"/>
          <w:sz w:val="24"/>
          <w:rtl/>
        </w:rPr>
        <w:t xml:space="preserve"> והתחנה האחראית לאירועי גניבות הדלק היא ערוער בראשות מפקד התחנה. </w:t>
      </w:r>
    </w:p>
    <w:p w:rsidR="00AA5065" w:rsidRPr="00AA5065" w:rsidP="00860D89">
      <w:pPr>
        <w:spacing w:line="269" w:lineRule="auto"/>
        <w:rPr>
          <w:rFonts w:eastAsia="Calibri"/>
          <w:rtl/>
        </w:rPr>
      </w:pPr>
    </w:p>
    <w:p w:rsidR="00AA5065" w:rsidRPr="00AA5065" w:rsidP="00734ECE">
      <w:pPr>
        <w:keepNext/>
        <w:keepLines/>
        <w:spacing w:before="120" w:line="269" w:lineRule="auto"/>
        <w:outlineLvl w:val="3"/>
        <w:rPr>
          <w:rFonts w:eastAsia="Times New Roman"/>
          <w:bCs/>
          <w:szCs w:val="26"/>
          <w:rtl/>
        </w:rPr>
      </w:pPr>
      <w:bookmarkStart w:id="135" w:name="_Hlk204859854"/>
      <w:r w:rsidRPr="00AA5065">
        <w:rPr>
          <w:rFonts w:eastAsia="Times New Roman" w:hint="cs"/>
          <w:bCs/>
          <w:szCs w:val="26"/>
          <w:rtl/>
        </w:rPr>
        <w:t>פגיעה בתשתיות תאגיד מים</w:t>
      </w:r>
      <w:bookmarkEnd w:id="135"/>
    </w:p>
    <w:p w:rsidR="00AA5065" w:rsidRPr="00AA5065" w:rsidP="00860D89">
      <w:pPr>
        <w:spacing w:line="269" w:lineRule="auto"/>
        <w:rPr>
          <w:rFonts w:eastAsia="Calibri"/>
          <w:rtl/>
        </w:rPr>
      </w:pPr>
    </w:p>
    <w:p w:rsidR="00AA5065" w:rsidRPr="00AA5065" w:rsidP="002A07BA">
      <w:pPr>
        <w:pStyle w:val="Heading7"/>
        <w:rPr>
          <w:rFonts w:eastAsia="Times New Roman"/>
          <w:rtl/>
        </w:rPr>
      </w:pPr>
      <w:r w:rsidRPr="00AA5065">
        <w:rPr>
          <w:rFonts w:eastAsia="Times New Roman"/>
          <w:rtl/>
        </w:rPr>
        <w:t xml:space="preserve">הנושא המפורט להלן נבדק לראשונה במסגרת ביקורת זו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Times New Roman"/>
          <w:bCs/>
          <w:szCs w:val="26"/>
          <w:rtl/>
        </w:rPr>
      </w:pPr>
      <w:r w:rsidRPr="00AA5065">
        <w:rPr>
          <w:rFonts w:eastAsia="Calibri"/>
          <w:sz w:val="24"/>
          <w:rtl/>
        </w:rPr>
        <w:t>תאגיד</w:t>
      </w:r>
      <w:r w:rsidRPr="00AA5065">
        <w:rPr>
          <w:rFonts w:eastAsia="Calibri" w:hint="cs"/>
          <w:sz w:val="24"/>
          <w:rtl/>
        </w:rPr>
        <w:t xml:space="preserve"> המים והביוב נווה מדבר</w:t>
      </w:r>
      <w:r w:rsidRPr="00AA5065">
        <w:rPr>
          <w:rFonts w:eastAsia="Calibri"/>
          <w:sz w:val="24"/>
          <w:rtl/>
        </w:rPr>
        <w:t xml:space="preserve"> </w:t>
      </w:r>
      <w:r w:rsidRPr="00AA5065">
        <w:rPr>
          <w:rFonts w:eastAsia="Calibri" w:hint="cs"/>
          <w:sz w:val="24"/>
          <w:rtl/>
        </w:rPr>
        <w:t xml:space="preserve">בע"מ (להלן - </w:t>
      </w:r>
      <w:r w:rsidRPr="00AA5065">
        <w:rPr>
          <w:rFonts w:eastAsia="Calibri"/>
          <w:sz w:val="24"/>
          <w:rtl/>
        </w:rPr>
        <w:t>תאגיד המים נווה מדבר</w:t>
      </w:r>
      <w:r w:rsidRPr="00AA5065">
        <w:rPr>
          <w:rFonts w:eastAsia="Calibri" w:hint="cs"/>
          <w:sz w:val="24"/>
          <w:rtl/>
        </w:rPr>
        <w:t xml:space="preserve">) </w:t>
      </w:r>
      <w:r w:rsidRPr="00AA5065">
        <w:rPr>
          <w:rFonts w:eastAsia="Calibri"/>
          <w:sz w:val="24"/>
          <w:rtl/>
        </w:rPr>
        <w:t>הוא תאגיד המים והביוב של המועצות המקומיות חורה, לקי</w:t>
      </w:r>
      <w:r w:rsidRPr="00AA5065">
        <w:rPr>
          <w:rFonts w:eastAsia="Calibri" w:hint="cs"/>
          <w:sz w:val="24"/>
          <w:rtl/>
        </w:rPr>
        <w:t>י</w:t>
      </w:r>
      <w:r w:rsidRPr="00AA5065">
        <w:rPr>
          <w:rFonts w:eastAsia="Calibri"/>
          <w:sz w:val="24"/>
          <w:rtl/>
        </w:rPr>
        <w:t>ה, כסיפה, שגב שלום,</w:t>
      </w:r>
      <w:r w:rsidRPr="00AA5065">
        <w:rPr>
          <w:rFonts w:eastAsia="Calibri" w:hint="cs"/>
          <w:sz w:val="24"/>
          <w:rtl/>
        </w:rPr>
        <w:t xml:space="preserve"> </w:t>
      </w:r>
      <w:r w:rsidRPr="00AA5065">
        <w:rPr>
          <w:rFonts w:eastAsia="Calibri"/>
          <w:sz w:val="24"/>
          <w:rtl/>
        </w:rPr>
        <w:t>תל שבע וערערה בנגב</w:t>
      </w:r>
      <w:r w:rsidRPr="00AA5065">
        <w:rPr>
          <w:rFonts w:eastAsia="Calibri" w:hint="cs"/>
          <w:sz w:val="24"/>
          <w:rtl/>
        </w:rPr>
        <w:t xml:space="preserve"> וכן של מועצת אל-קסום</w:t>
      </w:r>
      <w:r w:rsidRPr="00AA5065">
        <w:rPr>
          <w:rFonts w:eastAsia="Calibri"/>
          <w:sz w:val="24"/>
          <w:rtl/>
        </w:rPr>
        <w:t>, ו</w:t>
      </w:r>
      <w:r w:rsidRPr="00AA5065">
        <w:rPr>
          <w:rFonts w:eastAsia="Calibri" w:hint="cs"/>
          <w:sz w:val="24"/>
          <w:rtl/>
        </w:rPr>
        <w:t xml:space="preserve">הוא </w:t>
      </w:r>
      <w:r w:rsidRPr="00AA5065">
        <w:rPr>
          <w:rFonts w:eastAsia="Calibri"/>
          <w:sz w:val="24"/>
          <w:rtl/>
        </w:rPr>
        <w:t xml:space="preserve">פועל על פי חוק תאגיד מים וביוב, </w:t>
      </w:r>
      <w:r w:rsidRPr="00AA5065">
        <w:rPr>
          <w:rFonts w:eastAsia="Calibri" w:hint="cs"/>
          <w:sz w:val="24"/>
          <w:rtl/>
        </w:rPr>
        <w:t>ה</w:t>
      </w:r>
      <w:r w:rsidRPr="00AA5065">
        <w:rPr>
          <w:rFonts w:eastAsia="Calibri"/>
          <w:sz w:val="24"/>
          <w:rtl/>
        </w:rPr>
        <w:t>תשס"א-2001</w:t>
      </w:r>
      <w:r w:rsidRPr="00AA5065">
        <w:rPr>
          <w:rFonts w:eastAsia="Calibri" w:hint="cs"/>
          <w:sz w:val="24"/>
          <w:rtl/>
        </w:rPr>
        <w:t>, ומכוחו</w:t>
      </w:r>
      <w:r w:rsidRPr="00AA5065">
        <w:rPr>
          <w:rFonts w:eastAsia="Calibri"/>
          <w:sz w:val="24"/>
          <w:rtl/>
        </w:rPr>
        <w:t xml:space="preserve">. התאגיד </w:t>
      </w:r>
      <w:r w:rsidRPr="00AA5065">
        <w:rPr>
          <w:rFonts w:eastAsia="Calibri" w:hint="cs"/>
          <w:sz w:val="24"/>
          <w:rtl/>
        </w:rPr>
        <w:t>משרת</w:t>
      </w:r>
      <w:r w:rsidRPr="00AA5065">
        <w:rPr>
          <w:rFonts w:eastAsia="Calibri"/>
          <w:sz w:val="24"/>
          <w:rtl/>
        </w:rPr>
        <w:t xml:space="preserve"> רשויות המצויות כולן באשכול </w:t>
      </w:r>
      <w:r w:rsidRPr="00AA5065">
        <w:rPr>
          <w:rFonts w:eastAsia="Calibri" w:hint="cs"/>
          <w:sz w:val="24"/>
          <w:rtl/>
        </w:rPr>
        <w:t>ה</w:t>
      </w:r>
      <w:r w:rsidRPr="00AA5065">
        <w:rPr>
          <w:rFonts w:eastAsia="Calibri"/>
          <w:sz w:val="24"/>
          <w:rtl/>
        </w:rPr>
        <w:t xml:space="preserve">סוציו-אקונומי </w:t>
      </w:r>
      <w:r w:rsidRPr="00AA5065">
        <w:rPr>
          <w:rFonts w:eastAsia="Calibri" w:hint="cs"/>
          <w:sz w:val="24"/>
          <w:rtl/>
        </w:rPr>
        <w:t>1</w:t>
      </w:r>
      <w:r>
        <w:rPr>
          <w:rFonts w:eastAsia="Calibri"/>
          <w:sz w:val="24"/>
          <w:vertAlign w:val="superscript"/>
          <w:rtl/>
        </w:rPr>
        <w:footnoteReference w:id="145"/>
      </w:r>
      <w:r w:rsidRPr="00AA5065">
        <w:rPr>
          <w:rFonts w:eastAsia="Calibri" w:hint="cs"/>
          <w:sz w:val="24"/>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sz w:val="24"/>
          <w:rtl/>
        </w:rPr>
      </w:pPr>
      <w:r w:rsidRPr="00AA5065">
        <w:rPr>
          <w:rFonts w:eastAsia="Calibri" w:hint="cs"/>
          <w:sz w:val="24"/>
          <w:rtl/>
        </w:rPr>
        <w:t>נציגי התאגיד מסרו לצוות הביקורת ב-8.9.24 כי התאגיד מתמודד עם</w:t>
      </w:r>
      <w:r w:rsidRPr="00AA5065">
        <w:rPr>
          <w:rFonts w:eastAsia="Calibri"/>
          <w:sz w:val="24"/>
          <w:rtl/>
        </w:rPr>
        <w:t xml:space="preserve"> השתלטות ובנייה בלתי חוקיות של תושבים על</w:t>
      </w:r>
      <w:r w:rsidRPr="00AA5065">
        <w:rPr>
          <w:rFonts w:eastAsia="Calibri" w:hint="cs"/>
          <w:sz w:val="24"/>
          <w:rtl/>
        </w:rPr>
        <w:t xml:space="preserve"> </w:t>
      </w:r>
      <w:r w:rsidRPr="00AA5065">
        <w:rPr>
          <w:rFonts w:eastAsia="Calibri"/>
          <w:sz w:val="24"/>
          <w:rtl/>
        </w:rPr>
        <w:t xml:space="preserve">שטחים ציבוריים </w:t>
      </w:r>
      <w:r w:rsidRPr="00AA5065">
        <w:rPr>
          <w:rFonts w:eastAsia="Calibri" w:hint="cs"/>
          <w:sz w:val="24"/>
          <w:rtl/>
        </w:rPr>
        <w:t>ש</w:t>
      </w:r>
      <w:r w:rsidRPr="00AA5065">
        <w:rPr>
          <w:rFonts w:eastAsia="Calibri"/>
          <w:sz w:val="24"/>
          <w:rtl/>
        </w:rPr>
        <w:t>בהם מצויות תשתיותיו, לרבות גידור שטחים ציבוריים תוך מניעת</w:t>
      </w:r>
      <w:r w:rsidRPr="00AA5065">
        <w:rPr>
          <w:rFonts w:eastAsia="Calibri" w:hint="cs"/>
          <w:sz w:val="24"/>
          <w:rtl/>
        </w:rPr>
        <w:t xml:space="preserve"> ה</w:t>
      </w:r>
      <w:r w:rsidRPr="00AA5065">
        <w:rPr>
          <w:rFonts w:eastAsia="Calibri"/>
          <w:sz w:val="24"/>
          <w:rtl/>
        </w:rPr>
        <w:t xml:space="preserve">כניסה של </w:t>
      </w:r>
      <w:r w:rsidRPr="00AA5065">
        <w:rPr>
          <w:rFonts w:eastAsia="Calibri" w:hint="cs"/>
          <w:sz w:val="24"/>
          <w:rtl/>
        </w:rPr>
        <w:t xml:space="preserve">עובדי </w:t>
      </w:r>
      <w:r w:rsidRPr="00AA5065">
        <w:rPr>
          <w:rFonts w:eastAsia="Calibri"/>
          <w:sz w:val="24"/>
          <w:rtl/>
        </w:rPr>
        <w:t xml:space="preserve">התאגיד לשטחים אלה, </w:t>
      </w:r>
      <w:r w:rsidRPr="00AA5065">
        <w:rPr>
          <w:rFonts w:eastAsia="Calibri" w:hint="cs"/>
          <w:sz w:val="24"/>
          <w:rtl/>
        </w:rPr>
        <w:t>וכן</w:t>
      </w:r>
      <w:r w:rsidRPr="00AA5065">
        <w:rPr>
          <w:rFonts w:eastAsia="Calibri"/>
          <w:sz w:val="24"/>
          <w:rtl/>
        </w:rPr>
        <w:t xml:space="preserve"> </w:t>
      </w:r>
      <w:r w:rsidRPr="00AA5065">
        <w:rPr>
          <w:rFonts w:eastAsia="Calibri" w:hint="cs"/>
          <w:sz w:val="24"/>
          <w:rtl/>
        </w:rPr>
        <w:t xml:space="preserve">עם </w:t>
      </w:r>
      <w:r w:rsidRPr="00AA5065">
        <w:rPr>
          <w:rFonts w:eastAsia="Calibri"/>
          <w:sz w:val="24"/>
          <w:rtl/>
        </w:rPr>
        <w:t xml:space="preserve">הערמת פסולת מעל קווי </w:t>
      </w:r>
      <w:r w:rsidRPr="00AA5065">
        <w:rPr>
          <w:rFonts w:eastAsia="Calibri" w:hint="cs"/>
          <w:sz w:val="24"/>
          <w:rtl/>
        </w:rPr>
        <w:t>ה</w:t>
      </w:r>
      <w:r w:rsidRPr="00AA5065">
        <w:rPr>
          <w:rFonts w:eastAsia="Calibri"/>
          <w:sz w:val="24"/>
          <w:rtl/>
        </w:rPr>
        <w:t xml:space="preserve">ביוב </w:t>
      </w:r>
      <w:r w:rsidRPr="00AA5065">
        <w:rPr>
          <w:rFonts w:eastAsia="Calibri" w:hint="cs"/>
          <w:sz w:val="24"/>
          <w:rtl/>
        </w:rPr>
        <w:t>ה</w:t>
      </w:r>
      <w:r w:rsidRPr="00AA5065">
        <w:rPr>
          <w:rFonts w:eastAsia="Calibri"/>
          <w:sz w:val="24"/>
          <w:rtl/>
        </w:rPr>
        <w:t>קיימים</w:t>
      </w:r>
      <w:r w:rsidRPr="00AA5065">
        <w:rPr>
          <w:rFonts w:eastAsia="Calibri" w:hint="cs"/>
          <w:sz w:val="24"/>
          <w:rtl/>
        </w:rPr>
        <w:t xml:space="preserve"> (תל הפסולת מועך את קו הביוב וכן מקשה להגיע לקו הביוב כדי לתקנו וכתוצאה מכך הביוב מחלחל באדמה וגורם לזיהום)</w:t>
      </w:r>
      <w:r w:rsidRPr="00AA5065">
        <w:rPr>
          <w:rFonts w:eastAsia="Calibri"/>
          <w:sz w:val="24"/>
          <w:rtl/>
        </w:rPr>
        <w:t>.</w:t>
      </w:r>
      <w:r w:rsidRPr="00AA5065">
        <w:rPr>
          <w:rFonts w:eastAsia="Calibri" w:hint="cs"/>
          <w:sz w:val="24"/>
          <w:rtl/>
        </w:rPr>
        <w:t xml:space="preserve"> </w:t>
      </w:r>
      <w:r w:rsidRPr="00AA5065">
        <w:rPr>
          <w:rFonts w:eastAsia="Calibri"/>
          <w:sz w:val="24"/>
          <w:rtl/>
        </w:rPr>
        <w:t>פגיעות אלו מובילות</w:t>
      </w:r>
      <w:r w:rsidRPr="00AA5065">
        <w:rPr>
          <w:rFonts w:eastAsia="Calibri" w:hint="cs"/>
          <w:sz w:val="24"/>
          <w:rtl/>
        </w:rPr>
        <w:t xml:space="preserve">, לדברי נציגי התאגיד, </w:t>
      </w:r>
      <w:r w:rsidRPr="00AA5065">
        <w:rPr>
          <w:rFonts w:eastAsia="Calibri"/>
          <w:sz w:val="24"/>
          <w:rtl/>
        </w:rPr>
        <w:t>לפגיעה כלכלית בתאגיד</w:t>
      </w:r>
      <w:r w:rsidRPr="00AA5065">
        <w:rPr>
          <w:rFonts w:eastAsia="Calibri" w:hint="cs"/>
          <w:sz w:val="24"/>
          <w:rtl/>
        </w:rPr>
        <w:t>,</w:t>
      </w:r>
      <w:r w:rsidRPr="00AA5065">
        <w:rPr>
          <w:rFonts w:eastAsia="Calibri"/>
          <w:sz w:val="24"/>
          <w:rtl/>
        </w:rPr>
        <w:t xml:space="preserve"> </w:t>
      </w:r>
      <w:r w:rsidRPr="00AA5065">
        <w:rPr>
          <w:rFonts w:eastAsia="Calibri" w:hint="cs"/>
          <w:sz w:val="24"/>
          <w:rtl/>
        </w:rPr>
        <w:t>ו</w:t>
      </w:r>
      <w:r w:rsidRPr="00AA5065">
        <w:rPr>
          <w:rFonts w:eastAsia="Calibri"/>
          <w:sz w:val="24"/>
          <w:rtl/>
        </w:rPr>
        <w:t>נדרש להשקיע סכומי</w:t>
      </w:r>
      <w:r w:rsidRPr="00AA5065">
        <w:rPr>
          <w:rFonts w:eastAsia="Calibri" w:hint="cs"/>
          <w:sz w:val="24"/>
          <w:rtl/>
        </w:rPr>
        <w:t>ם</w:t>
      </w:r>
      <w:r w:rsidRPr="00AA5065">
        <w:rPr>
          <w:rFonts w:eastAsia="Calibri"/>
          <w:sz w:val="24"/>
          <w:rtl/>
        </w:rPr>
        <w:t xml:space="preserve"> </w:t>
      </w:r>
      <w:r w:rsidRPr="00AA5065">
        <w:rPr>
          <w:rFonts w:eastAsia="Calibri" w:hint="cs"/>
          <w:sz w:val="24"/>
          <w:rtl/>
        </w:rPr>
        <w:t>גבוהים לצורך תיקון התשתיות המדוברות. לדוגמה, ביישוב ערערה שבנגב הושקעו מאות אלפי ש"ח לצורך תיקון קווי הביוב שכוסו בפסולת, וכעבור חודשיים מהתיקון הם נקברו שוב תחת הררי פסולת חדשים.</w:t>
      </w:r>
    </w:p>
    <w:p w:rsidR="00AA5065" w:rsidRPr="00AA5065" w:rsidP="00860D89">
      <w:pPr>
        <w:spacing w:line="269" w:lineRule="auto"/>
        <w:ind w:left="-567"/>
        <w:rPr>
          <w:rFonts w:eastAsia="Calibri"/>
          <w:szCs w:val="20"/>
          <w:rtl/>
        </w:rPr>
      </w:pPr>
    </w:p>
    <w:p w:rsidR="00AA5065" w:rsidRPr="00AA5065" w:rsidP="00860D89">
      <w:pPr>
        <w:spacing w:line="269" w:lineRule="auto"/>
        <w:rPr>
          <w:rFonts w:ascii="Tahoma" w:eastAsia="Calibri" w:hAnsi="Tahoma"/>
          <w:rtl/>
        </w:rPr>
      </w:pPr>
      <w:r w:rsidRPr="00AA5065">
        <w:rPr>
          <w:rFonts w:eastAsia="Calibri" w:hint="cs"/>
          <w:rtl/>
        </w:rPr>
        <w:t>במכתב</w:t>
      </w:r>
      <w:r>
        <w:rPr>
          <w:rFonts w:eastAsia="Calibri"/>
          <w:vertAlign w:val="superscript"/>
          <w:rtl/>
        </w:rPr>
        <w:footnoteReference w:id="146"/>
      </w:r>
      <w:r w:rsidRPr="00AA5065">
        <w:rPr>
          <w:rFonts w:eastAsia="Calibri" w:hint="cs"/>
          <w:rtl/>
        </w:rPr>
        <w:t xml:space="preserve"> </w:t>
      </w:r>
      <w:r w:rsidRPr="00AA5065">
        <w:rPr>
          <w:rFonts w:ascii="Tahoma" w:eastAsia="Calibri" w:hAnsi="Tahoma" w:hint="cs"/>
          <w:rtl/>
        </w:rPr>
        <w:t xml:space="preserve">מיום 24.6.20 ששלח יועמ"ש התאגיד לשרים דאז של משרדי הבריאות, הפנים, הגנת הסביבה, הפריפריה הנגב והגליל וכן ליו"ר הוועדה המיוחדת לענייני החברה הערבית בכנסת צוין כי "מזה שנים שהתאגיד מתריע, ושב ומתריע, על תופעה חמורה ונרחבת של פגיעות מכוונות וחמורות במערכות החיוניות של התאגיד, המובילות לקריסת קווי ביוב, סתימת קווים מאספים, קריסת תהליכים במכון טיהור השפכים ונזק חמור לשוחות ביוב קיימות. כך, בין היתר, ניצב התאגיד אל מול תופעות חוזרות ונשנות של שפיכת בטון לתוך שוחות הביוב, הזרמת שפכים חריגים ואסורים הגורמים נזקים כבדים למערכות הביוב והזרמת פסולת, חומרים מזהמים ופגרי בעלי חיים... ישירות אל תשתיות הביוב... כמו גם הערמת פסולת בנין, פסולת ביתית וערימות עפר בכמויות של מטרים רבים מעל קווי ביוב קיימים... </w:t>
      </w:r>
      <w:r w:rsidRPr="00AA5065">
        <w:rPr>
          <w:rFonts w:ascii="Tahoma" w:eastAsia="Calibri" w:hAnsi="Tahoma" w:hint="eastAsia"/>
          <w:rtl/>
        </w:rPr>
        <w:t>הנזקים</w:t>
      </w:r>
      <w:r w:rsidRPr="00AA5065">
        <w:rPr>
          <w:rFonts w:ascii="Tahoma" w:eastAsia="Calibri" w:hAnsi="Tahoma"/>
          <w:rtl/>
        </w:rPr>
        <w:t xml:space="preserve"> </w:t>
      </w:r>
      <w:r w:rsidRPr="00AA5065">
        <w:rPr>
          <w:rFonts w:ascii="Tahoma" w:eastAsia="Calibri" w:hAnsi="Tahoma" w:hint="eastAsia"/>
          <w:rtl/>
        </w:rPr>
        <w:t>האמורים</w:t>
      </w:r>
      <w:r w:rsidRPr="00AA5065">
        <w:rPr>
          <w:rFonts w:ascii="Tahoma" w:eastAsia="Calibri" w:hAnsi="Tahoma"/>
          <w:rtl/>
        </w:rPr>
        <w:t xml:space="preserve"> </w:t>
      </w:r>
      <w:r w:rsidRPr="00AA5065">
        <w:rPr>
          <w:rFonts w:ascii="Tahoma" w:eastAsia="Calibri" w:hAnsi="Tahoma" w:hint="eastAsia"/>
          <w:rtl/>
        </w:rPr>
        <w:t>לתשתיות</w:t>
      </w:r>
      <w:r w:rsidRPr="00AA5065">
        <w:rPr>
          <w:rFonts w:ascii="Tahoma" w:eastAsia="Calibri" w:hAnsi="Tahoma"/>
          <w:rtl/>
        </w:rPr>
        <w:t xml:space="preserve"> </w:t>
      </w:r>
      <w:r w:rsidRPr="00AA5065">
        <w:rPr>
          <w:rFonts w:ascii="Tahoma" w:eastAsia="Calibri" w:hAnsi="Tahoma" w:hint="eastAsia"/>
          <w:rtl/>
        </w:rPr>
        <w:t>הקריטיות</w:t>
      </w:r>
      <w:r w:rsidRPr="00AA5065">
        <w:rPr>
          <w:rFonts w:ascii="Tahoma" w:eastAsia="Calibri" w:hAnsi="Tahoma"/>
          <w:rtl/>
        </w:rPr>
        <w:t xml:space="preserve"> </w:t>
      </w:r>
      <w:r w:rsidRPr="00AA5065">
        <w:rPr>
          <w:rFonts w:ascii="Tahoma" w:eastAsia="Calibri" w:hAnsi="Tahoma" w:hint="eastAsia"/>
          <w:rtl/>
        </w:rPr>
        <w:t>של</w:t>
      </w:r>
      <w:r w:rsidRPr="00AA5065">
        <w:rPr>
          <w:rFonts w:ascii="Tahoma" w:eastAsia="Calibri" w:hAnsi="Tahoma"/>
          <w:rtl/>
        </w:rPr>
        <w:t xml:space="preserve"> </w:t>
      </w:r>
      <w:r w:rsidRPr="00AA5065">
        <w:rPr>
          <w:rFonts w:ascii="Tahoma" w:eastAsia="Calibri" w:hAnsi="Tahoma" w:hint="eastAsia"/>
          <w:rtl/>
        </w:rPr>
        <w:t>התאגיד</w:t>
      </w:r>
      <w:r w:rsidRPr="00AA5065">
        <w:rPr>
          <w:rFonts w:ascii="Tahoma" w:eastAsia="Calibri" w:hAnsi="Tahoma"/>
          <w:rtl/>
        </w:rPr>
        <w:t xml:space="preserve"> </w:t>
      </w:r>
      <w:r w:rsidRPr="00AA5065">
        <w:rPr>
          <w:rFonts w:ascii="Tahoma" w:eastAsia="Calibri" w:hAnsi="Tahoma" w:hint="eastAsia"/>
          <w:rtl/>
        </w:rPr>
        <w:t>יוצרים</w:t>
      </w:r>
      <w:r w:rsidRPr="00AA5065">
        <w:rPr>
          <w:rFonts w:ascii="Tahoma" w:eastAsia="Calibri" w:hAnsi="Tahoma"/>
          <w:rtl/>
        </w:rPr>
        <w:t xml:space="preserve"> </w:t>
      </w:r>
      <w:r w:rsidRPr="00AA5065">
        <w:rPr>
          <w:rFonts w:ascii="Tahoma" w:eastAsia="Calibri" w:hAnsi="Tahoma" w:hint="eastAsia"/>
          <w:rtl/>
        </w:rPr>
        <w:t>סכנה</w:t>
      </w:r>
      <w:r w:rsidRPr="00AA5065">
        <w:rPr>
          <w:rFonts w:ascii="Tahoma" w:eastAsia="Calibri" w:hAnsi="Tahoma"/>
          <w:rtl/>
        </w:rPr>
        <w:t xml:space="preserve"> </w:t>
      </w:r>
      <w:r w:rsidRPr="00AA5065">
        <w:rPr>
          <w:rFonts w:ascii="Tahoma" w:eastAsia="Calibri" w:hAnsi="Tahoma" w:hint="eastAsia"/>
          <w:rtl/>
        </w:rPr>
        <w:t>לאסון</w:t>
      </w:r>
      <w:r w:rsidRPr="00AA5065">
        <w:rPr>
          <w:rFonts w:ascii="Tahoma" w:eastAsia="Calibri" w:hAnsi="Tahoma"/>
          <w:rtl/>
        </w:rPr>
        <w:t xml:space="preserve"> </w:t>
      </w:r>
      <w:r w:rsidRPr="00AA5065">
        <w:rPr>
          <w:rFonts w:ascii="Tahoma" w:eastAsia="Calibri" w:hAnsi="Tahoma" w:hint="eastAsia"/>
          <w:rtl/>
        </w:rPr>
        <w:t>תברואתי</w:t>
      </w:r>
      <w:r w:rsidRPr="00AA5065">
        <w:rPr>
          <w:rFonts w:ascii="Tahoma" w:eastAsia="Calibri" w:hAnsi="Tahoma"/>
          <w:rtl/>
        </w:rPr>
        <w:t xml:space="preserve"> </w:t>
      </w:r>
      <w:r w:rsidRPr="00AA5065">
        <w:rPr>
          <w:rFonts w:ascii="Tahoma" w:eastAsia="Calibri" w:hAnsi="Tahoma" w:hint="eastAsia"/>
          <w:rtl/>
        </w:rPr>
        <w:t>של</w:t>
      </w:r>
      <w:r w:rsidRPr="00AA5065">
        <w:rPr>
          <w:rFonts w:ascii="Tahoma" w:eastAsia="Calibri" w:hAnsi="Tahoma"/>
          <w:rtl/>
        </w:rPr>
        <w:t xml:space="preserve"> </w:t>
      </w:r>
      <w:r w:rsidRPr="00AA5065">
        <w:rPr>
          <w:rFonts w:ascii="Tahoma" w:eastAsia="Calibri" w:hAnsi="Tahoma" w:hint="eastAsia"/>
          <w:rtl/>
        </w:rPr>
        <w:t>ממש</w:t>
      </w:r>
      <w:r w:rsidRPr="00AA5065">
        <w:rPr>
          <w:rFonts w:ascii="Tahoma" w:eastAsia="Calibri" w:hAnsi="Tahoma"/>
          <w:rtl/>
        </w:rPr>
        <w:t xml:space="preserve">. </w:t>
      </w:r>
      <w:r w:rsidRPr="00AA5065">
        <w:rPr>
          <w:rFonts w:ascii="Tahoma" w:eastAsia="Calibri" w:hAnsi="Tahoma" w:hint="eastAsia"/>
          <w:rtl/>
        </w:rPr>
        <w:t>כבר</w:t>
      </w:r>
      <w:r w:rsidRPr="00AA5065">
        <w:rPr>
          <w:rFonts w:ascii="Tahoma" w:eastAsia="Calibri" w:hAnsi="Tahoma"/>
          <w:rtl/>
        </w:rPr>
        <w:t xml:space="preserve"> </w:t>
      </w:r>
      <w:r w:rsidRPr="00AA5065">
        <w:rPr>
          <w:rFonts w:ascii="Tahoma" w:eastAsia="Calibri" w:hAnsi="Tahoma" w:hint="eastAsia"/>
          <w:rtl/>
        </w:rPr>
        <w:t>עתה</w:t>
      </w:r>
      <w:r w:rsidRPr="00AA5065">
        <w:rPr>
          <w:rFonts w:ascii="Tahoma" w:eastAsia="Calibri" w:hAnsi="Tahoma"/>
          <w:rtl/>
        </w:rPr>
        <w:t xml:space="preserve"> </w:t>
      </w:r>
      <w:r w:rsidRPr="00AA5065">
        <w:rPr>
          <w:rFonts w:ascii="Tahoma" w:eastAsia="Calibri" w:hAnsi="Tahoma" w:hint="eastAsia"/>
          <w:rtl/>
        </w:rPr>
        <w:t>הביוב</w:t>
      </w:r>
      <w:r w:rsidRPr="00AA5065">
        <w:rPr>
          <w:rFonts w:ascii="Tahoma" w:eastAsia="Calibri" w:hAnsi="Tahoma"/>
          <w:rtl/>
        </w:rPr>
        <w:t xml:space="preserve"> </w:t>
      </w:r>
      <w:r w:rsidRPr="00AA5065">
        <w:rPr>
          <w:rFonts w:ascii="Tahoma" w:eastAsia="Calibri" w:hAnsi="Tahoma" w:hint="eastAsia"/>
          <w:rtl/>
        </w:rPr>
        <w:t>זורם</w:t>
      </w:r>
      <w:r w:rsidRPr="00AA5065">
        <w:rPr>
          <w:rFonts w:ascii="Tahoma" w:eastAsia="Calibri" w:hAnsi="Tahoma"/>
          <w:rtl/>
        </w:rPr>
        <w:t xml:space="preserve"> </w:t>
      </w:r>
      <w:r w:rsidRPr="00AA5065">
        <w:rPr>
          <w:rFonts w:ascii="Tahoma" w:eastAsia="Calibri" w:hAnsi="Tahoma" w:hint="eastAsia"/>
          <w:rtl/>
        </w:rPr>
        <w:t>ברחובות</w:t>
      </w:r>
      <w:r w:rsidRPr="00AA5065">
        <w:rPr>
          <w:rFonts w:ascii="Tahoma" w:eastAsia="Calibri" w:hAnsi="Tahoma"/>
          <w:rtl/>
        </w:rPr>
        <w:t xml:space="preserve"> </w:t>
      </w:r>
      <w:r w:rsidRPr="00AA5065">
        <w:rPr>
          <w:rFonts w:ascii="Tahoma" w:eastAsia="Calibri" w:hAnsi="Tahoma" w:hint="eastAsia"/>
          <w:rtl/>
        </w:rPr>
        <w:t>ובין</w:t>
      </w:r>
      <w:r w:rsidRPr="00AA5065">
        <w:rPr>
          <w:rFonts w:ascii="Tahoma" w:eastAsia="Calibri" w:hAnsi="Tahoma"/>
          <w:rtl/>
        </w:rPr>
        <w:t xml:space="preserve"> </w:t>
      </w:r>
      <w:r w:rsidRPr="00AA5065">
        <w:rPr>
          <w:rFonts w:ascii="Tahoma" w:eastAsia="Calibri" w:hAnsi="Tahoma" w:hint="eastAsia"/>
          <w:rtl/>
        </w:rPr>
        <w:t>הבתים</w:t>
      </w:r>
      <w:r w:rsidRPr="00AA5065">
        <w:rPr>
          <w:rFonts w:ascii="Tahoma" w:eastAsia="Calibri" w:hAnsi="Tahoma"/>
          <w:rtl/>
        </w:rPr>
        <w:t xml:space="preserve">, </w:t>
      </w:r>
      <w:r w:rsidRPr="00AA5065">
        <w:rPr>
          <w:rFonts w:ascii="Tahoma" w:eastAsia="Calibri" w:hAnsi="Tahoma" w:hint="eastAsia"/>
          <w:rtl/>
        </w:rPr>
        <w:t>שלוליות</w:t>
      </w:r>
      <w:r w:rsidRPr="00AA5065">
        <w:rPr>
          <w:rFonts w:ascii="Tahoma" w:eastAsia="Calibri" w:hAnsi="Tahoma"/>
          <w:rtl/>
        </w:rPr>
        <w:t xml:space="preserve"> </w:t>
      </w:r>
      <w:r w:rsidRPr="00AA5065">
        <w:rPr>
          <w:rFonts w:ascii="Tahoma" w:eastAsia="Calibri" w:hAnsi="Tahoma" w:hint="eastAsia"/>
          <w:rtl/>
        </w:rPr>
        <w:t>ענק</w:t>
      </w:r>
      <w:r w:rsidRPr="00AA5065">
        <w:rPr>
          <w:rFonts w:ascii="Tahoma" w:eastAsia="Calibri" w:hAnsi="Tahoma"/>
          <w:rtl/>
        </w:rPr>
        <w:t xml:space="preserve"> </w:t>
      </w:r>
      <w:r w:rsidRPr="00AA5065">
        <w:rPr>
          <w:rFonts w:ascii="Tahoma" w:eastAsia="Calibri" w:hAnsi="Tahoma" w:hint="eastAsia"/>
          <w:rtl/>
        </w:rPr>
        <w:t>נקוות</w:t>
      </w:r>
      <w:r w:rsidRPr="00AA5065">
        <w:rPr>
          <w:rFonts w:ascii="Tahoma" w:eastAsia="Calibri" w:hAnsi="Tahoma"/>
          <w:rtl/>
        </w:rPr>
        <w:t xml:space="preserve"> </w:t>
      </w:r>
      <w:r w:rsidRPr="00AA5065">
        <w:rPr>
          <w:rFonts w:ascii="Tahoma" w:eastAsia="Calibri" w:hAnsi="Tahoma" w:hint="eastAsia"/>
          <w:rtl/>
        </w:rPr>
        <w:t>באופן</w:t>
      </w:r>
      <w:r w:rsidRPr="00AA5065">
        <w:rPr>
          <w:rFonts w:ascii="Tahoma" w:eastAsia="Calibri" w:hAnsi="Tahoma"/>
          <w:rtl/>
        </w:rPr>
        <w:t xml:space="preserve"> </w:t>
      </w:r>
      <w:r w:rsidRPr="00AA5065">
        <w:rPr>
          <w:rFonts w:ascii="Tahoma" w:eastAsia="Calibri" w:hAnsi="Tahoma" w:hint="eastAsia"/>
          <w:rtl/>
        </w:rPr>
        <w:t>המסכן</w:t>
      </w:r>
      <w:r w:rsidRPr="00AA5065">
        <w:rPr>
          <w:rFonts w:ascii="Tahoma" w:eastAsia="Calibri" w:hAnsi="Tahoma"/>
          <w:rtl/>
        </w:rPr>
        <w:t xml:space="preserve"> </w:t>
      </w:r>
      <w:r w:rsidRPr="00AA5065">
        <w:rPr>
          <w:rFonts w:ascii="Tahoma" w:eastAsia="Calibri" w:hAnsi="Tahoma" w:hint="eastAsia"/>
          <w:rtl/>
        </w:rPr>
        <w:t>עוברי</w:t>
      </w:r>
      <w:r w:rsidRPr="00AA5065">
        <w:rPr>
          <w:rFonts w:ascii="Tahoma" w:eastAsia="Calibri" w:hAnsi="Tahoma"/>
          <w:rtl/>
        </w:rPr>
        <w:t xml:space="preserve"> </w:t>
      </w:r>
      <w:r w:rsidRPr="00AA5065">
        <w:rPr>
          <w:rFonts w:ascii="Tahoma" w:eastAsia="Calibri" w:hAnsi="Tahoma" w:hint="eastAsia"/>
          <w:rtl/>
        </w:rPr>
        <w:t>אורח</w:t>
      </w:r>
      <w:r w:rsidRPr="00AA5065">
        <w:rPr>
          <w:rFonts w:ascii="Tahoma" w:eastAsia="Calibri" w:hAnsi="Tahoma"/>
          <w:rtl/>
        </w:rPr>
        <w:t xml:space="preserve"> </w:t>
      </w:r>
      <w:r w:rsidRPr="00AA5065">
        <w:rPr>
          <w:rFonts w:ascii="Tahoma" w:eastAsia="Calibri" w:hAnsi="Tahoma" w:hint="eastAsia"/>
          <w:rtl/>
        </w:rPr>
        <w:t>ובכללם</w:t>
      </w:r>
      <w:r w:rsidRPr="00AA5065">
        <w:rPr>
          <w:rFonts w:ascii="Tahoma" w:eastAsia="Calibri" w:hAnsi="Tahoma"/>
          <w:rtl/>
        </w:rPr>
        <w:t xml:space="preserve"> </w:t>
      </w:r>
      <w:r w:rsidRPr="00AA5065">
        <w:rPr>
          <w:rFonts w:ascii="Tahoma" w:eastAsia="Calibri" w:hAnsi="Tahoma" w:hint="eastAsia"/>
          <w:rtl/>
        </w:rPr>
        <w:t>ילדים</w:t>
      </w:r>
      <w:r w:rsidRPr="00AA5065">
        <w:rPr>
          <w:rFonts w:ascii="Tahoma" w:eastAsia="Calibri" w:hAnsi="Tahoma"/>
          <w:rtl/>
        </w:rPr>
        <w:t xml:space="preserve">, </w:t>
      </w:r>
      <w:r w:rsidRPr="00AA5065">
        <w:rPr>
          <w:rFonts w:ascii="Tahoma" w:eastAsia="Calibri" w:hAnsi="Tahoma" w:hint="eastAsia"/>
          <w:rtl/>
        </w:rPr>
        <w:t>ישנו</w:t>
      </w:r>
      <w:r w:rsidRPr="00AA5065">
        <w:rPr>
          <w:rFonts w:ascii="Tahoma" w:eastAsia="Calibri" w:hAnsi="Tahoma"/>
          <w:rtl/>
        </w:rPr>
        <w:t xml:space="preserve"> </w:t>
      </w:r>
      <w:r w:rsidRPr="00AA5065">
        <w:rPr>
          <w:rFonts w:ascii="Tahoma" w:eastAsia="Calibri" w:hAnsi="Tahoma" w:hint="eastAsia"/>
          <w:rtl/>
        </w:rPr>
        <w:t>חשש</w:t>
      </w:r>
      <w:r w:rsidRPr="00AA5065">
        <w:rPr>
          <w:rFonts w:ascii="Tahoma" w:eastAsia="Calibri" w:hAnsi="Tahoma"/>
          <w:rtl/>
        </w:rPr>
        <w:t xml:space="preserve"> </w:t>
      </w:r>
      <w:r w:rsidRPr="00AA5065">
        <w:rPr>
          <w:rFonts w:ascii="Tahoma" w:eastAsia="Calibri" w:hAnsi="Tahoma" w:hint="eastAsia"/>
          <w:rtl/>
        </w:rPr>
        <w:t>לחזרת</w:t>
      </w:r>
      <w:r w:rsidRPr="00AA5065">
        <w:rPr>
          <w:rFonts w:ascii="Tahoma" w:eastAsia="Calibri" w:hAnsi="Tahoma"/>
          <w:rtl/>
        </w:rPr>
        <w:t xml:space="preserve"> </w:t>
      </w:r>
      <w:r w:rsidRPr="00AA5065">
        <w:rPr>
          <w:rFonts w:ascii="Tahoma" w:eastAsia="Calibri" w:hAnsi="Tahoma" w:hint="eastAsia"/>
          <w:rtl/>
        </w:rPr>
        <w:t>שפכים</w:t>
      </w:r>
      <w:r w:rsidRPr="00AA5065">
        <w:rPr>
          <w:rFonts w:ascii="Tahoma" w:eastAsia="Calibri" w:hAnsi="Tahoma"/>
          <w:rtl/>
        </w:rPr>
        <w:t xml:space="preserve"> </w:t>
      </w:r>
      <w:r w:rsidRPr="00AA5065">
        <w:rPr>
          <w:rFonts w:ascii="Tahoma" w:eastAsia="Calibri" w:hAnsi="Tahoma" w:hint="eastAsia"/>
          <w:rtl/>
        </w:rPr>
        <w:t>לבתי</w:t>
      </w:r>
      <w:r w:rsidRPr="00AA5065">
        <w:rPr>
          <w:rFonts w:ascii="Tahoma" w:eastAsia="Calibri" w:hAnsi="Tahoma"/>
          <w:rtl/>
        </w:rPr>
        <w:t xml:space="preserve"> </w:t>
      </w:r>
      <w:r w:rsidRPr="00AA5065">
        <w:rPr>
          <w:rFonts w:ascii="Tahoma" w:eastAsia="Calibri" w:hAnsi="Tahoma" w:hint="eastAsia"/>
          <w:rtl/>
        </w:rPr>
        <w:t>התושבים</w:t>
      </w:r>
      <w:r w:rsidRPr="00AA5065">
        <w:rPr>
          <w:rFonts w:ascii="Tahoma" w:eastAsia="Calibri" w:hAnsi="Tahoma"/>
          <w:rtl/>
        </w:rPr>
        <w:t xml:space="preserve"> </w:t>
      </w:r>
      <w:r w:rsidRPr="00AA5065">
        <w:rPr>
          <w:rFonts w:ascii="Tahoma" w:eastAsia="Calibri" w:hAnsi="Tahoma" w:hint="eastAsia"/>
          <w:rtl/>
        </w:rPr>
        <w:t>וקיימת</w:t>
      </w:r>
      <w:r w:rsidRPr="00AA5065">
        <w:rPr>
          <w:rFonts w:ascii="Tahoma" w:eastAsia="Calibri" w:hAnsi="Tahoma"/>
          <w:rtl/>
        </w:rPr>
        <w:t xml:space="preserve"> </w:t>
      </w:r>
      <w:r w:rsidRPr="00AA5065">
        <w:rPr>
          <w:rFonts w:ascii="Tahoma" w:eastAsia="Calibri" w:hAnsi="Tahoma" w:hint="eastAsia"/>
          <w:rtl/>
        </w:rPr>
        <w:t>סכנה</w:t>
      </w:r>
      <w:r w:rsidRPr="00AA5065">
        <w:rPr>
          <w:rFonts w:ascii="Tahoma" w:eastAsia="Calibri" w:hAnsi="Tahoma"/>
          <w:rtl/>
        </w:rPr>
        <w:t xml:space="preserve"> </w:t>
      </w:r>
      <w:r w:rsidRPr="00AA5065">
        <w:rPr>
          <w:rFonts w:ascii="Tahoma" w:eastAsia="Calibri" w:hAnsi="Tahoma" w:hint="eastAsia"/>
          <w:rtl/>
        </w:rPr>
        <w:t>חמורה</w:t>
      </w:r>
      <w:r w:rsidRPr="00AA5065">
        <w:rPr>
          <w:rFonts w:ascii="Tahoma" w:eastAsia="Calibri" w:hAnsi="Tahoma"/>
          <w:rtl/>
        </w:rPr>
        <w:t xml:space="preserve"> </w:t>
      </w:r>
      <w:r w:rsidRPr="00AA5065">
        <w:rPr>
          <w:rFonts w:ascii="Tahoma" w:eastAsia="Calibri" w:hAnsi="Tahoma" w:hint="eastAsia"/>
          <w:rtl/>
        </w:rPr>
        <w:t>להתפתחות</w:t>
      </w:r>
      <w:r w:rsidRPr="00AA5065">
        <w:rPr>
          <w:rFonts w:ascii="Tahoma" w:eastAsia="Calibri" w:hAnsi="Tahoma"/>
          <w:rtl/>
        </w:rPr>
        <w:t xml:space="preserve"> </w:t>
      </w:r>
      <w:r w:rsidRPr="00AA5065">
        <w:rPr>
          <w:rFonts w:ascii="Tahoma" w:eastAsia="Calibri" w:hAnsi="Tahoma" w:hint="eastAsia"/>
          <w:rtl/>
        </w:rPr>
        <w:t>מחלות</w:t>
      </w:r>
      <w:r w:rsidRPr="00AA5065">
        <w:rPr>
          <w:rFonts w:ascii="Tahoma" w:eastAsia="Calibri" w:hAnsi="Tahoma"/>
          <w:rtl/>
        </w:rPr>
        <w:t xml:space="preserve"> </w:t>
      </w:r>
      <w:r w:rsidRPr="00AA5065">
        <w:rPr>
          <w:rFonts w:ascii="Tahoma" w:eastAsia="Calibri" w:hAnsi="Tahoma" w:hint="eastAsia"/>
          <w:rtl/>
        </w:rPr>
        <w:t>זיהומיות</w:t>
      </w:r>
      <w:r w:rsidRPr="00AA5065">
        <w:rPr>
          <w:rFonts w:ascii="Tahoma" w:eastAsia="Calibri" w:hAnsi="Tahoma"/>
          <w:rtl/>
        </w:rPr>
        <w:t xml:space="preserve"> </w:t>
      </w:r>
      <w:r w:rsidRPr="00AA5065">
        <w:rPr>
          <w:rFonts w:ascii="Tahoma" w:eastAsia="Calibri" w:hAnsi="Tahoma" w:hint="eastAsia"/>
          <w:rtl/>
        </w:rPr>
        <w:t>מסכנות</w:t>
      </w:r>
      <w:r w:rsidRPr="00AA5065">
        <w:rPr>
          <w:rFonts w:ascii="Tahoma" w:eastAsia="Calibri" w:hAnsi="Tahoma"/>
          <w:rtl/>
        </w:rPr>
        <w:t xml:space="preserve"> </w:t>
      </w:r>
      <w:r w:rsidRPr="00AA5065">
        <w:rPr>
          <w:rFonts w:ascii="Tahoma" w:eastAsia="Calibri" w:hAnsi="Tahoma" w:hint="eastAsia"/>
          <w:rtl/>
        </w:rPr>
        <w:t>חיים</w:t>
      </w:r>
      <w:r w:rsidRPr="00AA5065">
        <w:rPr>
          <w:rFonts w:ascii="Tahoma" w:eastAsia="Calibri" w:hAnsi="Tahoma" w:hint="cs"/>
          <w:rtl/>
        </w:rPr>
        <w:t>".</w:t>
      </w:r>
    </w:p>
    <w:p w:rsidR="00AA5065" w:rsidRPr="00AA5065" w:rsidP="00860D89">
      <w:pPr>
        <w:spacing w:line="269" w:lineRule="auto"/>
        <w:rPr>
          <w:rFonts w:ascii="Tahoma" w:eastAsia="Calibri" w:hAnsi="Tahoma"/>
          <w:rtl/>
        </w:rPr>
      </w:pPr>
      <w:bookmarkStart w:id="136" w:name="_Hlk204859631"/>
      <w:r w:rsidRPr="00AA5065">
        <w:rPr>
          <w:rFonts w:eastAsia="Times New Roman" w:hint="cs"/>
          <w:bCs/>
          <w:sz w:val="24"/>
          <w:rtl/>
        </w:rPr>
        <w:t xml:space="preserve">ממצאי הביקורת העלו כי קיימת </w:t>
      </w:r>
      <w:r w:rsidRPr="00AA5065">
        <w:rPr>
          <w:rFonts w:eastAsia="Times New Roman"/>
          <w:bCs/>
          <w:sz w:val="24"/>
          <w:rtl/>
        </w:rPr>
        <w:t>תופעה חמורה ונרחבת של השתלטות ובנייה בלתי חוקיות של תושבים על שטחים ציבוריים בהם מצויות תשתיות</w:t>
      </w:r>
      <w:r w:rsidRPr="00AA5065">
        <w:rPr>
          <w:rFonts w:eastAsia="Times New Roman" w:hint="cs"/>
          <w:bCs/>
          <w:sz w:val="24"/>
          <w:rtl/>
        </w:rPr>
        <w:t>,</w:t>
      </w:r>
      <w:r w:rsidRPr="00AA5065">
        <w:rPr>
          <w:rFonts w:eastAsia="Times New Roman"/>
          <w:bCs/>
          <w:sz w:val="24"/>
          <w:rtl/>
        </w:rPr>
        <w:t xml:space="preserve"> </w:t>
      </w:r>
      <w:r w:rsidRPr="00AA5065">
        <w:rPr>
          <w:rFonts w:eastAsia="Times New Roman" w:hint="cs"/>
          <w:bCs/>
          <w:sz w:val="24"/>
          <w:rtl/>
        </w:rPr>
        <w:t>הגורמת ל</w:t>
      </w:r>
      <w:r w:rsidRPr="00AA5065">
        <w:rPr>
          <w:rFonts w:eastAsia="Times New Roman"/>
          <w:bCs/>
          <w:sz w:val="24"/>
          <w:rtl/>
        </w:rPr>
        <w:t xml:space="preserve">פגיעות מכוונות וחמורות במערכות החיוניות של </w:t>
      </w:r>
      <w:r w:rsidRPr="00AA5065">
        <w:rPr>
          <w:rFonts w:eastAsia="Times New Roman" w:hint="cs"/>
          <w:bCs/>
          <w:sz w:val="24"/>
          <w:rtl/>
        </w:rPr>
        <w:t xml:space="preserve">תאגיד המים נווה מדבר. פגיעות אלו </w:t>
      </w:r>
      <w:r w:rsidRPr="00AA5065">
        <w:rPr>
          <w:rFonts w:eastAsia="Times New Roman"/>
          <w:bCs/>
          <w:sz w:val="24"/>
          <w:rtl/>
        </w:rPr>
        <w:t>מובילות לקריסת קווי ביוב, סתימת קווים מאספים, קריסת תהליכים במכון טיהור השפכים ונזק חמור לשוחות ביוב קיימות</w:t>
      </w:r>
      <w:r w:rsidRPr="00AA5065">
        <w:rPr>
          <w:rFonts w:eastAsia="Times New Roman" w:hint="cs"/>
          <w:bCs/>
          <w:sz w:val="24"/>
          <w:rtl/>
        </w:rPr>
        <w:t>. בנוסף ישנה בנייה בלתי חוקית ופגיעה בתשתיות מים וביוב באזור הנגב כמו גם</w:t>
      </w:r>
      <w:r w:rsidRPr="00AA5065">
        <w:rPr>
          <w:rFonts w:ascii="Tahoma" w:eastAsia="Calibri" w:hAnsi="Tahoma" w:hint="cs"/>
          <w:rtl/>
        </w:rPr>
        <w:t xml:space="preserve"> </w:t>
      </w:r>
      <w:r w:rsidRPr="00AA5065">
        <w:rPr>
          <w:rFonts w:ascii="Tahoma" w:eastAsia="Calibri" w:hAnsi="Tahoma" w:hint="eastAsia"/>
          <w:b/>
          <w:bCs/>
          <w:rtl/>
        </w:rPr>
        <w:t>הערמת</w:t>
      </w:r>
      <w:r w:rsidRPr="00AA5065">
        <w:rPr>
          <w:rFonts w:ascii="Tahoma" w:eastAsia="Calibri" w:hAnsi="Tahoma"/>
          <w:b/>
          <w:bCs/>
          <w:rtl/>
        </w:rPr>
        <w:t xml:space="preserve"> </w:t>
      </w:r>
      <w:r w:rsidRPr="00AA5065">
        <w:rPr>
          <w:rFonts w:ascii="Tahoma" w:eastAsia="Calibri" w:hAnsi="Tahoma" w:hint="eastAsia"/>
          <w:b/>
          <w:bCs/>
          <w:rtl/>
        </w:rPr>
        <w:t>פסולת</w:t>
      </w:r>
      <w:r w:rsidRPr="00AA5065">
        <w:rPr>
          <w:rFonts w:ascii="Tahoma" w:eastAsia="Calibri" w:hAnsi="Tahoma"/>
          <w:b/>
          <w:bCs/>
          <w:rtl/>
        </w:rPr>
        <w:t xml:space="preserve"> </w:t>
      </w:r>
      <w:r w:rsidRPr="00AA5065">
        <w:rPr>
          <w:rFonts w:ascii="Tahoma" w:eastAsia="Calibri" w:hAnsi="Tahoma" w:hint="eastAsia"/>
          <w:b/>
          <w:bCs/>
          <w:rtl/>
        </w:rPr>
        <w:t>בני</w:t>
      </w:r>
      <w:r w:rsidRPr="00AA5065">
        <w:rPr>
          <w:rFonts w:ascii="Tahoma" w:eastAsia="Calibri" w:hAnsi="Tahoma" w:hint="cs"/>
          <w:b/>
          <w:bCs/>
          <w:rtl/>
        </w:rPr>
        <w:t>י</w:t>
      </w:r>
      <w:r w:rsidRPr="00AA5065">
        <w:rPr>
          <w:rFonts w:ascii="Tahoma" w:eastAsia="Calibri" w:hAnsi="Tahoma" w:hint="eastAsia"/>
          <w:b/>
          <w:bCs/>
          <w:rtl/>
        </w:rPr>
        <w:t>ן</w:t>
      </w:r>
      <w:r w:rsidRPr="00AA5065">
        <w:rPr>
          <w:rFonts w:ascii="Tahoma" w:eastAsia="Calibri" w:hAnsi="Tahoma"/>
          <w:b/>
          <w:bCs/>
          <w:rtl/>
        </w:rPr>
        <w:t xml:space="preserve">, </w:t>
      </w:r>
      <w:r w:rsidRPr="00AA5065">
        <w:rPr>
          <w:rFonts w:ascii="Tahoma" w:eastAsia="Calibri" w:hAnsi="Tahoma" w:hint="eastAsia"/>
          <w:b/>
          <w:bCs/>
          <w:rtl/>
        </w:rPr>
        <w:t>פסולת</w:t>
      </w:r>
      <w:r w:rsidRPr="00AA5065">
        <w:rPr>
          <w:rFonts w:ascii="Tahoma" w:eastAsia="Calibri" w:hAnsi="Tahoma"/>
          <w:b/>
          <w:bCs/>
          <w:rtl/>
        </w:rPr>
        <w:t xml:space="preserve"> </w:t>
      </w:r>
      <w:r w:rsidRPr="00AA5065">
        <w:rPr>
          <w:rFonts w:ascii="Tahoma" w:eastAsia="Calibri" w:hAnsi="Tahoma" w:hint="eastAsia"/>
          <w:b/>
          <w:bCs/>
          <w:rtl/>
        </w:rPr>
        <w:t>ביתית</w:t>
      </w:r>
      <w:r w:rsidRPr="00AA5065">
        <w:rPr>
          <w:rFonts w:ascii="Tahoma" w:eastAsia="Calibri" w:hAnsi="Tahoma"/>
          <w:b/>
          <w:bCs/>
          <w:rtl/>
        </w:rPr>
        <w:t xml:space="preserve"> </w:t>
      </w:r>
      <w:r w:rsidRPr="00AA5065">
        <w:rPr>
          <w:rFonts w:ascii="Tahoma" w:eastAsia="Calibri" w:hAnsi="Tahoma" w:hint="eastAsia"/>
          <w:b/>
          <w:bCs/>
          <w:rtl/>
        </w:rPr>
        <w:t>וערימות</w:t>
      </w:r>
      <w:r w:rsidRPr="00AA5065">
        <w:rPr>
          <w:rFonts w:ascii="Tahoma" w:eastAsia="Calibri" w:hAnsi="Tahoma"/>
          <w:b/>
          <w:bCs/>
          <w:rtl/>
        </w:rPr>
        <w:t xml:space="preserve"> </w:t>
      </w:r>
      <w:r w:rsidRPr="00AA5065">
        <w:rPr>
          <w:rFonts w:ascii="Tahoma" w:eastAsia="Calibri" w:hAnsi="Tahoma" w:hint="eastAsia"/>
          <w:b/>
          <w:bCs/>
          <w:rtl/>
        </w:rPr>
        <w:t>עפר</w:t>
      </w:r>
      <w:r w:rsidRPr="00AA5065">
        <w:rPr>
          <w:rFonts w:ascii="Tahoma" w:eastAsia="Calibri" w:hAnsi="Tahoma"/>
          <w:b/>
          <w:bCs/>
          <w:rtl/>
        </w:rPr>
        <w:t xml:space="preserve"> </w:t>
      </w:r>
      <w:r w:rsidRPr="00AA5065">
        <w:rPr>
          <w:rFonts w:ascii="Tahoma" w:eastAsia="Calibri" w:hAnsi="Tahoma" w:hint="eastAsia"/>
          <w:b/>
          <w:bCs/>
          <w:rtl/>
        </w:rPr>
        <w:t>בכמויות</w:t>
      </w:r>
      <w:r w:rsidRPr="00AA5065">
        <w:rPr>
          <w:rFonts w:ascii="Tahoma" w:eastAsia="Calibri" w:hAnsi="Tahoma"/>
          <w:b/>
          <w:bCs/>
          <w:rtl/>
        </w:rPr>
        <w:t xml:space="preserve"> </w:t>
      </w:r>
      <w:r w:rsidRPr="00AA5065">
        <w:rPr>
          <w:rFonts w:ascii="Tahoma" w:eastAsia="Calibri" w:hAnsi="Tahoma" w:hint="eastAsia"/>
          <w:b/>
          <w:bCs/>
          <w:rtl/>
        </w:rPr>
        <w:t>של</w:t>
      </w:r>
      <w:r w:rsidRPr="00AA5065">
        <w:rPr>
          <w:rFonts w:ascii="Tahoma" w:eastAsia="Calibri" w:hAnsi="Tahoma"/>
          <w:b/>
          <w:bCs/>
          <w:rtl/>
        </w:rPr>
        <w:t xml:space="preserve"> </w:t>
      </w:r>
      <w:r w:rsidRPr="00AA5065">
        <w:rPr>
          <w:rFonts w:ascii="Tahoma" w:eastAsia="Calibri" w:hAnsi="Tahoma" w:hint="eastAsia"/>
          <w:b/>
          <w:bCs/>
          <w:rtl/>
        </w:rPr>
        <w:t>מטרים</w:t>
      </w:r>
      <w:r w:rsidRPr="00AA5065">
        <w:rPr>
          <w:rFonts w:ascii="Tahoma" w:eastAsia="Calibri" w:hAnsi="Tahoma"/>
          <w:b/>
          <w:bCs/>
          <w:rtl/>
        </w:rPr>
        <w:t xml:space="preserve"> </w:t>
      </w:r>
      <w:r w:rsidRPr="00AA5065">
        <w:rPr>
          <w:rFonts w:ascii="Tahoma" w:eastAsia="Calibri" w:hAnsi="Tahoma" w:hint="eastAsia"/>
          <w:b/>
          <w:bCs/>
          <w:rtl/>
        </w:rPr>
        <w:t>רבים</w:t>
      </w:r>
      <w:r w:rsidRPr="00AA5065">
        <w:rPr>
          <w:rFonts w:ascii="Tahoma" w:eastAsia="Calibri" w:hAnsi="Tahoma"/>
          <w:b/>
          <w:bCs/>
          <w:rtl/>
        </w:rPr>
        <w:t xml:space="preserve"> </w:t>
      </w:r>
      <w:r w:rsidRPr="00AA5065">
        <w:rPr>
          <w:rFonts w:ascii="Tahoma" w:eastAsia="Calibri" w:hAnsi="Tahoma" w:hint="eastAsia"/>
          <w:b/>
          <w:bCs/>
          <w:rtl/>
        </w:rPr>
        <w:t>מעל</w:t>
      </w:r>
      <w:r w:rsidRPr="00AA5065">
        <w:rPr>
          <w:rFonts w:ascii="Tahoma" w:eastAsia="Calibri" w:hAnsi="Tahoma"/>
          <w:b/>
          <w:bCs/>
          <w:rtl/>
        </w:rPr>
        <w:t xml:space="preserve"> </w:t>
      </w:r>
      <w:r w:rsidRPr="00AA5065">
        <w:rPr>
          <w:rFonts w:ascii="Tahoma" w:eastAsia="Calibri" w:hAnsi="Tahoma" w:hint="eastAsia"/>
          <w:b/>
          <w:bCs/>
          <w:rtl/>
        </w:rPr>
        <w:t>קווי</w:t>
      </w:r>
      <w:r w:rsidRPr="00AA5065">
        <w:rPr>
          <w:rFonts w:ascii="Tahoma" w:eastAsia="Calibri" w:hAnsi="Tahoma"/>
          <w:b/>
          <w:bCs/>
          <w:rtl/>
        </w:rPr>
        <w:t xml:space="preserve"> </w:t>
      </w:r>
      <w:r w:rsidRPr="00AA5065">
        <w:rPr>
          <w:rFonts w:ascii="Tahoma" w:eastAsia="Calibri" w:hAnsi="Tahoma" w:hint="eastAsia"/>
          <w:b/>
          <w:bCs/>
          <w:rtl/>
        </w:rPr>
        <w:t>ביוב</w:t>
      </w:r>
      <w:r w:rsidRPr="00AA5065">
        <w:rPr>
          <w:rFonts w:ascii="Tahoma" w:eastAsia="Calibri" w:hAnsi="Tahoma"/>
          <w:b/>
          <w:bCs/>
          <w:rtl/>
        </w:rPr>
        <w:t xml:space="preserve"> </w:t>
      </w:r>
      <w:r w:rsidRPr="00AA5065">
        <w:rPr>
          <w:rFonts w:ascii="Tahoma" w:eastAsia="Calibri" w:hAnsi="Tahoma" w:hint="eastAsia"/>
          <w:b/>
          <w:bCs/>
          <w:rtl/>
        </w:rPr>
        <w:t>קיימים</w:t>
      </w:r>
      <w:r w:rsidRPr="00AA5065">
        <w:rPr>
          <w:rFonts w:eastAsia="Times New Roman"/>
          <w:b/>
          <w:bCs/>
          <w:sz w:val="24"/>
          <w:rtl/>
        </w:rPr>
        <w:t xml:space="preserve"> </w:t>
      </w:r>
      <w:r w:rsidRPr="00AA5065">
        <w:rPr>
          <w:rFonts w:eastAsia="Times New Roman" w:hint="cs"/>
          <w:b/>
          <w:bCs/>
          <w:sz w:val="24"/>
          <w:rtl/>
        </w:rPr>
        <w:t>ה</w:t>
      </w:r>
      <w:r w:rsidRPr="00AA5065">
        <w:rPr>
          <w:rFonts w:eastAsia="Times New Roman" w:hint="cs"/>
          <w:bCs/>
          <w:sz w:val="24"/>
          <w:rtl/>
        </w:rPr>
        <w:t>גורמות לפגיעה בבריאות הציבור ובאיכות הסביבה וכן לנזקים כלכליים ל</w:t>
      </w:r>
      <w:r w:rsidRPr="00AA5065">
        <w:rPr>
          <w:rFonts w:eastAsia="Times New Roman"/>
          <w:bCs/>
          <w:sz w:val="24"/>
          <w:rtl/>
        </w:rPr>
        <w:t>תאגיד המים נווה מדבר</w:t>
      </w:r>
      <w:r w:rsidRPr="00AA5065">
        <w:rPr>
          <w:rFonts w:eastAsia="Times New Roman" w:hint="cs"/>
          <w:bCs/>
          <w:sz w:val="24"/>
          <w:rtl/>
        </w:rPr>
        <w:t xml:space="preserve"> האחראי לאספקת שירותי מים וביוב</w:t>
      </w:r>
      <w:r w:rsidRPr="00AA5065">
        <w:rPr>
          <w:rFonts w:ascii="Tahoma" w:eastAsia="Calibri" w:hAnsi="Tahoma"/>
          <w:b/>
          <w:bCs/>
          <w:rtl/>
        </w:rPr>
        <w:t>.</w:t>
      </w:r>
    </w:p>
    <w:bookmarkEnd w:id="136"/>
    <w:p w:rsidR="00AA5065" w:rsidRPr="00AA5065" w:rsidP="00860D89">
      <w:pPr>
        <w:spacing w:line="269" w:lineRule="auto"/>
        <w:ind w:left="-567"/>
        <w:rPr>
          <w:rFonts w:eastAsia="Calibri"/>
          <w:szCs w:val="20"/>
          <w:rtl/>
        </w:rPr>
      </w:pPr>
    </w:p>
    <w:p w:rsidR="00AA5065" w:rsidRPr="00AA5065" w:rsidP="00860D89">
      <w:pPr>
        <w:spacing w:line="269" w:lineRule="auto"/>
        <w:rPr>
          <w:rFonts w:ascii="Tahoma" w:eastAsia="Calibri" w:hAnsi="Tahoma"/>
          <w:b/>
          <w:bCs/>
          <w:rtl/>
        </w:rPr>
      </w:pPr>
      <w:r w:rsidRPr="00AA5065">
        <w:rPr>
          <w:rFonts w:ascii="Tahoma" w:eastAsia="Calibri" w:hAnsi="Tahoma" w:hint="cs"/>
          <w:b/>
          <w:bCs/>
          <w:rtl/>
        </w:rPr>
        <w:t>על</w:t>
      </w:r>
      <w:r w:rsidRPr="00AA5065">
        <w:rPr>
          <w:rFonts w:ascii="Tahoma" w:eastAsia="Calibri" w:hAnsi="Tahoma"/>
          <w:b/>
          <w:bCs/>
          <w:rtl/>
        </w:rPr>
        <w:t xml:space="preserve"> </w:t>
      </w:r>
      <w:r w:rsidRPr="00AA5065">
        <w:rPr>
          <w:rFonts w:ascii="Tahoma" w:eastAsia="Calibri" w:hAnsi="Tahoma" w:hint="cs"/>
          <w:b/>
          <w:bCs/>
          <w:rtl/>
        </w:rPr>
        <w:t>תאגיד המים והרשויות המקומיות באזור הנגב לפעול לתיקון תשתיות מים וביוב שלהן נגרמו הנזקים, ועל המשטרה לפעול למניעת התופעה של בנייה בלתי חוקית ופגיעה בתשתיות מים וביוב באזור הנגב אשר להן השפעה ממשית על איכות החיים של התושבים ועל החי והצומח באזור הנגב.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sz w:val="24"/>
          <w:rtl/>
        </w:rPr>
      </w:pPr>
      <w:r w:rsidRPr="00AA5065">
        <w:rPr>
          <w:rFonts w:eastAsia="Calibri"/>
          <w:sz w:val="24"/>
          <w:rtl/>
        </w:rPr>
        <w:t>תאגיד המים נווה מדבר</w:t>
      </w:r>
      <w:r w:rsidRPr="00AA5065">
        <w:rPr>
          <w:rFonts w:eastAsia="Calibri" w:hint="cs"/>
          <w:sz w:val="24"/>
          <w:rtl/>
        </w:rPr>
        <w:t xml:space="preserve"> מסר בתשובתו </w:t>
      </w:r>
      <w:r w:rsidRPr="00AA5065">
        <w:rPr>
          <w:rFonts w:eastAsia="Calibri"/>
          <w:sz w:val="24"/>
          <w:rtl/>
        </w:rPr>
        <w:t>מיום 1.9.25 כי "התאגיד הוביל סדרה של פגישות וישיבות עם מפקדי תחנות המשטרה הרלוונטיות במחוז דרום. קיים</w:t>
      </w:r>
      <w:r w:rsidRPr="00AA5065">
        <w:rPr>
          <w:rFonts w:eastAsia="Calibri" w:hint="cs"/>
          <w:sz w:val="24"/>
          <w:rtl/>
        </w:rPr>
        <w:t xml:space="preserve"> </w:t>
      </w:r>
      <w:r w:rsidRPr="00AA5065">
        <w:rPr>
          <w:rFonts w:eastAsia="Calibri"/>
          <w:sz w:val="24"/>
          <w:rtl/>
        </w:rPr>
        <w:t>שיתוף פעולה עם התחנות. התאגיד מגיש תלונות למשטרה נגד תושבים שמתחברים ישיר למערכת</w:t>
      </w:r>
      <w:r w:rsidRPr="00AA5065">
        <w:rPr>
          <w:rFonts w:eastAsia="Calibri"/>
          <w:sz w:val="24"/>
        </w:rPr>
        <w:t>.</w:t>
      </w:r>
      <w:r w:rsidRPr="00AA5065">
        <w:rPr>
          <w:rFonts w:eastAsia="Calibri" w:hint="cs"/>
          <w:sz w:val="24"/>
          <w:rtl/>
        </w:rPr>
        <w:t xml:space="preserve"> </w:t>
      </w:r>
      <w:r w:rsidRPr="00AA5065">
        <w:rPr>
          <w:rFonts w:eastAsia="Calibri"/>
          <w:sz w:val="24"/>
          <w:rtl/>
        </w:rPr>
        <w:t>עם זאת, עדיין לא רואים תוצאה של תלונות אלה ולא נודע לתאגיד על התקדמות בטיפול המשטרה</w:t>
      </w:r>
      <w:r w:rsidRPr="00AA5065">
        <w:rPr>
          <w:rFonts w:eastAsia="Calibri" w:hint="cs"/>
          <w:sz w:val="24"/>
          <w:rtl/>
        </w:rPr>
        <w:t xml:space="preserve"> </w:t>
      </w:r>
      <w:r w:rsidRPr="00AA5065">
        <w:rPr>
          <w:rFonts w:eastAsia="Calibri"/>
          <w:sz w:val="24"/>
          <w:rtl/>
        </w:rPr>
        <w:t>בנושא</w:t>
      </w:r>
      <w:r w:rsidRPr="00AA5065">
        <w:rPr>
          <w:rFonts w:eastAsia="Calibri"/>
          <w:sz w:val="24"/>
        </w:rPr>
        <w:t>.</w:t>
      </w:r>
      <w:r w:rsidRPr="00AA5065">
        <w:rPr>
          <w:rFonts w:eastAsia="Calibri" w:hint="cs"/>
          <w:sz w:val="24"/>
          <w:rtl/>
        </w:rPr>
        <w:t xml:space="preserve"> </w:t>
      </w:r>
      <w:r w:rsidRPr="00AA5065">
        <w:rPr>
          <w:rFonts w:eastAsia="Calibri"/>
          <w:sz w:val="24"/>
          <w:rtl/>
        </w:rPr>
        <w:t xml:space="preserve">התאגיד הרחיב את מערך הבקרים וקלט עובדים נוספים </w:t>
      </w:r>
      <w:r w:rsidRPr="00AA5065">
        <w:rPr>
          <w:rFonts w:eastAsia="Calibri" w:hint="cs"/>
          <w:sz w:val="24"/>
          <w:rtl/>
        </w:rPr>
        <w:t>(</w:t>
      </w:r>
      <w:r w:rsidRPr="00AA5065">
        <w:rPr>
          <w:rFonts w:eastAsia="Calibri"/>
          <w:sz w:val="24"/>
          <w:rtl/>
        </w:rPr>
        <w:t>במימון ואישור רשות המים כחלק מתכנית</w:t>
      </w:r>
      <w:r w:rsidRPr="00AA5065">
        <w:rPr>
          <w:rFonts w:eastAsia="Calibri" w:hint="cs"/>
          <w:sz w:val="24"/>
          <w:rtl/>
        </w:rPr>
        <w:t xml:space="preserve"> </w:t>
      </w:r>
      <w:r w:rsidRPr="00AA5065">
        <w:rPr>
          <w:rFonts w:eastAsia="Calibri"/>
          <w:sz w:val="24"/>
          <w:rtl/>
        </w:rPr>
        <w:t>עבודה רב שנתית</w:t>
      </w:r>
      <w:r w:rsidRPr="00AA5065">
        <w:rPr>
          <w:rFonts w:eastAsia="Calibri" w:hint="cs"/>
          <w:sz w:val="24"/>
          <w:rtl/>
        </w:rPr>
        <w:t>)</w:t>
      </w:r>
      <w:r w:rsidRPr="00AA5065">
        <w:rPr>
          <w:rFonts w:eastAsia="Calibri"/>
          <w:sz w:val="24"/>
          <w:rtl/>
        </w:rPr>
        <w:t xml:space="preserve"> שנוכחים בשטח על בסיס יומי ומטפלים בחיבורים ישירים ובתיקון וונדליזם</w:t>
      </w:r>
      <w:r w:rsidRPr="00AA5065">
        <w:rPr>
          <w:rFonts w:eastAsia="Calibri" w:hint="cs"/>
          <w:sz w:val="24"/>
          <w:rtl/>
        </w:rPr>
        <w:t xml:space="preserve"> </w:t>
      </w:r>
      <w:r w:rsidRPr="00AA5065">
        <w:rPr>
          <w:rFonts w:eastAsia="Calibri"/>
          <w:sz w:val="24"/>
          <w:rtl/>
        </w:rPr>
        <w:t>המופנה נגד מוני המים. כמה מהבקרים בחרו לסיים את עבודתם בגלל אלימות פיזית ומילולית</w:t>
      </w:r>
      <w:r w:rsidRPr="00AA5065">
        <w:rPr>
          <w:rFonts w:eastAsia="Calibri" w:hint="cs"/>
          <w:sz w:val="24"/>
          <w:rtl/>
        </w:rPr>
        <w:t xml:space="preserve"> </w:t>
      </w:r>
      <w:r w:rsidRPr="00AA5065">
        <w:rPr>
          <w:rFonts w:eastAsia="Calibri"/>
          <w:sz w:val="24"/>
          <w:rtl/>
        </w:rPr>
        <w:t>שהופנתה כלפיהם</w:t>
      </w:r>
      <w:r w:rsidRPr="00AA5065">
        <w:rPr>
          <w:rFonts w:eastAsia="Calibri"/>
          <w:sz w:val="24"/>
        </w:rPr>
        <w:t>.</w:t>
      </w:r>
      <w:r w:rsidRPr="00AA5065">
        <w:rPr>
          <w:rFonts w:eastAsia="Calibri" w:hint="cs"/>
          <w:sz w:val="24"/>
          <w:rtl/>
        </w:rPr>
        <w:t>..</w:t>
      </w:r>
      <w:r w:rsidRPr="00AA5065">
        <w:rPr>
          <w:rFonts w:eastAsia="Calibri"/>
          <w:sz w:val="24"/>
          <w:rtl/>
        </w:rPr>
        <w:t xml:space="preserve"> התאגיד מקיים קשר באופן תדיר עם המשרד ל</w:t>
      </w:r>
      <w:r w:rsidRPr="00AA5065">
        <w:rPr>
          <w:rFonts w:eastAsia="Calibri" w:hint="cs"/>
          <w:sz w:val="24"/>
          <w:rtl/>
        </w:rPr>
        <w:t>הג"ס</w:t>
      </w:r>
      <w:r w:rsidRPr="00AA5065">
        <w:rPr>
          <w:rFonts w:eastAsia="Calibri"/>
          <w:sz w:val="24"/>
          <w:rtl/>
        </w:rPr>
        <w:t xml:space="preserve"> ומשתף אותו בכל השתלטות על שטח</w:t>
      </w:r>
      <w:r w:rsidRPr="00AA5065">
        <w:rPr>
          <w:rFonts w:eastAsia="Calibri" w:hint="cs"/>
          <w:sz w:val="24"/>
          <w:rtl/>
        </w:rPr>
        <w:t xml:space="preserve"> </w:t>
      </w:r>
      <w:r w:rsidRPr="00AA5065">
        <w:rPr>
          <w:rFonts w:eastAsia="Calibri"/>
          <w:sz w:val="24"/>
          <w:rtl/>
        </w:rPr>
        <w:t>המונעת טיפול במפגעי ביוב</w:t>
      </w:r>
      <w:r w:rsidRPr="00AA5065">
        <w:rPr>
          <w:rFonts w:eastAsia="Calibri" w:hint="cs"/>
          <w:sz w:val="24"/>
          <w:rtl/>
        </w:rPr>
        <w:t xml:space="preserve">. </w:t>
      </w:r>
      <w:r w:rsidRPr="00AA5065">
        <w:rPr>
          <w:rFonts w:eastAsia="Calibri"/>
          <w:sz w:val="24"/>
          <w:rtl/>
        </w:rPr>
        <w:t xml:space="preserve">נחזור ונדגיש שתופעת הוונדליזם והפגיעה בתשתיות התאגיד ממשיכה. כך למשל, </w:t>
      </w:r>
      <w:r w:rsidRPr="00AA5065">
        <w:rPr>
          <w:rFonts w:eastAsia="Calibri" w:hint="cs"/>
          <w:sz w:val="24"/>
          <w:rtl/>
        </w:rPr>
        <w:t>(</w:t>
      </w:r>
      <w:r w:rsidRPr="00AA5065">
        <w:rPr>
          <w:rFonts w:eastAsia="Calibri"/>
          <w:sz w:val="24"/>
          <w:rtl/>
        </w:rPr>
        <w:t>1</w:t>
      </w:r>
      <w:r w:rsidRPr="00AA5065">
        <w:rPr>
          <w:rFonts w:eastAsia="Calibri" w:hint="cs"/>
          <w:sz w:val="24"/>
          <w:rtl/>
        </w:rPr>
        <w:t xml:space="preserve">) </w:t>
      </w:r>
      <w:r w:rsidRPr="00AA5065">
        <w:rPr>
          <w:rFonts w:eastAsia="Calibri"/>
          <w:sz w:val="24"/>
          <w:rtl/>
        </w:rPr>
        <w:t>בחודש האחרון</w:t>
      </w:r>
      <w:r w:rsidRPr="00AA5065">
        <w:rPr>
          <w:rFonts w:eastAsia="Calibri" w:hint="cs"/>
          <w:sz w:val="24"/>
          <w:rtl/>
        </w:rPr>
        <w:t xml:space="preserve"> </w:t>
      </w:r>
      <w:r w:rsidRPr="00AA5065">
        <w:rPr>
          <w:rFonts w:eastAsia="Calibri"/>
          <w:sz w:val="24"/>
          <w:rtl/>
        </w:rPr>
        <w:t xml:space="preserve">הושחתו </w:t>
      </w:r>
      <w:r w:rsidRPr="00AA5065">
        <w:rPr>
          <w:rFonts w:eastAsia="Calibri" w:hint="cs"/>
          <w:sz w:val="24"/>
          <w:rtl/>
        </w:rPr>
        <w:t>(</w:t>
      </w:r>
      <w:r w:rsidRPr="00AA5065">
        <w:rPr>
          <w:rFonts w:eastAsia="Calibri"/>
          <w:sz w:val="24"/>
          <w:rtl/>
        </w:rPr>
        <w:t>כמה פעמים</w:t>
      </w:r>
      <w:r w:rsidRPr="00AA5065">
        <w:rPr>
          <w:rFonts w:eastAsia="Calibri" w:hint="cs"/>
          <w:sz w:val="24"/>
          <w:rtl/>
        </w:rPr>
        <w:t xml:space="preserve">) </w:t>
      </w:r>
      <w:r w:rsidRPr="00AA5065">
        <w:rPr>
          <w:rFonts w:eastAsia="Calibri"/>
          <w:sz w:val="24"/>
          <w:rtl/>
        </w:rPr>
        <w:t xml:space="preserve">גומחות לריכוזי מים שנותנות שירות לתושבים של אלקסום, </w:t>
      </w:r>
      <w:r w:rsidRPr="00AA5065">
        <w:rPr>
          <w:rFonts w:eastAsia="Calibri" w:hint="cs"/>
          <w:sz w:val="24"/>
          <w:rtl/>
        </w:rPr>
        <w:t>(</w:t>
      </w:r>
      <w:r w:rsidRPr="00AA5065">
        <w:rPr>
          <w:rFonts w:eastAsia="Calibri"/>
          <w:sz w:val="24"/>
          <w:rtl/>
        </w:rPr>
        <w:t>2</w:t>
      </w:r>
      <w:r w:rsidRPr="00AA5065">
        <w:rPr>
          <w:rFonts w:eastAsia="Calibri" w:hint="cs"/>
          <w:sz w:val="24"/>
          <w:rtl/>
        </w:rPr>
        <w:t>)</w:t>
      </w:r>
      <w:r w:rsidRPr="00AA5065">
        <w:rPr>
          <w:rFonts w:eastAsia="Calibri"/>
          <w:sz w:val="24"/>
          <w:rtl/>
        </w:rPr>
        <w:t xml:space="preserve"> תחנת</w:t>
      </w:r>
      <w:r w:rsidRPr="00AA5065">
        <w:rPr>
          <w:rFonts w:eastAsia="Calibri" w:hint="cs"/>
          <w:sz w:val="24"/>
          <w:rtl/>
        </w:rPr>
        <w:t xml:space="preserve"> </w:t>
      </w:r>
      <w:r w:rsidRPr="00AA5065">
        <w:rPr>
          <w:rFonts w:eastAsia="Calibri"/>
          <w:sz w:val="24"/>
          <w:rtl/>
        </w:rPr>
        <w:t xml:space="preserve">השאיבה של תל שבע נשרפה ונפגעה קשות </w:t>
      </w:r>
      <w:r w:rsidRPr="00AA5065">
        <w:rPr>
          <w:rFonts w:eastAsia="Calibri" w:hint="cs"/>
          <w:sz w:val="24"/>
          <w:rtl/>
        </w:rPr>
        <w:t>(</w:t>
      </w:r>
      <w:r w:rsidRPr="00AA5065">
        <w:rPr>
          <w:rFonts w:eastAsia="Calibri"/>
          <w:sz w:val="24"/>
          <w:rtl/>
        </w:rPr>
        <w:t>אשר חזרתה לתפקוד דרש השקעה כספית של כ-100 אלף</w:t>
      </w:r>
      <w:r w:rsidRPr="00AA5065">
        <w:rPr>
          <w:rFonts w:eastAsia="Calibri" w:hint="cs"/>
          <w:sz w:val="24"/>
          <w:rtl/>
        </w:rPr>
        <w:t xml:space="preserve"> ש"ח),</w:t>
      </w:r>
      <w:r w:rsidRPr="00AA5065">
        <w:rPr>
          <w:rFonts w:eastAsia="Calibri"/>
          <w:sz w:val="24"/>
          <w:rtl/>
        </w:rPr>
        <w:t xml:space="preserve"> </w:t>
      </w:r>
      <w:r w:rsidRPr="00AA5065">
        <w:rPr>
          <w:rFonts w:eastAsia="Calibri" w:hint="cs"/>
          <w:sz w:val="24"/>
          <w:rtl/>
        </w:rPr>
        <w:t>(3</w:t>
      </w:r>
      <w:r w:rsidRPr="00AA5065">
        <w:rPr>
          <w:rFonts w:eastAsia="Calibri"/>
          <w:sz w:val="24"/>
        </w:rPr>
        <w:t xml:space="preserve"> (</w:t>
      </w:r>
      <w:r w:rsidRPr="00AA5065">
        <w:rPr>
          <w:rFonts w:eastAsia="Calibri" w:hint="cs"/>
          <w:sz w:val="24"/>
          <w:rtl/>
        </w:rPr>
        <w:t xml:space="preserve"> </w:t>
      </w:r>
      <w:r w:rsidRPr="00AA5065">
        <w:rPr>
          <w:rFonts w:eastAsia="Calibri"/>
          <w:sz w:val="24"/>
          <w:rtl/>
        </w:rPr>
        <w:t>מרכז חלוקת המים של לקיה נפגע בחודש האחרון שלוש פעמים כאשר בפעם האחרונה נשרפו</w:t>
      </w:r>
      <w:r w:rsidRPr="00AA5065">
        <w:rPr>
          <w:rFonts w:eastAsia="Calibri" w:hint="cs"/>
          <w:sz w:val="24"/>
          <w:rtl/>
        </w:rPr>
        <w:t xml:space="preserve"> </w:t>
      </w:r>
      <w:r w:rsidRPr="00AA5065">
        <w:rPr>
          <w:rFonts w:eastAsia="Calibri"/>
          <w:sz w:val="24"/>
          <w:rtl/>
        </w:rPr>
        <w:t xml:space="preserve">קווי מים, </w:t>
      </w:r>
      <w:r w:rsidRPr="00AA5065">
        <w:rPr>
          <w:rFonts w:eastAsia="Calibri" w:hint="cs"/>
          <w:sz w:val="24"/>
          <w:rtl/>
        </w:rPr>
        <w:t>(</w:t>
      </w:r>
      <w:r w:rsidRPr="00AA5065">
        <w:rPr>
          <w:rFonts w:eastAsia="Calibri"/>
          <w:sz w:val="24"/>
          <w:rtl/>
        </w:rPr>
        <w:t>4</w:t>
      </w:r>
      <w:r w:rsidRPr="00AA5065">
        <w:rPr>
          <w:rFonts w:eastAsia="Calibri" w:hint="cs"/>
          <w:sz w:val="24"/>
          <w:rtl/>
        </w:rPr>
        <w:t xml:space="preserve">) </w:t>
      </w:r>
      <w:r w:rsidRPr="00AA5065">
        <w:rPr>
          <w:rFonts w:eastAsia="Calibri"/>
          <w:sz w:val="24"/>
          <w:rtl/>
        </w:rPr>
        <w:t>פגיעה משמעותית נוספת התרחשה בריכוזי מדי המים המשרתים תושבים פזורה</w:t>
      </w:r>
      <w:r w:rsidRPr="00AA5065">
        <w:rPr>
          <w:rFonts w:eastAsia="Calibri" w:hint="cs"/>
          <w:sz w:val="24"/>
          <w:rtl/>
        </w:rPr>
        <w:t xml:space="preserve"> </w:t>
      </w:r>
      <w:r w:rsidRPr="00AA5065">
        <w:rPr>
          <w:rFonts w:eastAsia="Calibri"/>
          <w:sz w:val="24"/>
          <w:rtl/>
        </w:rPr>
        <w:t>בכסיפ</w:t>
      </w:r>
      <w:r w:rsidRPr="00AA5065">
        <w:rPr>
          <w:rFonts w:eastAsia="Calibri" w:hint="cs"/>
          <w:sz w:val="24"/>
          <w:rtl/>
        </w:rPr>
        <w:t>ה"</w:t>
      </w:r>
      <w:r w:rsidRPr="00AA5065">
        <w:rPr>
          <w:rFonts w:eastAsia="Calibri"/>
          <w:sz w:val="24"/>
        </w:rPr>
        <w:t>.</w:t>
      </w:r>
      <w:r w:rsidRPr="00AA5065">
        <w:rPr>
          <w:rFonts w:eastAsia="Calibri" w:hint="cs"/>
          <w:sz w:val="24"/>
          <w:rtl/>
        </w:rPr>
        <w:t xml:space="preserve"> </w:t>
      </w:r>
    </w:p>
    <w:p w:rsidR="00AA5065" w:rsidRPr="00AA5065" w:rsidP="00860D89">
      <w:pPr>
        <w:spacing w:line="269" w:lineRule="auto"/>
        <w:rPr>
          <w:rFonts w:eastAsia="Calibri"/>
          <w:rtl/>
        </w:rPr>
      </w:pPr>
    </w:p>
    <w:p w:rsidR="00AA5065" w:rsidRPr="00AA5065" w:rsidP="00860D89">
      <w:pPr>
        <w:keepNext/>
        <w:keepLines/>
        <w:spacing w:line="269" w:lineRule="auto"/>
        <w:outlineLvl w:val="3"/>
        <w:rPr>
          <w:rFonts w:eastAsia="Times New Roman"/>
          <w:bCs/>
          <w:szCs w:val="26"/>
          <w:rtl/>
        </w:rPr>
      </w:pPr>
      <w:r w:rsidRPr="00AA5065">
        <w:rPr>
          <w:rFonts w:eastAsia="Times New Roman" w:hint="eastAsia"/>
          <w:bCs/>
          <w:szCs w:val="26"/>
          <w:rtl/>
        </w:rPr>
        <w:t>פגיעה</w:t>
      </w:r>
      <w:r w:rsidRPr="00AA5065">
        <w:rPr>
          <w:rFonts w:eastAsia="Times New Roman"/>
          <w:bCs/>
          <w:szCs w:val="26"/>
          <w:rtl/>
        </w:rPr>
        <w:t xml:space="preserve"> </w:t>
      </w:r>
      <w:r w:rsidRPr="00AA5065">
        <w:rPr>
          <w:rFonts w:eastAsia="Times New Roman" w:hint="eastAsia"/>
          <w:bCs/>
          <w:szCs w:val="26"/>
          <w:rtl/>
        </w:rPr>
        <w:t>בתשתיות</w:t>
      </w:r>
      <w:r w:rsidRPr="00AA5065">
        <w:rPr>
          <w:rFonts w:eastAsia="Times New Roman"/>
          <w:bCs/>
          <w:szCs w:val="26"/>
          <w:rtl/>
        </w:rPr>
        <w:t xml:space="preserve"> </w:t>
      </w:r>
      <w:r w:rsidRPr="00AA5065">
        <w:rPr>
          <w:rFonts w:eastAsia="Times New Roman" w:hint="eastAsia"/>
          <w:bCs/>
          <w:szCs w:val="26"/>
          <w:rtl/>
        </w:rPr>
        <w:t>חברת</w:t>
      </w:r>
      <w:r w:rsidRPr="00AA5065">
        <w:rPr>
          <w:rFonts w:eastAsia="Times New Roman"/>
          <w:bCs/>
          <w:szCs w:val="26"/>
          <w:rtl/>
        </w:rPr>
        <w:t xml:space="preserve"> </w:t>
      </w:r>
      <w:r w:rsidRPr="00AA5065">
        <w:rPr>
          <w:rFonts w:eastAsia="Times New Roman" w:hint="eastAsia"/>
          <w:bCs/>
          <w:szCs w:val="26"/>
          <w:rtl/>
        </w:rPr>
        <w:t>תקשורת</w:t>
      </w:r>
    </w:p>
    <w:p w:rsidR="00AA5065" w:rsidRPr="00AA5065" w:rsidP="00860D89">
      <w:pPr>
        <w:spacing w:line="269" w:lineRule="auto"/>
        <w:rPr>
          <w:rFonts w:eastAsia="Calibri"/>
          <w:rtl/>
        </w:rPr>
      </w:pPr>
    </w:p>
    <w:p w:rsidR="00AA5065" w:rsidRPr="00AA5065" w:rsidP="002A07BA">
      <w:pPr>
        <w:pStyle w:val="Heading7"/>
        <w:rPr>
          <w:rFonts w:eastAsia="Times New Roman"/>
          <w:rtl/>
        </w:rPr>
      </w:pPr>
      <w:r w:rsidRPr="00AA5065">
        <w:rPr>
          <w:rFonts w:eastAsia="Times New Roman"/>
          <w:rtl/>
        </w:rPr>
        <w:t xml:space="preserve">הנושא המפורט להלן נבדק לראשונה במסגרת ביקורת זו </w:t>
      </w:r>
    </w:p>
    <w:p w:rsidR="00AA5065" w:rsidRPr="00AA5065" w:rsidP="00860D89">
      <w:pPr>
        <w:spacing w:line="269" w:lineRule="auto"/>
        <w:ind w:left="-567"/>
        <w:rPr>
          <w:rFonts w:eastAsia="Calibri"/>
          <w:szCs w:val="20"/>
          <w:rtl/>
        </w:rPr>
      </w:pPr>
    </w:p>
    <w:p w:rsidR="00AA5065" w:rsidRPr="00AA5065" w:rsidP="00860D89">
      <w:pPr>
        <w:spacing w:line="269" w:lineRule="auto"/>
        <w:rPr>
          <w:rFonts w:ascii="Tahoma" w:eastAsia="Calibri" w:hAnsi="Tahoma"/>
          <w:rtl/>
        </w:rPr>
      </w:pPr>
      <w:r w:rsidRPr="00AA5065">
        <w:rPr>
          <w:rFonts w:eastAsia="Calibri" w:hint="cs"/>
          <w:sz w:val="24"/>
          <w:rtl/>
        </w:rPr>
        <w:t xml:space="preserve">בפגישה שקיימו באוקטובר 2024 נציגי משרד מבקר המדינה עם ראש אגף הביטחון של חברת תקשורת גדולה (להלן - חברה א') הוא מסר כי החברה מתמודדת בעיקר עם נזקים בדמות חיתוכי כבלים שנמצאים בתווך התת-קרקעי אשר מכילים כמות רבה של נחושת שניתן למכור תמורת ממון רב, ועל כן לגנבים יש אינטרס רב לגנוב אותה. </w:t>
      </w:r>
    </w:p>
    <w:p w:rsidR="00AA5065" w:rsidRPr="00AA5065" w:rsidP="00860D89">
      <w:pPr>
        <w:spacing w:line="269" w:lineRule="auto"/>
        <w:ind w:left="-567"/>
        <w:rPr>
          <w:rFonts w:eastAsia="Calibri"/>
          <w:szCs w:val="20"/>
          <w:rtl/>
          <w:lang w:eastAsia="ko-KR"/>
        </w:rPr>
      </w:pPr>
    </w:p>
    <w:p w:rsidR="00AA5065" w:rsidRPr="00AA5065" w:rsidP="00734ECE">
      <w:pPr>
        <w:widowControl w:val="0"/>
        <w:spacing w:after="120" w:line="269" w:lineRule="auto"/>
        <w:rPr>
          <w:rFonts w:eastAsia="Batang"/>
          <w:sz w:val="24"/>
          <w:rtl/>
          <w:lang w:eastAsia="ko-KR"/>
        </w:rPr>
      </w:pPr>
      <w:bookmarkStart w:id="137" w:name="_Hlk199839269"/>
      <w:r w:rsidRPr="00AA5065">
        <w:rPr>
          <w:rFonts w:eastAsia="Batang" w:hint="cs"/>
          <w:sz w:val="24"/>
          <w:rtl/>
          <w:lang w:eastAsia="ko-KR"/>
        </w:rPr>
        <w:t xml:space="preserve">במכתב שכותרתו "חבלות וגניבות בתשתיות" ששלח ראש אגף הביטחון של חברה א' ב-30.4.23 למפכ"ל המשטרה דאז הוא ציין, בין השאר, כי "החבלות וגניבות התשתית גורמות לפגיעה קשה ומידית באורח חייהם של מאות אלפי אזרחים ועסקים תוך השבתה מלאה של תקשורת הטלפוניה, אינטרנט ואף סלולר ובאה לידי ביטוי בהשבתה של שירותים </w:t>
      </w:r>
      <w:bookmarkEnd w:id="137"/>
      <w:r w:rsidRPr="00AA5065">
        <w:rPr>
          <w:rFonts w:eastAsia="Batang" w:hint="cs"/>
          <w:sz w:val="24"/>
          <w:rtl/>
          <w:lang w:eastAsia="ko-KR"/>
        </w:rPr>
        <w:t>כגון:</w:t>
      </w:r>
    </w:p>
    <w:p w:rsidR="00AA5065" w:rsidRPr="00AA5065" w:rsidP="00734ECE">
      <w:pPr>
        <w:widowControl w:val="0"/>
        <w:numPr>
          <w:ilvl w:val="0"/>
          <w:numId w:val="15"/>
        </w:numPr>
        <w:tabs>
          <w:tab w:val="num" w:pos="360"/>
        </w:tabs>
        <w:spacing w:after="120" w:line="269" w:lineRule="auto"/>
        <w:jc w:val="left"/>
        <w:rPr>
          <w:rFonts w:eastAsia="Batang"/>
          <w:sz w:val="24"/>
          <w:lang w:eastAsia="ko-KR"/>
        </w:rPr>
      </w:pPr>
      <w:r w:rsidRPr="00AA5065">
        <w:rPr>
          <w:rFonts w:eastAsia="Batang" w:hint="cs"/>
          <w:sz w:val="24"/>
          <w:rtl/>
          <w:lang w:eastAsia="ko-KR"/>
        </w:rPr>
        <w:t>השבתת שרותי בנקאות.</w:t>
      </w:r>
    </w:p>
    <w:p w:rsidR="00AA5065" w:rsidRPr="00AA5065" w:rsidP="00734ECE">
      <w:pPr>
        <w:widowControl w:val="0"/>
        <w:numPr>
          <w:ilvl w:val="0"/>
          <w:numId w:val="15"/>
        </w:numPr>
        <w:tabs>
          <w:tab w:val="num" w:pos="360"/>
        </w:tabs>
        <w:spacing w:after="120" w:line="269" w:lineRule="auto"/>
        <w:jc w:val="left"/>
        <w:rPr>
          <w:rFonts w:eastAsia="Batang"/>
          <w:sz w:val="24"/>
          <w:rtl/>
          <w:lang w:eastAsia="ko-KR"/>
        </w:rPr>
      </w:pPr>
      <w:r w:rsidRPr="00AA5065">
        <w:rPr>
          <w:rFonts w:eastAsia="Batang" w:hint="cs"/>
          <w:sz w:val="24"/>
          <w:rtl/>
          <w:lang w:eastAsia="ko-KR"/>
        </w:rPr>
        <w:t>ה</w:t>
      </w:r>
      <w:r w:rsidRPr="00AA5065">
        <w:rPr>
          <w:rFonts w:eastAsia="Batang" w:hint="eastAsia"/>
          <w:sz w:val="24"/>
          <w:rtl/>
          <w:lang w:eastAsia="ko-KR"/>
        </w:rPr>
        <w:t>שבתת</w:t>
      </w:r>
      <w:r w:rsidRPr="00AA5065">
        <w:rPr>
          <w:rFonts w:eastAsia="Batang"/>
          <w:sz w:val="24"/>
          <w:rtl/>
          <w:lang w:eastAsia="ko-KR"/>
        </w:rPr>
        <w:t xml:space="preserve"> </w:t>
      </w:r>
      <w:r w:rsidRPr="00AA5065">
        <w:rPr>
          <w:rFonts w:eastAsia="Batang" w:hint="eastAsia"/>
          <w:sz w:val="24"/>
          <w:rtl/>
          <w:lang w:eastAsia="ko-KR"/>
        </w:rPr>
        <w:t>דלקנים</w:t>
      </w:r>
      <w:r w:rsidRPr="00AA5065">
        <w:rPr>
          <w:rFonts w:eastAsia="Batang"/>
          <w:sz w:val="24"/>
          <w:rtl/>
          <w:lang w:eastAsia="ko-KR"/>
        </w:rPr>
        <w:t xml:space="preserve"> בתחנות דלק.</w:t>
      </w:r>
    </w:p>
    <w:p w:rsidR="00AA5065" w:rsidRPr="00AA5065" w:rsidP="00734ECE">
      <w:pPr>
        <w:widowControl w:val="0"/>
        <w:numPr>
          <w:ilvl w:val="0"/>
          <w:numId w:val="15"/>
        </w:numPr>
        <w:tabs>
          <w:tab w:val="num" w:pos="360"/>
        </w:tabs>
        <w:spacing w:after="120" w:line="269" w:lineRule="auto"/>
        <w:jc w:val="left"/>
        <w:rPr>
          <w:rFonts w:ascii="Calibri" w:eastAsia="Batang" w:hAnsi="Calibri" w:cs="Calibri"/>
          <w:sz w:val="24"/>
          <w:szCs w:val="22"/>
          <w:rtl/>
          <w:lang w:eastAsia="ko-KR"/>
        </w:rPr>
      </w:pPr>
      <w:r w:rsidRPr="00AA5065">
        <w:rPr>
          <w:rFonts w:eastAsia="Batang" w:hint="eastAsia"/>
          <w:sz w:val="24"/>
          <w:rtl/>
          <w:lang w:eastAsia="ko-KR"/>
        </w:rPr>
        <w:t>השבתת</w:t>
      </w:r>
      <w:r w:rsidRPr="00AA5065">
        <w:rPr>
          <w:rFonts w:eastAsia="Batang"/>
          <w:sz w:val="24"/>
          <w:rtl/>
          <w:lang w:eastAsia="ko-KR"/>
        </w:rPr>
        <w:t xml:space="preserve"> </w:t>
      </w:r>
      <w:r w:rsidRPr="00AA5065">
        <w:rPr>
          <w:rFonts w:eastAsia="Batang" w:hint="eastAsia"/>
          <w:sz w:val="24"/>
          <w:rtl/>
          <w:lang w:eastAsia="ko-KR"/>
        </w:rPr>
        <w:t>מערך</w:t>
      </w:r>
      <w:r w:rsidRPr="00AA5065">
        <w:rPr>
          <w:rFonts w:eastAsia="Batang"/>
          <w:sz w:val="24"/>
          <w:rtl/>
          <w:lang w:eastAsia="ko-KR"/>
        </w:rPr>
        <w:t xml:space="preserve"> </w:t>
      </w:r>
      <w:r w:rsidRPr="00AA5065">
        <w:rPr>
          <w:rFonts w:eastAsia="Batang" w:hint="eastAsia"/>
          <w:sz w:val="24"/>
          <w:rtl/>
          <w:lang w:eastAsia="ko-KR"/>
        </w:rPr>
        <w:t>המחשוב</w:t>
      </w:r>
      <w:r w:rsidRPr="00AA5065">
        <w:rPr>
          <w:rFonts w:eastAsia="Batang"/>
          <w:sz w:val="24"/>
          <w:rtl/>
          <w:lang w:eastAsia="ko-KR"/>
        </w:rPr>
        <w:t xml:space="preserve"> </w:t>
      </w:r>
      <w:r w:rsidRPr="00AA5065">
        <w:rPr>
          <w:rFonts w:eastAsia="Batang" w:hint="eastAsia"/>
          <w:sz w:val="24"/>
          <w:rtl/>
          <w:lang w:eastAsia="ko-KR"/>
        </w:rPr>
        <w:t>של</w:t>
      </w:r>
      <w:r w:rsidRPr="00AA5065">
        <w:rPr>
          <w:rFonts w:eastAsia="Batang"/>
          <w:sz w:val="24"/>
          <w:rtl/>
          <w:lang w:eastAsia="ko-KR"/>
        </w:rPr>
        <w:t xml:space="preserve"> </w:t>
      </w:r>
      <w:r w:rsidRPr="00AA5065">
        <w:rPr>
          <w:rFonts w:eastAsia="Batang" w:hint="eastAsia"/>
          <w:sz w:val="24"/>
          <w:rtl/>
          <w:lang w:eastAsia="ko-KR"/>
        </w:rPr>
        <w:t>קופות</w:t>
      </w:r>
      <w:r w:rsidRPr="00AA5065">
        <w:rPr>
          <w:rFonts w:eastAsia="Batang"/>
          <w:sz w:val="24"/>
          <w:rtl/>
          <w:lang w:eastAsia="ko-KR"/>
        </w:rPr>
        <w:t xml:space="preserve"> </w:t>
      </w:r>
      <w:r w:rsidRPr="00AA5065">
        <w:rPr>
          <w:rFonts w:eastAsia="Batang" w:hint="eastAsia"/>
          <w:sz w:val="24"/>
          <w:rtl/>
          <w:lang w:eastAsia="ko-KR"/>
        </w:rPr>
        <w:t>חולים</w:t>
      </w:r>
      <w:r w:rsidRPr="00AA5065">
        <w:rPr>
          <w:rFonts w:eastAsia="Batang"/>
          <w:sz w:val="24"/>
          <w:rtl/>
          <w:lang w:eastAsia="ko-KR"/>
        </w:rPr>
        <w:t>.</w:t>
      </w:r>
    </w:p>
    <w:p w:rsidR="00AA5065" w:rsidRPr="00AA5065" w:rsidP="00734ECE">
      <w:pPr>
        <w:widowControl w:val="0"/>
        <w:numPr>
          <w:ilvl w:val="0"/>
          <w:numId w:val="15"/>
        </w:numPr>
        <w:tabs>
          <w:tab w:val="num" w:pos="360"/>
        </w:tabs>
        <w:spacing w:after="120" w:line="269" w:lineRule="auto"/>
        <w:jc w:val="left"/>
        <w:rPr>
          <w:rFonts w:ascii="Calibri" w:eastAsia="Batang" w:hAnsi="Calibri" w:cs="Calibri"/>
          <w:sz w:val="24"/>
          <w:szCs w:val="22"/>
          <w:rtl/>
          <w:lang w:eastAsia="ko-KR"/>
        </w:rPr>
      </w:pPr>
      <w:r w:rsidRPr="00AA5065">
        <w:rPr>
          <w:rFonts w:eastAsia="Batang" w:hint="eastAsia"/>
          <w:sz w:val="24"/>
          <w:rtl/>
          <w:lang w:eastAsia="ko-KR"/>
        </w:rPr>
        <w:t>השבתת</w:t>
      </w:r>
      <w:r w:rsidRPr="00AA5065">
        <w:rPr>
          <w:rFonts w:eastAsia="Batang"/>
          <w:sz w:val="24"/>
          <w:rtl/>
          <w:lang w:eastAsia="ko-KR"/>
        </w:rPr>
        <w:t xml:space="preserve"> </w:t>
      </w:r>
      <w:r w:rsidRPr="00AA5065">
        <w:rPr>
          <w:rFonts w:eastAsia="Batang" w:hint="eastAsia"/>
          <w:sz w:val="24"/>
          <w:rtl/>
          <w:lang w:eastAsia="ko-KR"/>
        </w:rPr>
        <w:t>פעילות</w:t>
      </w:r>
      <w:r w:rsidRPr="00AA5065">
        <w:rPr>
          <w:rFonts w:eastAsia="Batang"/>
          <w:sz w:val="24"/>
          <w:rtl/>
          <w:lang w:eastAsia="ko-KR"/>
        </w:rPr>
        <w:t xml:space="preserve"> </w:t>
      </w:r>
      <w:r w:rsidRPr="00AA5065">
        <w:rPr>
          <w:rFonts w:eastAsia="Batang" w:hint="eastAsia"/>
          <w:sz w:val="24"/>
          <w:rtl/>
          <w:lang w:eastAsia="ko-KR"/>
        </w:rPr>
        <w:t>של</w:t>
      </w:r>
      <w:r w:rsidRPr="00AA5065">
        <w:rPr>
          <w:rFonts w:eastAsia="Batang"/>
          <w:sz w:val="24"/>
          <w:rtl/>
          <w:lang w:eastAsia="ko-KR"/>
        </w:rPr>
        <w:t xml:space="preserve"> </w:t>
      </w:r>
      <w:r w:rsidRPr="00AA5065">
        <w:rPr>
          <w:rFonts w:eastAsia="Batang" w:hint="eastAsia"/>
          <w:sz w:val="24"/>
          <w:rtl/>
          <w:lang w:eastAsia="ko-KR"/>
        </w:rPr>
        <w:t>לחצני</w:t>
      </w:r>
      <w:r w:rsidRPr="00AA5065">
        <w:rPr>
          <w:rFonts w:eastAsia="Batang"/>
          <w:sz w:val="24"/>
          <w:rtl/>
          <w:lang w:eastAsia="ko-KR"/>
        </w:rPr>
        <w:t xml:space="preserve"> </w:t>
      </w:r>
      <w:r w:rsidRPr="00AA5065">
        <w:rPr>
          <w:rFonts w:eastAsia="Batang" w:hint="eastAsia"/>
          <w:sz w:val="24"/>
          <w:rtl/>
          <w:lang w:eastAsia="ko-KR"/>
        </w:rPr>
        <w:t>מצוקה</w:t>
      </w:r>
      <w:r w:rsidRPr="00AA5065">
        <w:rPr>
          <w:rFonts w:eastAsia="Batang"/>
          <w:sz w:val="24"/>
          <w:rtl/>
          <w:lang w:eastAsia="ko-KR"/>
        </w:rPr>
        <w:t xml:space="preserve"> </w:t>
      </w:r>
      <w:r w:rsidRPr="00AA5065">
        <w:rPr>
          <w:rFonts w:eastAsia="Batang" w:hint="eastAsia"/>
          <w:sz w:val="24"/>
          <w:rtl/>
          <w:lang w:eastAsia="ko-KR"/>
        </w:rPr>
        <w:t>למגזר</w:t>
      </w:r>
      <w:r w:rsidRPr="00AA5065">
        <w:rPr>
          <w:rFonts w:eastAsia="Batang"/>
          <w:sz w:val="24"/>
          <w:rtl/>
          <w:lang w:eastAsia="ko-KR"/>
        </w:rPr>
        <w:t xml:space="preserve"> </w:t>
      </w:r>
      <w:r w:rsidRPr="00AA5065">
        <w:rPr>
          <w:rFonts w:eastAsia="Batang" w:hint="eastAsia"/>
          <w:sz w:val="24"/>
          <w:rtl/>
          <w:lang w:eastAsia="ko-KR"/>
        </w:rPr>
        <w:t>הקשישים</w:t>
      </w:r>
      <w:r w:rsidRPr="00AA5065">
        <w:rPr>
          <w:rFonts w:eastAsia="Batang"/>
          <w:sz w:val="24"/>
          <w:rtl/>
          <w:lang w:eastAsia="ko-KR"/>
        </w:rPr>
        <w:t>.</w:t>
      </w:r>
    </w:p>
    <w:p w:rsidR="00AA5065" w:rsidRPr="00AA5065" w:rsidP="00734ECE">
      <w:pPr>
        <w:widowControl w:val="0"/>
        <w:numPr>
          <w:ilvl w:val="0"/>
          <w:numId w:val="15"/>
        </w:numPr>
        <w:tabs>
          <w:tab w:val="num" w:pos="360"/>
        </w:tabs>
        <w:spacing w:after="120" w:line="269" w:lineRule="auto"/>
        <w:jc w:val="left"/>
        <w:rPr>
          <w:rFonts w:ascii="Calibri" w:eastAsia="Batang" w:hAnsi="Calibri" w:cs="Calibri"/>
          <w:sz w:val="24"/>
          <w:szCs w:val="22"/>
          <w:rtl/>
          <w:lang w:eastAsia="ko-KR"/>
        </w:rPr>
      </w:pPr>
      <w:r w:rsidRPr="00AA5065">
        <w:rPr>
          <w:rFonts w:eastAsia="Batang" w:hint="eastAsia"/>
          <w:sz w:val="24"/>
          <w:rtl/>
          <w:lang w:eastAsia="ko-KR"/>
        </w:rPr>
        <w:t>פגיעה</w:t>
      </w:r>
      <w:r w:rsidRPr="00AA5065">
        <w:rPr>
          <w:rFonts w:eastAsia="Batang"/>
          <w:sz w:val="24"/>
          <w:rtl/>
          <w:lang w:eastAsia="ko-KR"/>
        </w:rPr>
        <w:t xml:space="preserve"> </w:t>
      </w:r>
      <w:r w:rsidRPr="00AA5065">
        <w:rPr>
          <w:rFonts w:eastAsia="Batang" w:hint="eastAsia"/>
          <w:sz w:val="24"/>
          <w:rtl/>
          <w:lang w:eastAsia="ko-KR"/>
        </w:rPr>
        <w:t>בתפקוד</w:t>
      </w:r>
      <w:r w:rsidRPr="00AA5065">
        <w:rPr>
          <w:rFonts w:eastAsia="Batang"/>
          <w:sz w:val="24"/>
          <w:rtl/>
          <w:lang w:eastAsia="ko-KR"/>
        </w:rPr>
        <w:t xml:space="preserve"> </w:t>
      </w:r>
      <w:r w:rsidRPr="00AA5065">
        <w:rPr>
          <w:rFonts w:eastAsia="Batang" w:hint="eastAsia"/>
          <w:sz w:val="24"/>
          <w:rtl/>
          <w:lang w:eastAsia="ko-KR"/>
        </w:rPr>
        <w:t>בתי</w:t>
      </w:r>
      <w:r w:rsidRPr="00AA5065">
        <w:rPr>
          <w:rFonts w:eastAsia="Batang"/>
          <w:sz w:val="24"/>
          <w:rtl/>
          <w:lang w:eastAsia="ko-KR"/>
        </w:rPr>
        <w:t xml:space="preserve"> </w:t>
      </w:r>
      <w:r w:rsidRPr="00AA5065">
        <w:rPr>
          <w:rFonts w:eastAsia="Batang" w:hint="eastAsia"/>
          <w:sz w:val="24"/>
          <w:rtl/>
          <w:lang w:eastAsia="ko-KR"/>
        </w:rPr>
        <w:t>חולים</w:t>
      </w:r>
      <w:r w:rsidRPr="00AA5065">
        <w:rPr>
          <w:rFonts w:eastAsia="Batang"/>
          <w:sz w:val="24"/>
          <w:rtl/>
          <w:lang w:eastAsia="ko-KR"/>
        </w:rPr>
        <w:t>.</w:t>
      </w:r>
    </w:p>
    <w:p w:rsidR="00AA5065" w:rsidRPr="00AA5065" w:rsidP="00734ECE">
      <w:pPr>
        <w:widowControl w:val="0"/>
        <w:numPr>
          <w:ilvl w:val="0"/>
          <w:numId w:val="15"/>
        </w:numPr>
        <w:tabs>
          <w:tab w:val="num" w:pos="360"/>
        </w:tabs>
        <w:spacing w:after="120" w:line="269" w:lineRule="auto"/>
        <w:jc w:val="left"/>
        <w:rPr>
          <w:rFonts w:ascii="Calibri" w:eastAsia="Batang" w:hAnsi="Calibri" w:cs="Calibri"/>
          <w:sz w:val="24"/>
          <w:szCs w:val="22"/>
          <w:rtl/>
          <w:lang w:eastAsia="ko-KR"/>
        </w:rPr>
      </w:pPr>
      <w:r w:rsidRPr="00AA5065">
        <w:rPr>
          <w:rFonts w:eastAsia="Batang" w:hint="eastAsia"/>
          <w:sz w:val="24"/>
          <w:rtl/>
          <w:lang w:eastAsia="ko-KR"/>
        </w:rPr>
        <w:t>השבתת</w:t>
      </w:r>
      <w:r w:rsidRPr="00AA5065">
        <w:rPr>
          <w:rFonts w:eastAsia="Batang"/>
          <w:sz w:val="24"/>
          <w:rtl/>
          <w:lang w:eastAsia="ko-KR"/>
        </w:rPr>
        <w:t xml:space="preserve"> </w:t>
      </w:r>
      <w:r w:rsidRPr="00AA5065">
        <w:rPr>
          <w:rFonts w:eastAsia="Batang" w:hint="eastAsia"/>
          <w:sz w:val="24"/>
          <w:rtl/>
          <w:lang w:eastAsia="ko-KR"/>
        </w:rPr>
        <w:t>מסלקות</w:t>
      </w:r>
      <w:r w:rsidRPr="00AA5065">
        <w:rPr>
          <w:rFonts w:eastAsia="Batang"/>
          <w:sz w:val="24"/>
          <w:rtl/>
          <w:lang w:eastAsia="ko-KR"/>
        </w:rPr>
        <w:t xml:space="preserve"> </w:t>
      </w:r>
      <w:r w:rsidRPr="00AA5065">
        <w:rPr>
          <w:rFonts w:eastAsia="Batang" w:hint="eastAsia"/>
          <w:sz w:val="24"/>
          <w:rtl/>
          <w:lang w:eastAsia="ko-KR"/>
        </w:rPr>
        <w:t>אשראי</w:t>
      </w:r>
      <w:r w:rsidRPr="00AA5065">
        <w:rPr>
          <w:rFonts w:eastAsia="Batang"/>
          <w:sz w:val="24"/>
          <w:rtl/>
          <w:lang w:eastAsia="ko-KR"/>
        </w:rPr>
        <w:t xml:space="preserve"> </w:t>
      </w:r>
      <w:r w:rsidRPr="00AA5065">
        <w:rPr>
          <w:rFonts w:eastAsia="Batang" w:hint="eastAsia"/>
          <w:sz w:val="24"/>
          <w:rtl/>
          <w:lang w:eastAsia="ko-KR"/>
        </w:rPr>
        <w:t>בבתי</w:t>
      </w:r>
      <w:r w:rsidRPr="00AA5065">
        <w:rPr>
          <w:rFonts w:eastAsia="Batang"/>
          <w:sz w:val="24"/>
          <w:rtl/>
          <w:lang w:eastAsia="ko-KR"/>
        </w:rPr>
        <w:t xml:space="preserve"> </w:t>
      </w:r>
      <w:r w:rsidRPr="00AA5065">
        <w:rPr>
          <w:rFonts w:eastAsia="Batang" w:hint="eastAsia"/>
          <w:sz w:val="24"/>
          <w:rtl/>
          <w:lang w:eastAsia="ko-KR"/>
        </w:rPr>
        <w:t>עסק</w:t>
      </w:r>
      <w:r w:rsidRPr="00AA5065">
        <w:rPr>
          <w:rFonts w:eastAsia="Batang"/>
          <w:sz w:val="24"/>
          <w:rtl/>
          <w:lang w:eastAsia="ko-KR"/>
        </w:rPr>
        <w:t>.</w:t>
      </w:r>
    </w:p>
    <w:p w:rsidR="00AA5065" w:rsidRPr="00AA5065" w:rsidP="00860D89">
      <w:pPr>
        <w:widowControl w:val="0"/>
        <w:numPr>
          <w:ilvl w:val="0"/>
          <w:numId w:val="15"/>
        </w:numPr>
        <w:tabs>
          <w:tab w:val="num" w:pos="360"/>
        </w:tabs>
        <w:spacing w:line="269" w:lineRule="auto"/>
        <w:jc w:val="left"/>
        <w:rPr>
          <w:rFonts w:ascii="Calibri" w:eastAsia="Batang" w:hAnsi="Calibri" w:cs="Calibri"/>
          <w:sz w:val="24"/>
          <w:szCs w:val="22"/>
          <w:rtl/>
          <w:lang w:eastAsia="ko-KR"/>
        </w:rPr>
      </w:pPr>
      <w:r w:rsidRPr="00AA5065">
        <w:rPr>
          <w:rFonts w:eastAsia="Batang" w:hint="eastAsia"/>
          <w:sz w:val="24"/>
          <w:rtl/>
          <w:lang w:eastAsia="ko-KR"/>
        </w:rPr>
        <w:t>השבתת</w:t>
      </w:r>
      <w:r w:rsidRPr="00AA5065">
        <w:rPr>
          <w:rFonts w:eastAsia="Batang"/>
          <w:sz w:val="24"/>
          <w:rtl/>
          <w:lang w:eastAsia="ko-KR"/>
        </w:rPr>
        <w:t xml:space="preserve"> </w:t>
      </w:r>
      <w:r w:rsidRPr="00AA5065">
        <w:rPr>
          <w:rFonts w:eastAsia="Batang" w:hint="eastAsia"/>
          <w:sz w:val="24"/>
          <w:rtl/>
          <w:lang w:eastAsia="ko-KR"/>
        </w:rPr>
        <w:t>תקשורת</w:t>
      </w:r>
      <w:r w:rsidRPr="00AA5065">
        <w:rPr>
          <w:rFonts w:eastAsia="Batang"/>
          <w:sz w:val="24"/>
          <w:rtl/>
          <w:lang w:eastAsia="ko-KR"/>
        </w:rPr>
        <w:t xml:space="preserve"> </w:t>
      </w:r>
      <w:r w:rsidRPr="00AA5065">
        <w:rPr>
          <w:rFonts w:eastAsia="Batang" w:hint="eastAsia"/>
          <w:sz w:val="24"/>
          <w:rtl/>
          <w:lang w:eastAsia="ko-KR"/>
        </w:rPr>
        <w:t>אינטרנט</w:t>
      </w:r>
      <w:r w:rsidRPr="00AA5065">
        <w:rPr>
          <w:rFonts w:eastAsia="Batang"/>
          <w:sz w:val="24"/>
          <w:rtl/>
          <w:lang w:eastAsia="ko-KR"/>
        </w:rPr>
        <w:t xml:space="preserve"> </w:t>
      </w:r>
      <w:r w:rsidRPr="00AA5065">
        <w:rPr>
          <w:rFonts w:eastAsia="Batang" w:hint="eastAsia"/>
          <w:sz w:val="24"/>
          <w:rtl/>
          <w:lang w:eastAsia="ko-KR"/>
        </w:rPr>
        <w:t>בבתי</w:t>
      </w:r>
      <w:r w:rsidRPr="00AA5065">
        <w:rPr>
          <w:rFonts w:eastAsia="Batang"/>
          <w:sz w:val="24"/>
          <w:rtl/>
          <w:lang w:eastAsia="ko-KR"/>
        </w:rPr>
        <w:t xml:space="preserve"> </w:t>
      </w:r>
      <w:r w:rsidRPr="00AA5065">
        <w:rPr>
          <w:rFonts w:eastAsia="Batang" w:hint="eastAsia"/>
          <w:sz w:val="24"/>
          <w:rtl/>
          <w:lang w:eastAsia="ko-KR"/>
        </w:rPr>
        <w:t>אזרחים</w:t>
      </w:r>
      <w:r w:rsidRPr="00AA5065">
        <w:rPr>
          <w:rFonts w:eastAsia="Batang"/>
          <w:sz w:val="24"/>
          <w:rtl/>
          <w:lang w:eastAsia="ko-KR"/>
        </w:rPr>
        <w:t>...</w:t>
      </w:r>
    </w:p>
    <w:p w:rsidR="00734ECE" w:rsidRPr="00734ECE" w:rsidP="00734ECE">
      <w:pPr>
        <w:spacing w:line="269" w:lineRule="auto"/>
        <w:ind w:left="-567"/>
        <w:rPr>
          <w:rFonts w:eastAsia="Calibri"/>
          <w:szCs w:val="20"/>
          <w:rtl/>
          <w:lang w:eastAsia="ko-KR"/>
        </w:rPr>
      </w:pPr>
    </w:p>
    <w:p w:rsidR="00AA5065" w:rsidRPr="00AA5065" w:rsidP="00860D89">
      <w:pPr>
        <w:widowControl w:val="0"/>
        <w:spacing w:line="269" w:lineRule="auto"/>
        <w:rPr>
          <w:rFonts w:eastAsia="Batang"/>
          <w:sz w:val="24"/>
          <w:rtl/>
          <w:lang w:eastAsia="ko-KR"/>
        </w:rPr>
      </w:pPr>
      <w:r w:rsidRPr="00AA5065">
        <w:rPr>
          <w:rFonts w:eastAsia="Batang" w:hint="cs"/>
          <w:sz w:val="24"/>
          <w:rtl/>
          <w:lang w:eastAsia="ko-KR"/>
        </w:rPr>
        <w:t>זאת ועוד, עלות ישירה של תיקון החבלות והגניבות מסתכמת ברף הנמוך בעשרות ואף מאות אלפי שקלים, זאת מבלי לחשב נזק עקיף...".</w:t>
      </w:r>
    </w:p>
    <w:p w:rsidR="00AA5065" w:rsidRPr="00AA5065" w:rsidP="00860D89">
      <w:pPr>
        <w:spacing w:line="269" w:lineRule="auto"/>
        <w:ind w:left="-567"/>
        <w:rPr>
          <w:rFonts w:eastAsia="Calibri"/>
          <w:szCs w:val="20"/>
          <w:rtl/>
          <w:lang w:eastAsia="ko-KR"/>
        </w:rPr>
      </w:pPr>
    </w:p>
    <w:p w:rsidR="00AA5065" w:rsidRPr="00AA5065" w:rsidP="00860D89">
      <w:pPr>
        <w:widowControl w:val="0"/>
        <w:spacing w:line="269" w:lineRule="auto"/>
        <w:rPr>
          <w:rFonts w:eastAsia="Batang"/>
          <w:sz w:val="24"/>
          <w:rtl/>
          <w:lang w:eastAsia="ko-KR"/>
        </w:rPr>
      </w:pPr>
      <w:r w:rsidRPr="00AA5065">
        <w:rPr>
          <w:rFonts w:eastAsia="Batang" w:hint="cs"/>
          <w:sz w:val="24"/>
          <w:rtl/>
          <w:lang w:eastAsia="ko-KR"/>
        </w:rPr>
        <w:t xml:space="preserve">ראש אגף הביטחון של חברה א' ציין כי כחלק מעבודתו הוא עוסק בהגשת תלונות למשטרה על חבלות וגניבות בתשתיות החברה, אך לטענתו המשטרה מתעדפת נמוך את הטיפול בתלונות אלו. </w:t>
      </w:r>
    </w:p>
    <w:p w:rsidR="00AA5065" w:rsidRPr="00AA5065" w:rsidP="00860D89">
      <w:pPr>
        <w:spacing w:line="269" w:lineRule="auto"/>
        <w:ind w:left="-567"/>
        <w:rPr>
          <w:rFonts w:eastAsia="Calibri"/>
          <w:szCs w:val="20"/>
          <w:rtl/>
        </w:rPr>
      </w:pPr>
    </w:p>
    <w:p w:rsidR="00AA5065" w:rsidRPr="00AA5065" w:rsidP="00860D89">
      <w:pPr>
        <w:spacing w:line="269" w:lineRule="auto"/>
        <w:rPr>
          <w:rFonts w:ascii="Tahoma" w:eastAsia="Calibri" w:hAnsi="Tahoma"/>
          <w:rtl/>
        </w:rPr>
      </w:pPr>
      <w:r w:rsidRPr="00AA5065">
        <w:rPr>
          <w:rFonts w:ascii="Tahoma" w:eastAsia="Calibri" w:hAnsi="Tahoma" w:hint="eastAsia"/>
          <w:b/>
          <w:bCs/>
          <w:rtl/>
        </w:rPr>
        <w:t>הועלה</w:t>
      </w:r>
      <w:r w:rsidRPr="00AA5065">
        <w:rPr>
          <w:rFonts w:ascii="Tahoma" w:eastAsia="Calibri" w:hAnsi="Tahoma"/>
          <w:b/>
          <w:bCs/>
          <w:rtl/>
        </w:rPr>
        <w:t xml:space="preserve"> </w:t>
      </w:r>
      <w:r w:rsidRPr="00AA5065">
        <w:rPr>
          <w:rFonts w:ascii="Tahoma" w:eastAsia="Calibri" w:hAnsi="Tahoma" w:hint="eastAsia"/>
          <w:b/>
          <w:bCs/>
          <w:rtl/>
        </w:rPr>
        <w:t>כי</w:t>
      </w:r>
      <w:r w:rsidRPr="00AA5065">
        <w:rPr>
          <w:rFonts w:ascii="Tahoma" w:eastAsia="Calibri" w:hAnsi="Tahoma"/>
          <w:b/>
          <w:bCs/>
          <w:rtl/>
        </w:rPr>
        <w:t xml:space="preserve"> </w:t>
      </w:r>
      <w:r w:rsidRPr="00AA5065">
        <w:rPr>
          <w:rFonts w:ascii="Tahoma" w:eastAsia="Calibri" w:hAnsi="Tahoma" w:hint="eastAsia"/>
          <w:b/>
          <w:bCs/>
          <w:rtl/>
        </w:rPr>
        <w:t>חבלות</w:t>
      </w:r>
      <w:r w:rsidRPr="00AA5065">
        <w:rPr>
          <w:rFonts w:ascii="Tahoma" w:eastAsia="Calibri" w:hAnsi="Tahoma"/>
          <w:b/>
          <w:bCs/>
          <w:rtl/>
        </w:rPr>
        <w:t xml:space="preserve"> וגניבות תשתית שעימ</w:t>
      </w:r>
      <w:r w:rsidRPr="00AA5065">
        <w:rPr>
          <w:rFonts w:ascii="Tahoma" w:eastAsia="Calibri" w:hAnsi="Tahoma" w:hint="cs"/>
          <w:b/>
          <w:bCs/>
          <w:rtl/>
        </w:rPr>
        <w:t>ן</w:t>
      </w:r>
      <w:r w:rsidRPr="00AA5065">
        <w:rPr>
          <w:rFonts w:ascii="Tahoma" w:eastAsia="Calibri" w:hAnsi="Tahoma"/>
          <w:b/>
          <w:bCs/>
          <w:rtl/>
        </w:rPr>
        <w:t xml:space="preserve"> מתמודדת חברת התקשורת גורמו</w:t>
      </w:r>
      <w:r w:rsidRPr="00AA5065">
        <w:rPr>
          <w:rFonts w:ascii="Tahoma" w:eastAsia="Calibri" w:hAnsi="Tahoma" w:hint="eastAsia"/>
          <w:b/>
          <w:bCs/>
          <w:rtl/>
        </w:rPr>
        <w:t>ת</w:t>
      </w:r>
      <w:r w:rsidRPr="00AA5065">
        <w:rPr>
          <w:rFonts w:ascii="Tahoma" w:eastAsia="Calibri" w:hAnsi="Tahoma"/>
          <w:b/>
          <w:bCs/>
          <w:rtl/>
        </w:rPr>
        <w:t xml:space="preserve"> </w:t>
      </w:r>
      <w:r w:rsidRPr="00AA5065">
        <w:rPr>
          <w:rFonts w:ascii="Tahoma" w:eastAsia="Calibri" w:hAnsi="Tahoma" w:hint="eastAsia"/>
          <w:b/>
          <w:bCs/>
          <w:rtl/>
        </w:rPr>
        <w:t>לפגיעה</w:t>
      </w:r>
      <w:r w:rsidRPr="00AA5065">
        <w:rPr>
          <w:rFonts w:ascii="Tahoma" w:eastAsia="Calibri" w:hAnsi="Tahoma"/>
          <w:b/>
          <w:bCs/>
          <w:rtl/>
        </w:rPr>
        <w:t xml:space="preserve"> </w:t>
      </w:r>
      <w:r w:rsidRPr="00AA5065">
        <w:rPr>
          <w:rFonts w:ascii="Tahoma" w:eastAsia="Calibri" w:hAnsi="Tahoma" w:hint="eastAsia"/>
          <w:b/>
          <w:bCs/>
          <w:rtl/>
        </w:rPr>
        <w:t>קשה</w:t>
      </w:r>
      <w:r w:rsidRPr="00AA5065">
        <w:rPr>
          <w:rFonts w:ascii="Tahoma" w:eastAsia="Calibri" w:hAnsi="Tahoma"/>
          <w:b/>
          <w:bCs/>
          <w:rtl/>
        </w:rPr>
        <w:t xml:space="preserve"> </w:t>
      </w:r>
      <w:r w:rsidRPr="00AA5065">
        <w:rPr>
          <w:rFonts w:ascii="Tahoma" w:eastAsia="Calibri" w:hAnsi="Tahoma" w:hint="eastAsia"/>
          <w:b/>
          <w:bCs/>
          <w:rtl/>
        </w:rPr>
        <w:t>באורח</w:t>
      </w:r>
      <w:r w:rsidRPr="00AA5065">
        <w:rPr>
          <w:rFonts w:ascii="Tahoma" w:eastAsia="Calibri" w:hAnsi="Tahoma"/>
          <w:b/>
          <w:bCs/>
          <w:rtl/>
        </w:rPr>
        <w:t xml:space="preserve"> </w:t>
      </w:r>
      <w:r w:rsidRPr="00AA5065">
        <w:rPr>
          <w:rFonts w:ascii="Tahoma" w:eastAsia="Calibri" w:hAnsi="Tahoma" w:hint="eastAsia"/>
          <w:b/>
          <w:bCs/>
          <w:rtl/>
        </w:rPr>
        <w:t>החיים</w:t>
      </w:r>
      <w:r w:rsidRPr="00AA5065">
        <w:rPr>
          <w:rFonts w:ascii="Tahoma" w:eastAsia="Calibri" w:hAnsi="Tahoma"/>
          <w:b/>
          <w:bCs/>
          <w:rtl/>
        </w:rPr>
        <w:t xml:space="preserve"> </w:t>
      </w:r>
      <w:r w:rsidRPr="00AA5065">
        <w:rPr>
          <w:rFonts w:ascii="Tahoma" w:eastAsia="Calibri" w:hAnsi="Tahoma" w:hint="eastAsia"/>
          <w:b/>
          <w:bCs/>
          <w:rtl/>
        </w:rPr>
        <w:t>של</w:t>
      </w:r>
      <w:r w:rsidRPr="00AA5065">
        <w:rPr>
          <w:rFonts w:ascii="Tahoma" w:eastAsia="Calibri" w:hAnsi="Tahoma"/>
          <w:b/>
          <w:bCs/>
          <w:rtl/>
        </w:rPr>
        <w:t xml:space="preserve"> </w:t>
      </w:r>
      <w:r w:rsidRPr="00AA5065">
        <w:rPr>
          <w:rFonts w:ascii="Tahoma" w:eastAsia="Calibri" w:hAnsi="Tahoma" w:hint="eastAsia"/>
          <w:b/>
          <w:bCs/>
          <w:rtl/>
        </w:rPr>
        <w:t>מאות</w:t>
      </w:r>
      <w:r w:rsidRPr="00AA5065">
        <w:rPr>
          <w:rFonts w:ascii="Tahoma" w:eastAsia="Calibri" w:hAnsi="Tahoma"/>
          <w:b/>
          <w:bCs/>
          <w:rtl/>
        </w:rPr>
        <w:t xml:space="preserve"> </w:t>
      </w:r>
      <w:r w:rsidRPr="00AA5065">
        <w:rPr>
          <w:rFonts w:ascii="Tahoma" w:eastAsia="Calibri" w:hAnsi="Tahoma" w:hint="eastAsia"/>
          <w:b/>
          <w:bCs/>
          <w:rtl/>
        </w:rPr>
        <w:t>אלפי</w:t>
      </w:r>
      <w:r w:rsidRPr="00AA5065">
        <w:rPr>
          <w:rFonts w:ascii="Tahoma" w:eastAsia="Calibri" w:hAnsi="Tahoma"/>
          <w:b/>
          <w:bCs/>
          <w:rtl/>
        </w:rPr>
        <w:t xml:space="preserve"> </w:t>
      </w:r>
      <w:r w:rsidRPr="00AA5065">
        <w:rPr>
          <w:rFonts w:ascii="Tahoma" w:eastAsia="Calibri" w:hAnsi="Tahoma" w:hint="eastAsia"/>
          <w:b/>
          <w:bCs/>
          <w:rtl/>
        </w:rPr>
        <w:t>אזרחים</w:t>
      </w:r>
      <w:r w:rsidRPr="00AA5065">
        <w:rPr>
          <w:rFonts w:ascii="Tahoma" w:eastAsia="Calibri" w:hAnsi="Tahoma"/>
          <w:b/>
          <w:bCs/>
          <w:rtl/>
        </w:rPr>
        <w:t xml:space="preserve"> </w:t>
      </w:r>
      <w:r w:rsidRPr="00AA5065">
        <w:rPr>
          <w:rFonts w:ascii="Tahoma" w:eastAsia="Calibri" w:hAnsi="Tahoma" w:hint="eastAsia"/>
          <w:b/>
          <w:bCs/>
          <w:rtl/>
        </w:rPr>
        <w:t>ומביאות</w:t>
      </w:r>
      <w:r w:rsidRPr="00AA5065">
        <w:rPr>
          <w:rFonts w:ascii="Tahoma" w:eastAsia="Calibri" w:hAnsi="Tahoma"/>
          <w:b/>
          <w:bCs/>
          <w:rtl/>
        </w:rPr>
        <w:t xml:space="preserve"> </w:t>
      </w:r>
      <w:r w:rsidRPr="00AA5065">
        <w:rPr>
          <w:rFonts w:ascii="Tahoma" w:eastAsia="Calibri" w:hAnsi="Tahoma" w:hint="eastAsia"/>
          <w:b/>
          <w:bCs/>
          <w:rtl/>
        </w:rPr>
        <w:t>לעיתים</w:t>
      </w:r>
      <w:r w:rsidRPr="00AA5065">
        <w:rPr>
          <w:rFonts w:ascii="Tahoma" w:eastAsia="Calibri" w:hAnsi="Tahoma"/>
          <w:b/>
          <w:bCs/>
          <w:rtl/>
        </w:rPr>
        <w:t xml:space="preserve"> להשבתה מלאה של תקשורת הטלפוניה, אינטרנט ואף סלולר.</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Times New Roman" w:hAnsi="David"/>
          <w:sz w:val="24"/>
          <w:rtl/>
          <w:lang w:eastAsia="he-IL"/>
        </w:rPr>
      </w:pPr>
      <w:r w:rsidRPr="00AA5065">
        <w:rPr>
          <w:rFonts w:ascii="David" w:eastAsia="Times New Roman" w:hAnsi="David" w:hint="eastAsia"/>
          <w:sz w:val="24"/>
          <w:rtl/>
          <w:lang w:eastAsia="he-IL"/>
        </w:rPr>
        <w:t>המשטרה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מסרה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בתשובתה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כי</w:t>
      </w:r>
      <w:r w:rsidRPr="00AA5065">
        <w:rPr>
          <w:rFonts w:ascii="Calibri" w:eastAsia="Calibri" w:hAnsi="Calibri" w:cs="Calibri" w:hint="cs"/>
          <w:sz w:val="22"/>
          <w:szCs w:val="22"/>
          <w:rtl/>
        </w:rPr>
        <w:t xml:space="preserve"> "</w:t>
      </w:r>
      <w:r w:rsidRPr="00AA5065">
        <w:rPr>
          <w:rFonts w:ascii="David" w:eastAsia="Times New Roman" w:hAnsi="David" w:hint="eastAsia"/>
          <w:sz w:val="24"/>
          <w:rtl/>
          <w:lang w:eastAsia="he-IL"/>
        </w:rPr>
        <w:t>נעשית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עבודת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שטח</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ומיצוי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דין</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בפרשיות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גניבות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שנאים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במחוז</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דרום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בשנת</w:t>
      </w:r>
      <w:r w:rsidRPr="00AA5065">
        <w:rPr>
          <w:rFonts w:ascii="David" w:eastAsia="Times New Roman" w:hAnsi="David"/>
          <w:sz w:val="24"/>
          <w:rtl/>
          <w:lang w:eastAsia="he-IL"/>
        </w:rPr>
        <w:t xml:space="preserve"> 2025</w:t>
      </w:r>
      <w:r w:rsidRPr="00AA5065">
        <w:rPr>
          <w:rFonts w:ascii="David" w:eastAsia="Times New Roman" w:hAnsi="David" w:hint="cs"/>
          <w:sz w:val="24"/>
          <w:rtl/>
          <w:lang w:eastAsia="he-IL"/>
        </w:rPr>
        <w:t xml:space="preserve">, </w:t>
      </w:r>
      <w:r w:rsidRPr="00AA5065">
        <w:rPr>
          <w:rFonts w:ascii="David" w:eastAsia="Times New Roman" w:hAnsi="David" w:hint="eastAsia"/>
          <w:sz w:val="24"/>
          <w:rtl/>
          <w:lang w:eastAsia="he-IL"/>
        </w:rPr>
        <w:t>באחריות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ימ</w:t>
      </w:r>
      <w:r w:rsidRPr="00AA5065">
        <w:rPr>
          <w:rFonts w:ascii="David" w:eastAsia="Times New Roman" w:hAnsi="David"/>
          <w:sz w:val="24"/>
          <w:rtl/>
          <w:lang w:eastAsia="he-IL"/>
        </w:rPr>
        <w:t>"</w:t>
      </w:r>
      <w:r w:rsidRPr="00AA5065">
        <w:rPr>
          <w:rFonts w:ascii="David" w:eastAsia="Times New Roman" w:hAnsi="David" w:hint="eastAsia"/>
          <w:sz w:val="24"/>
          <w:rtl/>
          <w:lang w:eastAsia="he-IL"/>
        </w:rPr>
        <w:t>ר</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דרום</w:t>
      </w:r>
      <w:r w:rsidRPr="00AA5065">
        <w:rPr>
          <w:rFonts w:ascii="David" w:eastAsia="Times New Roman" w:hAnsi="David"/>
          <w:sz w:val="24"/>
          <w:rtl/>
          <w:lang w:eastAsia="he-IL"/>
        </w:rPr>
        <w:t>.</w:t>
      </w:r>
      <w:r w:rsidRPr="00AA5065">
        <w:rPr>
          <w:rFonts w:ascii="David" w:eastAsia="Times New Roman" w:hAnsi="David" w:hint="cs"/>
          <w:sz w:val="24"/>
          <w:rtl/>
          <w:lang w:eastAsia="he-IL"/>
        </w:rPr>
        <w:t xml:space="preserve"> </w:t>
      </w:r>
      <w:r w:rsidRPr="00AA5065">
        <w:rPr>
          <w:rFonts w:ascii="David" w:eastAsia="Times New Roman" w:hAnsi="David" w:hint="eastAsia"/>
          <w:sz w:val="24"/>
          <w:rtl/>
          <w:lang w:eastAsia="he-IL"/>
        </w:rPr>
        <w:t>איכות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הטיפול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קשורה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באופן</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הדוק</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לעיתוי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בו</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מוגשת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התלונה</w:t>
      </w:r>
      <w:r w:rsidRPr="00AA5065">
        <w:rPr>
          <w:rFonts w:ascii="David" w:eastAsia="Times New Roman" w:hAnsi="David"/>
          <w:sz w:val="24"/>
          <w:rtl/>
          <w:lang w:eastAsia="he-IL"/>
        </w:rPr>
        <w:t>.</w:t>
      </w:r>
    </w:p>
    <w:p w:rsidR="00AA5065" w:rsidRPr="00AA5065" w:rsidP="00860D89">
      <w:pPr>
        <w:spacing w:line="269" w:lineRule="auto"/>
        <w:rPr>
          <w:rFonts w:ascii="David" w:eastAsia="Times New Roman" w:hAnsi="David"/>
          <w:sz w:val="24"/>
          <w:rtl/>
          <w:lang w:eastAsia="he-IL"/>
        </w:rPr>
      </w:pPr>
      <w:r w:rsidRPr="00AA5065">
        <w:rPr>
          <w:rFonts w:ascii="David" w:eastAsia="Times New Roman" w:hAnsi="David" w:hint="eastAsia"/>
          <w:sz w:val="24"/>
          <w:rtl/>
          <w:lang w:eastAsia="he-IL"/>
        </w:rPr>
        <w:t>במרבית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האירועים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פגיעה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בתשתיות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התלונה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מוגשת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באיחור</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ימים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ואף</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חודשים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מצב</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זה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אינו</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מאפשר</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קיום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חקירה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אפקטיבית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המובילה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לגילוי</w:t>
      </w:r>
      <w:r w:rsidRPr="00AA5065">
        <w:rPr>
          <w:rFonts w:ascii="David" w:eastAsia="Times New Roman" w:hAnsi="David"/>
          <w:sz w:val="24"/>
          <w:rtl/>
          <w:lang w:eastAsia="he-IL"/>
        </w:rPr>
        <w:t>.</w:t>
      </w:r>
      <w:r w:rsidRPr="00AA5065">
        <w:rPr>
          <w:rFonts w:ascii="David" w:eastAsia="Times New Roman" w:hAnsi="David" w:hint="eastAsia"/>
          <w:sz w:val="24"/>
          <w:rtl/>
          <w:lang w:eastAsia="he-IL"/>
        </w:rPr>
        <w:t xml:space="preserve"> בשנת</w:t>
      </w:r>
      <w:r w:rsidRPr="00AA5065">
        <w:rPr>
          <w:rFonts w:ascii="David" w:eastAsia="Times New Roman" w:hAnsi="David"/>
          <w:sz w:val="24"/>
          <w:rtl/>
          <w:lang w:eastAsia="he-IL"/>
        </w:rPr>
        <w:t xml:space="preserve"> 2025 </w:t>
      </w:r>
      <w:r w:rsidRPr="00AA5065">
        <w:rPr>
          <w:rFonts w:ascii="David" w:eastAsia="Times New Roman" w:hAnsi="David" w:hint="eastAsia"/>
          <w:sz w:val="24"/>
          <w:rtl/>
          <w:lang w:eastAsia="he-IL"/>
        </w:rPr>
        <w:t>נערכו</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פגישות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עבודה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בין</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הגורמים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השונים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לגורמי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מקצוע</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במחוז</w:t>
      </w:r>
      <w:r w:rsidRPr="00AA5065">
        <w:rPr>
          <w:rFonts w:ascii="David" w:eastAsia="Times New Roman" w:hAnsi="David" w:hint="cs"/>
          <w:sz w:val="24"/>
          <w:rtl/>
          <w:lang w:eastAsia="he-IL"/>
        </w:rPr>
        <w:t>,</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במטרה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להגביר</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השת</w:t>
      </w:r>
      <w:r w:rsidRPr="00AA5065">
        <w:rPr>
          <w:rFonts w:ascii="David" w:eastAsia="Times New Roman" w:hAnsi="David"/>
          <w:sz w:val="24"/>
          <w:rtl/>
          <w:lang w:eastAsia="he-IL"/>
        </w:rPr>
        <w:t>"</w:t>
      </w:r>
      <w:r w:rsidRPr="00AA5065">
        <w:rPr>
          <w:rFonts w:ascii="David" w:eastAsia="Times New Roman" w:hAnsi="David" w:hint="eastAsia"/>
          <w:sz w:val="24"/>
          <w:rtl/>
          <w:lang w:eastAsia="he-IL"/>
        </w:rPr>
        <w:t>פ</w:t>
      </w:r>
      <w:r w:rsidRPr="00AA5065">
        <w:rPr>
          <w:rFonts w:ascii="David" w:eastAsia="Times New Roman" w:hAnsi="David"/>
          <w:sz w:val="24"/>
          <w:rtl/>
          <w:lang w:eastAsia="he-IL"/>
        </w:rPr>
        <w:t>.</w:t>
      </w:r>
      <w:r w:rsidRPr="00AA5065">
        <w:rPr>
          <w:rFonts w:ascii="David" w:eastAsia="Times New Roman" w:hAnsi="David" w:hint="eastAsia"/>
          <w:sz w:val="24"/>
          <w:rtl/>
          <w:lang w:eastAsia="he-IL"/>
        </w:rPr>
        <w:t xml:space="preserve"> ימ</w:t>
      </w:r>
      <w:r w:rsidRPr="00AA5065">
        <w:rPr>
          <w:rFonts w:ascii="David" w:eastAsia="Times New Roman" w:hAnsi="David"/>
          <w:sz w:val="24"/>
          <w:rtl/>
          <w:lang w:eastAsia="he-IL"/>
        </w:rPr>
        <w:t>"</w:t>
      </w:r>
      <w:r w:rsidRPr="00AA5065">
        <w:rPr>
          <w:rFonts w:ascii="David" w:eastAsia="Times New Roman" w:hAnsi="David" w:hint="eastAsia"/>
          <w:sz w:val="24"/>
          <w:rtl/>
          <w:lang w:eastAsia="he-IL"/>
        </w:rPr>
        <w:t>ר</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דרום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נמצא</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בעיצומו</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הליך</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ההקמה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ותוך</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כדי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כך</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כבר</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פעל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כנגד</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מס</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חוליות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בסוגיית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פגיעה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בתשתיות</w:t>
      </w:r>
      <w:r w:rsidRPr="00AA5065">
        <w:rPr>
          <w:rFonts w:ascii="David" w:eastAsia="Times New Roman" w:hAnsi="David" w:hint="cs"/>
          <w:sz w:val="24"/>
          <w:rtl/>
          <w:lang w:eastAsia="he-I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Times New Roman" w:hAnsi="David"/>
          <w:sz w:val="24"/>
          <w:rtl/>
          <w:lang w:eastAsia="he-IL"/>
        </w:rPr>
      </w:pPr>
      <w:r w:rsidRPr="00AA5065">
        <w:rPr>
          <w:rFonts w:ascii="David" w:eastAsia="Times New Roman" w:hAnsi="David" w:hint="eastAsia"/>
          <w:sz w:val="24"/>
          <w:rtl/>
          <w:lang w:eastAsia="he-IL"/>
        </w:rPr>
        <w:t>עוד</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מסרה</w:t>
      </w:r>
      <w:r w:rsidRPr="00AA5065">
        <w:rPr>
          <w:rFonts w:ascii="David" w:eastAsia="Times New Roman" w:hAnsi="David"/>
          <w:sz w:val="24"/>
          <w:rtl/>
          <w:lang w:eastAsia="he-IL"/>
        </w:rPr>
        <w:t xml:space="preserve"> המשטרה בתשובתה כי "</w:t>
      </w:r>
      <w:r w:rsidRPr="00AA5065">
        <w:rPr>
          <w:rFonts w:ascii="David" w:eastAsia="Times New Roman" w:hAnsi="David" w:hint="eastAsia"/>
          <w:sz w:val="24"/>
          <w:rtl/>
          <w:lang w:eastAsia="he-IL"/>
        </w:rPr>
        <w:t>לאחר</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דיווח</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גורם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על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פגיעה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יוצאים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לזירה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כלל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בעלי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התפקידים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והאירוע</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מטופל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במיצוי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מלא</w:t>
      </w:r>
      <w:r w:rsidRPr="00AA5065">
        <w:rPr>
          <w:rFonts w:ascii="David" w:eastAsia="Times New Roman" w:hAnsi="David" w:hint="cs"/>
          <w:sz w:val="24"/>
          <w:rtl/>
          <w:lang w:eastAsia="he-IL"/>
        </w:rPr>
        <w:t>.</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בשנה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החולפת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אף</w:t>
      </w:r>
      <w:r w:rsidRPr="00AA5065">
        <w:rPr>
          <w:rFonts w:ascii="David" w:eastAsia="Times New Roman" w:hAnsi="David"/>
          <w:sz w:val="24"/>
          <w:rtl/>
          <w:lang w:eastAsia="he-IL"/>
        </w:rPr>
        <w:t xml:space="preserve"> </w:t>
      </w:r>
      <w:r w:rsidRPr="00AA5065">
        <w:rPr>
          <w:rFonts w:ascii="David" w:eastAsia="Times New Roman" w:hAnsi="David" w:hint="cs"/>
          <w:sz w:val="24"/>
          <w:rtl/>
          <w:lang w:eastAsia="he-IL"/>
        </w:rPr>
        <w:t>נערך</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דיון</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ברמה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מרחבית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על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הנושא</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ו</w:t>
      </w:r>
      <w:r w:rsidRPr="00AA5065">
        <w:rPr>
          <w:rFonts w:ascii="David" w:eastAsia="Times New Roman" w:hAnsi="David" w:hint="cs"/>
          <w:sz w:val="24"/>
          <w:rtl/>
          <w:lang w:eastAsia="he-IL"/>
        </w:rPr>
        <w:t>נעשת</w:t>
      </w:r>
      <w:r w:rsidRPr="00AA5065">
        <w:rPr>
          <w:rFonts w:ascii="David" w:eastAsia="Times New Roman" w:hAnsi="David" w:hint="eastAsia"/>
          <w:sz w:val="24"/>
          <w:rtl/>
          <w:lang w:eastAsia="he-IL"/>
        </w:rPr>
        <w:t>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פעילות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חקירתית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על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אמצעים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מיוחדים</w:t>
      </w:r>
      <w:r w:rsidRPr="00AA5065">
        <w:rPr>
          <w:rFonts w:ascii="David" w:eastAsia="Times New Roman" w:hAnsi="David" w:hint="cs"/>
          <w:sz w:val="24"/>
          <w:rtl/>
          <w:lang w:eastAsia="he-IL"/>
        </w:rPr>
        <w:t xml:space="preserve">, </w:t>
      </w:r>
      <w:r w:rsidRPr="00AA5065">
        <w:rPr>
          <w:rFonts w:ascii="David" w:eastAsia="Times New Roman" w:hAnsi="David" w:hint="eastAsia"/>
          <w:sz w:val="24"/>
          <w:rtl/>
          <w:lang w:eastAsia="he-IL"/>
        </w:rPr>
        <w:t>להגיע</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לגילוי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בתחנת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ערוער</w:t>
      </w:r>
      <w:r w:rsidRPr="00AA5065">
        <w:rPr>
          <w:rFonts w:ascii="David" w:eastAsia="Times New Roman" w:hAnsi="David"/>
          <w:sz w:val="24"/>
          <w:rtl/>
          <w:lang w:eastAsia="he-IL"/>
        </w:rPr>
        <w:t xml:space="preserve">. </w:t>
      </w:r>
      <w:r w:rsidRPr="00AA5065">
        <w:rPr>
          <w:rFonts w:ascii="David" w:eastAsia="Times New Roman" w:hAnsi="David" w:hint="cs"/>
          <w:sz w:val="24"/>
          <w:rtl/>
          <w:lang w:eastAsia="he-IL"/>
        </w:rPr>
        <w:t>ב</w:t>
      </w:r>
      <w:r w:rsidRPr="00AA5065">
        <w:rPr>
          <w:rFonts w:ascii="David" w:eastAsia="Times New Roman" w:hAnsi="David" w:hint="eastAsia"/>
          <w:sz w:val="24"/>
          <w:rtl/>
          <w:lang w:eastAsia="he-IL"/>
        </w:rPr>
        <w:t>כל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אירוע</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שמדווח</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הטיפול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מתבצע</w:t>
      </w:r>
      <w:r w:rsidRPr="00AA5065">
        <w:rPr>
          <w:rFonts w:ascii="David" w:eastAsia="Times New Roman" w:hAnsi="David"/>
          <w:sz w:val="24"/>
          <w:rtl/>
          <w:lang w:eastAsia="he-IL"/>
        </w:rPr>
        <w:t xml:space="preserve"> </w:t>
      </w:r>
      <w:r w:rsidRPr="00AA5065">
        <w:rPr>
          <w:rFonts w:ascii="David" w:eastAsia="Times New Roman" w:hAnsi="David" w:hint="cs"/>
          <w:sz w:val="24"/>
          <w:rtl/>
          <w:lang w:eastAsia="he-IL"/>
        </w:rPr>
        <w:t xml:space="preserve">יחד </w:t>
      </w:r>
      <w:r w:rsidRPr="00AA5065">
        <w:rPr>
          <w:rFonts w:ascii="David" w:eastAsia="Times New Roman" w:hAnsi="David" w:hint="eastAsia"/>
          <w:sz w:val="24"/>
          <w:rtl/>
          <w:lang w:eastAsia="he-IL"/>
        </w:rPr>
        <w:t>עם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הגורמים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האזרחיים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ומקבל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קשב</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מלא</w:t>
      </w:r>
      <w:r w:rsidRPr="00AA5065">
        <w:rPr>
          <w:rFonts w:ascii="David" w:eastAsia="Times New Roman" w:hAnsi="David" w:hint="cs"/>
          <w:sz w:val="24"/>
          <w:rtl/>
          <w:lang w:eastAsia="he-IL"/>
        </w:rPr>
        <w:t>.</w:t>
      </w:r>
      <w:r w:rsidRPr="00AA5065">
        <w:rPr>
          <w:rFonts w:ascii="David" w:eastAsia="Times New Roman" w:hAnsi="David"/>
          <w:sz w:val="24"/>
          <w:rtl/>
          <w:lang w:eastAsia="he-IL"/>
        </w:rPr>
        <w:t xml:space="preserve"> </w:t>
      </w:r>
      <w:r w:rsidRPr="00AA5065">
        <w:rPr>
          <w:rFonts w:ascii="David" w:eastAsia="Calibri" w:hAnsi="David" w:hint="eastAsia"/>
          <w:rtl/>
        </w:rPr>
        <w:t>המשטרה</w:t>
      </w:r>
      <w:r w:rsidRPr="00AA5065">
        <w:rPr>
          <w:rFonts w:ascii="David" w:eastAsia="Calibri" w:hAnsi="David"/>
          <w:rtl/>
        </w:rPr>
        <w:t xml:space="preserve"> </w:t>
      </w:r>
      <w:r w:rsidRPr="00AA5065">
        <w:rPr>
          <w:rFonts w:ascii="David" w:eastAsia="Calibri" w:hAnsi="David" w:hint="eastAsia"/>
          <w:rtl/>
        </w:rPr>
        <w:t>פועלת</w:t>
      </w:r>
      <w:r w:rsidRPr="00AA5065">
        <w:rPr>
          <w:rFonts w:ascii="David" w:eastAsia="Calibri" w:hAnsi="David"/>
          <w:rtl/>
        </w:rPr>
        <w:t xml:space="preserve"> </w:t>
      </w:r>
      <w:r w:rsidRPr="00AA5065">
        <w:rPr>
          <w:rFonts w:ascii="David" w:eastAsia="Calibri" w:hAnsi="David" w:hint="cs"/>
          <w:rtl/>
        </w:rPr>
        <w:t>למניעת</w:t>
      </w:r>
      <w:r w:rsidRPr="00AA5065">
        <w:rPr>
          <w:rFonts w:ascii="David" w:eastAsia="Calibri" w:hAnsi="David"/>
          <w:rtl/>
        </w:rPr>
        <w:t xml:space="preserve"> </w:t>
      </w:r>
      <w:r w:rsidRPr="00AA5065">
        <w:rPr>
          <w:rFonts w:ascii="David" w:eastAsia="Calibri" w:hAnsi="David" w:hint="eastAsia"/>
          <w:rtl/>
        </w:rPr>
        <w:t>בנייה</w:t>
      </w:r>
      <w:r w:rsidRPr="00AA5065">
        <w:rPr>
          <w:rFonts w:ascii="David" w:eastAsia="Calibri" w:hAnsi="David"/>
          <w:rtl/>
        </w:rPr>
        <w:t xml:space="preserve"> </w:t>
      </w:r>
      <w:r w:rsidRPr="00AA5065">
        <w:rPr>
          <w:rFonts w:ascii="David" w:eastAsia="Calibri" w:hAnsi="David" w:hint="eastAsia"/>
          <w:rtl/>
        </w:rPr>
        <w:t>בלתי</w:t>
      </w:r>
      <w:r w:rsidRPr="00AA5065">
        <w:rPr>
          <w:rFonts w:ascii="David" w:eastAsia="Calibri" w:hAnsi="David"/>
          <w:rtl/>
        </w:rPr>
        <w:t xml:space="preserve"> </w:t>
      </w:r>
      <w:r w:rsidRPr="00AA5065">
        <w:rPr>
          <w:rFonts w:ascii="David" w:eastAsia="Calibri" w:hAnsi="David" w:hint="eastAsia"/>
          <w:rtl/>
        </w:rPr>
        <w:t>חוקית</w:t>
      </w:r>
      <w:r w:rsidRPr="00AA5065">
        <w:rPr>
          <w:rFonts w:ascii="David" w:eastAsia="Calibri" w:hAnsi="David"/>
          <w:rtl/>
        </w:rPr>
        <w:t xml:space="preserve"> </w:t>
      </w:r>
      <w:r w:rsidRPr="00AA5065">
        <w:rPr>
          <w:rFonts w:ascii="David" w:eastAsia="Calibri" w:hAnsi="David" w:hint="eastAsia"/>
          <w:rtl/>
        </w:rPr>
        <w:t>ואף</w:t>
      </w:r>
      <w:r w:rsidRPr="00AA5065">
        <w:rPr>
          <w:rFonts w:ascii="David" w:eastAsia="Calibri" w:hAnsi="David"/>
          <w:rtl/>
        </w:rPr>
        <w:t xml:space="preserve"> </w:t>
      </w:r>
      <w:r w:rsidRPr="00AA5065">
        <w:rPr>
          <w:rFonts w:ascii="David" w:eastAsia="Calibri" w:hAnsi="David" w:hint="eastAsia"/>
          <w:rtl/>
        </w:rPr>
        <w:t>מעניקה</w:t>
      </w:r>
      <w:r w:rsidRPr="00AA5065">
        <w:rPr>
          <w:rFonts w:ascii="David" w:eastAsia="Calibri" w:hAnsi="David"/>
          <w:rtl/>
        </w:rPr>
        <w:t xml:space="preserve"> </w:t>
      </w:r>
      <w:r w:rsidRPr="00AA5065">
        <w:rPr>
          <w:rFonts w:ascii="David" w:eastAsia="Calibri" w:hAnsi="David" w:hint="eastAsia"/>
          <w:rtl/>
        </w:rPr>
        <w:t>סיוע</w:t>
      </w:r>
      <w:r w:rsidRPr="00AA5065">
        <w:rPr>
          <w:rFonts w:ascii="David" w:eastAsia="Calibri" w:hAnsi="David"/>
          <w:rtl/>
        </w:rPr>
        <w:t xml:space="preserve"> </w:t>
      </w:r>
      <w:r w:rsidRPr="00AA5065">
        <w:rPr>
          <w:rFonts w:ascii="David" w:eastAsia="Calibri" w:hAnsi="David" w:hint="eastAsia"/>
          <w:rtl/>
        </w:rPr>
        <w:t>לרשות</w:t>
      </w:r>
      <w:r w:rsidRPr="00AA5065">
        <w:rPr>
          <w:rFonts w:ascii="David" w:eastAsia="Calibri" w:hAnsi="David"/>
          <w:rtl/>
        </w:rPr>
        <w:t xml:space="preserve"> </w:t>
      </w:r>
      <w:r w:rsidRPr="00AA5065">
        <w:rPr>
          <w:rFonts w:ascii="David" w:eastAsia="Calibri" w:hAnsi="David" w:hint="eastAsia"/>
          <w:rtl/>
        </w:rPr>
        <w:t>המים</w:t>
      </w:r>
      <w:r w:rsidRPr="00AA5065">
        <w:rPr>
          <w:rFonts w:ascii="David" w:eastAsia="Calibri" w:hAnsi="David"/>
          <w:rtl/>
        </w:rPr>
        <w:t xml:space="preserve">, </w:t>
      </w:r>
      <w:r w:rsidRPr="00AA5065">
        <w:rPr>
          <w:rFonts w:ascii="David" w:eastAsia="Calibri" w:hAnsi="David" w:hint="eastAsia"/>
          <w:rtl/>
        </w:rPr>
        <w:t>מקורות</w:t>
      </w:r>
      <w:r w:rsidRPr="00AA5065">
        <w:rPr>
          <w:rFonts w:ascii="David" w:eastAsia="Calibri" w:hAnsi="David"/>
          <w:rtl/>
        </w:rPr>
        <w:t xml:space="preserve">, </w:t>
      </w:r>
      <w:r w:rsidRPr="00AA5065">
        <w:rPr>
          <w:rFonts w:ascii="David" w:eastAsia="Calibri" w:hAnsi="David" w:hint="eastAsia"/>
          <w:rtl/>
        </w:rPr>
        <w:t>נווה</w:t>
      </w:r>
      <w:r w:rsidRPr="00AA5065">
        <w:rPr>
          <w:rFonts w:ascii="David" w:eastAsia="Calibri" w:hAnsi="David"/>
          <w:rtl/>
        </w:rPr>
        <w:t xml:space="preserve"> </w:t>
      </w:r>
      <w:r w:rsidRPr="00AA5065">
        <w:rPr>
          <w:rFonts w:ascii="David" w:eastAsia="Calibri" w:hAnsi="David" w:hint="eastAsia"/>
          <w:rtl/>
        </w:rPr>
        <w:t>מדבר</w:t>
      </w:r>
      <w:r w:rsidRPr="00AA5065">
        <w:rPr>
          <w:rFonts w:ascii="David" w:eastAsia="Calibri" w:hAnsi="David"/>
          <w:rtl/>
        </w:rPr>
        <w:t xml:space="preserve"> </w:t>
      </w:r>
      <w:r w:rsidRPr="00AA5065">
        <w:rPr>
          <w:rFonts w:ascii="David" w:eastAsia="Calibri" w:hAnsi="David" w:hint="cs"/>
          <w:rtl/>
        </w:rPr>
        <w:t>ו</w:t>
      </w:r>
      <w:r w:rsidRPr="00AA5065">
        <w:rPr>
          <w:rFonts w:ascii="David" w:eastAsia="Calibri" w:hAnsi="David" w:hint="eastAsia"/>
          <w:rtl/>
        </w:rPr>
        <w:t>חברת</w:t>
      </w:r>
      <w:r w:rsidRPr="00AA5065">
        <w:rPr>
          <w:rFonts w:ascii="David" w:eastAsia="Calibri" w:hAnsi="David"/>
          <w:rtl/>
        </w:rPr>
        <w:t xml:space="preserve"> </w:t>
      </w:r>
      <w:r w:rsidRPr="00AA5065">
        <w:rPr>
          <w:rFonts w:ascii="David" w:eastAsia="Calibri" w:hAnsi="David" w:hint="eastAsia"/>
          <w:rtl/>
        </w:rPr>
        <w:t>החשמל</w:t>
      </w:r>
      <w:r w:rsidRPr="00AA5065">
        <w:rPr>
          <w:rFonts w:ascii="David" w:eastAsia="Calibri" w:hAnsi="David"/>
          <w:rtl/>
        </w:rPr>
        <w:t xml:space="preserve"> </w:t>
      </w:r>
      <w:r w:rsidRPr="00AA5065">
        <w:rPr>
          <w:rFonts w:ascii="David" w:eastAsia="Calibri" w:hAnsi="David" w:hint="eastAsia"/>
          <w:rtl/>
        </w:rPr>
        <w:t>בהגנה</w:t>
      </w:r>
      <w:r w:rsidRPr="00AA5065">
        <w:rPr>
          <w:rFonts w:ascii="David" w:eastAsia="Calibri" w:hAnsi="David"/>
          <w:rtl/>
        </w:rPr>
        <w:t xml:space="preserve"> </w:t>
      </w:r>
      <w:r w:rsidRPr="00AA5065">
        <w:rPr>
          <w:rFonts w:ascii="David" w:eastAsia="Calibri" w:hAnsi="David" w:hint="eastAsia"/>
          <w:rtl/>
        </w:rPr>
        <w:t>על</w:t>
      </w:r>
      <w:r w:rsidRPr="00AA5065">
        <w:rPr>
          <w:rFonts w:ascii="David" w:eastAsia="Calibri" w:hAnsi="David"/>
          <w:rtl/>
        </w:rPr>
        <w:t xml:space="preserve"> </w:t>
      </w:r>
      <w:r w:rsidRPr="00AA5065">
        <w:rPr>
          <w:rFonts w:ascii="David" w:eastAsia="Calibri" w:hAnsi="David" w:hint="eastAsia"/>
          <w:rtl/>
        </w:rPr>
        <w:t>עבודות</w:t>
      </w:r>
      <w:r w:rsidRPr="00AA5065">
        <w:rPr>
          <w:rFonts w:ascii="David" w:eastAsia="Calibri" w:hAnsi="David"/>
          <w:rtl/>
        </w:rPr>
        <w:t xml:space="preserve"> </w:t>
      </w:r>
      <w:r w:rsidRPr="00AA5065">
        <w:rPr>
          <w:rFonts w:ascii="David" w:eastAsia="Calibri" w:hAnsi="David" w:hint="eastAsia"/>
          <w:rtl/>
        </w:rPr>
        <w:t>תשתית</w:t>
      </w:r>
      <w:r w:rsidRPr="00AA5065">
        <w:rPr>
          <w:rFonts w:ascii="David" w:eastAsia="Calibri" w:hAnsi="David"/>
          <w:rtl/>
        </w:rPr>
        <w:t xml:space="preserve">. </w:t>
      </w:r>
      <w:r w:rsidRPr="00AA5065">
        <w:rPr>
          <w:rFonts w:ascii="David" w:eastAsia="Calibri" w:hAnsi="David" w:hint="eastAsia"/>
          <w:rtl/>
        </w:rPr>
        <w:t>המשטרה</w:t>
      </w:r>
      <w:r w:rsidRPr="00AA5065">
        <w:rPr>
          <w:rFonts w:ascii="David" w:eastAsia="Calibri" w:hAnsi="David"/>
          <w:rtl/>
        </w:rPr>
        <w:t xml:space="preserve"> </w:t>
      </w:r>
      <w:r w:rsidRPr="00AA5065">
        <w:rPr>
          <w:rFonts w:ascii="David" w:eastAsia="Calibri" w:hAnsi="David" w:hint="cs"/>
          <w:rtl/>
        </w:rPr>
        <w:t xml:space="preserve">אף </w:t>
      </w:r>
      <w:r w:rsidRPr="00AA5065">
        <w:rPr>
          <w:rFonts w:ascii="David" w:eastAsia="Calibri" w:hAnsi="David" w:hint="eastAsia"/>
          <w:rtl/>
        </w:rPr>
        <w:t>אוכפת</w:t>
      </w:r>
      <w:r w:rsidRPr="00AA5065">
        <w:rPr>
          <w:rFonts w:ascii="David" w:eastAsia="Calibri" w:hAnsi="David"/>
          <w:rtl/>
        </w:rPr>
        <w:t xml:space="preserve"> </w:t>
      </w:r>
      <w:r w:rsidRPr="00AA5065">
        <w:rPr>
          <w:rFonts w:ascii="David" w:eastAsia="Calibri" w:hAnsi="David" w:hint="cs"/>
          <w:rtl/>
        </w:rPr>
        <w:t xml:space="preserve">כנגד </w:t>
      </w:r>
      <w:r w:rsidRPr="00AA5065">
        <w:rPr>
          <w:rFonts w:ascii="David" w:eastAsia="Calibri" w:hAnsi="David" w:hint="eastAsia"/>
          <w:rtl/>
        </w:rPr>
        <w:t>פגיעה</w:t>
      </w:r>
      <w:r w:rsidRPr="00AA5065">
        <w:rPr>
          <w:rFonts w:ascii="David" w:eastAsia="Calibri" w:hAnsi="David"/>
          <w:rtl/>
        </w:rPr>
        <w:t xml:space="preserve"> </w:t>
      </w:r>
      <w:r w:rsidRPr="00AA5065">
        <w:rPr>
          <w:rFonts w:ascii="David" w:eastAsia="Calibri" w:hAnsi="David" w:hint="eastAsia"/>
          <w:rtl/>
        </w:rPr>
        <w:t>בתשתיות</w:t>
      </w:r>
      <w:r w:rsidRPr="00AA5065">
        <w:rPr>
          <w:rFonts w:ascii="David" w:eastAsia="Calibri" w:hAnsi="David"/>
          <w:rtl/>
        </w:rPr>
        <w:t xml:space="preserve"> </w:t>
      </w:r>
      <w:r w:rsidRPr="00AA5065">
        <w:rPr>
          <w:rFonts w:ascii="David" w:eastAsia="Calibri" w:hAnsi="David" w:hint="eastAsia"/>
          <w:rtl/>
        </w:rPr>
        <w:t>ו</w:t>
      </w:r>
      <w:r w:rsidRPr="00AA5065">
        <w:rPr>
          <w:rFonts w:ascii="David" w:eastAsia="Calibri" w:hAnsi="David" w:hint="cs"/>
          <w:rtl/>
        </w:rPr>
        <w:t xml:space="preserve">במסגרת זו </w:t>
      </w:r>
      <w:r w:rsidRPr="00AA5065">
        <w:rPr>
          <w:rFonts w:ascii="David" w:eastAsia="Calibri" w:hAnsi="David" w:hint="eastAsia"/>
          <w:rtl/>
        </w:rPr>
        <w:t>הוגשו</w:t>
      </w:r>
      <w:r w:rsidRPr="00AA5065">
        <w:rPr>
          <w:rFonts w:ascii="David" w:eastAsia="Calibri" w:hAnsi="David"/>
          <w:rtl/>
        </w:rPr>
        <w:t xml:space="preserve"> </w:t>
      </w:r>
      <w:r w:rsidRPr="00AA5065">
        <w:rPr>
          <w:rFonts w:ascii="David" w:eastAsia="Calibri" w:hAnsi="David" w:hint="eastAsia"/>
          <w:rtl/>
        </w:rPr>
        <w:t>מספר</w:t>
      </w:r>
      <w:r w:rsidRPr="00AA5065">
        <w:rPr>
          <w:rFonts w:ascii="David" w:eastAsia="Calibri" w:hAnsi="David"/>
          <w:rtl/>
        </w:rPr>
        <w:t xml:space="preserve"> </w:t>
      </w:r>
      <w:r w:rsidRPr="00AA5065">
        <w:rPr>
          <w:rFonts w:ascii="David" w:eastAsia="Calibri" w:hAnsi="David" w:hint="eastAsia"/>
          <w:rtl/>
        </w:rPr>
        <w:t>כתבי</w:t>
      </w:r>
      <w:r w:rsidRPr="00AA5065">
        <w:rPr>
          <w:rFonts w:ascii="David" w:eastAsia="Calibri" w:hAnsi="David"/>
          <w:rtl/>
        </w:rPr>
        <w:t xml:space="preserve"> </w:t>
      </w:r>
      <w:r w:rsidRPr="00AA5065">
        <w:rPr>
          <w:rFonts w:ascii="David" w:eastAsia="Calibri" w:hAnsi="David" w:hint="eastAsia"/>
          <w:rtl/>
        </w:rPr>
        <w:t>אישום</w:t>
      </w:r>
      <w:r w:rsidRPr="00AA5065">
        <w:rPr>
          <w:rFonts w:ascii="David" w:eastAsia="Calibri" w:hAnsi="David"/>
          <w:rtl/>
        </w:rPr>
        <w:t xml:space="preserve"> </w:t>
      </w:r>
      <w:r w:rsidRPr="00AA5065">
        <w:rPr>
          <w:rFonts w:ascii="David" w:eastAsia="Calibri" w:hAnsi="David" w:hint="eastAsia"/>
          <w:rtl/>
        </w:rPr>
        <w:t>בשנת</w:t>
      </w:r>
      <w:r w:rsidRPr="00AA5065">
        <w:rPr>
          <w:rFonts w:ascii="David" w:eastAsia="Calibri" w:hAnsi="David"/>
          <w:rtl/>
        </w:rPr>
        <w:t xml:space="preserve"> 2025 </w:t>
      </w:r>
      <w:r w:rsidRPr="00AA5065">
        <w:rPr>
          <w:rFonts w:ascii="David" w:eastAsia="Calibri" w:hAnsi="David" w:hint="eastAsia"/>
          <w:rtl/>
        </w:rPr>
        <w:t>הנוגעים</w:t>
      </w:r>
      <w:r w:rsidRPr="00AA5065">
        <w:rPr>
          <w:rFonts w:ascii="David" w:eastAsia="Calibri" w:hAnsi="David"/>
          <w:rtl/>
        </w:rPr>
        <w:t xml:space="preserve"> </w:t>
      </w:r>
      <w:r w:rsidRPr="00AA5065">
        <w:rPr>
          <w:rFonts w:ascii="David" w:eastAsia="Calibri" w:hAnsi="David" w:hint="eastAsia"/>
          <w:rtl/>
        </w:rPr>
        <w:t>לגניבת</w:t>
      </w:r>
      <w:r w:rsidRPr="00AA5065">
        <w:rPr>
          <w:rFonts w:ascii="David" w:eastAsia="Calibri" w:hAnsi="David"/>
          <w:rtl/>
        </w:rPr>
        <w:t xml:space="preserve"> </w:t>
      </w:r>
      <w:r w:rsidRPr="00AA5065">
        <w:rPr>
          <w:rFonts w:ascii="David" w:eastAsia="Calibri" w:hAnsi="David" w:hint="eastAsia"/>
          <w:rtl/>
        </w:rPr>
        <w:t>תשתיות</w:t>
      </w:r>
      <w:r w:rsidRPr="00AA5065">
        <w:rPr>
          <w:rFonts w:ascii="David" w:eastAsia="Calibri" w:hAnsi="David"/>
          <w:rtl/>
        </w:rPr>
        <w:t xml:space="preserve"> </w:t>
      </w:r>
      <w:r w:rsidRPr="00AA5065">
        <w:rPr>
          <w:rFonts w:ascii="David" w:eastAsia="Calibri" w:hAnsi="David" w:hint="cs"/>
          <w:rtl/>
        </w:rPr>
        <w:t xml:space="preserve">וכן </w:t>
      </w:r>
      <w:r w:rsidRPr="00AA5065">
        <w:rPr>
          <w:rFonts w:ascii="David" w:eastAsia="Calibri" w:hAnsi="David" w:hint="eastAsia"/>
          <w:rtl/>
        </w:rPr>
        <w:t>פגיעה</w:t>
      </w:r>
      <w:r w:rsidRPr="00AA5065">
        <w:rPr>
          <w:rFonts w:ascii="David" w:eastAsia="Calibri" w:hAnsi="David"/>
          <w:rtl/>
        </w:rPr>
        <w:t xml:space="preserve"> </w:t>
      </w:r>
      <w:r w:rsidRPr="00AA5065">
        <w:rPr>
          <w:rFonts w:ascii="David" w:eastAsia="Calibri" w:hAnsi="David" w:hint="eastAsia"/>
          <w:rtl/>
        </w:rPr>
        <w:t>בתשתיות</w:t>
      </w:r>
      <w:r w:rsidRPr="00AA5065">
        <w:rPr>
          <w:rFonts w:ascii="David" w:eastAsia="Calibri" w:hAnsi="David" w:hint="cs"/>
          <w:rtl/>
        </w:rPr>
        <w:t>"</w:t>
      </w:r>
      <w:r w:rsidRPr="00AA5065">
        <w:rPr>
          <w:rFonts w:ascii="David" w:eastAsia="Calibri" w:hAnsi="David"/>
          <w:rtl/>
        </w:rPr>
        <w:t>.</w:t>
      </w:r>
    </w:p>
    <w:p w:rsidR="00AA5065" w:rsidRPr="00AF3FA8" w:rsidP="00860D89">
      <w:pPr>
        <w:spacing w:line="269" w:lineRule="auto"/>
        <w:rPr>
          <w:rFonts w:ascii="David" w:eastAsia="Times New Roman" w:hAnsi="David"/>
          <w:sz w:val="12"/>
          <w:szCs w:val="12"/>
          <w:rtl/>
          <w:lang w:eastAsia="he-IL"/>
        </w:rPr>
      </w:pPr>
    </w:p>
    <w:p w:rsidR="00AA5065" w:rsidRPr="00AA5065" w:rsidP="00734ECE">
      <w:pPr>
        <w:spacing w:before="120" w:line="269" w:lineRule="auto"/>
        <w:jc w:val="center"/>
        <w:rPr>
          <w:rFonts w:ascii="Arial" w:eastAsia="Calibri" w:hAnsi="Arial" w:cs="Arial"/>
          <w:sz w:val="36"/>
          <w:rtl/>
        </w:rPr>
      </w:pPr>
      <w:r w:rsidRPr="00AA5065">
        <w:rPr>
          <w:rFonts w:ascii="Segoe UI Symbol" w:eastAsia="Calibri" w:hAnsi="Segoe UI Symbol" w:cs="Segoe UI Symbol" w:hint="cs"/>
          <w:sz w:val="36"/>
          <w:rtl/>
        </w:rPr>
        <w:t>✰</w:t>
      </w:r>
    </w:p>
    <w:p w:rsidR="00E96206" w:rsidP="00860D89">
      <w:pPr>
        <w:spacing w:line="269" w:lineRule="auto"/>
        <w:rPr>
          <w:rFonts w:eastAsia="Calibri"/>
          <w:szCs w:val="20"/>
          <w:rtl/>
        </w:rPr>
      </w:pPr>
    </w:p>
    <w:p w:rsidR="00AA5065" w:rsidRPr="00AA5065" w:rsidP="00860D89">
      <w:pPr>
        <w:spacing w:line="269" w:lineRule="auto"/>
        <w:rPr>
          <w:rFonts w:ascii="Calibri" w:eastAsia="Calibri" w:hAnsi="Calibri" w:cs="Calibri"/>
          <w:sz w:val="22"/>
          <w:szCs w:val="22"/>
          <w:rtl/>
        </w:rPr>
      </w:pPr>
      <w:r w:rsidRPr="00AA5065">
        <w:rPr>
          <w:rFonts w:ascii="Tahoma" w:eastAsia="Calibri" w:hAnsi="Tahoma" w:hint="cs"/>
          <w:b/>
          <w:bCs/>
          <w:rtl/>
        </w:rPr>
        <w:t>על משטרת ישראל בשיתוף חברת מקורות, חברת החשמל, חברת תש"א, חברת התקשורת ותאגיד המים נווה מדבר להגביר את המאמץ ולאגד כוחות כדי להגביר את האכיפה ואת השמירה על תשתיות אלו כדי למנוע את הישנותם של האירועים בין היתר, של גניבת מתכות, הצתת תשתיות, פריצה למתקנים, התחברויות פיראטיות לקווי חשמל, מים ודלק</w:t>
      </w:r>
      <w:r w:rsidRPr="00AA5065">
        <w:rPr>
          <w:rFonts w:ascii="Calibri" w:eastAsia="Calibri" w:hAnsi="Calibri" w:cs="Calibri" w:hint="cs"/>
          <w:sz w:val="22"/>
          <w:szCs w:val="22"/>
          <w:rtl/>
        </w:rPr>
        <w:t>.</w:t>
      </w:r>
    </w:p>
    <w:p w:rsidR="00AA5065" w:rsidRPr="00AA5065" w:rsidP="00860D89">
      <w:pPr>
        <w:spacing w:line="269" w:lineRule="auto"/>
        <w:rPr>
          <w:rFonts w:eastAsia="Calibri"/>
          <w:rtl/>
        </w:rPr>
      </w:pPr>
    </w:p>
    <w:p w:rsidR="00AA5065" w:rsidRPr="00AA5065" w:rsidP="00734ECE">
      <w:pPr>
        <w:keepNext/>
        <w:keepLines/>
        <w:spacing w:before="120" w:line="269" w:lineRule="auto"/>
        <w:outlineLvl w:val="2"/>
        <w:rPr>
          <w:rFonts w:eastAsia="Times New Roman"/>
          <w:bCs/>
          <w:szCs w:val="28"/>
          <w:u w:val="single"/>
          <w:rtl/>
        </w:rPr>
      </w:pPr>
      <w:bookmarkStart w:id="138" w:name="_Toc74217777"/>
      <w:bookmarkStart w:id="139" w:name="_Hlk204859803"/>
      <w:r w:rsidRPr="00AA5065">
        <w:rPr>
          <w:rFonts w:eastAsia="Times New Roman" w:hint="cs"/>
          <w:bCs/>
          <w:szCs w:val="28"/>
          <w:u w:val="single"/>
          <w:rtl/>
        </w:rPr>
        <w:t>פלישה לשטחי אש צה"ליים</w:t>
      </w:r>
      <w:bookmarkEnd w:id="138"/>
      <w:bookmarkEnd w:id="139"/>
    </w:p>
    <w:p w:rsidR="00AA5065" w:rsidRPr="00AA5065" w:rsidP="00860D89">
      <w:pPr>
        <w:spacing w:line="269" w:lineRule="auto"/>
        <w:ind w:left="-567"/>
        <w:rPr>
          <w:rFonts w:eastAsia="Calibri"/>
          <w:szCs w:val="20"/>
          <w:rtl/>
        </w:rPr>
      </w:pPr>
    </w:p>
    <w:p w:rsidR="00AA5065" w:rsidRPr="00AA5065" w:rsidP="00860D89">
      <w:pPr>
        <w:widowControl w:val="0"/>
        <w:spacing w:line="269" w:lineRule="auto"/>
        <w:rPr>
          <w:rFonts w:eastAsia="Calibri"/>
          <w:rtl/>
        </w:rPr>
      </w:pPr>
      <w:r w:rsidRPr="00AA5065">
        <w:rPr>
          <w:rFonts w:eastAsia="Batang" w:hint="cs"/>
          <w:sz w:val="24"/>
          <w:rtl/>
          <w:lang w:eastAsia="ko-KR"/>
        </w:rPr>
        <w:t>אזור הנגב אינו מיושב ברובו, והוא כולל שטחים צבאיים ושטחי אש רבים. בחלק מאזור זה צה"ל פועל גם בקרבה למתחמים מיושבים. לדבר יש השפעה על פעילותו של הצבא ועל החיכוכים שלו עם האוכלוסייה האזרחית.</w:t>
      </w:r>
      <w:r w:rsidRPr="00AA5065">
        <w:rPr>
          <w:rFonts w:eastAsia="Batang"/>
          <w:sz w:val="24"/>
          <w:rtl/>
          <w:lang w:eastAsia="ko-KR"/>
        </w:rPr>
        <w:t xml:space="preserve"> </w:t>
      </w:r>
      <w:r w:rsidRPr="00AA5065">
        <w:rPr>
          <w:rFonts w:eastAsia="Batang" w:hint="cs"/>
          <w:sz w:val="24"/>
          <w:rtl/>
          <w:lang w:eastAsia="ko-KR"/>
        </w:rPr>
        <w:t>אחד משטחי האש העיקריים באזור הנגב ממוקם ב</w:t>
      </w:r>
      <w:r w:rsidRPr="00AA5065">
        <w:rPr>
          <w:rFonts w:eastAsia="Batang"/>
          <w:sz w:val="24"/>
          <w:rtl/>
          <w:lang w:eastAsia="ko-KR"/>
        </w:rPr>
        <w:t>אזור צאלים</w:t>
      </w:r>
      <w:r w:rsidRPr="00AA5065">
        <w:rPr>
          <w:rFonts w:eastAsia="Batang" w:hint="cs"/>
          <w:sz w:val="24"/>
          <w:rtl/>
          <w:lang w:eastAsia="ko-KR"/>
        </w:rPr>
        <w:t>,</w:t>
      </w:r>
      <w:r w:rsidRPr="00AA5065">
        <w:rPr>
          <w:rFonts w:eastAsia="Batang"/>
          <w:sz w:val="24"/>
          <w:rtl/>
          <w:lang w:eastAsia="ko-KR"/>
        </w:rPr>
        <w:t xml:space="preserve"> </w:t>
      </w:r>
      <w:r w:rsidRPr="00AA5065">
        <w:rPr>
          <w:rFonts w:eastAsia="Batang" w:hint="cs"/>
          <w:sz w:val="24"/>
          <w:rtl/>
          <w:lang w:eastAsia="ko-KR"/>
        </w:rPr>
        <w:t>בצמוד</w:t>
      </w:r>
      <w:r w:rsidRPr="00AA5065">
        <w:rPr>
          <w:rFonts w:eastAsia="Batang"/>
          <w:sz w:val="24"/>
          <w:rtl/>
          <w:lang w:eastAsia="ko-KR"/>
        </w:rPr>
        <w:t xml:space="preserve"> </w:t>
      </w:r>
      <w:r w:rsidRPr="00AA5065">
        <w:rPr>
          <w:rFonts w:eastAsia="Batang" w:hint="cs"/>
          <w:sz w:val="24"/>
          <w:rtl/>
          <w:lang w:eastAsia="ko-KR"/>
        </w:rPr>
        <w:t>ל</w:t>
      </w:r>
      <w:r w:rsidRPr="00AA5065">
        <w:rPr>
          <w:rFonts w:eastAsia="Batang"/>
          <w:sz w:val="24"/>
          <w:rtl/>
          <w:lang w:eastAsia="ko-KR"/>
        </w:rPr>
        <w:t xml:space="preserve">בסיס צה"ל, </w:t>
      </w:r>
      <w:r w:rsidRPr="00AA5065">
        <w:rPr>
          <w:rFonts w:eastAsia="Batang" w:hint="cs"/>
          <w:sz w:val="24"/>
          <w:rtl/>
          <w:lang w:eastAsia="ko-KR"/>
        </w:rPr>
        <w:t xml:space="preserve">והוא </w:t>
      </w:r>
      <w:r w:rsidRPr="00AA5065">
        <w:rPr>
          <w:rFonts w:eastAsia="Batang"/>
          <w:sz w:val="24"/>
          <w:rtl/>
          <w:lang w:eastAsia="ko-KR"/>
        </w:rPr>
        <w:t>המרכז הלאומי לאימונים ביבשה</w:t>
      </w:r>
      <w:r w:rsidRPr="00AA5065">
        <w:rPr>
          <w:rFonts w:eastAsia="Batang" w:hint="cs"/>
          <w:sz w:val="24"/>
          <w:rtl/>
          <w:lang w:eastAsia="ko-KR"/>
        </w:rPr>
        <w:t xml:space="preserve"> (</w:t>
      </w:r>
      <w:r w:rsidRPr="00AA5065">
        <w:rPr>
          <w:rFonts w:eastAsia="Batang"/>
          <w:sz w:val="24"/>
          <w:rtl/>
          <w:lang w:eastAsia="ko-KR"/>
        </w:rPr>
        <w:t>להלן - מל</w:t>
      </w:r>
      <w:r w:rsidRPr="00AA5065">
        <w:rPr>
          <w:rFonts w:eastAsia="Batang" w:hint="cs"/>
          <w:sz w:val="24"/>
          <w:rtl/>
          <w:lang w:eastAsia="ko-KR"/>
        </w:rPr>
        <w:t xml:space="preserve">"י), </w:t>
      </w:r>
      <w:r w:rsidRPr="00AA5065">
        <w:rPr>
          <w:rFonts w:eastAsia="Batang"/>
          <w:sz w:val="24"/>
          <w:rtl/>
          <w:lang w:eastAsia="ko-KR"/>
        </w:rPr>
        <w:t>שייעודו ל</w:t>
      </w:r>
      <w:r w:rsidRPr="00AA5065">
        <w:rPr>
          <w:rFonts w:eastAsia="Batang" w:hint="cs"/>
          <w:sz w:val="24"/>
          <w:rtl/>
          <w:lang w:eastAsia="ko-KR"/>
        </w:rPr>
        <w:t>שמש</w:t>
      </w:r>
      <w:r w:rsidRPr="00AA5065">
        <w:rPr>
          <w:rFonts w:eastAsia="Batang"/>
          <w:sz w:val="24"/>
          <w:rtl/>
          <w:lang w:eastAsia="ko-KR"/>
        </w:rPr>
        <w:t xml:space="preserve"> מרכז אימונים לאומי לאימון מערך המילואים של יחידות זרוע היבשה. מל"י אחראי למיליון דונם שטחי אש, שהם כשליש משטחי האש שבמרחב פיקוד הדרום</w:t>
      </w:r>
      <w:r w:rsidRPr="00AA5065">
        <w:rPr>
          <w:rFonts w:eastAsia="Batang"/>
          <w:sz w:val="24"/>
          <w:lang w:eastAsia="ko-KR"/>
        </w:rPr>
        <w:t>.</w:t>
      </w:r>
    </w:p>
    <w:p w:rsidR="00AA5065" w:rsidRPr="00AA5065" w:rsidP="00860D89">
      <w:pPr>
        <w:spacing w:line="269" w:lineRule="auto"/>
        <w:rPr>
          <w:rFonts w:eastAsia="Calibri"/>
          <w:rtl/>
        </w:rPr>
      </w:pPr>
    </w:p>
    <w:p w:rsidR="00734ECE">
      <w:pPr>
        <w:bidi w:val="0"/>
        <w:spacing w:after="200" w:line="276" w:lineRule="auto"/>
        <w:rPr>
          <w:rFonts w:eastAsia="Times New Roman"/>
          <w:bCs/>
          <w:szCs w:val="26"/>
          <w:rtl/>
        </w:rPr>
      </w:pPr>
      <w:r>
        <w:rPr>
          <w:rFonts w:eastAsia="Times New Roman"/>
          <w:bCs/>
          <w:szCs w:val="26"/>
          <w:rtl/>
        </w:rPr>
        <w:br w:type="page"/>
      </w:r>
    </w:p>
    <w:p w:rsidR="00AA5065" w:rsidRPr="00AA5065" w:rsidP="00860D89">
      <w:pPr>
        <w:keepNext/>
        <w:keepLines/>
        <w:spacing w:line="269" w:lineRule="auto"/>
        <w:outlineLvl w:val="3"/>
        <w:rPr>
          <w:rFonts w:eastAsia="Times New Roman"/>
          <w:bCs/>
          <w:szCs w:val="26"/>
        </w:rPr>
      </w:pPr>
      <w:r w:rsidRPr="00AA5065">
        <w:rPr>
          <w:rFonts w:eastAsia="Times New Roman" w:hint="eastAsia"/>
          <w:bCs/>
          <w:szCs w:val="26"/>
          <w:rtl/>
        </w:rPr>
        <w:t>הביקורת</w:t>
      </w:r>
      <w:r w:rsidRPr="00AA5065">
        <w:rPr>
          <w:rFonts w:eastAsia="Times New Roman"/>
          <w:bCs/>
          <w:szCs w:val="26"/>
          <w:rtl/>
        </w:rPr>
        <w:t xml:space="preserve"> </w:t>
      </w:r>
      <w:r w:rsidRPr="00AA5065">
        <w:rPr>
          <w:rFonts w:eastAsia="Times New Roman" w:hint="eastAsia"/>
          <w:bCs/>
          <w:szCs w:val="26"/>
          <w:rtl/>
        </w:rPr>
        <w:t>הקודמת</w:t>
      </w:r>
    </w:p>
    <w:p w:rsidR="00AA5065" w:rsidRPr="00AA5065" w:rsidP="00860D89">
      <w:pPr>
        <w:spacing w:line="269" w:lineRule="auto"/>
        <w:ind w:left="-567"/>
        <w:rPr>
          <w:rFonts w:eastAsia="Calibri"/>
          <w:szCs w:val="20"/>
          <w:rtl/>
          <w:lang w:eastAsia="ko-KR"/>
        </w:rPr>
      </w:pPr>
    </w:p>
    <w:p w:rsidR="00AA5065" w:rsidRPr="00AA5065" w:rsidP="00734ECE">
      <w:pPr>
        <w:spacing w:line="269" w:lineRule="auto"/>
        <w:rPr>
          <w:rFonts w:eastAsia="Batang"/>
          <w:sz w:val="24"/>
          <w:rtl/>
          <w:lang w:eastAsia="ko-KR"/>
        </w:rPr>
      </w:pPr>
      <w:r w:rsidRPr="00AA5065">
        <w:rPr>
          <w:rFonts w:eastAsia="Batang" w:hint="cs"/>
          <w:sz w:val="24"/>
          <w:rtl/>
          <w:lang w:eastAsia="ko-KR"/>
        </w:rPr>
        <w:t>בביקורת הקודמת</w:t>
      </w:r>
      <w:r w:rsidRPr="00AA5065">
        <w:rPr>
          <w:rFonts w:eastAsia="Batang"/>
          <w:sz w:val="24"/>
          <w:rtl/>
          <w:lang w:eastAsia="ko-KR"/>
        </w:rPr>
        <w:t xml:space="preserve"> </w:t>
      </w:r>
      <w:r w:rsidRPr="00AA5065">
        <w:rPr>
          <w:rFonts w:eastAsia="Batang" w:hint="cs"/>
          <w:sz w:val="24"/>
          <w:rtl/>
          <w:lang w:eastAsia="ko-KR"/>
        </w:rPr>
        <w:t>עלה כי קיימת</w:t>
      </w:r>
      <w:r w:rsidRPr="00AA5065">
        <w:rPr>
          <w:rFonts w:eastAsia="Batang"/>
          <w:sz w:val="24"/>
          <w:rtl/>
          <w:lang w:eastAsia="ko-KR"/>
        </w:rPr>
        <w:t xml:space="preserve"> תופעה נרחבת של בנייה בלתי חוקית של תושבים סמוך לבסיס מל"י בצאלים ולשטחי האש של הבסיס ושל רעיית עדרים בשטחי האש של הבסיס, המסכנת את רועי הצאן ו</w:t>
      </w:r>
      <w:r w:rsidRPr="00AA5065">
        <w:rPr>
          <w:rFonts w:eastAsia="Batang" w:hint="cs"/>
          <w:sz w:val="24"/>
          <w:rtl/>
          <w:lang w:eastAsia="ko-KR"/>
        </w:rPr>
        <w:t xml:space="preserve">את </w:t>
      </w:r>
      <w:r w:rsidRPr="00AA5065">
        <w:rPr>
          <w:rFonts w:eastAsia="Batang"/>
          <w:sz w:val="24"/>
          <w:rtl/>
          <w:lang w:eastAsia="ko-KR"/>
        </w:rPr>
        <w:t>בעלי החיים</w:t>
      </w:r>
      <w:r w:rsidRPr="00AA5065">
        <w:rPr>
          <w:rFonts w:eastAsia="Batang" w:hint="cs"/>
          <w:sz w:val="24"/>
          <w:rtl/>
          <w:lang w:eastAsia="ko-KR"/>
        </w:rPr>
        <w:t>. נוסף</w:t>
      </w:r>
      <w:r w:rsidRPr="00AA5065">
        <w:rPr>
          <w:rFonts w:eastAsia="Batang"/>
          <w:sz w:val="24"/>
          <w:rtl/>
          <w:lang w:eastAsia="ko-KR"/>
        </w:rPr>
        <w:t xml:space="preserve"> </w:t>
      </w:r>
      <w:r w:rsidRPr="00AA5065">
        <w:rPr>
          <w:rFonts w:eastAsia="Batang" w:hint="cs"/>
          <w:sz w:val="24"/>
          <w:rtl/>
          <w:lang w:eastAsia="ko-KR"/>
        </w:rPr>
        <w:t>על כך עלה</w:t>
      </w:r>
      <w:r w:rsidRPr="00AA5065">
        <w:rPr>
          <w:rFonts w:eastAsia="Batang"/>
          <w:sz w:val="24"/>
          <w:rtl/>
          <w:lang w:eastAsia="ko-KR"/>
        </w:rPr>
        <w:t xml:space="preserve"> כי במרחבי הבסיס מבוצעת פעילות פלילית, הכוללת גניבת ציוד למטרות שונות, בין היתר לצורך מכירתו לארגוני פשע (תחמושת, חומרי חבלה), לסיוע להברחות</w:t>
      </w:r>
      <w:r w:rsidRPr="00AA5065">
        <w:rPr>
          <w:rFonts w:eastAsia="Batang" w:hint="cs"/>
          <w:sz w:val="24"/>
          <w:rtl/>
          <w:lang w:eastAsia="ko-KR"/>
        </w:rPr>
        <w:t xml:space="preserve"> (</w:t>
      </w:r>
      <w:r w:rsidRPr="00AA5065">
        <w:rPr>
          <w:rFonts w:eastAsia="Batang"/>
          <w:sz w:val="24"/>
          <w:rtl/>
          <w:lang w:eastAsia="ko-KR"/>
        </w:rPr>
        <w:t>אמצעי ראיית לילה ומכשירי קשר) ולצורך הפקת רווחים כלכליים (ברזל, נחושת, סול</w:t>
      </w:r>
      <w:r w:rsidRPr="00AA5065">
        <w:rPr>
          <w:rFonts w:eastAsia="Batang" w:hint="eastAsia"/>
          <w:sz w:val="24"/>
          <w:rtl/>
          <w:lang w:eastAsia="ko-KR"/>
        </w:rPr>
        <w:t>ר</w:t>
      </w:r>
      <w:r w:rsidRPr="00AA5065">
        <w:rPr>
          <w:rFonts w:eastAsia="Batang"/>
          <w:sz w:val="24"/>
          <w:rtl/>
          <w:lang w:eastAsia="ko-KR"/>
        </w:rPr>
        <w:t>).</w:t>
      </w:r>
    </w:p>
    <w:p w:rsidR="00AA5065" w:rsidRPr="00AA5065" w:rsidP="00860D89">
      <w:pPr>
        <w:spacing w:line="269" w:lineRule="auto"/>
        <w:ind w:left="-567"/>
        <w:rPr>
          <w:rFonts w:eastAsia="Calibri"/>
          <w:szCs w:val="20"/>
          <w:rtl/>
        </w:rPr>
      </w:pPr>
    </w:p>
    <w:p w:rsidR="00AA5065" w:rsidRPr="00AA5065" w:rsidP="00860D89">
      <w:pPr>
        <w:widowControl w:val="0"/>
        <w:spacing w:line="269" w:lineRule="auto"/>
        <w:rPr>
          <w:rFonts w:eastAsia="Batang"/>
          <w:sz w:val="24"/>
          <w:rtl/>
          <w:lang w:eastAsia="ko-KR"/>
        </w:rPr>
      </w:pPr>
      <w:r w:rsidRPr="00AA5065">
        <w:rPr>
          <w:rFonts w:eastAsia="Batang" w:hint="eastAsia"/>
          <w:sz w:val="24"/>
          <w:rtl/>
          <w:lang w:eastAsia="ko-KR"/>
        </w:rPr>
        <w:t>בדוח</w:t>
      </w:r>
      <w:r w:rsidRPr="00AA5065">
        <w:rPr>
          <w:rFonts w:eastAsia="Batang"/>
          <w:sz w:val="24"/>
          <w:rtl/>
          <w:lang w:eastAsia="ko-KR"/>
        </w:rPr>
        <w:t xml:space="preserve"> </w:t>
      </w:r>
      <w:r w:rsidRPr="00AA5065">
        <w:rPr>
          <w:rFonts w:eastAsia="Batang" w:hint="eastAsia"/>
          <w:sz w:val="24"/>
          <w:rtl/>
          <w:lang w:eastAsia="ko-KR"/>
        </w:rPr>
        <w:t>הקודם</w:t>
      </w:r>
      <w:r w:rsidRPr="00AA5065">
        <w:rPr>
          <w:rFonts w:eastAsia="Batang"/>
          <w:sz w:val="24"/>
          <w:rtl/>
          <w:lang w:eastAsia="ko-KR"/>
        </w:rPr>
        <w:t xml:space="preserve"> </w:t>
      </w:r>
      <w:r w:rsidRPr="00AA5065">
        <w:rPr>
          <w:rFonts w:eastAsia="Batang" w:hint="cs"/>
          <w:sz w:val="24"/>
          <w:rtl/>
          <w:lang w:eastAsia="ko-KR"/>
        </w:rPr>
        <w:t>צוין</w:t>
      </w:r>
      <w:r w:rsidRPr="00AA5065">
        <w:rPr>
          <w:rFonts w:eastAsia="Batang"/>
          <w:sz w:val="24"/>
          <w:rtl/>
          <w:lang w:eastAsia="ko-KR"/>
        </w:rPr>
        <w:t xml:space="preserve"> </w:t>
      </w:r>
      <w:r w:rsidRPr="00AA5065">
        <w:rPr>
          <w:rFonts w:eastAsia="Batang" w:hint="eastAsia"/>
          <w:sz w:val="24"/>
          <w:rtl/>
          <w:lang w:eastAsia="ko-KR"/>
        </w:rPr>
        <w:t>כי</w:t>
      </w:r>
      <w:r w:rsidRPr="00AA5065">
        <w:rPr>
          <w:rFonts w:eastAsia="Batang"/>
          <w:sz w:val="24"/>
          <w:rtl/>
          <w:lang w:eastAsia="ko-KR"/>
        </w:rPr>
        <w:t xml:space="preserve"> </w:t>
      </w:r>
      <w:r w:rsidRPr="00AA5065">
        <w:rPr>
          <w:rFonts w:eastAsia="Batang" w:hint="eastAsia"/>
          <w:sz w:val="24"/>
          <w:rtl/>
          <w:lang w:eastAsia="ko-KR"/>
        </w:rPr>
        <w:t>בשנים</w:t>
      </w:r>
      <w:r w:rsidRPr="00AA5065">
        <w:rPr>
          <w:rFonts w:eastAsia="Batang"/>
          <w:sz w:val="24"/>
          <w:rtl/>
          <w:lang w:eastAsia="ko-KR"/>
        </w:rPr>
        <w:t xml:space="preserve"> 20</w:t>
      </w:r>
      <w:r w:rsidRPr="00AA5065">
        <w:rPr>
          <w:rFonts w:eastAsia="Batang" w:hint="cs"/>
          <w:sz w:val="24"/>
          <w:rtl/>
          <w:lang w:eastAsia="ko-KR"/>
        </w:rPr>
        <w:t xml:space="preserve">17 עד </w:t>
      </w:r>
      <w:r w:rsidRPr="00AA5065">
        <w:rPr>
          <w:rFonts w:eastAsia="Batang"/>
          <w:sz w:val="24"/>
          <w:rtl/>
          <w:lang w:eastAsia="ko-KR"/>
        </w:rPr>
        <w:t>20</w:t>
      </w:r>
      <w:r w:rsidRPr="00AA5065">
        <w:rPr>
          <w:rFonts w:eastAsia="Batang" w:hint="cs"/>
          <w:sz w:val="24"/>
          <w:rtl/>
          <w:lang w:eastAsia="ko-KR"/>
        </w:rPr>
        <w:t>20</w:t>
      </w:r>
      <w:r w:rsidRPr="00AA5065">
        <w:rPr>
          <w:rFonts w:eastAsia="Batang"/>
          <w:sz w:val="24"/>
          <w:rtl/>
          <w:lang w:eastAsia="ko-KR"/>
        </w:rPr>
        <w:t xml:space="preserve"> </w:t>
      </w:r>
      <w:r w:rsidRPr="00AA5065">
        <w:rPr>
          <w:rFonts w:eastAsia="Batang" w:hint="eastAsia"/>
          <w:sz w:val="24"/>
          <w:rtl/>
          <w:lang w:eastAsia="ko-KR"/>
        </w:rPr>
        <w:t>חלה</w:t>
      </w:r>
      <w:r w:rsidRPr="00AA5065">
        <w:rPr>
          <w:rFonts w:eastAsia="Batang"/>
          <w:sz w:val="24"/>
          <w:rtl/>
          <w:lang w:eastAsia="ko-KR"/>
        </w:rPr>
        <w:t xml:space="preserve"> </w:t>
      </w:r>
      <w:r w:rsidRPr="00AA5065">
        <w:rPr>
          <w:rFonts w:eastAsia="Batang" w:hint="eastAsia"/>
          <w:sz w:val="24"/>
          <w:rtl/>
          <w:lang w:eastAsia="ko-KR"/>
        </w:rPr>
        <w:t>עלייה</w:t>
      </w:r>
      <w:r w:rsidRPr="00AA5065">
        <w:rPr>
          <w:rFonts w:eastAsia="Batang"/>
          <w:sz w:val="24"/>
          <w:rtl/>
          <w:lang w:eastAsia="ko-KR"/>
        </w:rPr>
        <w:t xml:space="preserve"> </w:t>
      </w:r>
      <w:r w:rsidRPr="00AA5065">
        <w:rPr>
          <w:rFonts w:eastAsia="Batang" w:hint="eastAsia"/>
          <w:sz w:val="24"/>
          <w:rtl/>
          <w:lang w:eastAsia="ko-KR"/>
        </w:rPr>
        <w:t>בפעילויות</w:t>
      </w:r>
      <w:r w:rsidRPr="00AA5065">
        <w:rPr>
          <w:rFonts w:eastAsia="Batang"/>
          <w:sz w:val="24"/>
          <w:rtl/>
          <w:lang w:eastAsia="ko-KR"/>
        </w:rPr>
        <w:t xml:space="preserve"> </w:t>
      </w:r>
      <w:r w:rsidRPr="00AA5065">
        <w:rPr>
          <w:rFonts w:eastAsia="Batang" w:hint="eastAsia"/>
          <w:sz w:val="24"/>
          <w:rtl/>
          <w:lang w:eastAsia="ko-KR"/>
        </w:rPr>
        <w:t>הפליליות</w:t>
      </w:r>
      <w:r w:rsidRPr="00AA5065">
        <w:rPr>
          <w:rFonts w:eastAsia="Batang"/>
          <w:sz w:val="24"/>
          <w:rtl/>
          <w:lang w:eastAsia="ko-KR"/>
        </w:rPr>
        <w:t xml:space="preserve"> </w:t>
      </w:r>
      <w:r w:rsidRPr="00AA5065">
        <w:rPr>
          <w:rFonts w:eastAsia="Batang" w:hint="eastAsia"/>
          <w:sz w:val="24"/>
          <w:rtl/>
          <w:lang w:eastAsia="ko-KR"/>
        </w:rPr>
        <w:t>שבשטחי</w:t>
      </w:r>
      <w:r w:rsidRPr="00AA5065">
        <w:rPr>
          <w:rFonts w:eastAsia="Batang"/>
          <w:sz w:val="24"/>
          <w:rtl/>
          <w:lang w:eastAsia="ko-KR"/>
        </w:rPr>
        <w:t xml:space="preserve"> </w:t>
      </w:r>
      <w:r w:rsidRPr="00AA5065">
        <w:rPr>
          <w:rFonts w:eastAsia="Batang" w:hint="eastAsia"/>
          <w:sz w:val="24"/>
          <w:rtl/>
          <w:lang w:eastAsia="ko-KR"/>
        </w:rPr>
        <w:t>האש</w:t>
      </w:r>
      <w:r w:rsidRPr="00AA5065">
        <w:rPr>
          <w:rFonts w:eastAsia="Batang"/>
          <w:sz w:val="24"/>
          <w:rtl/>
          <w:lang w:eastAsia="ko-KR"/>
        </w:rPr>
        <w:t xml:space="preserve">, </w:t>
      </w:r>
      <w:r w:rsidRPr="00AA5065">
        <w:rPr>
          <w:rFonts w:eastAsia="Batang" w:hint="eastAsia"/>
          <w:sz w:val="24"/>
          <w:rtl/>
          <w:lang w:eastAsia="ko-KR"/>
        </w:rPr>
        <w:t>בייחוד</w:t>
      </w:r>
      <w:r w:rsidRPr="00AA5065">
        <w:rPr>
          <w:rFonts w:eastAsia="Batang"/>
          <w:sz w:val="24"/>
          <w:rtl/>
          <w:lang w:eastAsia="ko-KR"/>
        </w:rPr>
        <w:t xml:space="preserve"> </w:t>
      </w:r>
      <w:r w:rsidRPr="00AA5065">
        <w:rPr>
          <w:rFonts w:eastAsia="Batang" w:hint="eastAsia"/>
          <w:sz w:val="24"/>
          <w:rtl/>
          <w:lang w:eastAsia="ko-KR"/>
        </w:rPr>
        <w:t>בתחום</w:t>
      </w:r>
      <w:r w:rsidRPr="00AA5065">
        <w:rPr>
          <w:rFonts w:eastAsia="Batang"/>
          <w:sz w:val="24"/>
          <w:rtl/>
          <w:lang w:eastAsia="ko-KR"/>
        </w:rPr>
        <w:t xml:space="preserve"> </w:t>
      </w:r>
      <w:r w:rsidRPr="00AA5065">
        <w:rPr>
          <w:rFonts w:eastAsia="Batang" w:hint="eastAsia"/>
          <w:sz w:val="24"/>
          <w:rtl/>
          <w:lang w:eastAsia="ko-KR"/>
        </w:rPr>
        <w:t>של</w:t>
      </w:r>
      <w:r w:rsidRPr="00AA5065">
        <w:rPr>
          <w:rFonts w:eastAsia="Batang"/>
          <w:sz w:val="24"/>
          <w:rtl/>
          <w:lang w:eastAsia="ko-KR"/>
        </w:rPr>
        <w:t xml:space="preserve"> </w:t>
      </w:r>
      <w:r w:rsidRPr="00AA5065">
        <w:rPr>
          <w:rFonts w:eastAsia="Batang" w:hint="eastAsia"/>
          <w:sz w:val="24"/>
          <w:rtl/>
          <w:lang w:eastAsia="ko-KR"/>
        </w:rPr>
        <w:t>חממות</w:t>
      </w:r>
      <w:r w:rsidRPr="00AA5065">
        <w:rPr>
          <w:rFonts w:eastAsia="Batang"/>
          <w:sz w:val="24"/>
          <w:rtl/>
          <w:lang w:eastAsia="ko-KR"/>
        </w:rPr>
        <w:t xml:space="preserve"> </w:t>
      </w:r>
      <w:r w:rsidRPr="00AA5065">
        <w:rPr>
          <w:rFonts w:eastAsia="Batang" w:hint="eastAsia"/>
          <w:sz w:val="24"/>
          <w:rtl/>
          <w:lang w:eastAsia="ko-KR"/>
        </w:rPr>
        <w:t>קנאביס</w:t>
      </w:r>
      <w:r w:rsidRPr="00AA5065">
        <w:rPr>
          <w:rFonts w:eastAsia="Batang"/>
          <w:sz w:val="24"/>
          <w:rtl/>
          <w:lang w:eastAsia="ko-KR"/>
        </w:rPr>
        <w:t xml:space="preserve"> </w:t>
      </w:r>
      <w:r w:rsidRPr="00AA5065">
        <w:rPr>
          <w:rFonts w:eastAsia="Batang" w:hint="eastAsia"/>
          <w:sz w:val="24"/>
          <w:rtl/>
          <w:lang w:eastAsia="ko-KR"/>
        </w:rPr>
        <w:t>ובעניין</w:t>
      </w:r>
      <w:r w:rsidRPr="00AA5065">
        <w:rPr>
          <w:rFonts w:eastAsia="Batang"/>
          <w:sz w:val="24"/>
          <w:rtl/>
          <w:lang w:eastAsia="ko-KR"/>
        </w:rPr>
        <w:t xml:space="preserve"> </w:t>
      </w:r>
      <w:r w:rsidRPr="00AA5065">
        <w:rPr>
          <w:rFonts w:eastAsia="Batang" w:hint="eastAsia"/>
          <w:sz w:val="24"/>
          <w:rtl/>
          <w:lang w:eastAsia="ko-KR"/>
        </w:rPr>
        <w:t>הצורך</w:t>
      </w:r>
      <w:r w:rsidRPr="00AA5065">
        <w:rPr>
          <w:rFonts w:eastAsia="Batang"/>
          <w:sz w:val="24"/>
          <w:rtl/>
          <w:lang w:eastAsia="ko-KR"/>
        </w:rPr>
        <w:t xml:space="preserve"> </w:t>
      </w:r>
      <w:r w:rsidRPr="00AA5065">
        <w:rPr>
          <w:rFonts w:eastAsia="Batang" w:hint="eastAsia"/>
          <w:sz w:val="24"/>
          <w:rtl/>
          <w:lang w:eastAsia="ko-KR"/>
        </w:rPr>
        <w:t>לבצע</w:t>
      </w:r>
      <w:r w:rsidRPr="00AA5065">
        <w:rPr>
          <w:rFonts w:eastAsia="Batang"/>
          <w:sz w:val="24"/>
          <w:rtl/>
          <w:lang w:eastAsia="ko-KR"/>
        </w:rPr>
        <w:t xml:space="preserve"> </w:t>
      </w:r>
      <w:r w:rsidRPr="00AA5065">
        <w:rPr>
          <w:rFonts w:eastAsia="Batang" w:hint="eastAsia"/>
          <w:sz w:val="24"/>
          <w:rtl/>
          <w:lang w:eastAsia="ko-KR"/>
        </w:rPr>
        <w:t>פינויים</w:t>
      </w:r>
      <w:r w:rsidRPr="00AA5065">
        <w:rPr>
          <w:rFonts w:eastAsia="Batang"/>
          <w:sz w:val="24"/>
          <w:rtl/>
          <w:lang w:eastAsia="ko-KR"/>
        </w:rPr>
        <w:t xml:space="preserve"> </w:t>
      </w:r>
      <w:r w:rsidRPr="00AA5065">
        <w:rPr>
          <w:rFonts w:eastAsia="Batang" w:hint="cs"/>
          <w:sz w:val="24"/>
          <w:rtl/>
          <w:lang w:eastAsia="ko-KR"/>
        </w:rPr>
        <w:t xml:space="preserve">של מסיגי גבול </w:t>
      </w:r>
      <w:r w:rsidRPr="00AA5065">
        <w:rPr>
          <w:rFonts w:eastAsia="Batang" w:hint="eastAsia"/>
          <w:sz w:val="24"/>
          <w:rtl/>
          <w:lang w:eastAsia="ko-KR"/>
        </w:rPr>
        <w:t>משטחי</w:t>
      </w:r>
      <w:r w:rsidRPr="00AA5065">
        <w:rPr>
          <w:rFonts w:eastAsia="Batang"/>
          <w:sz w:val="24"/>
          <w:rtl/>
          <w:lang w:eastAsia="ko-KR"/>
        </w:rPr>
        <w:t xml:space="preserve"> </w:t>
      </w:r>
      <w:r w:rsidRPr="00AA5065">
        <w:rPr>
          <w:rFonts w:eastAsia="Batang" w:hint="eastAsia"/>
          <w:sz w:val="24"/>
          <w:rtl/>
          <w:lang w:eastAsia="ko-KR"/>
        </w:rPr>
        <w:t>האש</w:t>
      </w:r>
      <w:r w:rsidRPr="00AA5065">
        <w:rPr>
          <w:rFonts w:eastAsia="Batang" w:hint="cs"/>
          <w:sz w:val="24"/>
          <w:rtl/>
          <w:lang w:eastAsia="ko-KR"/>
        </w:rPr>
        <w:t>,</w:t>
      </w:r>
      <w:r w:rsidRPr="00AA5065">
        <w:rPr>
          <w:rFonts w:eastAsia="Batang"/>
          <w:sz w:val="24"/>
          <w:rtl/>
          <w:lang w:eastAsia="ko-KR"/>
        </w:rPr>
        <w:t xml:space="preserve"> </w:t>
      </w:r>
      <w:r w:rsidRPr="00AA5065">
        <w:rPr>
          <w:rFonts w:eastAsia="Batang" w:hint="eastAsia"/>
          <w:sz w:val="24"/>
          <w:rtl/>
          <w:lang w:eastAsia="ko-KR"/>
        </w:rPr>
        <w:t>וה</w:t>
      </w:r>
      <w:r w:rsidRPr="00AA5065">
        <w:rPr>
          <w:rFonts w:eastAsia="Batang"/>
          <w:sz w:val="24"/>
          <w:rtl/>
          <w:lang w:eastAsia="ko-KR"/>
        </w:rPr>
        <w:t xml:space="preserve">ומלץ, בין היתר, </w:t>
      </w:r>
      <w:r w:rsidRPr="00AA5065">
        <w:rPr>
          <w:rFonts w:eastAsia="Batang" w:hint="cs"/>
          <w:sz w:val="24"/>
          <w:rtl/>
          <w:lang w:eastAsia="ko-KR"/>
        </w:rPr>
        <w:t xml:space="preserve">כי </w:t>
      </w:r>
      <w:r w:rsidRPr="00AA5065">
        <w:rPr>
          <w:rFonts w:eastAsia="Batang"/>
          <w:sz w:val="24"/>
          <w:rtl/>
          <w:lang w:eastAsia="ko-KR"/>
        </w:rPr>
        <w:t xml:space="preserve">צה"ל יפעל לחידוד סמכויות המפקדים בשטח הצבאי ויגביר את השמירה בבסיס נבטים ובבסיס מל"י, תוך יצירת שיתוף פעולה הדוק יותר עם </w:t>
      </w:r>
      <w:r w:rsidRPr="00AA5065">
        <w:rPr>
          <w:rFonts w:eastAsia="Batang" w:hint="cs"/>
          <w:sz w:val="24"/>
          <w:rtl/>
          <w:lang w:eastAsia="ko-KR"/>
        </w:rPr>
        <w:t>ה</w:t>
      </w:r>
      <w:r w:rsidRPr="00AA5065">
        <w:rPr>
          <w:rFonts w:eastAsia="Batang"/>
          <w:sz w:val="24"/>
          <w:rtl/>
          <w:lang w:eastAsia="ko-KR"/>
        </w:rPr>
        <w:t>משטר</w:t>
      </w:r>
      <w:r w:rsidRPr="00AA5065">
        <w:rPr>
          <w:rFonts w:eastAsia="Batang" w:hint="cs"/>
          <w:sz w:val="24"/>
          <w:rtl/>
          <w:lang w:eastAsia="ko-KR"/>
        </w:rPr>
        <w:t>ה</w:t>
      </w:r>
      <w:r w:rsidRPr="00AA5065">
        <w:rPr>
          <w:rFonts w:eastAsia="Batang"/>
          <w:sz w:val="24"/>
          <w:rtl/>
          <w:lang w:eastAsia="ko-KR"/>
        </w:rPr>
        <w:t xml:space="preserve"> בנושא. יתרה מכך, </w:t>
      </w:r>
      <w:r w:rsidRPr="00AA5065">
        <w:rPr>
          <w:rFonts w:eastAsia="Batang" w:hint="cs"/>
          <w:sz w:val="24"/>
          <w:rtl/>
          <w:lang w:eastAsia="ko-KR"/>
        </w:rPr>
        <w:t>הומלץ כי</w:t>
      </w:r>
      <w:r w:rsidRPr="00AA5065">
        <w:rPr>
          <w:rFonts w:eastAsia="Batang"/>
          <w:sz w:val="24"/>
          <w:rtl/>
          <w:lang w:eastAsia="ko-KR"/>
        </w:rPr>
        <w:t xml:space="preserve"> </w:t>
      </w:r>
      <w:r w:rsidRPr="00AA5065">
        <w:rPr>
          <w:rFonts w:eastAsia="Batang" w:hint="cs"/>
          <w:sz w:val="24"/>
          <w:rtl/>
          <w:lang w:eastAsia="ko-KR"/>
        </w:rPr>
        <w:t>ה</w:t>
      </w:r>
      <w:r w:rsidRPr="00AA5065">
        <w:rPr>
          <w:rFonts w:eastAsia="Batang"/>
          <w:sz w:val="24"/>
          <w:rtl/>
          <w:lang w:eastAsia="ko-KR"/>
        </w:rPr>
        <w:t>משטר</w:t>
      </w:r>
      <w:r w:rsidRPr="00AA5065">
        <w:rPr>
          <w:rFonts w:eastAsia="Batang" w:hint="cs"/>
          <w:sz w:val="24"/>
          <w:rtl/>
          <w:lang w:eastAsia="ko-KR"/>
        </w:rPr>
        <w:t>ה</w:t>
      </w:r>
      <w:r w:rsidRPr="00AA5065">
        <w:rPr>
          <w:rFonts w:eastAsia="Batang"/>
          <w:sz w:val="24"/>
          <w:rtl/>
          <w:lang w:eastAsia="ko-KR"/>
        </w:rPr>
        <w:t xml:space="preserve"> </w:t>
      </w:r>
      <w:r w:rsidRPr="00AA5065">
        <w:rPr>
          <w:rFonts w:eastAsia="Batang" w:hint="cs"/>
          <w:sz w:val="24"/>
          <w:rtl/>
          <w:lang w:eastAsia="ko-KR"/>
        </w:rPr>
        <w:t>ת</w:t>
      </w:r>
      <w:r w:rsidRPr="00AA5065">
        <w:rPr>
          <w:rFonts w:eastAsia="Batang"/>
          <w:sz w:val="24"/>
          <w:rtl/>
          <w:lang w:eastAsia="ko-KR"/>
        </w:rPr>
        <w:t>גביר את פעולותיה למיגור התופעות שתוארו, לחקירת אירועים פליליים ולהעמדת האחראים לדין</w:t>
      </w:r>
      <w:r w:rsidRPr="00AA5065">
        <w:rPr>
          <w:rFonts w:eastAsia="Batang"/>
          <w:sz w:val="24"/>
          <w:lang w:eastAsia="ko-KR"/>
        </w:rPr>
        <w:t>.</w:t>
      </w:r>
    </w:p>
    <w:p w:rsidR="00AA5065" w:rsidRPr="00AA5065" w:rsidP="00860D89">
      <w:pPr>
        <w:spacing w:line="269" w:lineRule="auto"/>
        <w:ind w:left="-567"/>
        <w:rPr>
          <w:rFonts w:eastAsia="Calibri"/>
          <w:szCs w:val="20"/>
          <w:rtl/>
        </w:rPr>
      </w:pPr>
    </w:p>
    <w:p w:rsidR="00AA5065" w:rsidP="00860D89">
      <w:pPr>
        <w:spacing w:line="269" w:lineRule="auto"/>
        <w:rPr>
          <w:rFonts w:eastAsia="Batang"/>
          <w:sz w:val="24"/>
          <w:rtl/>
          <w:lang w:eastAsia="ko-KR"/>
        </w:rPr>
      </w:pPr>
      <w:r w:rsidRPr="00AA5065">
        <w:rPr>
          <w:rFonts w:eastAsia="Batang" w:hint="eastAsia"/>
          <w:sz w:val="24"/>
          <w:rtl/>
          <w:lang w:eastAsia="ko-KR"/>
        </w:rPr>
        <w:t>לוחות</w:t>
      </w:r>
      <w:r w:rsidRPr="00AA5065">
        <w:rPr>
          <w:rFonts w:eastAsia="Batang"/>
          <w:sz w:val="24"/>
          <w:rtl/>
          <w:lang w:eastAsia="ko-KR"/>
        </w:rPr>
        <w:t xml:space="preserve"> </w:t>
      </w:r>
      <w:r w:rsidRPr="00AA5065">
        <w:rPr>
          <w:rFonts w:eastAsia="Batang" w:hint="cs"/>
          <w:sz w:val="24"/>
          <w:rtl/>
          <w:lang w:eastAsia="ko-KR"/>
        </w:rPr>
        <w:t>21</w:t>
      </w:r>
      <w:r w:rsidRPr="00AA5065">
        <w:rPr>
          <w:rFonts w:eastAsia="Batang"/>
          <w:sz w:val="24"/>
          <w:rtl/>
          <w:lang w:eastAsia="ko-KR"/>
        </w:rPr>
        <w:t xml:space="preserve"> </w:t>
      </w:r>
      <w:r w:rsidRPr="00AA5065">
        <w:rPr>
          <w:rFonts w:eastAsia="Batang" w:hint="cs"/>
          <w:sz w:val="24"/>
          <w:rtl/>
          <w:lang w:eastAsia="ko-KR"/>
        </w:rPr>
        <w:t>ו-22</w:t>
      </w:r>
      <w:r w:rsidRPr="00AA5065">
        <w:rPr>
          <w:rFonts w:eastAsia="Batang"/>
          <w:sz w:val="24"/>
          <w:rtl/>
          <w:lang w:eastAsia="ko-KR"/>
        </w:rPr>
        <w:t xml:space="preserve"> </w:t>
      </w:r>
      <w:r w:rsidRPr="00AA5065">
        <w:rPr>
          <w:rFonts w:eastAsia="Batang" w:hint="cs"/>
          <w:sz w:val="24"/>
          <w:rtl/>
          <w:lang w:eastAsia="ko-KR"/>
        </w:rPr>
        <w:t>ש</w:t>
      </w:r>
      <w:r w:rsidRPr="00AA5065">
        <w:rPr>
          <w:rFonts w:eastAsia="Batang"/>
          <w:sz w:val="24"/>
          <w:rtl/>
          <w:lang w:eastAsia="ko-KR"/>
        </w:rPr>
        <w:t xml:space="preserve">להלן פירטו בדוח הקודם </w:t>
      </w:r>
      <w:r w:rsidRPr="00AA5065">
        <w:rPr>
          <w:rFonts w:eastAsia="Batang" w:hint="eastAsia"/>
          <w:sz w:val="24"/>
          <w:rtl/>
          <w:lang w:eastAsia="ko-KR"/>
        </w:rPr>
        <w:t>את</w:t>
      </w:r>
      <w:r w:rsidRPr="00AA5065">
        <w:rPr>
          <w:rFonts w:eastAsia="Batang"/>
          <w:sz w:val="24"/>
          <w:rtl/>
          <w:lang w:eastAsia="ko-KR"/>
        </w:rPr>
        <w:t xml:space="preserve"> פעילות הסיירת הירוקה</w:t>
      </w:r>
      <w:r>
        <w:rPr>
          <w:rFonts w:eastAsia="Batang"/>
          <w:sz w:val="24"/>
          <w:vertAlign w:val="superscript"/>
          <w:rtl/>
          <w:lang w:eastAsia="ko-KR"/>
        </w:rPr>
        <w:footnoteReference w:id="147"/>
      </w:r>
      <w:r w:rsidRPr="00AA5065">
        <w:rPr>
          <w:rFonts w:eastAsia="Batang"/>
          <w:sz w:val="24"/>
          <w:rtl/>
          <w:lang w:eastAsia="ko-KR"/>
        </w:rPr>
        <w:t xml:space="preserve"> בשטחי האש של בסיס צאלים</w:t>
      </w:r>
      <w:r w:rsidRPr="00AA5065">
        <w:rPr>
          <w:rFonts w:eastAsia="Batang" w:hint="cs"/>
          <w:sz w:val="24"/>
          <w:rtl/>
          <w:lang w:eastAsia="ko-KR"/>
        </w:rPr>
        <w:t>.</w:t>
      </w:r>
    </w:p>
    <w:p w:rsidR="00AF3FA8" w:rsidRPr="00AA5065" w:rsidP="00860D89">
      <w:pPr>
        <w:spacing w:line="269" w:lineRule="auto"/>
        <w:rPr>
          <w:rFonts w:eastAsia="Batang"/>
          <w:sz w:val="24"/>
          <w:rtl/>
          <w:lang w:eastAsia="ko-KR"/>
        </w:rPr>
      </w:pPr>
    </w:p>
    <w:p w:rsidR="00AA5065" w:rsidRPr="00AA5065" w:rsidP="00860D89">
      <w:pPr>
        <w:spacing w:line="269" w:lineRule="auto"/>
        <w:jc w:val="center"/>
        <w:rPr>
          <w:rFonts w:eastAsia="Calibri"/>
          <w:rtl/>
          <w:lang w:eastAsia="ko-KR"/>
        </w:rPr>
      </w:pPr>
      <w:r w:rsidRPr="00AA5065">
        <w:rPr>
          <w:rFonts w:eastAsia="Calibri" w:hint="eastAsia"/>
          <w:rtl/>
          <w:lang w:eastAsia="ko-KR"/>
        </w:rPr>
        <w:t>לוח</w:t>
      </w:r>
      <w:r w:rsidRPr="00AA5065">
        <w:rPr>
          <w:rFonts w:eastAsia="Calibri"/>
          <w:rtl/>
          <w:lang w:eastAsia="ko-KR"/>
        </w:rPr>
        <w:t xml:space="preserve"> </w:t>
      </w:r>
      <w:r w:rsidRPr="00AA5065">
        <w:rPr>
          <w:rFonts w:eastAsia="Calibri" w:hint="cs"/>
          <w:rtl/>
          <w:lang w:eastAsia="ko-KR"/>
        </w:rPr>
        <w:t>21</w:t>
      </w:r>
      <w:r w:rsidRPr="00AA5065">
        <w:rPr>
          <w:rFonts w:eastAsia="Calibri"/>
          <w:rtl/>
          <w:lang w:eastAsia="ko-KR"/>
        </w:rPr>
        <w:t xml:space="preserve">: </w:t>
      </w:r>
      <w:r w:rsidRPr="00AA5065">
        <w:rPr>
          <w:rFonts w:eastAsia="Calibri"/>
          <w:b/>
          <w:bCs/>
          <w:rtl/>
          <w:lang w:eastAsia="ko-KR"/>
        </w:rPr>
        <w:t xml:space="preserve">פעילות </w:t>
      </w:r>
      <w:r w:rsidRPr="00AA5065">
        <w:rPr>
          <w:rFonts w:eastAsia="Calibri" w:hint="eastAsia"/>
          <w:b/>
          <w:bCs/>
          <w:rtl/>
          <w:lang w:eastAsia="ko-KR"/>
        </w:rPr>
        <w:t>הסיירת</w:t>
      </w:r>
      <w:r w:rsidRPr="00AA5065">
        <w:rPr>
          <w:rFonts w:eastAsia="Calibri"/>
          <w:b/>
          <w:bCs/>
          <w:rtl/>
          <w:lang w:eastAsia="ko-KR"/>
        </w:rPr>
        <w:t xml:space="preserve"> </w:t>
      </w:r>
      <w:r w:rsidRPr="00AA5065">
        <w:rPr>
          <w:rFonts w:eastAsia="Calibri"/>
          <w:b/>
          <w:bCs/>
          <w:rtl/>
        </w:rPr>
        <w:t>הירוקה</w:t>
      </w:r>
      <w:r w:rsidRPr="00AA5065">
        <w:rPr>
          <w:rFonts w:eastAsia="Calibri"/>
          <w:b/>
          <w:bCs/>
          <w:rtl/>
          <w:lang w:eastAsia="ko-KR"/>
        </w:rPr>
        <w:t xml:space="preserve"> בשטחי </w:t>
      </w:r>
      <w:r w:rsidRPr="00AA5065">
        <w:rPr>
          <w:rFonts w:eastAsia="Calibri" w:hint="cs"/>
          <w:b/>
          <w:bCs/>
          <w:rtl/>
          <w:lang w:eastAsia="ko-KR"/>
        </w:rPr>
        <w:t>ה</w:t>
      </w:r>
      <w:r w:rsidRPr="00AA5065">
        <w:rPr>
          <w:rFonts w:eastAsia="Calibri"/>
          <w:b/>
          <w:bCs/>
          <w:rtl/>
          <w:lang w:eastAsia="ko-KR"/>
        </w:rPr>
        <w:t xml:space="preserve">אש </w:t>
      </w:r>
      <w:r w:rsidRPr="00AA5065">
        <w:rPr>
          <w:rFonts w:eastAsia="Calibri" w:hint="cs"/>
          <w:b/>
          <w:bCs/>
          <w:rtl/>
          <w:lang w:eastAsia="ko-KR"/>
        </w:rPr>
        <w:t xml:space="preserve">של בסיס </w:t>
      </w:r>
      <w:r w:rsidRPr="00AA5065">
        <w:rPr>
          <w:rFonts w:eastAsia="Calibri"/>
          <w:b/>
          <w:bCs/>
          <w:rtl/>
          <w:lang w:eastAsia="ko-KR"/>
        </w:rPr>
        <w:t xml:space="preserve">מל"י </w:t>
      </w:r>
      <w:r w:rsidRPr="00AA5065">
        <w:rPr>
          <w:rFonts w:eastAsia="Calibri" w:hint="cs"/>
          <w:b/>
          <w:bCs/>
          <w:rtl/>
          <w:lang w:eastAsia="ko-KR"/>
        </w:rPr>
        <w:t>ב</w:t>
      </w:r>
      <w:r w:rsidRPr="00AA5065">
        <w:rPr>
          <w:rFonts w:eastAsia="Calibri"/>
          <w:b/>
          <w:bCs/>
          <w:rtl/>
          <w:lang w:eastAsia="ko-KR"/>
        </w:rPr>
        <w:t xml:space="preserve">צאלים, 2017 </w:t>
      </w:r>
      <w:r w:rsidRPr="00AA5065">
        <w:rPr>
          <w:rFonts w:eastAsia="Calibri" w:hint="cs"/>
          <w:b/>
          <w:bCs/>
          <w:rtl/>
          <w:lang w:eastAsia="ko-KR"/>
        </w:rPr>
        <w:t>-</w:t>
      </w:r>
      <w:r w:rsidRPr="00AA5065">
        <w:rPr>
          <w:rFonts w:eastAsia="Calibri"/>
          <w:b/>
          <w:bCs/>
          <w:rtl/>
          <w:lang w:eastAsia="ko-KR"/>
        </w:rPr>
        <w:t xml:space="preserve"> 2020</w:t>
      </w:r>
    </w:p>
    <w:tbl>
      <w:tblPr>
        <w:tblStyle w:val="5-11"/>
        <w:bidiVisual/>
        <w:tblW w:w="7371" w:type="dxa"/>
        <w:jc w:val="center"/>
        <w:tblLook w:val="04A0"/>
      </w:tblPr>
      <w:tblGrid>
        <w:gridCol w:w="2956"/>
        <w:gridCol w:w="961"/>
        <w:gridCol w:w="1014"/>
        <w:gridCol w:w="1209"/>
        <w:gridCol w:w="1231"/>
      </w:tblGrid>
      <w:tr w:rsidTr="00AA5065">
        <w:tblPrEx>
          <w:tblW w:w="7371" w:type="dxa"/>
          <w:jc w:val="center"/>
          <w:tblLook w:val="04A0"/>
        </w:tblPrEx>
        <w:trPr>
          <w:jc w:val="center"/>
        </w:trPr>
        <w:tc>
          <w:tcPr>
            <w:tcW w:w="0" w:type="auto"/>
            <w:hideMark/>
          </w:tcPr>
          <w:p w:rsidR="00AA5065" w:rsidRPr="00AA5065" w:rsidP="00860D89">
            <w:pPr>
              <w:tabs>
                <w:tab w:val="left" w:pos="424"/>
              </w:tabs>
              <w:spacing w:line="269" w:lineRule="auto"/>
              <w:jc w:val="center"/>
              <w:rPr>
                <w:rFonts w:eastAsia="Batang"/>
                <w:sz w:val="22"/>
                <w:szCs w:val="22"/>
                <w:lang w:eastAsia="ko-KR"/>
              </w:rPr>
            </w:pPr>
            <w:r w:rsidRPr="00AA5065">
              <w:rPr>
                <w:rFonts w:eastAsia="Batang" w:hint="eastAsia"/>
                <w:sz w:val="22"/>
                <w:szCs w:val="22"/>
                <w:rtl/>
                <w:lang w:eastAsia="ko-KR"/>
              </w:rPr>
              <w:t>הפעילות</w:t>
            </w:r>
          </w:p>
        </w:tc>
        <w:tc>
          <w:tcPr>
            <w:tcW w:w="0" w:type="auto"/>
            <w:hideMark/>
          </w:tcPr>
          <w:p w:rsidR="00AA5065" w:rsidRPr="00AA5065" w:rsidP="00860D89">
            <w:pPr>
              <w:tabs>
                <w:tab w:val="left" w:pos="424"/>
              </w:tabs>
              <w:spacing w:line="269" w:lineRule="auto"/>
              <w:jc w:val="center"/>
              <w:rPr>
                <w:rFonts w:eastAsia="Batang"/>
                <w:sz w:val="22"/>
                <w:szCs w:val="22"/>
                <w:rtl/>
                <w:lang w:eastAsia="ko-KR"/>
              </w:rPr>
            </w:pPr>
            <w:r w:rsidRPr="00AA5065">
              <w:rPr>
                <w:rFonts w:eastAsia="Batang"/>
                <w:sz w:val="22"/>
                <w:szCs w:val="22"/>
                <w:rtl/>
                <w:lang w:eastAsia="ko-KR"/>
              </w:rPr>
              <w:t>2017</w:t>
            </w:r>
          </w:p>
        </w:tc>
        <w:tc>
          <w:tcPr>
            <w:tcW w:w="0" w:type="auto"/>
            <w:hideMark/>
          </w:tcPr>
          <w:p w:rsidR="00AA5065" w:rsidRPr="00AA5065" w:rsidP="00860D89">
            <w:pPr>
              <w:tabs>
                <w:tab w:val="left" w:pos="424"/>
              </w:tabs>
              <w:spacing w:line="269" w:lineRule="auto"/>
              <w:jc w:val="center"/>
              <w:rPr>
                <w:rFonts w:eastAsia="Batang"/>
                <w:sz w:val="22"/>
                <w:szCs w:val="22"/>
                <w:rtl/>
                <w:lang w:eastAsia="ko-KR"/>
              </w:rPr>
            </w:pPr>
            <w:r w:rsidRPr="00AA5065">
              <w:rPr>
                <w:rFonts w:eastAsia="Batang"/>
                <w:sz w:val="22"/>
                <w:szCs w:val="22"/>
                <w:rtl/>
                <w:lang w:eastAsia="ko-KR"/>
              </w:rPr>
              <w:t>2018</w:t>
            </w:r>
          </w:p>
        </w:tc>
        <w:tc>
          <w:tcPr>
            <w:tcW w:w="0" w:type="auto"/>
            <w:hideMark/>
          </w:tcPr>
          <w:p w:rsidR="00AA5065" w:rsidRPr="00AA5065" w:rsidP="00860D89">
            <w:pPr>
              <w:tabs>
                <w:tab w:val="left" w:pos="424"/>
              </w:tabs>
              <w:spacing w:line="269" w:lineRule="auto"/>
              <w:jc w:val="center"/>
              <w:rPr>
                <w:rFonts w:eastAsia="Batang"/>
                <w:sz w:val="22"/>
                <w:szCs w:val="22"/>
                <w:rtl/>
                <w:lang w:eastAsia="ko-KR"/>
              </w:rPr>
            </w:pPr>
            <w:r w:rsidRPr="00AA5065">
              <w:rPr>
                <w:rFonts w:eastAsia="Batang"/>
                <w:sz w:val="22"/>
                <w:szCs w:val="22"/>
                <w:rtl/>
                <w:lang w:eastAsia="ko-KR"/>
              </w:rPr>
              <w:t>2019</w:t>
            </w:r>
          </w:p>
        </w:tc>
        <w:tc>
          <w:tcPr>
            <w:tcW w:w="0" w:type="auto"/>
          </w:tcPr>
          <w:p w:rsidR="00AA5065" w:rsidRPr="00AA5065" w:rsidP="00860D89">
            <w:pPr>
              <w:tabs>
                <w:tab w:val="left" w:pos="424"/>
              </w:tabs>
              <w:spacing w:line="269" w:lineRule="auto"/>
              <w:jc w:val="center"/>
              <w:rPr>
                <w:rFonts w:eastAsia="Batang"/>
                <w:sz w:val="22"/>
                <w:szCs w:val="22"/>
                <w:rtl/>
                <w:lang w:eastAsia="ko-KR"/>
              </w:rPr>
            </w:pPr>
            <w:r w:rsidRPr="00AA5065">
              <w:rPr>
                <w:rFonts w:eastAsia="Batang"/>
                <w:sz w:val="22"/>
                <w:szCs w:val="22"/>
                <w:rtl/>
                <w:lang w:eastAsia="ko-KR"/>
              </w:rPr>
              <w:t>2020</w:t>
            </w:r>
          </w:p>
        </w:tc>
      </w:tr>
      <w:tr w:rsidTr="00AA5065">
        <w:tblPrEx>
          <w:tblW w:w="7371" w:type="dxa"/>
          <w:jc w:val="center"/>
          <w:tblLook w:val="04A0"/>
        </w:tblPrEx>
        <w:trPr>
          <w:jc w:val="center"/>
        </w:trPr>
        <w:tc>
          <w:tcPr>
            <w:tcW w:w="0" w:type="auto"/>
            <w:hideMark/>
          </w:tcPr>
          <w:p w:rsidR="00AA5065" w:rsidRPr="00AA5065" w:rsidP="00860D89">
            <w:pPr>
              <w:tabs>
                <w:tab w:val="left" w:pos="424"/>
              </w:tabs>
              <w:spacing w:line="269" w:lineRule="auto"/>
              <w:jc w:val="left"/>
              <w:rPr>
                <w:rFonts w:eastAsia="Batang"/>
                <w:sz w:val="22"/>
                <w:szCs w:val="22"/>
                <w:rtl/>
                <w:lang w:eastAsia="ko-KR"/>
              </w:rPr>
            </w:pPr>
            <w:r w:rsidRPr="00AA5065">
              <w:rPr>
                <w:rFonts w:eastAsia="Batang" w:hint="eastAsia"/>
                <w:sz w:val="22"/>
                <w:szCs w:val="22"/>
                <w:rtl/>
                <w:lang w:eastAsia="ko-KR"/>
              </w:rPr>
              <w:t>השמדת</w:t>
            </w:r>
            <w:r w:rsidRPr="00AA5065">
              <w:rPr>
                <w:rFonts w:eastAsia="Batang"/>
                <w:sz w:val="22"/>
                <w:szCs w:val="22"/>
                <w:rtl/>
                <w:lang w:eastAsia="ko-KR"/>
              </w:rPr>
              <w:t xml:space="preserve"> </w:t>
            </w:r>
            <w:r w:rsidRPr="00AA5065">
              <w:rPr>
                <w:rFonts w:eastAsia="Batang" w:hint="eastAsia"/>
                <w:sz w:val="22"/>
                <w:szCs w:val="22"/>
                <w:rtl/>
                <w:lang w:eastAsia="ko-KR"/>
              </w:rPr>
              <w:t>חממות</w:t>
            </w:r>
            <w:r w:rsidRPr="00AA5065">
              <w:rPr>
                <w:rFonts w:eastAsia="Batang"/>
                <w:sz w:val="22"/>
                <w:szCs w:val="22"/>
                <w:rtl/>
                <w:lang w:eastAsia="ko-KR"/>
              </w:rPr>
              <w:t xml:space="preserve"> </w:t>
            </w:r>
            <w:r w:rsidRPr="00AA5065">
              <w:rPr>
                <w:rFonts w:eastAsia="Batang" w:hint="eastAsia"/>
                <w:sz w:val="22"/>
                <w:szCs w:val="22"/>
                <w:rtl/>
                <w:lang w:eastAsia="ko-KR"/>
              </w:rPr>
              <w:t>קנאביס</w:t>
            </w:r>
            <w:r w:rsidRPr="00AA5065">
              <w:rPr>
                <w:rFonts w:eastAsia="Batang"/>
                <w:sz w:val="22"/>
                <w:szCs w:val="22"/>
                <w:rtl/>
                <w:lang w:eastAsia="ko-KR"/>
              </w:rPr>
              <w:t xml:space="preserve"> (שתילים)</w:t>
            </w:r>
          </w:p>
        </w:tc>
        <w:tc>
          <w:tcPr>
            <w:tcW w:w="0" w:type="auto"/>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29 (2,237)</w:t>
            </w:r>
          </w:p>
        </w:tc>
        <w:tc>
          <w:tcPr>
            <w:tcW w:w="0" w:type="auto"/>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31 (1,486)</w:t>
            </w:r>
          </w:p>
        </w:tc>
        <w:tc>
          <w:tcPr>
            <w:tcW w:w="0" w:type="auto"/>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 xml:space="preserve">123 (50,183) </w:t>
            </w:r>
          </w:p>
        </w:tc>
        <w:tc>
          <w:tcPr>
            <w:tcW w:w="0" w:type="auto"/>
          </w:tcPr>
          <w:p w:rsidR="00AA5065" w:rsidRPr="00AA5065" w:rsidP="00860D89">
            <w:pPr>
              <w:tabs>
                <w:tab w:val="left" w:pos="424"/>
              </w:tabs>
              <w:spacing w:line="269" w:lineRule="auto"/>
              <w:rPr>
                <w:rFonts w:eastAsia="Batang"/>
                <w:sz w:val="22"/>
                <w:szCs w:val="22"/>
                <w:lang w:eastAsia="ko-KR"/>
              </w:rPr>
            </w:pPr>
            <w:r w:rsidRPr="00AA5065">
              <w:rPr>
                <w:rFonts w:eastAsia="Batang"/>
                <w:sz w:val="22"/>
                <w:szCs w:val="22"/>
                <w:rtl/>
                <w:lang w:eastAsia="ko-KR"/>
              </w:rPr>
              <w:t>248 (131,985)</w:t>
            </w:r>
          </w:p>
        </w:tc>
      </w:tr>
      <w:tr w:rsidTr="00AA5065">
        <w:tblPrEx>
          <w:tblW w:w="7371" w:type="dxa"/>
          <w:jc w:val="center"/>
          <w:tblLook w:val="04A0"/>
        </w:tblPrEx>
        <w:trPr>
          <w:jc w:val="center"/>
        </w:trPr>
        <w:tc>
          <w:tcPr>
            <w:tcW w:w="0" w:type="auto"/>
            <w:hideMark/>
          </w:tcPr>
          <w:p w:rsidR="00AA5065" w:rsidRPr="00AA5065" w:rsidP="00860D89">
            <w:pPr>
              <w:tabs>
                <w:tab w:val="left" w:pos="424"/>
              </w:tabs>
              <w:spacing w:line="269" w:lineRule="auto"/>
              <w:jc w:val="left"/>
              <w:rPr>
                <w:rFonts w:eastAsia="Batang"/>
                <w:sz w:val="22"/>
                <w:szCs w:val="22"/>
                <w:lang w:eastAsia="ko-KR"/>
              </w:rPr>
            </w:pPr>
            <w:r w:rsidRPr="00AA5065">
              <w:rPr>
                <w:rFonts w:eastAsia="Batang" w:hint="eastAsia"/>
                <w:sz w:val="22"/>
                <w:szCs w:val="22"/>
                <w:rtl/>
                <w:lang w:eastAsia="ko-KR"/>
              </w:rPr>
              <w:t>פינויים</w:t>
            </w:r>
            <w:r w:rsidRPr="00AA5065">
              <w:rPr>
                <w:rFonts w:eastAsia="Batang"/>
                <w:sz w:val="22"/>
                <w:szCs w:val="22"/>
                <w:rtl/>
                <w:lang w:eastAsia="ko-KR"/>
              </w:rPr>
              <w:t xml:space="preserve"> </w:t>
            </w:r>
            <w:r w:rsidRPr="00AA5065">
              <w:rPr>
                <w:rFonts w:eastAsia="Batang" w:hint="eastAsia"/>
                <w:sz w:val="22"/>
                <w:szCs w:val="22"/>
                <w:rtl/>
                <w:lang w:eastAsia="ko-KR"/>
              </w:rPr>
              <w:t>משטחי</w:t>
            </w:r>
            <w:r w:rsidRPr="00AA5065">
              <w:rPr>
                <w:rFonts w:eastAsia="Batang"/>
                <w:sz w:val="22"/>
                <w:szCs w:val="22"/>
                <w:rtl/>
                <w:lang w:eastAsia="ko-KR"/>
              </w:rPr>
              <w:t xml:space="preserve"> </w:t>
            </w:r>
            <w:r w:rsidRPr="00AA5065">
              <w:rPr>
                <w:rFonts w:eastAsia="Batang" w:hint="eastAsia"/>
                <w:sz w:val="22"/>
                <w:szCs w:val="22"/>
                <w:rtl/>
                <w:lang w:eastAsia="ko-KR"/>
              </w:rPr>
              <w:t>האש</w:t>
            </w:r>
          </w:p>
        </w:tc>
        <w:tc>
          <w:tcPr>
            <w:tcW w:w="0" w:type="auto"/>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46</w:t>
            </w:r>
          </w:p>
        </w:tc>
        <w:tc>
          <w:tcPr>
            <w:tcW w:w="0" w:type="auto"/>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54</w:t>
            </w:r>
          </w:p>
        </w:tc>
        <w:tc>
          <w:tcPr>
            <w:tcW w:w="0" w:type="auto"/>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152</w:t>
            </w:r>
          </w:p>
        </w:tc>
        <w:tc>
          <w:tcPr>
            <w:tcW w:w="0" w:type="auto"/>
          </w:tcPr>
          <w:p w:rsidR="00AA5065" w:rsidRPr="00AA5065" w:rsidP="00860D89">
            <w:pPr>
              <w:tabs>
                <w:tab w:val="left" w:pos="424"/>
              </w:tabs>
              <w:spacing w:line="269" w:lineRule="auto"/>
              <w:rPr>
                <w:rFonts w:eastAsia="Batang"/>
                <w:sz w:val="22"/>
                <w:szCs w:val="22"/>
                <w:lang w:eastAsia="ko-KR"/>
              </w:rPr>
            </w:pPr>
            <w:r w:rsidRPr="00AA5065">
              <w:rPr>
                <w:rFonts w:eastAsia="Batang"/>
                <w:sz w:val="22"/>
                <w:szCs w:val="22"/>
                <w:rtl/>
                <w:lang w:eastAsia="ko-KR"/>
              </w:rPr>
              <w:t>334</w:t>
            </w:r>
          </w:p>
        </w:tc>
      </w:tr>
      <w:tr w:rsidTr="00AA5065">
        <w:tblPrEx>
          <w:tblW w:w="7371" w:type="dxa"/>
          <w:jc w:val="center"/>
          <w:tblLook w:val="04A0"/>
        </w:tblPrEx>
        <w:trPr>
          <w:jc w:val="center"/>
        </w:trPr>
        <w:tc>
          <w:tcPr>
            <w:tcW w:w="0" w:type="auto"/>
            <w:hideMark/>
          </w:tcPr>
          <w:p w:rsidR="00AA5065" w:rsidRPr="00AA5065" w:rsidP="00860D89">
            <w:pPr>
              <w:tabs>
                <w:tab w:val="left" w:pos="424"/>
              </w:tabs>
              <w:spacing w:line="269" w:lineRule="auto"/>
              <w:jc w:val="left"/>
              <w:rPr>
                <w:rFonts w:eastAsia="Batang"/>
                <w:sz w:val="22"/>
                <w:szCs w:val="22"/>
                <w:lang w:eastAsia="ko-KR"/>
              </w:rPr>
            </w:pPr>
            <w:r w:rsidRPr="00AA5065">
              <w:rPr>
                <w:rFonts w:eastAsia="Batang" w:hint="eastAsia"/>
                <w:sz w:val="22"/>
                <w:szCs w:val="22"/>
                <w:rtl/>
                <w:lang w:eastAsia="ko-KR"/>
              </w:rPr>
              <w:t>טיסות</w:t>
            </w:r>
            <w:r w:rsidRPr="00AA5065">
              <w:rPr>
                <w:rFonts w:eastAsia="Batang"/>
                <w:sz w:val="22"/>
                <w:szCs w:val="22"/>
                <w:rtl/>
                <w:lang w:eastAsia="ko-KR"/>
              </w:rPr>
              <w:t xml:space="preserve"> </w:t>
            </w:r>
            <w:r w:rsidRPr="00AA5065">
              <w:rPr>
                <w:rFonts w:eastAsia="Batang" w:hint="eastAsia"/>
                <w:sz w:val="22"/>
                <w:szCs w:val="22"/>
                <w:rtl/>
                <w:lang w:eastAsia="ko-KR"/>
              </w:rPr>
              <w:t>פיקוח</w:t>
            </w:r>
            <w:r w:rsidRPr="00AA5065">
              <w:rPr>
                <w:rFonts w:eastAsia="Batang"/>
                <w:sz w:val="22"/>
                <w:szCs w:val="22"/>
                <w:rtl/>
                <w:lang w:eastAsia="ko-KR"/>
              </w:rPr>
              <w:t xml:space="preserve"> </w:t>
            </w:r>
            <w:r w:rsidRPr="00AA5065">
              <w:rPr>
                <w:rFonts w:eastAsia="Batang" w:hint="eastAsia"/>
                <w:sz w:val="22"/>
                <w:szCs w:val="22"/>
                <w:rtl/>
                <w:lang w:eastAsia="ko-KR"/>
              </w:rPr>
              <w:t>לאיתור</w:t>
            </w:r>
            <w:r w:rsidRPr="00AA5065">
              <w:rPr>
                <w:rFonts w:eastAsia="Batang"/>
                <w:sz w:val="22"/>
                <w:szCs w:val="22"/>
                <w:rtl/>
                <w:lang w:eastAsia="ko-KR"/>
              </w:rPr>
              <w:t xml:space="preserve"> </w:t>
            </w:r>
            <w:r w:rsidRPr="00AA5065">
              <w:rPr>
                <w:rFonts w:eastAsia="Batang" w:hint="eastAsia"/>
                <w:sz w:val="22"/>
                <w:szCs w:val="22"/>
                <w:rtl/>
                <w:lang w:eastAsia="ko-KR"/>
              </w:rPr>
              <w:t>חממות</w:t>
            </w:r>
          </w:p>
        </w:tc>
        <w:tc>
          <w:tcPr>
            <w:tcW w:w="0" w:type="auto"/>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3</w:t>
            </w:r>
          </w:p>
        </w:tc>
        <w:tc>
          <w:tcPr>
            <w:tcW w:w="0" w:type="auto"/>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1</w:t>
            </w:r>
          </w:p>
        </w:tc>
        <w:tc>
          <w:tcPr>
            <w:tcW w:w="0" w:type="auto"/>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4</w:t>
            </w:r>
          </w:p>
        </w:tc>
        <w:tc>
          <w:tcPr>
            <w:tcW w:w="0" w:type="auto"/>
          </w:tcPr>
          <w:p w:rsidR="00AA5065" w:rsidRPr="00AA5065" w:rsidP="00860D89">
            <w:pPr>
              <w:tabs>
                <w:tab w:val="left" w:pos="424"/>
              </w:tabs>
              <w:spacing w:line="269" w:lineRule="auto"/>
              <w:rPr>
                <w:rFonts w:eastAsia="Batang"/>
                <w:sz w:val="22"/>
                <w:szCs w:val="22"/>
                <w:lang w:eastAsia="ko-KR"/>
              </w:rPr>
            </w:pPr>
            <w:r w:rsidRPr="00AA5065">
              <w:rPr>
                <w:rFonts w:eastAsia="Batang"/>
                <w:sz w:val="22"/>
                <w:szCs w:val="22"/>
                <w:rtl/>
                <w:lang w:eastAsia="ko-KR"/>
              </w:rPr>
              <w:t>1</w:t>
            </w:r>
          </w:p>
        </w:tc>
      </w:tr>
      <w:tr w:rsidTr="00AA5065">
        <w:tblPrEx>
          <w:tblW w:w="7371" w:type="dxa"/>
          <w:jc w:val="center"/>
          <w:tblLook w:val="04A0"/>
        </w:tblPrEx>
        <w:trPr>
          <w:jc w:val="center"/>
        </w:trPr>
        <w:tc>
          <w:tcPr>
            <w:tcW w:w="0" w:type="auto"/>
            <w:hideMark/>
          </w:tcPr>
          <w:p w:rsidR="00AA5065" w:rsidRPr="00AA5065" w:rsidP="00860D89">
            <w:pPr>
              <w:tabs>
                <w:tab w:val="left" w:pos="424"/>
              </w:tabs>
              <w:spacing w:line="269" w:lineRule="auto"/>
              <w:jc w:val="left"/>
              <w:rPr>
                <w:rFonts w:eastAsia="Batang"/>
                <w:sz w:val="22"/>
                <w:szCs w:val="22"/>
                <w:lang w:eastAsia="ko-KR"/>
              </w:rPr>
            </w:pPr>
            <w:r w:rsidRPr="00AA5065">
              <w:rPr>
                <w:rFonts w:eastAsia="Batang" w:hint="eastAsia"/>
                <w:sz w:val="22"/>
                <w:szCs w:val="22"/>
                <w:rtl/>
                <w:lang w:eastAsia="ko-KR"/>
              </w:rPr>
              <w:t>התראות</w:t>
            </w:r>
            <w:r w:rsidRPr="00AA5065">
              <w:rPr>
                <w:rFonts w:eastAsia="Batang"/>
                <w:sz w:val="22"/>
                <w:szCs w:val="22"/>
                <w:rtl/>
                <w:lang w:eastAsia="ko-KR"/>
              </w:rPr>
              <w:t xml:space="preserve"> </w:t>
            </w:r>
            <w:r w:rsidRPr="00AA5065">
              <w:rPr>
                <w:rFonts w:eastAsia="Batang" w:hint="eastAsia"/>
                <w:sz w:val="22"/>
                <w:szCs w:val="22"/>
                <w:rtl/>
                <w:lang w:eastAsia="ko-KR"/>
              </w:rPr>
              <w:t>שניתנו</w:t>
            </w:r>
            <w:r w:rsidRPr="00AA5065">
              <w:rPr>
                <w:rFonts w:eastAsia="Batang"/>
                <w:sz w:val="22"/>
                <w:szCs w:val="22"/>
                <w:rtl/>
                <w:lang w:eastAsia="ko-KR"/>
              </w:rPr>
              <w:t xml:space="preserve"> </w:t>
            </w:r>
            <w:r w:rsidRPr="00AA5065">
              <w:rPr>
                <w:rFonts w:eastAsia="Batang" w:hint="eastAsia"/>
                <w:sz w:val="22"/>
                <w:szCs w:val="22"/>
                <w:rtl/>
                <w:lang w:eastAsia="ko-KR"/>
              </w:rPr>
              <w:t>בשטחי</w:t>
            </w:r>
            <w:r w:rsidRPr="00AA5065">
              <w:rPr>
                <w:rFonts w:eastAsia="Batang"/>
                <w:sz w:val="22"/>
                <w:szCs w:val="22"/>
                <w:rtl/>
                <w:lang w:eastAsia="ko-KR"/>
              </w:rPr>
              <w:t xml:space="preserve"> </w:t>
            </w:r>
            <w:r w:rsidRPr="00AA5065">
              <w:rPr>
                <w:rFonts w:eastAsia="Batang" w:hint="eastAsia"/>
                <w:sz w:val="22"/>
                <w:szCs w:val="22"/>
                <w:rtl/>
                <w:lang w:eastAsia="ko-KR"/>
              </w:rPr>
              <w:t>אש</w:t>
            </w:r>
          </w:p>
        </w:tc>
        <w:tc>
          <w:tcPr>
            <w:tcW w:w="0" w:type="auto"/>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9</w:t>
            </w:r>
          </w:p>
        </w:tc>
        <w:tc>
          <w:tcPr>
            <w:tcW w:w="0" w:type="auto"/>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17</w:t>
            </w:r>
          </w:p>
        </w:tc>
        <w:tc>
          <w:tcPr>
            <w:tcW w:w="0" w:type="auto"/>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28</w:t>
            </w:r>
          </w:p>
        </w:tc>
        <w:tc>
          <w:tcPr>
            <w:tcW w:w="0" w:type="auto"/>
          </w:tcPr>
          <w:p w:rsidR="00AA5065" w:rsidRPr="00AA5065" w:rsidP="00860D89">
            <w:pPr>
              <w:tabs>
                <w:tab w:val="left" w:pos="424"/>
              </w:tabs>
              <w:spacing w:line="269" w:lineRule="auto"/>
              <w:rPr>
                <w:rFonts w:eastAsia="Batang"/>
                <w:sz w:val="22"/>
                <w:szCs w:val="22"/>
                <w:lang w:eastAsia="ko-KR"/>
              </w:rPr>
            </w:pPr>
            <w:r w:rsidRPr="00AA5065">
              <w:rPr>
                <w:rFonts w:eastAsia="Batang"/>
                <w:sz w:val="22"/>
                <w:szCs w:val="22"/>
                <w:rtl/>
                <w:lang w:eastAsia="ko-KR"/>
              </w:rPr>
              <w:t>76</w:t>
            </w:r>
          </w:p>
        </w:tc>
      </w:tr>
      <w:tr w:rsidTr="00AA5065">
        <w:tblPrEx>
          <w:tblW w:w="7371" w:type="dxa"/>
          <w:jc w:val="center"/>
          <w:tblLook w:val="04A0"/>
        </w:tblPrEx>
        <w:trPr>
          <w:jc w:val="center"/>
        </w:trPr>
        <w:tc>
          <w:tcPr>
            <w:tcW w:w="0" w:type="auto"/>
            <w:hideMark/>
          </w:tcPr>
          <w:p w:rsidR="00AA5065" w:rsidRPr="00AA5065" w:rsidP="00860D89">
            <w:pPr>
              <w:tabs>
                <w:tab w:val="left" w:pos="424"/>
              </w:tabs>
              <w:spacing w:line="269" w:lineRule="auto"/>
              <w:jc w:val="left"/>
              <w:rPr>
                <w:rFonts w:eastAsia="Batang"/>
                <w:sz w:val="22"/>
                <w:szCs w:val="22"/>
                <w:lang w:eastAsia="ko-KR"/>
              </w:rPr>
            </w:pPr>
            <w:r w:rsidRPr="00AA5065">
              <w:rPr>
                <w:rFonts w:eastAsia="Batang" w:hint="eastAsia"/>
                <w:sz w:val="22"/>
                <w:szCs w:val="22"/>
                <w:rtl/>
                <w:lang w:eastAsia="ko-KR"/>
              </w:rPr>
              <w:t>תלונות</w:t>
            </w:r>
            <w:r w:rsidRPr="00AA5065">
              <w:rPr>
                <w:rFonts w:eastAsia="Batang"/>
                <w:sz w:val="22"/>
                <w:szCs w:val="22"/>
                <w:rtl/>
                <w:lang w:eastAsia="ko-KR"/>
              </w:rPr>
              <w:t xml:space="preserve"> </w:t>
            </w:r>
            <w:r w:rsidRPr="00AA5065">
              <w:rPr>
                <w:rFonts w:eastAsia="Batang" w:hint="eastAsia"/>
                <w:sz w:val="22"/>
                <w:szCs w:val="22"/>
                <w:rtl/>
                <w:lang w:eastAsia="ko-KR"/>
              </w:rPr>
              <w:t>שהוגשו</w:t>
            </w:r>
            <w:r w:rsidRPr="00AA5065">
              <w:rPr>
                <w:rFonts w:eastAsia="Batang"/>
                <w:sz w:val="22"/>
                <w:szCs w:val="22"/>
                <w:rtl/>
                <w:lang w:eastAsia="ko-KR"/>
              </w:rPr>
              <w:t xml:space="preserve"> </w:t>
            </w:r>
            <w:r w:rsidRPr="00AA5065">
              <w:rPr>
                <w:rFonts w:eastAsia="Batang" w:hint="eastAsia"/>
                <w:sz w:val="22"/>
                <w:szCs w:val="22"/>
                <w:rtl/>
                <w:lang w:eastAsia="ko-KR"/>
              </w:rPr>
              <w:t>נגד</w:t>
            </w:r>
            <w:r w:rsidRPr="00AA5065">
              <w:rPr>
                <w:rFonts w:eastAsia="Batang"/>
                <w:sz w:val="22"/>
                <w:szCs w:val="22"/>
                <w:rtl/>
                <w:lang w:eastAsia="ko-KR"/>
              </w:rPr>
              <w:t xml:space="preserve"> </w:t>
            </w:r>
            <w:r w:rsidRPr="00AA5065">
              <w:rPr>
                <w:rFonts w:eastAsia="Batang" w:hint="eastAsia"/>
                <w:sz w:val="22"/>
                <w:szCs w:val="22"/>
                <w:rtl/>
                <w:lang w:eastAsia="ko-KR"/>
              </w:rPr>
              <w:t>פולשים</w:t>
            </w:r>
            <w:r w:rsidRPr="00AA5065">
              <w:rPr>
                <w:rFonts w:eastAsia="Batang"/>
                <w:sz w:val="22"/>
                <w:szCs w:val="22"/>
                <w:rtl/>
                <w:lang w:eastAsia="ko-KR"/>
              </w:rPr>
              <w:t xml:space="preserve"> </w:t>
            </w:r>
            <w:r w:rsidRPr="00AA5065">
              <w:rPr>
                <w:rFonts w:eastAsia="Batang" w:hint="eastAsia"/>
                <w:sz w:val="22"/>
                <w:szCs w:val="22"/>
                <w:rtl/>
                <w:lang w:eastAsia="ko-KR"/>
              </w:rPr>
              <w:t>לשטחי</w:t>
            </w:r>
            <w:r w:rsidRPr="00AA5065">
              <w:rPr>
                <w:rFonts w:eastAsia="Batang"/>
                <w:sz w:val="22"/>
                <w:szCs w:val="22"/>
                <w:rtl/>
                <w:lang w:eastAsia="ko-KR"/>
              </w:rPr>
              <w:t xml:space="preserve"> </w:t>
            </w:r>
            <w:r w:rsidRPr="00AA5065">
              <w:rPr>
                <w:rFonts w:eastAsia="Batang" w:hint="eastAsia"/>
                <w:sz w:val="22"/>
                <w:szCs w:val="22"/>
                <w:rtl/>
                <w:lang w:eastAsia="ko-KR"/>
              </w:rPr>
              <w:t>האש</w:t>
            </w:r>
          </w:p>
        </w:tc>
        <w:tc>
          <w:tcPr>
            <w:tcW w:w="0" w:type="auto"/>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6</w:t>
            </w:r>
          </w:p>
        </w:tc>
        <w:tc>
          <w:tcPr>
            <w:tcW w:w="0" w:type="auto"/>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5</w:t>
            </w:r>
          </w:p>
        </w:tc>
        <w:tc>
          <w:tcPr>
            <w:tcW w:w="0" w:type="auto"/>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6</w:t>
            </w:r>
          </w:p>
        </w:tc>
        <w:tc>
          <w:tcPr>
            <w:tcW w:w="0" w:type="auto"/>
          </w:tcPr>
          <w:p w:rsidR="00AA5065" w:rsidRPr="00AA5065" w:rsidP="00860D89">
            <w:pPr>
              <w:tabs>
                <w:tab w:val="left" w:pos="424"/>
              </w:tabs>
              <w:spacing w:line="269" w:lineRule="auto"/>
              <w:rPr>
                <w:rFonts w:eastAsia="Batang"/>
                <w:sz w:val="22"/>
                <w:szCs w:val="22"/>
                <w:lang w:eastAsia="ko-KR"/>
              </w:rPr>
            </w:pPr>
            <w:r w:rsidRPr="00AA5065">
              <w:rPr>
                <w:rFonts w:eastAsia="Batang"/>
                <w:sz w:val="22"/>
                <w:szCs w:val="22"/>
                <w:rtl/>
                <w:lang w:eastAsia="ko-KR"/>
              </w:rPr>
              <w:t>5</w:t>
            </w:r>
          </w:p>
        </w:tc>
      </w:tr>
    </w:tbl>
    <w:p w:rsidR="00AA5065" w:rsidRPr="00AA5065" w:rsidP="00860D89">
      <w:pPr>
        <w:spacing w:line="269" w:lineRule="auto"/>
        <w:rPr>
          <w:rFonts w:eastAsia="Calibri"/>
          <w:szCs w:val="20"/>
          <w:rtl/>
        </w:rPr>
      </w:pPr>
      <w:r w:rsidRPr="00AA5065">
        <w:rPr>
          <w:rFonts w:eastAsia="Calibri" w:hint="eastAsia"/>
          <w:szCs w:val="20"/>
          <w:rtl/>
        </w:rPr>
        <w:t>המקור</w:t>
      </w:r>
      <w:r w:rsidRPr="00AA5065">
        <w:rPr>
          <w:rFonts w:eastAsia="Calibri"/>
          <w:szCs w:val="20"/>
          <w:rtl/>
        </w:rPr>
        <w:t xml:space="preserve">: </w:t>
      </w:r>
      <w:r w:rsidRPr="00AA5065">
        <w:rPr>
          <w:rFonts w:eastAsia="Calibri" w:hint="eastAsia"/>
          <w:szCs w:val="20"/>
          <w:rtl/>
        </w:rPr>
        <w:t>הסיירת</w:t>
      </w:r>
      <w:r w:rsidRPr="00AA5065">
        <w:rPr>
          <w:rFonts w:eastAsia="Calibri"/>
          <w:szCs w:val="20"/>
          <w:rtl/>
        </w:rPr>
        <w:t xml:space="preserve"> </w:t>
      </w:r>
      <w:r w:rsidRPr="00AA5065">
        <w:rPr>
          <w:rFonts w:eastAsia="Calibri" w:hint="eastAsia"/>
          <w:szCs w:val="20"/>
          <w:rtl/>
        </w:rPr>
        <w:t>הירוקה</w:t>
      </w:r>
      <w:r w:rsidRPr="00AA5065">
        <w:rPr>
          <w:rFonts w:eastAsia="Calibri"/>
          <w:szCs w:val="20"/>
          <w:rtl/>
        </w:rPr>
        <w:t>.</w:t>
      </w:r>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eastAsia="Calibri"/>
          <w:rtl/>
          <w:lang w:eastAsia="ko-KR"/>
        </w:rPr>
      </w:pPr>
      <w:r w:rsidRPr="00AA5065">
        <w:rPr>
          <w:rFonts w:eastAsia="Calibri" w:hint="eastAsia"/>
          <w:rtl/>
          <w:lang w:eastAsia="ko-KR"/>
        </w:rPr>
        <w:t>לוח</w:t>
      </w:r>
      <w:r w:rsidRPr="00AA5065">
        <w:rPr>
          <w:rFonts w:eastAsia="Calibri"/>
          <w:rtl/>
          <w:lang w:eastAsia="ko-KR"/>
        </w:rPr>
        <w:t xml:space="preserve"> </w:t>
      </w:r>
      <w:r w:rsidRPr="00AA5065">
        <w:rPr>
          <w:rFonts w:eastAsia="Calibri" w:hint="cs"/>
          <w:rtl/>
          <w:lang w:eastAsia="ko-KR"/>
        </w:rPr>
        <w:t>22</w:t>
      </w:r>
      <w:r w:rsidRPr="00AA5065">
        <w:rPr>
          <w:rFonts w:eastAsia="Calibri"/>
          <w:rtl/>
          <w:lang w:eastAsia="ko-KR"/>
        </w:rPr>
        <w:t xml:space="preserve">: </w:t>
      </w:r>
      <w:r w:rsidRPr="00AA5065">
        <w:rPr>
          <w:rFonts w:eastAsia="Calibri" w:hint="eastAsia"/>
          <w:rtl/>
          <w:lang w:eastAsia="ko-KR"/>
        </w:rPr>
        <w:t>פ</w:t>
      </w:r>
      <w:r w:rsidRPr="00AA5065">
        <w:rPr>
          <w:rFonts w:eastAsia="Calibri" w:hint="eastAsia"/>
          <w:b/>
          <w:bCs/>
          <w:rtl/>
          <w:lang w:eastAsia="ko-KR"/>
        </w:rPr>
        <w:t>עילות</w:t>
      </w:r>
      <w:r w:rsidRPr="00AA5065">
        <w:rPr>
          <w:rFonts w:eastAsia="Calibri"/>
          <w:b/>
          <w:bCs/>
          <w:rtl/>
          <w:lang w:eastAsia="ko-KR"/>
        </w:rPr>
        <w:t xml:space="preserve"> </w:t>
      </w:r>
      <w:r w:rsidRPr="00AA5065">
        <w:rPr>
          <w:rFonts w:eastAsia="Calibri" w:hint="eastAsia"/>
          <w:b/>
          <w:bCs/>
          <w:rtl/>
          <w:lang w:eastAsia="ko-KR"/>
        </w:rPr>
        <w:t>הסיירת</w:t>
      </w:r>
      <w:r w:rsidRPr="00AA5065">
        <w:rPr>
          <w:rFonts w:eastAsia="Calibri"/>
          <w:b/>
          <w:bCs/>
          <w:rtl/>
          <w:lang w:eastAsia="ko-KR"/>
        </w:rPr>
        <w:t xml:space="preserve"> הירוקה </w:t>
      </w:r>
      <w:r w:rsidRPr="00AA5065">
        <w:rPr>
          <w:rFonts w:eastAsia="Calibri" w:hint="eastAsia"/>
          <w:b/>
          <w:bCs/>
          <w:rtl/>
        </w:rPr>
        <w:t>בשטחי</w:t>
      </w:r>
      <w:r w:rsidRPr="00AA5065">
        <w:rPr>
          <w:rFonts w:eastAsia="Calibri"/>
          <w:b/>
          <w:bCs/>
          <w:rtl/>
          <w:lang w:eastAsia="ko-KR"/>
        </w:rPr>
        <w:t xml:space="preserve"> </w:t>
      </w:r>
      <w:r w:rsidRPr="00AA5065">
        <w:rPr>
          <w:rFonts w:eastAsia="Calibri" w:hint="eastAsia"/>
          <w:b/>
          <w:bCs/>
          <w:rtl/>
          <w:lang w:eastAsia="ko-KR"/>
        </w:rPr>
        <w:t>אג</w:t>
      </w:r>
      <w:r w:rsidRPr="00AA5065">
        <w:rPr>
          <w:rFonts w:eastAsia="Calibri"/>
          <w:b/>
          <w:bCs/>
          <w:rtl/>
          <w:lang w:eastAsia="ko-KR"/>
        </w:rPr>
        <w:t>"ת</w:t>
      </w:r>
      <w:r>
        <w:rPr>
          <w:rFonts w:eastAsia="Batang"/>
          <w:b/>
          <w:bCs/>
          <w:sz w:val="24"/>
          <w:vertAlign w:val="superscript"/>
          <w:rtl/>
          <w:lang w:eastAsia="ko-KR"/>
        </w:rPr>
        <w:footnoteReference w:id="148"/>
      </w:r>
      <w:r w:rsidRPr="00AA5065">
        <w:rPr>
          <w:rFonts w:eastAsia="Calibri"/>
          <w:b/>
          <w:bCs/>
          <w:rtl/>
          <w:lang w:eastAsia="ko-KR"/>
        </w:rPr>
        <w:t xml:space="preserve"> </w:t>
      </w:r>
      <w:r w:rsidRPr="00AA5065">
        <w:rPr>
          <w:rFonts w:eastAsia="Calibri" w:hint="eastAsia"/>
          <w:b/>
          <w:bCs/>
          <w:rtl/>
          <w:lang w:eastAsia="ko-KR"/>
        </w:rPr>
        <w:t>וסביבת</w:t>
      </w:r>
      <w:r w:rsidRPr="00AA5065">
        <w:rPr>
          <w:rFonts w:eastAsia="Calibri"/>
          <w:b/>
          <w:bCs/>
          <w:rtl/>
          <w:lang w:eastAsia="ko-KR"/>
        </w:rPr>
        <w:t xml:space="preserve"> </w:t>
      </w:r>
      <w:r w:rsidRPr="00AA5065">
        <w:rPr>
          <w:rFonts w:eastAsia="Calibri" w:hint="eastAsia"/>
          <w:b/>
          <w:bCs/>
          <w:rtl/>
          <w:lang w:eastAsia="ko-KR"/>
        </w:rPr>
        <w:t>בסיס</w:t>
      </w:r>
      <w:r w:rsidRPr="00AA5065">
        <w:rPr>
          <w:rFonts w:eastAsia="Calibri"/>
          <w:b/>
          <w:bCs/>
          <w:rtl/>
          <w:lang w:eastAsia="ko-KR"/>
        </w:rPr>
        <w:t xml:space="preserve"> </w:t>
      </w:r>
      <w:r w:rsidRPr="00AA5065">
        <w:rPr>
          <w:rFonts w:eastAsia="Calibri" w:hint="eastAsia"/>
          <w:b/>
          <w:bCs/>
          <w:rtl/>
          <w:lang w:eastAsia="ko-KR"/>
        </w:rPr>
        <w:t>נבטים</w:t>
      </w:r>
      <w:r w:rsidRPr="00AA5065">
        <w:rPr>
          <w:rFonts w:eastAsia="Calibri"/>
          <w:b/>
          <w:bCs/>
          <w:rtl/>
          <w:lang w:eastAsia="ko-KR"/>
        </w:rPr>
        <w:t>, 2017 - 2020</w:t>
      </w:r>
    </w:p>
    <w:tbl>
      <w:tblPr>
        <w:tblStyle w:val="5-11"/>
        <w:bidiVisual/>
        <w:tblW w:w="7371" w:type="dxa"/>
        <w:jc w:val="center"/>
        <w:tblLook w:val="04A0"/>
      </w:tblPr>
      <w:tblGrid>
        <w:gridCol w:w="3090"/>
        <w:gridCol w:w="1174"/>
        <w:gridCol w:w="1214"/>
        <w:gridCol w:w="1008"/>
        <w:gridCol w:w="885"/>
      </w:tblGrid>
      <w:tr w:rsidTr="00AA5065">
        <w:tblPrEx>
          <w:tblW w:w="7371" w:type="dxa"/>
          <w:jc w:val="center"/>
          <w:tblLook w:val="04A0"/>
        </w:tblPrEx>
        <w:trPr>
          <w:trHeight w:hRule="exact" w:val="284"/>
          <w:jc w:val="center"/>
        </w:trPr>
        <w:tc>
          <w:tcPr>
            <w:tcW w:w="2494" w:type="dxa"/>
            <w:hideMark/>
          </w:tcPr>
          <w:p w:rsidR="00AA5065" w:rsidRPr="00AA5065" w:rsidP="00860D89">
            <w:pPr>
              <w:tabs>
                <w:tab w:val="left" w:pos="424"/>
              </w:tabs>
              <w:spacing w:line="269" w:lineRule="auto"/>
              <w:jc w:val="center"/>
              <w:rPr>
                <w:rFonts w:eastAsia="Batang"/>
                <w:sz w:val="22"/>
                <w:szCs w:val="22"/>
                <w:lang w:eastAsia="ko-KR"/>
              </w:rPr>
            </w:pPr>
            <w:r w:rsidRPr="00AA5065">
              <w:rPr>
                <w:rFonts w:eastAsia="Batang" w:hint="eastAsia"/>
                <w:sz w:val="22"/>
                <w:szCs w:val="22"/>
                <w:rtl/>
                <w:lang w:eastAsia="ko-KR"/>
              </w:rPr>
              <w:t>הפעילות</w:t>
            </w:r>
          </w:p>
        </w:tc>
        <w:tc>
          <w:tcPr>
            <w:tcW w:w="947" w:type="dxa"/>
            <w:hideMark/>
          </w:tcPr>
          <w:p w:rsidR="00AA5065" w:rsidRPr="00AA5065" w:rsidP="00860D89">
            <w:pPr>
              <w:tabs>
                <w:tab w:val="left" w:pos="424"/>
              </w:tabs>
              <w:spacing w:line="269" w:lineRule="auto"/>
              <w:jc w:val="center"/>
              <w:rPr>
                <w:rFonts w:eastAsia="Batang"/>
                <w:sz w:val="22"/>
                <w:szCs w:val="22"/>
                <w:rtl/>
                <w:lang w:eastAsia="ko-KR"/>
              </w:rPr>
            </w:pPr>
            <w:r w:rsidRPr="00AA5065">
              <w:rPr>
                <w:rFonts w:eastAsia="Batang"/>
                <w:sz w:val="22"/>
                <w:szCs w:val="22"/>
                <w:rtl/>
                <w:lang w:eastAsia="ko-KR"/>
              </w:rPr>
              <w:t>2017</w:t>
            </w:r>
          </w:p>
        </w:tc>
        <w:tc>
          <w:tcPr>
            <w:tcW w:w="980" w:type="dxa"/>
            <w:hideMark/>
          </w:tcPr>
          <w:p w:rsidR="00AA5065" w:rsidRPr="00AA5065" w:rsidP="00860D89">
            <w:pPr>
              <w:tabs>
                <w:tab w:val="left" w:pos="424"/>
              </w:tabs>
              <w:spacing w:line="269" w:lineRule="auto"/>
              <w:jc w:val="center"/>
              <w:rPr>
                <w:rFonts w:eastAsia="Batang"/>
                <w:sz w:val="22"/>
                <w:szCs w:val="22"/>
                <w:rtl/>
                <w:lang w:eastAsia="ko-KR"/>
              </w:rPr>
            </w:pPr>
            <w:r w:rsidRPr="00AA5065">
              <w:rPr>
                <w:rFonts w:eastAsia="Batang"/>
                <w:sz w:val="22"/>
                <w:szCs w:val="22"/>
                <w:rtl/>
                <w:lang w:eastAsia="ko-KR"/>
              </w:rPr>
              <w:t>2018</w:t>
            </w:r>
          </w:p>
        </w:tc>
        <w:tc>
          <w:tcPr>
            <w:tcW w:w="813" w:type="dxa"/>
            <w:hideMark/>
          </w:tcPr>
          <w:p w:rsidR="00AA5065" w:rsidRPr="00AA5065" w:rsidP="00860D89">
            <w:pPr>
              <w:tabs>
                <w:tab w:val="left" w:pos="424"/>
              </w:tabs>
              <w:spacing w:line="269" w:lineRule="auto"/>
              <w:jc w:val="center"/>
              <w:rPr>
                <w:rFonts w:eastAsia="Batang"/>
                <w:sz w:val="22"/>
                <w:szCs w:val="22"/>
                <w:rtl/>
                <w:lang w:eastAsia="ko-KR"/>
              </w:rPr>
            </w:pPr>
            <w:r w:rsidRPr="00AA5065">
              <w:rPr>
                <w:rFonts w:eastAsia="Batang"/>
                <w:sz w:val="22"/>
                <w:szCs w:val="22"/>
                <w:rtl/>
                <w:lang w:eastAsia="ko-KR"/>
              </w:rPr>
              <w:t xml:space="preserve">2019 </w:t>
            </w:r>
            <w:r w:rsidRPr="00AA5065">
              <w:rPr>
                <w:rFonts w:eastAsia="Batang" w:hint="eastAsia"/>
                <w:sz w:val="22"/>
                <w:szCs w:val="22"/>
                <w:rtl/>
                <w:lang w:eastAsia="ko-KR"/>
              </w:rPr>
              <w:t>ביצוע</w:t>
            </w:r>
          </w:p>
        </w:tc>
        <w:tc>
          <w:tcPr>
            <w:tcW w:w="714" w:type="dxa"/>
          </w:tcPr>
          <w:p w:rsidR="00AA5065" w:rsidRPr="00AA5065" w:rsidP="00860D89">
            <w:pPr>
              <w:tabs>
                <w:tab w:val="left" w:pos="424"/>
              </w:tabs>
              <w:spacing w:line="269" w:lineRule="auto"/>
              <w:jc w:val="center"/>
              <w:rPr>
                <w:rFonts w:eastAsia="Batang"/>
                <w:sz w:val="22"/>
                <w:szCs w:val="22"/>
                <w:rtl/>
                <w:lang w:eastAsia="ko-KR"/>
              </w:rPr>
            </w:pPr>
            <w:r w:rsidRPr="00AA5065">
              <w:rPr>
                <w:rFonts w:eastAsia="Batang"/>
                <w:sz w:val="22"/>
                <w:szCs w:val="22"/>
                <w:rtl/>
                <w:lang w:eastAsia="ko-KR"/>
              </w:rPr>
              <w:t>2020</w:t>
            </w:r>
          </w:p>
        </w:tc>
      </w:tr>
      <w:tr w:rsidTr="00AA5065">
        <w:tblPrEx>
          <w:tblW w:w="7371" w:type="dxa"/>
          <w:jc w:val="center"/>
          <w:tblLook w:val="04A0"/>
        </w:tblPrEx>
        <w:trPr>
          <w:jc w:val="center"/>
        </w:trPr>
        <w:tc>
          <w:tcPr>
            <w:tcW w:w="2494" w:type="dxa"/>
            <w:hideMark/>
          </w:tcPr>
          <w:p w:rsidR="00AA5065" w:rsidRPr="00AA5065" w:rsidP="00860D89">
            <w:pPr>
              <w:tabs>
                <w:tab w:val="left" w:pos="424"/>
              </w:tabs>
              <w:spacing w:line="269" w:lineRule="auto"/>
              <w:jc w:val="left"/>
              <w:rPr>
                <w:rFonts w:eastAsia="Batang"/>
                <w:sz w:val="22"/>
                <w:szCs w:val="22"/>
                <w:rtl/>
                <w:lang w:eastAsia="ko-KR"/>
              </w:rPr>
            </w:pPr>
            <w:r w:rsidRPr="00AA5065">
              <w:rPr>
                <w:rFonts w:eastAsia="Batang" w:hint="eastAsia"/>
                <w:sz w:val="22"/>
                <w:szCs w:val="22"/>
                <w:rtl/>
                <w:lang w:eastAsia="ko-KR"/>
              </w:rPr>
              <w:t>הפיכות</w:t>
            </w:r>
            <w:r w:rsidRPr="00AA5065">
              <w:rPr>
                <w:rFonts w:eastAsia="Batang"/>
                <w:sz w:val="22"/>
                <w:szCs w:val="22"/>
                <w:rtl/>
                <w:lang w:eastAsia="ko-KR"/>
              </w:rPr>
              <w:t xml:space="preserve"> (דונם)</w:t>
            </w:r>
          </w:p>
        </w:tc>
        <w:tc>
          <w:tcPr>
            <w:tcW w:w="947" w:type="dxa"/>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1,452</w:t>
            </w:r>
          </w:p>
        </w:tc>
        <w:tc>
          <w:tcPr>
            <w:tcW w:w="980" w:type="dxa"/>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3,060</w:t>
            </w:r>
          </w:p>
        </w:tc>
        <w:tc>
          <w:tcPr>
            <w:tcW w:w="813" w:type="dxa"/>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 xml:space="preserve">2,577 </w:t>
            </w:r>
          </w:p>
        </w:tc>
        <w:tc>
          <w:tcPr>
            <w:tcW w:w="714" w:type="dxa"/>
          </w:tcPr>
          <w:p w:rsidR="00AA5065" w:rsidRPr="00AA5065" w:rsidP="00860D89">
            <w:pPr>
              <w:tabs>
                <w:tab w:val="left" w:pos="424"/>
              </w:tabs>
              <w:spacing w:line="269" w:lineRule="auto"/>
              <w:rPr>
                <w:rFonts w:eastAsia="Batang"/>
                <w:sz w:val="22"/>
                <w:szCs w:val="22"/>
                <w:lang w:eastAsia="ko-KR"/>
              </w:rPr>
            </w:pPr>
            <w:r w:rsidRPr="00AA5065">
              <w:rPr>
                <w:rFonts w:eastAsia="Batang"/>
                <w:sz w:val="22"/>
                <w:szCs w:val="22"/>
                <w:rtl/>
                <w:lang w:eastAsia="ko-KR"/>
              </w:rPr>
              <w:t>2,908</w:t>
            </w:r>
          </w:p>
        </w:tc>
      </w:tr>
      <w:tr w:rsidTr="00AA5065">
        <w:tblPrEx>
          <w:tblW w:w="7371" w:type="dxa"/>
          <w:jc w:val="center"/>
          <w:tblLook w:val="04A0"/>
        </w:tblPrEx>
        <w:trPr>
          <w:jc w:val="center"/>
        </w:trPr>
        <w:tc>
          <w:tcPr>
            <w:tcW w:w="2494" w:type="dxa"/>
            <w:hideMark/>
          </w:tcPr>
          <w:p w:rsidR="00AA5065" w:rsidRPr="00AA5065" w:rsidP="00860D89">
            <w:pPr>
              <w:tabs>
                <w:tab w:val="left" w:pos="424"/>
              </w:tabs>
              <w:spacing w:line="269" w:lineRule="auto"/>
              <w:jc w:val="left"/>
              <w:rPr>
                <w:rFonts w:eastAsia="Batang"/>
                <w:sz w:val="22"/>
                <w:szCs w:val="22"/>
                <w:lang w:eastAsia="ko-KR"/>
              </w:rPr>
            </w:pPr>
            <w:r w:rsidRPr="00AA5065">
              <w:rPr>
                <w:rFonts w:eastAsia="Batang" w:hint="eastAsia"/>
                <w:sz w:val="22"/>
                <w:szCs w:val="22"/>
                <w:rtl/>
                <w:lang w:eastAsia="ko-KR"/>
              </w:rPr>
              <w:t>צווי</w:t>
            </w:r>
            <w:r w:rsidRPr="00AA5065">
              <w:rPr>
                <w:rFonts w:eastAsia="Batang"/>
                <w:sz w:val="22"/>
                <w:szCs w:val="22"/>
                <w:rtl/>
                <w:lang w:eastAsia="ko-KR"/>
              </w:rPr>
              <w:t xml:space="preserve"> </w:t>
            </w:r>
            <w:r w:rsidRPr="00AA5065">
              <w:rPr>
                <w:rFonts w:eastAsia="Batang" w:hint="eastAsia"/>
                <w:sz w:val="22"/>
                <w:szCs w:val="22"/>
                <w:rtl/>
                <w:lang w:eastAsia="ko-KR"/>
              </w:rPr>
              <w:t>פינוי</w:t>
            </w:r>
            <w:r w:rsidRPr="00AA5065">
              <w:rPr>
                <w:rFonts w:eastAsia="Batang"/>
                <w:sz w:val="22"/>
                <w:szCs w:val="22"/>
                <w:rtl/>
                <w:lang w:eastAsia="ko-KR"/>
              </w:rPr>
              <w:t xml:space="preserve"> </w:t>
            </w:r>
            <w:r w:rsidRPr="00AA5065">
              <w:rPr>
                <w:rFonts w:eastAsia="Batang" w:hint="eastAsia"/>
                <w:sz w:val="22"/>
                <w:szCs w:val="22"/>
                <w:rtl/>
                <w:lang w:eastAsia="ko-KR"/>
              </w:rPr>
              <w:t>קרקע</w:t>
            </w:r>
          </w:p>
        </w:tc>
        <w:tc>
          <w:tcPr>
            <w:tcW w:w="947" w:type="dxa"/>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13</w:t>
            </w:r>
          </w:p>
        </w:tc>
        <w:tc>
          <w:tcPr>
            <w:tcW w:w="980" w:type="dxa"/>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3</w:t>
            </w:r>
          </w:p>
        </w:tc>
        <w:tc>
          <w:tcPr>
            <w:tcW w:w="813" w:type="dxa"/>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4</w:t>
            </w:r>
          </w:p>
        </w:tc>
        <w:tc>
          <w:tcPr>
            <w:tcW w:w="714" w:type="dxa"/>
          </w:tcPr>
          <w:p w:rsidR="00AA5065" w:rsidRPr="00AA5065" w:rsidP="00860D89">
            <w:pPr>
              <w:tabs>
                <w:tab w:val="left" w:pos="424"/>
              </w:tabs>
              <w:spacing w:line="269" w:lineRule="auto"/>
              <w:rPr>
                <w:rFonts w:eastAsia="Batang"/>
                <w:sz w:val="22"/>
                <w:szCs w:val="22"/>
                <w:lang w:eastAsia="ko-KR"/>
              </w:rPr>
            </w:pPr>
            <w:r w:rsidRPr="00AA5065">
              <w:rPr>
                <w:rFonts w:eastAsia="Batang"/>
                <w:sz w:val="22"/>
                <w:szCs w:val="22"/>
                <w:rtl/>
                <w:lang w:eastAsia="ko-KR"/>
              </w:rPr>
              <w:t>15</w:t>
            </w:r>
          </w:p>
        </w:tc>
      </w:tr>
      <w:tr w:rsidTr="00AA5065">
        <w:tblPrEx>
          <w:tblW w:w="7371" w:type="dxa"/>
          <w:jc w:val="center"/>
          <w:tblLook w:val="04A0"/>
        </w:tblPrEx>
        <w:trPr>
          <w:jc w:val="center"/>
        </w:trPr>
        <w:tc>
          <w:tcPr>
            <w:tcW w:w="2494" w:type="dxa"/>
            <w:hideMark/>
          </w:tcPr>
          <w:p w:rsidR="00AA5065" w:rsidRPr="00AA5065" w:rsidP="00860D89">
            <w:pPr>
              <w:tabs>
                <w:tab w:val="left" w:pos="424"/>
              </w:tabs>
              <w:spacing w:line="269" w:lineRule="auto"/>
              <w:jc w:val="left"/>
              <w:rPr>
                <w:rFonts w:eastAsia="Batang"/>
                <w:sz w:val="22"/>
                <w:szCs w:val="22"/>
                <w:lang w:eastAsia="ko-KR"/>
              </w:rPr>
            </w:pPr>
            <w:r w:rsidRPr="00AA5065">
              <w:rPr>
                <w:rFonts w:eastAsia="Batang" w:hint="eastAsia"/>
                <w:sz w:val="22"/>
                <w:szCs w:val="22"/>
                <w:rtl/>
                <w:lang w:eastAsia="ko-KR"/>
              </w:rPr>
              <w:t>פלישות</w:t>
            </w:r>
            <w:r w:rsidRPr="00AA5065">
              <w:rPr>
                <w:rFonts w:eastAsia="Batang"/>
                <w:sz w:val="22"/>
                <w:szCs w:val="22"/>
                <w:rtl/>
                <w:lang w:eastAsia="ko-KR"/>
              </w:rPr>
              <w:t xml:space="preserve"> </w:t>
            </w:r>
            <w:r w:rsidRPr="00AA5065">
              <w:rPr>
                <w:rFonts w:eastAsia="Batang" w:hint="eastAsia"/>
                <w:sz w:val="22"/>
                <w:szCs w:val="22"/>
                <w:rtl/>
                <w:lang w:eastAsia="ko-KR"/>
              </w:rPr>
              <w:t>בעיבודים</w:t>
            </w:r>
          </w:p>
        </w:tc>
        <w:tc>
          <w:tcPr>
            <w:tcW w:w="947" w:type="dxa"/>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5</w:t>
            </w:r>
          </w:p>
        </w:tc>
        <w:tc>
          <w:tcPr>
            <w:tcW w:w="980" w:type="dxa"/>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11</w:t>
            </w:r>
          </w:p>
        </w:tc>
        <w:tc>
          <w:tcPr>
            <w:tcW w:w="813" w:type="dxa"/>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6</w:t>
            </w:r>
          </w:p>
        </w:tc>
        <w:tc>
          <w:tcPr>
            <w:tcW w:w="714" w:type="dxa"/>
          </w:tcPr>
          <w:p w:rsidR="00AA5065" w:rsidRPr="00AA5065" w:rsidP="00860D89">
            <w:pPr>
              <w:tabs>
                <w:tab w:val="left" w:pos="424"/>
              </w:tabs>
              <w:spacing w:line="269" w:lineRule="auto"/>
              <w:rPr>
                <w:rFonts w:eastAsia="Batang"/>
                <w:sz w:val="22"/>
                <w:szCs w:val="22"/>
                <w:lang w:eastAsia="ko-KR"/>
              </w:rPr>
            </w:pPr>
            <w:r w:rsidRPr="00AA5065">
              <w:rPr>
                <w:rFonts w:eastAsia="Batang"/>
                <w:sz w:val="22"/>
                <w:szCs w:val="22"/>
                <w:rtl/>
                <w:lang w:eastAsia="ko-KR"/>
              </w:rPr>
              <w:t>4</w:t>
            </w:r>
          </w:p>
        </w:tc>
      </w:tr>
      <w:tr w:rsidTr="00AA5065">
        <w:tblPrEx>
          <w:tblW w:w="7371" w:type="dxa"/>
          <w:jc w:val="center"/>
          <w:tblLook w:val="04A0"/>
        </w:tblPrEx>
        <w:trPr>
          <w:jc w:val="center"/>
        </w:trPr>
        <w:tc>
          <w:tcPr>
            <w:tcW w:w="2494" w:type="dxa"/>
            <w:hideMark/>
          </w:tcPr>
          <w:p w:rsidR="00AA5065" w:rsidRPr="00AA5065" w:rsidP="00860D89">
            <w:pPr>
              <w:tabs>
                <w:tab w:val="left" w:pos="424"/>
              </w:tabs>
              <w:spacing w:line="269" w:lineRule="auto"/>
              <w:jc w:val="left"/>
              <w:rPr>
                <w:rFonts w:eastAsia="Batang"/>
                <w:sz w:val="22"/>
                <w:szCs w:val="22"/>
                <w:lang w:eastAsia="ko-KR"/>
              </w:rPr>
            </w:pPr>
            <w:r w:rsidRPr="00AA5065">
              <w:rPr>
                <w:rFonts w:eastAsia="Batang" w:hint="eastAsia"/>
                <w:sz w:val="22"/>
                <w:szCs w:val="22"/>
                <w:rtl/>
                <w:lang w:eastAsia="ko-KR"/>
              </w:rPr>
              <w:t>פלישות</w:t>
            </w:r>
            <w:r w:rsidRPr="00AA5065">
              <w:rPr>
                <w:rFonts w:eastAsia="Batang"/>
                <w:sz w:val="22"/>
                <w:szCs w:val="22"/>
                <w:rtl/>
                <w:lang w:eastAsia="ko-KR"/>
              </w:rPr>
              <w:t xml:space="preserve"> </w:t>
            </w:r>
            <w:r w:rsidRPr="00AA5065">
              <w:rPr>
                <w:rFonts w:eastAsia="Batang" w:hint="eastAsia"/>
                <w:sz w:val="22"/>
                <w:szCs w:val="22"/>
                <w:rtl/>
                <w:lang w:eastAsia="ko-KR"/>
              </w:rPr>
              <w:t>חדשות</w:t>
            </w:r>
          </w:p>
        </w:tc>
        <w:tc>
          <w:tcPr>
            <w:tcW w:w="947" w:type="dxa"/>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29</w:t>
            </w:r>
          </w:p>
        </w:tc>
        <w:tc>
          <w:tcPr>
            <w:tcW w:w="980" w:type="dxa"/>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3</w:t>
            </w:r>
          </w:p>
        </w:tc>
        <w:tc>
          <w:tcPr>
            <w:tcW w:w="813" w:type="dxa"/>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7</w:t>
            </w:r>
          </w:p>
        </w:tc>
        <w:tc>
          <w:tcPr>
            <w:tcW w:w="714" w:type="dxa"/>
          </w:tcPr>
          <w:p w:rsidR="00AA5065" w:rsidRPr="00AA5065" w:rsidP="00860D89">
            <w:pPr>
              <w:tabs>
                <w:tab w:val="left" w:pos="424"/>
              </w:tabs>
              <w:spacing w:line="269" w:lineRule="auto"/>
              <w:rPr>
                <w:rFonts w:eastAsia="Batang"/>
                <w:sz w:val="22"/>
                <w:szCs w:val="22"/>
                <w:lang w:eastAsia="ko-KR"/>
              </w:rPr>
            </w:pPr>
            <w:r w:rsidRPr="00AA5065">
              <w:rPr>
                <w:rFonts w:eastAsia="Batang"/>
                <w:sz w:val="22"/>
                <w:szCs w:val="22"/>
                <w:rtl/>
                <w:lang w:eastAsia="ko-KR"/>
              </w:rPr>
              <w:t>23</w:t>
            </w:r>
          </w:p>
        </w:tc>
      </w:tr>
      <w:tr w:rsidTr="00AA5065">
        <w:tblPrEx>
          <w:tblW w:w="7371" w:type="dxa"/>
          <w:jc w:val="center"/>
          <w:tblLook w:val="04A0"/>
        </w:tblPrEx>
        <w:trPr>
          <w:jc w:val="center"/>
        </w:trPr>
        <w:tc>
          <w:tcPr>
            <w:tcW w:w="2494" w:type="dxa"/>
            <w:hideMark/>
          </w:tcPr>
          <w:p w:rsidR="00AA5065" w:rsidRPr="00AA5065" w:rsidP="00860D89">
            <w:pPr>
              <w:tabs>
                <w:tab w:val="left" w:pos="424"/>
              </w:tabs>
              <w:spacing w:line="269" w:lineRule="auto"/>
              <w:jc w:val="left"/>
              <w:rPr>
                <w:rFonts w:eastAsia="Batang"/>
                <w:sz w:val="22"/>
                <w:szCs w:val="22"/>
                <w:lang w:eastAsia="ko-KR"/>
              </w:rPr>
            </w:pPr>
            <w:r w:rsidRPr="00AA5065">
              <w:rPr>
                <w:rFonts w:eastAsia="Batang" w:hint="eastAsia"/>
                <w:sz w:val="22"/>
                <w:szCs w:val="22"/>
                <w:rtl/>
                <w:lang w:eastAsia="ko-KR"/>
              </w:rPr>
              <w:t>התראות</w:t>
            </w:r>
            <w:r w:rsidRPr="00AA5065">
              <w:rPr>
                <w:rFonts w:eastAsia="Batang"/>
                <w:sz w:val="22"/>
                <w:szCs w:val="22"/>
                <w:rtl/>
                <w:lang w:eastAsia="ko-KR"/>
              </w:rPr>
              <w:t xml:space="preserve"> </w:t>
            </w:r>
            <w:r w:rsidRPr="00AA5065">
              <w:rPr>
                <w:rFonts w:eastAsia="Batang" w:hint="eastAsia"/>
                <w:sz w:val="22"/>
                <w:szCs w:val="22"/>
                <w:rtl/>
                <w:lang w:eastAsia="ko-KR"/>
              </w:rPr>
              <w:t>שניתנו</w:t>
            </w:r>
            <w:r w:rsidRPr="00AA5065">
              <w:rPr>
                <w:rFonts w:eastAsia="Batang"/>
                <w:sz w:val="22"/>
                <w:szCs w:val="22"/>
                <w:rtl/>
                <w:lang w:eastAsia="ko-KR"/>
              </w:rPr>
              <w:t xml:space="preserve"> </w:t>
            </w:r>
            <w:r w:rsidRPr="00AA5065">
              <w:rPr>
                <w:rFonts w:eastAsia="Batang" w:hint="eastAsia"/>
                <w:sz w:val="22"/>
                <w:szCs w:val="22"/>
                <w:rtl/>
                <w:lang w:eastAsia="ko-KR"/>
              </w:rPr>
              <w:t>בשטחי</w:t>
            </w:r>
            <w:r w:rsidRPr="00AA5065">
              <w:rPr>
                <w:rFonts w:eastAsia="Batang"/>
                <w:sz w:val="22"/>
                <w:szCs w:val="22"/>
                <w:rtl/>
                <w:lang w:eastAsia="ko-KR"/>
              </w:rPr>
              <w:t xml:space="preserve"> </w:t>
            </w:r>
            <w:r w:rsidRPr="00AA5065">
              <w:rPr>
                <w:rFonts w:eastAsia="Batang" w:hint="eastAsia"/>
                <w:sz w:val="22"/>
                <w:szCs w:val="22"/>
                <w:rtl/>
                <w:lang w:eastAsia="ko-KR"/>
              </w:rPr>
              <w:t>אש</w:t>
            </w:r>
          </w:p>
        </w:tc>
        <w:tc>
          <w:tcPr>
            <w:tcW w:w="947" w:type="dxa"/>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0</w:t>
            </w:r>
          </w:p>
        </w:tc>
        <w:tc>
          <w:tcPr>
            <w:tcW w:w="980" w:type="dxa"/>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0</w:t>
            </w:r>
          </w:p>
        </w:tc>
        <w:tc>
          <w:tcPr>
            <w:tcW w:w="813" w:type="dxa"/>
            <w:noWrap/>
            <w:hideMark/>
          </w:tcPr>
          <w:p w:rsidR="00AA5065" w:rsidRPr="00AA5065" w:rsidP="00860D89">
            <w:pPr>
              <w:tabs>
                <w:tab w:val="left" w:pos="424"/>
              </w:tabs>
              <w:spacing w:line="269" w:lineRule="auto"/>
              <w:rPr>
                <w:rFonts w:eastAsia="Batang"/>
                <w:sz w:val="22"/>
                <w:szCs w:val="22"/>
                <w:rtl/>
                <w:lang w:eastAsia="ko-KR"/>
              </w:rPr>
            </w:pPr>
            <w:r w:rsidRPr="00AA5065">
              <w:rPr>
                <w:rFonts w:eastAsia="Batang"/>
                <w:sz w:val="22"/>
                <w:szCs w:val="22"/>
                <w:rtl/>
                <w:lang w:eastAsia="ko-KR"/>
              </w:rPr>
              <w:t>0</w:t>
            </w:r>
          </w:p>
        </w:tc>
        <w:tc>
          <w:tcPr>
            <w:tcW w:w="714" w:type="dxa"/>
          </w:tcPr>
          <w:p w:rsidR="00AA5065" w:rsidRPr="00AA5065" w:rsidP="00860D89">
            <w:pPr>
              <w:tabs>
                <w:tab w:val="left" w:pos="424"/>
              </w:tabs>
              <w:spacing w:line="269" w:lineRule="auto"/>
              <w:rPr>
                <w:rFonts w:eastAsia="Batang"/>
                <w:sz w:val="22"/>
                <w:szCs w:val="22"/>
                <w:lang w:eastAsia="ko-KR"/>
              </w:rPr>
            </w:pPr>
            <w:r w:rsidRPr="00AA5065">
              <w:rPr>
                <w:rFonts w:eastAsia="Batang"/>
                <w:sz w:val="22"/>
                <w:szCs w:val="22"/>
                <w:rtl/>
                <w:lang w:eastAsia="ko-KR"/>
              </w:rPr>
              <w:t>3</w:t>
            </w:r>
          </w:p>
        </w:tc>
      </w:tr>
    </w:tbl>
    <w:p w:rsidR="00AA5065" w:rsidRPr="00AA5065" w:rsidP="00860D89">
      <w:pPr>
        <w:spacing w:line="269" w:lineRule="auto"/>
        <w:rPr>
          <w:rFonts w:eastAsia="Calibri"/>
          <w:szCs w:val="20"/>
          <w:rtl/>
        </w:rPr>
      </w:pPr>
      <w:r w:rsidRPr="00AA5065">
        <w:rPr>
          <w:rFonts w:eastAsia="Calibri" w:hint="eastAsia"/>
          <w:szCs w:val="20"/>
          <w:rtl/>
        </w:rPr>
        <w:t>המקור</w:t>
      </w:r>
      <w:r w:rsidRPr="00AA5065">
        <w:rPr>
          <w:rFonts w:eastAsia="Calibri"/>
          <w:szCs w:val="20"/>
          <w:rtl/>
        </w:rPr>
        <w:t xml:space="preserve">: </w:t>
      </w:r>
      <w:r w:rsidRPr="00AA5065">
        <w:rPr>
          <w:rFonts w:eastAsia="Calibri" w:hint="eastAsia"/>
          <w:szCs w:val="20"/>
          <w:rtl/>
        </w:rPr>
        <w:t>הסיירת</w:t>
      </w:r>
      <w:r w:rsidRPr="00AA5065">
        <w:rPr>
          <w:rFonts w:eastAsia="Calibri"/>
          <w:szCs w:val="20"/>
          <w:rtl/>
        </w:rPr>
        <w:t xml:space="preserve"> </w:t>
      </w:r>
      <w:r w:rsidRPr="00AA5065">
        <w:rPr>
          <w:rFonts w:eastAsia="Calibri" w:hint="eastAsia"/>
          <w:szCs w:val="20"/>
          <w:rtl/>
        </w:rPr>
        <w:t>הירוקה</w:t>
      </w:r>
      <w:r w:rsidRPr="00AA5065">
        <w:rPr>
          <w:rFonts w:eastAsia="Calibri"/>
          <w:szCs w:val="20"/>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בדוח</w:t>
      </w:r>
      <w:r w:rsidRPr="00AA5065">
        <w:rPr>
          <w:rFonts w:eastAsia="Calibri"/>
          <w:rtl/>
        </w:rPr>
        <w:t xml:space="preserve"> </w:t>
      </w:r>
      <w:r w:rsidRPr="00AA5065">
        <w:rPr>
          <w:rFonts w:eastAsia="Calibri" w:hint="eastAsia"/>
          <w:rtl/>
        </w:rPr>
        <w:t>הקודם</w:t>
      </w:r>
      <w:r w:rsidRPr="00AA5065">
        <w:rPr>
          <w:rFonts w:eastAsia="Calibri"/>
          <w:rtl/>
        </w:rPr>
        <w:t xml:space="preserve"> </w:t>
      </w:r>
      <w:r w:rsidRPr="00AA5065">
        <w:rPr>
          <w:rFonts w:eastAsia="Calibri" w:hint="eastAsia"/>
          <w:rtl/>
        </w:rPr>
        <w:t>עלה</w:t>
      </w:r>
      <w:r w:rsidRPr="00AA5065">
        <w:rPr>
          <w:rFonts w:eastAsia="Calibri"/>
          <w:rtl/>
        </w:rPr>
        <w:t xml:space="preserve"> </w:t>
      </w:r>
      <w:r w:rsidRPr="00AA5065">
        <w:rPr>
          <w:rFonts w:eastAsia="Calibri" w:hint="eastAsia"/>
          <w:rtl/>
        </w:rPr>
        <w:t>כי</w:t>
      </w:r>
      <w:r w:rsidRPr="00AA5065">
        <w:rPr>
          <w:rFonts w:eastAsia="Calibri"/>
          <w:rtl/>
        </w:rPr>
        <w:t xml:space="preserve"> </w:t>
      </w:r>
      <w:r w:rsidRPr="00AA5065">
        <w:rPr>
          <w:rFonts w:eastAsia="Calibri" w:hint="eastAsia"/>
          <w:rtl/>
        </w:rPr>
        <w:t>בשנים</w:t>
      </w:r>
      <w:r w:rsidRPr="00AA5065">
        <w:rPr>
          <w:rFonts w:eastAsia="Calibri"/>
          <w:rtl/>
        </w:rPr>
        <w:t xml:space="preserve"> 2017</w:t>
      </w:r>
      <w:r w:rsidRPr="00AA5065">
        <w:rPr>
          <w:rFonts w:eastAsia="Calibri" w:hint="cs"/>
          <w:rtl/>
        </w:rPr>
        <w:t xml:space="preserve"> </w:t>
      </w:r>
      <w:r w:rsidRPr="00AA5065">
        <w:rPr>
          <w:rFonts w:eastAsia="Calibri"/>
          <w:rtl/>
        </w:rPr>
        <w:t>-</w:t>
      </w:r>
      <w:r w:rsidRPr="00AA5065">
        <w:rPr>
          <w:rFonts w:eastAsia="Calibri" w:hint="cs"/>
          <w:rtl/>
        </w:rPr>
        <w:t xml:space="preserve"> </w:t>
      </w:r>
      <w:r w:rsidRPr="00AA5065">
        <w:rPr>
          <w:rFonts w:eastAsia="Calibri"/>
          <w:rtl/>
        </w:rPr>
        <w:t xml:space="preserve">2020 </w:t>
      </w:r>
      <w:r w:rsidRPr="00AA5065">
        <w:rPr>
          <w:rFonts w:eastAsia="Calibri" w:hint="eastAsia"/>
          <w:rtl/>
        </w:rPr>
        <w:t>חלה</w:t>
      </w:r>
      <w:r w:rsidRPr="00AA5065">
        <w:rPr>
          <w:rFonts w:eastAsia="Calibri"/>
          <w:rtl/>
        </w:rPr>
        <w:t xml:space="preserve"> </w:t>
      </w:r>
      <w:r w:rsidRPr="00AA5065">
        <w:rPr>
          <w:rFonts w:eastAsia="Calibri" w:hint="eastAsia"/>
          <w:rtl/>
        </w:rPr>
        <w:t>עלייה</w:t>
      </w:r>
      <w:r w:rsidRPr="00AA5065">
        <w:rPr>
          <w:rFonts w:eastAsia="Calibri"/>
          <w:rtl/>
        </w:rPr>
        <w:t xml:space="preserve"> </w:t>
      </w:r>
      <w:r w:rsidRPr="00AA5065">
        <w:rPr>
          <w:rFonts w:eastAsia="Calibri" w:hint="eastAsia"/>
          <w:rtl/>
        </w:rPr>
        <w:t>ב</w:t>
      </w:r>
      <w:r w:rsidRPr="00AA5065">
        <w:rPr>
          <w:rFonts w:eastAsia="Calibri" w:hint="cs"/>
          <w:rtl/>
        </w:rPr>
        <w:t>מספר ה</w:t>
      </w:r>
      <w:r w:rsidRPr="00AA5065">
        <w:rPr>
          <w:rFonts w:eastAsia="Calibri" w:hint="eastAsia"/>
          <w:rtl/>
        </w:rPr>
        <w:t>פעילויות</w:t>
      </w:r>
      <w:r w:rsidRPr="00AA5065">
        <w:rPr>
          <w:rFonts w:eastAsia="Calibri"/>
          <w:rtl/>
        </w:rPr>
        <w:t xml:space="preserve"> </w:t>
      </w:r>
      <w:r w:rsidRPr="00AA5065">
        <w:rPr>
          <w:rFonts w:eastAsia="Calibri" w:hint="eastAsia"/>
          <w:rtl/>
        </w:rPr>
        <w:t>הפליליות</w:t>
      </w:r>
      <w:r w:rsidRPr="00AA5065">
        <w:rPr>
          <w:rFonts w:eastAsia="Calibri"/>
          <w:rtl/>
        </w:rPr>
        <w:t xml:space="preserve"> </w:t>
      </w:r>
      <w:r w:rsidRPr="00AA5065">
        <w:rPr>
          <w:rFonts w:eastAsia="Calibri" w:hint="eastAsia"/>
          <w:rtl/>
        </w:rPr>
        <w:t>שבשטחי</w:t>
      </w:r>
      <w:r w:rsidRPr="00AA5065">
        <w:rPr>
          <w:rFonts w:eastAsia="Calibri"/>
          <w:rtl/>
        </w:rPr>
        <w:t xml:space="preserve"> </w:t>
      </w:r>
      <w:r w:rsidRPr="00AA5065">
        <w:rPr>
          <w:rFonts w:eastAsia="Calibri" w:hint="eastAsia"/>
          <w:rtl/>
        </w:rPr>
        <w:t>האש</w:t>
      </w:r>
      <w:r w:rsidRPr="00AA5065">
        <w:rPr>
          <w:rFonts w:eastAsia="Calibri"/>
          <w:rtl/>
        </w:rPr>
        <w:t xml:space="preserve">, </w:t>
      </w:r>
      <w:r w:rsidRPr="00AA5065">
        <w:rPr>
          <w:rFonts w:eastAsia="Calibri" w:hint="eastAsia"/>
          <w:rtl/>
        </w:rPr>
        <w:t>בייחוד</w:t>
      </w:r>
      <w:r w:rsidRPr="00AA5065">
        <w:rPr>
          <w:rFonts w:eastAsia="Calibri"/>
          <w:rtl/>
        </w:rPr>
        <w:t xml:space="preserve"> </w:t>
      </w:r>
      <w:r w:rsidRPr="00AA5065">
        <w:rPr>
          <w:rFonts w:eastAsia="Calibri" w:hint="eastAsia"/>
          <w:rtl/>
        </w:rPr>
        <w:t>בתחום</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חממות</w:t>
      </w:r>
      <w:r w:rsidRPr="00AA5065">
        <w:rPr>
          <w:rFonts w:eastAsia="Calibri"/>
          <w:rtl/>
        </w:rPr>
        <w:t xml:space="preserve"> </w:t>
      </w:r>
      <w:r w:rsidRPr="00AA5065">
        <w:rPr>
          <w:rFonts w:eastAsia="Calibri" w:hint="eastAsia"/>
          <w:rtl/>
        </w:rPr>
        <w:t>קנאביס</w:t>
      </w:r>
      <w:r w:rsidRPr="00AA5065">
        <w:rPr>
          <w:rFonts w:eastAsia="Calibri"/>
          <w:rtl/>
        </w:rPr>
        <w:t xml:space="preserve"> </w:t>
      </w:r>
      <w:r w:rsidRPr="00AA5065">
        <w:rPr>
          <w:rFonts w:eastAsia="Calibri" w:hint="eastAsia"/>
          <w:rtl/>
        </w:rPr>
        <w:t>ובעניין</w:t>
      </w:r>
      <w:r w:rsidRPr="00AA5065">
        <w:rPr>
          <w:rFonts w:eastAsia="Calibri"/>
          <w:rtl/>
        </w:rPr>
        <w:t xml:space="preserve"> </w:t>
      </w:r>
      <w:r w:rsidRPr="00AA5065">
        <w:rPr>
          <w:rFonts w:eastAsia="Calibri" w:hint="eastAsia"/>
          <w:rtl/>
        </w:rPr>
        <w:t>הצורך</w:t>
      </w:r>
      <w:r w:rsidRPr="00AA5065">
        <w:rPr>
          <w:rFonts w:eastAsia="Calibri"/>
          <w:rtl/>
        </w:rPr>
        <w:t xml:space="preserve"> </w:t>
      </w:r>
      <w:r w:rsidRPr="00AA5065">
        <w:rPr>
          <w:rFonts w:eastAsia="Calibri" w:hint="eastAsia"/>
          <w:rtl/>
        </w:rPr>
        <w:t>לבצע</w:t>
      </w:r>
      <w:r w:rsidRPr="00AA5065">
        <w:rPr>
          <w:rFonts w:eastAsia="Calibri"/>
          <w:rtl/>
        </w:rPr>
        <w:t xml:space="preserve"> </w:t>
      </w:r>
      <w:r w:rsidRPr="00AA5065">
        <w:rPr>
          <w:rFonts w:eastAsia="Calibri" w:hint="eastAsia"/>
          <w:rtl/>
        </w:rPr>
        <w:t>פינויים</w:t>
      </w:r>
      <w:r w:rsidRPr="00AA5065">
        <w:rPr>
          <w:rFonts w:eastAsia="Calibri"/>
          <w:rtl/>
        </w:rPr>
        <w:t xml:space="preserve"> </w:t>
      </w:r>
      <w:r w:rsidRPr="00AA5065">
        <w:rPr>
          <w:rFonts w:eastAsia="Calibri" w:hint="eastAsia"/>
          <w:rtl/>
        </w:rPr>
        <w:t>משטחי</w:t>
      </w:r>
      <w:r w:rsidRPr="00AA5065">
        <w:rPr>
          <w:rFonts w:eastAsia="Calibri"/>
          <w:rtl/>
        </w:rPr>
        <w:t xml:space="preserve"> </w:t>
      </w:r>
      <w:r w:rsidRPr="00AA5065">
        <w:rPr>
          <w:rFonts w:eastAsia="Calibri" w:hint="eastAsia"/>
          <w:rtl/>
        </w:rPr>
        <w:t>האש</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widowControl w:val="0"/>
        <w:spacing w:line="269" w:lineRule="auto"/>
        <w:rPr>
          <w:rFonts w:eastAsia="Batang"/>
          <w:sz w:val="24"/>
          <w:rtl/>
          <w:lang w:eastAsia="ko-KR"/>
        </w:rPr>
      </w:pPr>
      <w:r w:rsidRPr="00AA5065">
        <w:rPr>
          <w:rFonts w:eastAsia="Batang" w:hint="cs"/>
          <w:sz w:val="24"/>
          <w:rtl/>
          <w:lang w:eastAsia="ko-KR"/>
        </w:rPr>
        <w:t xml:space="preserve">צה"ל מסר בתשובתו לדוח הקודם לגבי בסיס מל"י כי (א) "זרוע היבשה פועלת בשיתוף פעולה מלא עם משטרת ישראל המפעילה אכיפה באמצעות 'הסיירת הירוקה'. זו, תפקידה למנוע פלישות וכניסות לא חוקיות (לרבות: רעייה ועיבודים לא חוקיים וללא היתר) לשטחי האש"; </w:t>
      </w:r>
      <w:r w:rsidRPr="00AA5065">
        <w:rPr>
          <w:rFonts w:eastAsia="Batang"/>
          <w:sz w:val="24"/>
          <w:lang w:eastAsia="ko-KR"/>
        </w:rPr>
        <w:br/>
      </w:r>
      <w:r w:rsidRPr="00AA5065">
        <w:rPr>
          <w:rFonts w:eastAsia="Batang" w:hint="cs"/>
          <w:sz w:val="24"/>
          <w:rtl/>
          <w:lang w:eastAsia="ko-KR"/>
        </w:rPr>
        <w:t>(ב) "מראיית הדברים, לא מבוצעת במרחב פעילות מספקת של מבצעים יזומים לטובת תפיסה, סיכול והפללת משיגי הגבול. עם זאת, בנושא מיגור תופעת חממות הסמים, רועי הצאן ומשיגי הגבול ישנה עבודה מסודרת ועיתית. נדרש כי משטרת ישראל, על אף אתגרי התקופה, תשקיע יותר מאמץ בפעילות התקפית יזומה במרחב"; (ג) "בהקשר להגברת השמירה, מל"י הוסיפה משימות שמירה המבוצעות על ידי גדודים לוחמים המתאמנים במרחב".</w:t>
      </w:r>
    </w:p>
    <w:p w:rsidR="00AA5065" w:rsidRPr="00AA5065" w:rsidP="00860D89">
      <w:pPr>
        <w:spacing w:line="269" w:lineRule="auto"/>
        <w:ind w:left="-567"/>
        <w:rPr>
          <w:rFonts w:eastAsia="Calibri"/>
          <w:szCs w:val="20"/>
          <w:rtl/>
        </w:rPr>
      </w:pPr>
    </w:p>
    <w:p w:rsidR="00AA5065" w:rsidRPr="00AA5065" w:rsidP="00860D89">
      <w:pPr>
        <w:widowControl w:val="0"/>
        <w:spacing w:line="269" w:lineRule="auto"/>
        <w:rPr>
          <w:rFonts w:eastAsia="Batang"/>
          <w:sz w:val="24"/>
          <w:rtl/>
          <w:lang w:eastAsia="ko-KR"/>
        </w:rPr>
      </w:pPr>
      <w:r w:rsidRPr="00AA5065">
        <w:rPr>
          <w:rFonts w:eastAsia="Batang" w:hint="cs"/>
          <w:sz w:val="24"/>
          <w:rtl/>
          <w:lang w:eastAsia="ko-KR"/>
        </w:rPr>
        <w:t xml:space="preserve">הסיירת הירוקה מסרה בתשובתה לדוח הקודם כי "הסיירת הירוקה אחראית לטיפול באירועים בתוך שטחי האש ולא בתוך בסיסי הצבא... כמו כן הסיירת הירוקה מבצעת פעולות מניעתיות (שילוט שטחי אש... מתן התראות לכלל הנכנסים לשטח האש) - פעולה המסייעת רבות בדחיית תביעות נזיקין כנגד משהב"ט, הגשת תלונות במשטרת ישראל כנגד עבריינים פולשים לשטחי האש, ייזום תביעות עם פרקליטות המדינה והמשטרה ועוד... הסיירת הירוקה היא הגורם המתכלל לנושא טיפול בגידולי הקנאביס בשטחי האש כולל ביצוע ההשמדה בפועל. ככלל הסיירת הירוקה מפנה פלישות ללא סיוע משטרתי. מאחר ומדובר בחומר החשוד כסם, הפעילות מחייבת סיוע של גורמים משטרתיים (לצורך זיהוי החומר, תיעוד והוצאת צו להשמדה)". </w:t>
      </w:r>
    </w:p>
    <w:p w:rsidR="00AA5065" w:rsidRPr="00AA5065" w:rsidP="00860D89">
      <w:pPr>
        <w:spacing w:line="269" w:lineRule="auto"/>
        <w:rPr>
          <w:rFonts w:eastAsia="Calibri"/>
          <w:rtl/>
        </w:rPr>
      </w:pPr>
    </w:p>
    <w:p w:rsidR="00AA5065" w:rsidRPr="00AA5065" w:rsidP="00734ECE">
      <w:pPr>
        <w:keepNext/>
        <w:keepLines/>
        <w:spacing w:before="120" w:line="269" w:lineRule="auto"/>
        <w:outlineLvl w:val="3"/>
        <w:rPr>
          <w:rFonts w:eastAsia="Times New Roman"/>
          <w:bCs/>
          <w:szCs w:val="26"/>
          <w:rtl/>
        </w:rPr>
      </w:pPr>
      <w:r w:rsidRPr="00AA5065">
        <w:rPr>
          <w:rFonts w:eastAsia="Times New Roman" w:hint="eastAsia"/>
          <w:bCs/>
          <w:szCs w:val="26"/>
          <w:rtl/>
        </w:rPr>
        <w:t>ביקורת</w:t>
      </w:r>
      <w:r w:rsidRPr="00AA5065">
        <w:rPr>
          <w:rFonts w:eastAsia="Times New Roman"/>
          <w:bCs/>
          <w:szCs w:val="26"/>
          <w:rtl/>
        </w:rPr>
        <w:t xml:space="preserve"> </w:t>
      </w:r>
      <w:r w:rsidRPr="00AA5065">
        <w:rPr>
          <w:rFonts w:eastAsia="Times New Roman" w:hint="eastAsia"/>
          <w:bCs/>
          <w:szCs w:val="26"/>
          <w:rtl/>
        </w:rPr>
        <w:t>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bookmarkStart w:id="140" w:name="_Hlk190165893"/>
      <w:r w:rsidRPr="00AA5065">
        <w:rPr>
          <w:rFonts w:eastAsia="Calibri" w:hint="eastAsia"/>
          <w:rtl/>
        </w:rPr>
        <w:t>מנתונים</w:t>
      </w:r>
      <w:r w:rsidRPr="00AA5065">
        <w:rPr>
          <w:rFonts w:eastAsia="Calibri"/>
          <w:rtl/>
        </w:rPr>
        <w:t xml:space="preserve"> ש</w:t>
      </w:r>
      <w:r w:rsidRPr="00AA5065">
        <w:rPr>
          <w:rFonts w:eastAsia="Calibri" w:hint="eastAsia"/>
          <w:rtl/>
        </w:rPr>
        <w:t>מסרה</w:t>
      </w:r>
      <w:r w:rsidRPr="00AA5065">
        <w:rPr>
          <w:rFonts w:eastAsia="Calibri"/>
          <w:rtl/>
        </w:rPr>
        <w:t xml:space="preserve"> </w:t>
      </w:r>
      <w:r w:rsidRPr="00AA5065">
        <w:rPr>
          <w:rFonts w:eastAsia="Calibri" w:hint="eastAsia"/>
          <w:rtl/>
        </w:rPr>
        <w:t>הסיירת</w:t>
      </w:r>
      <w:r w:rsidRPr="00AA5065">
        <w:rPr>
          <w:rFonts w:eastAsia="Calibri"/>
          <w:rtl/>
        </w:rPr>
        <w:t xml:space="preserve"> הירוקה נמצא כי </w:t>
      </w:r>
      <w:r w:rsidRPr="00AA5065">
        <w:rPr>
          <w:rFonts w:eastAsia="Calibri" w:hint="eastAsia"/>
          <w:rtl/>
        </w:rPr>
        <w:t>נמשכת</w:t>
      </w:r>
      <w:r w:rsidRPr="00AA5065">
        <w:rPr>
          <w:rFonts w:eastAsia="Calibri"/>
          <w:rtl/>
        </w:rPr>
        <w:t xml:space="preserve"> ההתמודדות של הסיירת הירוקה עם כלל הפלישות לשטחי האש ו</w:t>
      </w:r>
      <w:r w:rsidRPr="00AA5065">
        <w:rPr>
          <w:rFonts w:eastAsia="Calibri" w:hint="eastAsia"/>
          <w:rtl/>
        </w:rPr>
        <w:t>עם</w:t>
      </w:r>
      <w:r w:rsidRPr="00AA5065">
        <w:rPr>
          <w:rFonts w:eastAsia="Calibri"/>
          <w:rtl/>
        </w:rPr>
        <w:t xml:space="preserve"> </w:t>
      </w:r>
      <w:r w:rsidRPr="00AA5065">
        <w:rPr>
          <w:rFonts w:eastAsia="Calibri" w:hint="eastAsia"/>
          <w:rtl/>
        </w:rPr>
        <w:t>האירועים</w:t>
      </w:r>
      <w:r w:rsidRPr="00AA5065">
        <w:rPr>
          <w:rFonts w:eastAsia="Calibri"/>
          <w:rtl/>
        </w:rPr>
        <w:t xml:space="preserve"> הפליליים </w:t>
      </w:r>
      <w:r w:rsidRPr="00AA5065">
        <w:rPr>
          <w:rFonts w:eastAsia="Calibri" w:hint="eastAsia"/>
          <w:rtl/>
        </w:rPr>
        <w:t>שלצידן</w:t>
      </w:r>
      <w:r w:rsidRPr="00AA5065">
        <w:rPr>
          <w:rFonts w:eastAsia="Calibri"/>
          <w:rtl/>
        </w:rPr>
        <w:t xml:space="preserve">. </w:t>
      </w:r>
      <w:r w:rsidRPr="00AA5065">
        <w:rPr>
          <w:rFonts w:eastAsia="Calibri" w:hint="eastAsia"/>
          <w:rtl/>
        </w:rPr>
        <w:t>להלן</w:t>
      </w:r>
      <w:r w:rsidRPr="00AA5065">
        <w:rPr>
          <w:rFonts w:eastAsia="Calibri"/>
          <w:rtl/>
        </w:rPr>
        <w:t xml:space="preserve"> </w:t>
      </w:r>
      <w:r w:rsidRPr="00AA5065">
        <w:rPr>
          <w:rFonts w:eastAsia="Calibri" w:hint="eastAsia"/>
          <w:rtl/>
        </w:rPr>
        <w:t>הנתונים</w:t>
      </w:r>
      <w:r w:rsidRPr="00AA5065">
        <w:rPr>
          <w:rFonts w:eastAsia="Calibri"/>
          <w:rtl/>
        </w:rPr>
        <w:t>:</w:t>
      </w:r>
    </w:p>
    <w:bookmarkEnd w:id="140"/>
    <w:p w:rsidR="00AA5065" w:rsidRPr="00AA5065" w:rsidP="00860D89">
      <w:pPr>
        <w:spacing w:line="269" w:lineRule="auto"/>
        <w:ind w:left="-567"/>
        <w:rPr>
          <w:rFonts w:eastAsia="Calibri"/>
          <w:szCs w:val="20"/>
          <w:rtl/>
        </w:rPr>
      </w:pPr>
    </w:p>
    <w:p w:rsidR="00AA5065" w:rsidRPr="00AA5065" w:rsidP="00860D89">
      <w:pPr>
        <w:keepNext/>
        <w:keepLines/>
        <w:spacing w:line="269" w:lineRule="auto"/>
        <w:jc w:val="center"/>
        <w:rPr>
          <w:rFonts w:eastAsia="Calibri"/>
          <w:b/>
          <w:bCs/>
          <w:sz w:val="24"/>
          <w:rtl/>
        </w:rPr>
      </w:pPr>
      <w:r w:rsidRPr="00AA5065">
        <w:rPr>
          <w:rFonts w:eastAsia="Calibri" w:hint="cs"/>
          <w:sz w:val="24"/>
          <w:rtl/>
        </w:rPr>
        <w:t xml:space="preserve">לוח 23: </w:t>
      </w:r>
      <w:r w:rsidRPr="00AA5065">
        <w:rPr>
          <w:rFonts w:eastAsia="Calibri" w:hint="eastAsia"/>
          <w:b/>
          <w:bCs/>
          <w:sz w:val="24"/>
          <w:rtl/>
        </w:rPr>
        <w:t>פעילות</w:t>
      </w:r>
      <w:r w:rsidRPr="00AA5065">
        <w:rPr>
          <w:rFonts w:eastAsia="Calibri"/>
          <w:b/>
          <w:bCs/>
          <w:sz w:val="24"/>
          <w:rtl/>
        </w:rPr>
        <w:t xml:space="preserve"> </w:t>
      </w:r>
      <w:r w:rsidRPr="00AA5065">
        <w:rPr>
          <w:rFonts w:eastAsia="Calibri" w:hint="cs"/>
          <w:b/>
          <w:bCs/>
          <w:sz w:val="24"/>
          <w:rtl/>
        </w:rPr>
        <w:t xml:space="preserve">הסיירת הירוקה </w:t>
      </w:r>
      <w:r w:rsidRPr="00AA5065">
        <w:rPr>
          <w:rFonts w:eastAsia="Calibri" w:hint="eastAsia"/>
          <w:b/>
          <w:bCs/>
          <w:sz w:val="24"/>
          <w:rtl/>
        </w:rPr>
        <w:t>בשטחי</w:t>
      </w:r>
      <w:r w:rsidRPr="00AA5065">
        <w:rPr>
          <w:rFonts w:eastAsia="Calibri"/>
          <w:b/>
          <w:bCs/>
          <w:sz w:val="24"/>
          <w:rtl/>
        </w:rPr>
        <w:t xml:space="preserve"> </w:t>
      </w:r>
      <w:r w:rsidRPr="00AA5065">
        <w:rPr>
          <w:rFonts w:eastAsia="Calibri" w:hint="cs"/>
          <w:b/>
          <w:bCs/>
          <w:sz w:val="24"/>
          <w:rtl/>
        </w:rPr>
        <w:t>האש של בסיס מל"י בצאלים,</w:t>
      </w:r>
      <w:r w:rsidRPr="00AA5065">
        <w:rPr>
          <w:rFonts w:eastAsia="Calibri"/>
          <w:b/>
          <w:bCs/>
          <w:sz w:val="24"/>
          <w:rtl/>
        </w:rPr>
        <w:t xml:space="preserve"> 2</w:t>
      </w:r>
      <w:r w:rsidRPr="00AA5065">
        <w:rPr>
          <w:rFonts w:eastAsia="Calibri" w:hint="cs"/>
          <w:b/>
          <w:bCs/>
          <w:sz w:val="24"/>
          <w:rtl/>
        </w:rPr>
        <w:t xml:space="preserve">021 </w:t>
      </w:r>
      <w:r w:rsidRPr="00AA5065">
        <w:rPr>
          <w:rFonts w:eastAsia="Calibri"/>
          <w:b/>
          <w:bCs/>
          <w:sz w:val="24"/>
          <w:rtl/>
        </w:rPr>
        <w:t>-</w:t>
      </w:r>
      <w:r w:rsidRPr="00AA5065">
        <w:rPr>
          <w:rFonts w:eastAsia="Calibri" w:hint="cs"/>
          <w:b/>
          <w:bCs/>
          <w:sz w:val="24"/>
          <w:rtl/>
        </w:rPr>
        <w:t xml:space="preserve"> 2024</w:t>
      </w:r>
    </w:p>
    <w:tbl>
      <w:tblPr>
        <w:tblStyle w:val="5-11"/>
        <w:bidiVisual/>
        <w:tblW w:w="0" w:type="auto"/>
        <w:tblLook w:val="04A0"/>
      </w:tblPr>
      <w:tblGrid>
        <w:gridCol w:w="2682"/>
        <w:gridCol w:w="1464"/>
        <w:gridCol w:w="1481"/>
        <w:gridCol w:w="1481"/>
        <w:gridCol w:w="1102"/>
      </w:tblGrid>
      <w:tr w:rsidTr="00AA5065">
        <w:tblPrEx>
          <w:tblW w:w="0" w:type="auto"/>
          <w:tblLook w:val="04A0"/>
        </w:tblPrEx>
        <w:trPr>
          <w:trHeight w:val="285"/>
        </w:trPr>
        <w:tc>
          <w:tcPr>
            <w:tcW w:w="2683"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tl/>
              </w:rPr>
              <w:t xml:space="preserve">הפעילות </w:t>
            </w:r>
          </w:p>
        </w:tc>
        <w:tc>
          <w:tcPr>
            <w:tcW w:w="1464"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color w:val="000000"/>
                <w:sz w:val="22"/>
                <w:szCs w:val="22"/>
              </w:rPr>
              <w:t>2021</w:t>
            </w:r>
          </w:p>
        </w:tc>
        <w:tc>
          <w:tcPr>
            <w:tcW w:w="1481"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2022</w:t>
            </w:r>
          </w:p>
        </w:tc>
        <w:tc>
          <w:tcPr>
            <w:tcW w:w="1481"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2023</w:t>
            </w:r>
          </w:p>
        </w:tc>
        <w:tc>
          <w:tcPr>
            <w:tcW w:w="1102"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2024</w:t>
            </w:r>
          </w:p>
        </w:tc>
      </w:tr>
      <w:tr w:rsidTr="00AA5065">
        <w:tblPrEx>
          <w:tblW w:w="0" w:type="auto"/>
          <w:tblLook w:val="04A0"/>
        </w:tblPrEx>
        <w:trPr>
          <w:trHeight w:val="570"/>
        </w:trPr>
        <w:tc>
          <w:tcPr>
            <w:tcW w:w="2683"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 xml:space="preserve">השמדת קנאביס (שתילים) </w:t>
            </w:r>
          </w:p>
        </w:tc>
        <w:tc>
          <w:tcPr>
            <w:tcW w:w="1464" w:type="dxa"/>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941 (586,130)</w:t>
            </w:r>
          </w:p>
        </w:tc>
        <w:tc>
          <w:tcPr>
            <w:tcW w:w="148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527 (401,400)</w:t>
            </w:r>
          </w:p>
        </w:tc>
        <w:tc>
          <w:tcPr>
            <w:tcW w:w="148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262 (145,260)</w:t>
            </w:r>
          </w:p>
        </w:tc>
        <w:tc>
          <w:tcPr>
            <w:tcW w:w="11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34 (8,120)</w:t>
            </w:r>
          </w:p>
        </w:tc>
      </w:tr>
      <w:tr w:rsidTr="00AA5065">
        <w:tblPrEx>
          <w:tblW w:w="0" w:type="auto"/>
          <w:tblLook w:val="04A0"/>
        </w:tblPrEx>
        <w:trPr>
          <w:trHeight w:val="285"/>
        </w:trPr>
        <w:tc>
          <w:tcPr>
            <w:tcW w:w="2683"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פינויים משטחי אש</w:t>
            </w:r>
          </w:p>
        </w:tc>
        <w:tc>
          <w:tcPr>
            <w:tcW w:w="1464"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996</w:t>
            </w:r>
          </w:p>
        </w:tc>
        <w:tc>
          <w:tcPr>
            <w:tcW w:w="148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559</w:t>
            </w:r>
          </w:p>
        </w:tc>
        <w:tc>
          <w:tcPr>
            <w:tcW w:w="148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300</w:t>
            </w:r>
          </w:p>
        </w:tc>
        <w:tc>
          <w:tcPr>
            <w:tcW w:w="11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68</w:t>
            </w:r>
          </w:p>
        </w:tc>
      </w:tr>
      <w:tr w:rsidTr="00AA5065">
        <w:tblPrEx>
          <w:tblW w:w="0" w:type="auto"/>
          <w:tblLook w:val="04A0"/>
        </w:tblPrEx>
        <w:trPr>
          <w:trHeight w:val="285"/>
        </w:trPr>
        <w:tc>
          <w:tcPr>
            <w:tcW w:w="2683"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 xml:space="preserve">טיסות פיקוח לאיתור חממות </w:t>
            </w:r>
          </w:p>
        </w:tc>
        <w:tc>
          <w:tcPr>
            <w:tcW w:w="1464"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3</w:t>
            </w:r>
          </w:p>
        </w:tc>
        <w:tc>
          <w:tcPr>
            <w:tcW w:w="148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w:t>
            </w:r>
          </w:p>
        </w:tc>
        <w:tc>
          <w:tcPr>
            <w:tcW w:w="148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4</w:t>
            </w:r>
          </w:p>
        </w:tc>
        <w:tc>
          <w:tcPr>
            <w:tcW w:w="11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w:t>
            </w:r>
          </w:p>
        </w:tc>
      </w:tr>
      <w:tr w:rsidTr="00AA5065">
        <w:tblPrEx>
          <w:tblW w:w="0" w:type="auto"/>
          <w:tblLook w:val="04A0"/>
        </w:tblPrEx>
        <w:trPr>
          <w:trHeight w:val="285"/>
        </w:trPr>
        <w:tc>
          <w:tcPr>
            <w:tcW w:w="2683"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התראות שניתנו בשטחי אש</w:t>
            </w:r>
          </w:p>
        </w:tc>
        <w:tc>
          <w:tcPr>
            <w:tcW w:w="1464"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21</w:t>
            </w:r>
          </w:p>
        </w:tc>
        <w:tc>
          <w:tcPr>
            <w:tcW w:w="148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33</w:t>
            </w:r>
          </w:p>
        </w:tc>
        <w:tc>
          <w:tcPr>
            <w:tcW w:w="148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32</w:t>
            </w:r>
          </w:p>
        </w:tc>
        <w:tc>
          <w:tcPr>
            <w:tcW w:w="11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w:t>
            </w:r>
          </w:p>
        </w:tc>
      </w:tr>
      <w:tr w:rsidTr="00AA5065">
        <w:tblPrEx>
          <w:tblW w:w="0" w:type="auto"/>
          <w:tblLook w:val="04A0"/>
        </w:tblPrEx>
        <w:trPr>
          <w:trHeight w:val="285"/>
        </w:trPr>
        <w:tc>
          <w:tcPr>
            <w:tcW w:w="2683" w:type="dxa"/>
            <w:noWrap/>
            <w:hideMark/>
          </w:tcPr>
          <w:p w:rsidR="00AA5065" w:rsidRPr="00AA5065" w:rsidP="00860D89">
            <w:pPr>
              <w:spacing w:line="269" w:lineRule="auto"/>
              <w:jc w:val="left"/>
              <w:rPr>
                <w:rFonts w:ascii="David" w:eastAsia="Calibri" w:hAnsi="David"/>
                <w:color w:val="000000"/>
                <w:sz w:val="22"/>
                <w:szCs w:val="22"/>
              </w:rPr>
            </w:pPr>
            <w:r w:rsidRPr="00AA5065">
              <w:rPr>
                <w:rFonts w:ascii="David" w:eastAsia="Calibri" w:hAnsi="David"/>
                <w:color w:val="000000"/>
                <w:sz w:val="22"/>
                <w:szCs w:val="22"/>
                <w:rtl/>
              </w:rPr>
              <w:t>תלונות שהוגשו נגד פולשים לש</w:t>
            </w:r>
            <w:r w:rsidRPr="00AA5065">
              <w:rPr>
                <w:rFonts w:ascii="David" w:eastAsia="Calibri" w:hAnsi="David" w:hint="cs"/>
                <w:color w:val="000000"/>
                <w:sz w:val="22"/>
                <w:szCs w:val="22"/>
                <w:rtl/>
              </w:rPr>
              <w:t>טחי אש</w:t>
            </w:r>
          </w:p>
        </w:tc>
        <w:tc>
          <w:tcPr>
            <w:tcW w:w="1464"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4</w:t>
            </w:r>
          </w:p>
        </w:tc>
        <w:tc>
          <w:tcPr>
            <w:tcW w:w="148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24</w:t>
            </w:r>
          </w:p>
        </w:tc>
        <w:tc>
          <w:tcPr>
            <w:tcW w:w="1481"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24</w:t>
            </w:r>
          </w:p>
        </w:tc>
        <w:tc>
          <w:tcPr>
            <w:tcW w:w="110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w:t>
            </w:r>
          </w:p>
        </w:tc>
      </w:tr>
    </w:tbl>
    <w:p w:rsidR="00AA5065" w:rsidRPr="00AA5065" w:rsidP="00860D89">
      <w:pPr>
        <w:spacing w:line="269" w:lineRule="auto"/>
        <w:rPr>
          <w:rFonts w:eastAsia="Calibri"/>
          <w:szCs w:val="20"/>
          <w:rtl/>
        </w:rPr>
      </w:pPr>
      <w:r w:rsidRPr="00AA5065">
        <w:rPr>
          <w:rFonts w:eastAsia="Calibri" w:hint="cs"/>
          <w:szCs w:val="20"/>
          <w:rtl/>
        </w:rPr>
        <w:t>המקור: הסיירת הירוקה.</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jc w:val="center"/>
        <w:rPr>
          <w:rFonts w:eastAsia="Calibri"/>
          <w:b/>
          <w:bCs/>
          <w:sz w:val="24"/>
          <w:rtl/>
        </w:rPr>
      </w:pPr>
      <w:r w:rsidRPr="00AA5065">
        <w:rPr>
          <w:rFonts w:eastAsia="Calibri" w:hint="cs"/>
          <w:sz w:val="24"/>
          <w:rtl/>
        </w:rPr>
        <w:t xml:space="preserve">לוח 24: </w:t>
      </w:r>
      <w:r w:rsidRPr="00AA5065">
        <w:rPr>
          <w:rFonts w:eastAsia="Calibri" w:hint="eastAsia"/>
          <w:b/>
          <w:bCs/>
          <w:sz w:val="24"/>
          <w:rtl/>
        </w:rPr>
        <w:t>פעילות</w:t>
      </w:r>
      <w:r w:rsidRPr="00AA5065">
        <w:rPr>
          <w:rFonts w:eastAsia="Calibri"/>
          <w:b/>
          <w:bCs/>
          <w:sz w:val="24"/>
          <w:rtl/>
        </w:rPr>
        <w:t xml:space="preserve"> </w:t>
      </w:r>
      <w:r w:rsidRPr="00AA5065">
        <w:rPr>
          <w:rFonts w:eastAsia="Calibri" w:hint="cs"/>
          <w:b/>
          <w:bCs/>
          <w:sz w:val="24"/>
          <w:rtl/>
        </w:rPr>
        <w:t xml:space="preserve">הסיירת הירוקה </w:t>
      </w:r>
      <w:r w:rsidRPr="00AA5065">
        <w:rPr>
          <w:rFonts w:eastAsia="Calibri" w:hint="eastAsia"/>
          <w:b/>
          <w:bCs/>
          <w:sz w:val="24"/>
          <w:rtl/>
        </w:rPr>
        <w:t>בשטחי</w:t>
      </w:r>
      <w:r w:rsidRPr="00AA5065">
        <w:rPr>
          <w:rFonts w:eastAsia="Calibri"/>
          <w:b/>
          <w:bCs/>
          <w:sz w:val="24"/>
          <w:rtl/>
        </w:rPr>
        <w:t xml:space="preserve"> </w:t>
      </w:r>
      <w:r w:rsidRPr="00AA5065">
        <w:rPr>
          <w:rFonts w:eastAsia="Calibri" w:hint="eastAsia"/>
          <w:b/>
          <w:bCs/>
          <w:sz w:val="24"/>
          <w:rtl/>
        </w:rPr>
        <w:t>אג</w:t>
      </w:r>
      <w:r w:rsidRPr="00AA5065">
        <w:rPr>
          <w:rFonts w:eastAsia="Calibri"/>
          <w:b/>
          <w:bCs/>
          <w:sz w:val="24"/>
          <w:rtl/>
        </w:rPr>
        <w:t>"ת</w:t>
      </w:r>
      <w:r>
        <w:rPr>
          <w:rFonts w:eastAsia="Calibri"/>
          <w:b/>
          <w:bCs/>
          <w:sz w:val="24"/>
          <w:vertAlign w:val="superscript"/>
          <w:rtl/>
        </w:rPr>
        <w:footnoteReference w:id="149"/>
      </w:r>
      <w:r w:rsidRPr="00AA5065">
        <w:rPr>
          <w:rFonts w:eastAsia="Calibri"/>
          <w:b/>
          <w:bCs/>
          <w:sz w:val="24"/>
          <w:rtl/>
        </w:rPr>
        <w:t xml:space="preserve"> </w:t>
      </w:r>
      <w:r w:rsidRPr="00AA5065">
        <w:rPr>
          <w:rFonts w:eastAsia="Calibri" w:hint="eastAsia"/>
          <w:b/>
          <w:bCs/>
          <w:sz w:val="24"/>
          <w:rtl/>
        </w:rPr>
        <w:t>וסביבת</w:t>
      </w:r>
      <w:r w:rsidRPr="00AA5065">
        <w:rPr>
          <w:rFonts w:eastAsia="Calibri"/>
          <w:b/>
          <w:bCs/>
          <w:sz w:val="24"/>
          <w:rtl/>
        </w:rPr>
        <w:t xml:space="preserve"> </w:t>
      </w:r>
      <w:r w:rsidRPr="00AA5065">
        <w:rPr>
          <w:rFonts w:eastAsia="Calibri" w:hint="eastAsia"/>
          <w:b/>
          <w:bCs/>
          <w:sz w:val="24"/>
          <w:rtl/>
        </w:rPr>
        <w:t>בסיס</w:t>
      </w:r>
      <w:r w:rsidRPr="00AA5065">
        <w:rPr>
          <w:rFonts w:eastAsia="Calibri"/>
          <w:b/>
          <w:bCs/>
          <w:sz w:val="24"/>
          <w:rtl/>
        </w:rPr>
        <w:t xml:space="preserve"> </w:t>
      </w:r>
      <w:r w:rsidRPr="00AA5065">
        <w:rPr>
          <w:rFonts w:eastAsia="Calibri" w:hint="eastAsia"/>
          <w:b/>
          <w:bCs/>
          <w:sz w:val="24"/>
          <w:rtl/>
        </w:rPr>
        <w:t>נבטים</w:t>
      </w:r>
      <w:r w:rsidRPr="00AA5065">
        <w:rPr>
          <w:rFonts w:eastAsia="Calibri" w:hint="cs"/>
          <w:b/>
          <w:bCs/>
          <w:sz w:val="24"/>
          <w:rtl/>
        </w:rPr>
        <w:t>,</w:t>
      </w:r>
      <w:r w:rsidRPr="00AA5065">
        <w:rPr>
          <w:rFonts w:eastAsia="Calibri"/>
          <w:b/>
          <w:bCs/>
          <w:sz w:val="24"/>
          <w:rtl/>
        </w:rPr>
        <w:t xml:space="preserve"> </w:t>
      </w:r>
      <w:r w:rsidRPr="00AA5065">
        <w:rPr>
          <w:rFonts w:eastAsia="Calibri" w:hint="cs"/>
          <w:b/>
          <w:bCs/>
          <w:sz w:val="24"/>
          <w:rtl/>
        </w:rPr>
        <w:t xml:space="preserve">2021 </w:t>
      </w:r>
      <w:r w:rsidRPr="00AA5065">
        <w:rPr>
          <w:rFonts w:eastAsia="Calibri"/>
          <w:b/>
          <w:bCs/>
          <w:sz w:val="24"/>
          <w:rtl/>
        </w:rPr>
        <w:t>-</w:t>
      </w:r>
      <w:r w:rsidRPr="00AA5065">
        <w:rPr>
          <w:rFonts w:eastAsia="Calibri" w:hint="cs"/>
          <w:b/>
          <w:bCs/>
          <w:sz w:val="24"/>
          <w:rtl/>
        </w:rPr>
        <w:t xml:space="preserve"> 2024</w:t>
      </w:r>
    </w:p>
    <w:tbl>
      <w:tblPr>
        <w:tblStyle w:val="5-11"/>
        <w:bidiVisual/>
        <w:tblW w:w="0" w:type="auto"/>
        <w:tblLook w:val="04A0"/>
      </w:tblPr>
      <w:tblGrid>
        <w:gridCol w:w="3771"/>
        <w:gridCol w:w="976"/>
        <w:gridCol w:w="879"/>
        <w:gridCol w:w="976"/>
        <w:gridCol w:w="1608"/>
      </w:tblGrid>
      <w:tr w:rsidTr="00AA5065">
        <w:tblPrEx>
          <w:tblW w:w="0" w:type="auto"/>
          <w:tblLook w:val="04A0"/>
        </w:tblPrEx>
        <w:trPr>
          <w:trHeight w:val="285"/>
        </w:trPr>
        <w:tc>
          <w:tcPr>
            <w:tcW w:w="377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 xml:space="preserve">הפעילות </w:t>
            </w:r>
          </w:p>
        </w:tc>
        <w:tc>
          <w:tcPr>
            <w:tcW w:w="976" w:type="dxa"/>
            <w:noWrap/>
            <w:hideMark/>
          </w:tcPr>
          <w:p w:rsidR="00AA5065" w:rsidRPr="00AA5065" w:rsidP="00860D89">
            <w:pPr>
              <w:bidi w:val="0"/>
              <w:spacing w:line="269" w:lineRule="auto"/>
              <w:jc w:val="center"/>
              <w:rPr>
                <w:rFonts w:ascii="David" w:eastAsia="Calibri" w:hAnsi="David"/>
                <w:color w:val="000000"/>
                <w:sz w:val="22"/>
                <w:szCs w:val="22"/>
                <w:rtl/>
              </w:rPr>
            </w:pPr>
            <w:r w:rsidRPr="00AA5065">
              <w:rPr>
                <w:rFonts w:ascii="David" w:eastAsia="Calibri" w:hAnsi="David"/>
                <w:color w:val="000000"/>
                <w:sz w:val="22"/>
                <w:szCs w:val="22"/>
              </w:rPr>
              <w:t>2021</w:t>
            </w:r>
          </w:p>
        </w:tc>
        <w:tc>
          <w:tcPr>
            <w:tcW w:w="879"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2022</w:t>
            </w:r>
          </w:p>
        </w:tc>
        <w:tc>
          <w:tcPr>
            <w:tcW w:w="976"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2023</w:t>
            </w:r>
          </w:p>
        </w:tc>
        <w:tc>
          <w:tcPr>
            <w:tcW w:w="1608" w:type="dxa"/>
            <w:noWrap/>
            <w:hideMark/>
          </w:tcPr>
          <w:p w:rsidR="00AA5065" w:rsidRPr="00AA5065" w:rsidP="00860D89">
            <w:pPr>
              <w:bidi w:val="0"/>
              <w:spacing w:line="269" w:lineRule="auto"/>
              <w:jc w:val="center"/>
              <w:rPr>
                <w:rFonts w:ascii="David" w:eastAsia="Calibri" w:hAnsi="David"/>
                <w:color w:val="000000"/>
                <w:sz w:val="22"/>
                <w:szCs w:val="22"/>
              </w:rPr>
            </w:pPr>
            <w:r w:rsidRPr="00AA5065">
              <w:rPr>
                <w:rFonts w:ascii="David" w:eastAsia="Calibri" w:hAnsi="David"/>
                <w:color w:val="000000"/>
                <w:sz w:val="22"/>
                <w:szCs w:val="22"/>
              </w:rPr>
              <w:t>2024</w:t>
            </w:r>
          </w:p>
        </w:tc>
      </w:tr>
      <w:tr w:rsidTr="00AA5065">
        <w:tblPrEx>
          <w:tblW w:w="0" w:type="auto"/>
          <w:tblLook w:val="04A0"/>
        </w:tblPrEx>
        <w:trPr>
          <w:trHeight w:val="285"/>
        </w:trPr>
        <w:tc>
          <w:tcPr>
            <w:tcW w:w="377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הפיכות (דונם)</w:t>
            </w:r>
          </w:p>
        </w:tc>
        <w:tc>
          <w:tcPr>
            <w:tcW w:w="97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2,601</w:t>
            </w:r>
          </w:p>
        </w:tc>
        <w:tc>
          <w:tcPr>
            <w:tcW w:w="879"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0</w:t>
            </w:r>
          </w:p>
        </w:tc>
        <w:tc>
          <w:tcPr>
            <w:tcW w:w="976"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1,897</w:t>
            </w:r>
          </w:p>
        </w:tc>
        <w:tc>
          <w:tcPr>
            <w:tcW w:w="1608"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0</w:t>
            </w:r>
          </w:p>
        </w:tc>
      </w:tr>
      <w:tr w:rsidTr="00AA5065">
        <w:tblPrEx>
          <w:tblW w:w="0" w:type="auto"/>
          <w:tblLook w:val="04A0"/>
        </w:tblPrEx>
        <w:trPr>
          <w:trHeight w:val="285"/>
        </w:trPr>
        <w:tc>
          <w:tcPr>
            <w:tcW w:w="377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צווי פינוי קרקע</w:t>
            </w:r>
          </w:p>
        </w:tc>
        <w:tc>
          <w:tcPr>
            <w:tcW w:w="97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1</w:t>
            </w:r>
          </w:p>
        </w:tc>
        <w:tc>
          <w:tcPr>
            <w:tcW w:w="879"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34</w:t>
            </w:r>
          </w:p>
        </w:tc>
        <w:tc>
          <w:tcPr>
            <w:tcW w:w="976"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8</w:t>
            </w:r>
          </w:p>
        </w:tc>
        <w:tc>
          <w:tcPr>
            <w:tcW w:w="1608"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26</w:t>
            </w:r>
          </w:p>
        </w:tc>
      </w:tr>
      <w:tr w:rsidTr="00AA5065">
        <w:tblPrEx>
          <w:tblW w:w="0" w:type="auto"/>
          <w:tblLook w:val="04A0"/>
        </w:tblPrEx>
        <w:trPr>
          <w:trHeight w:val="285"/>
        </w:trPr>
        <w:tc>
          <w:tcPr>
            <w:tcW w:w="377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פלישות בעיבודים</w:t>
            </w:r>
          </w:p>
        </w:tc>
        <w:tc>
          <w:tcPr>
            <w:tcW w:w="97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4</w:t>
            </w:r>
          </w:p>
        </w:tc>
        <w:tc>
          <w:tcPr>
            <w:tcW w:w="879"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11</w:t>
            </w:r>
          </w:p>
        </w:tc>
        <w:tc>
          <w:tcPr>
            <w:tcW w:w="976"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22</w:t>
            </w:r>
          </w:p>
        </w:tc>
        <w:tc>
          <w:tcPr>
            <w:tcW w:w="1608"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0</w:t>
            </w:r>
          </w:p>
        </w:tc>
      </w:tr>
      <w:tr w:rsidTr="00AA5065">
        <w:tblPrEx>
          <w:tblW w:w="0" w:type="auto"/>
          <w:tblLook w:val="04A0"/>
        </w:tblPrEx>
        <w:trPr>
          <w:trHeight w:val="285"/>
        </w:trPr>
        <w:tc>
          <w:tcPr>
            <w:tcW w:w="3772"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tl/>
              </w:rPr>
              <w:t>פלישות חדשות</w:t>
            </w:r>
          </w:p>
        </w:tc>
        <w:tc>
          <w:tcPr>
            <w:tcW w:w="97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2</w:t>
            </w:r>
          </w:p>
        </w:tc>
        <w:tc>
          <w:tcPr>
            <w:tcW w:w="879"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39</w:t>
            </w:r>
          </w:p>
        </w:tc>
        <w:tc>
          <w:tcPr>
            <w:tcW w:w="976"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13</w:t>
            </w:r>
          </w:p>
        </w:tc>
        <w:tc>
          <w:tcPr>
            <w:tcW w:w="1608"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38</w:t>
            </w:r>
          </w:p>
        </w:tc>
      </w:tr>
      <w:tr w:rsidTr="00AA5065">
        <w:tblPrEx>
          <w:tblW w:w="0" w:type="auto"/>
          <w:tblLook w:val="04A0"/>
        </w:tblPrEx>
        <w:trPr>
          <w:trHeight w:val="285"/>
        </w:trPr>
        <w:tc>
          <w:tcPr>
            <w:tcW w:w="3772"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tl/>
              </w:rPr>
              <w:t>התראות שניתנו בשטחי אש</w:t>
            </w:r>
          </w:p>
        </w:tc>
        <w:tc>
          <w:tcPr>
            <w:tcW w:w="976" w:type="dxa"/>
            <w:noWrap/>
            <w:hideMark/>
          </w:tcPr>
          <w:p w:rsidR="00AA5065" w:rsidRPr="00AA5065" w:rsidP="00860D89">
            <w:pPr>
              <w:bidi w:val="0"/>
              <w:spacing w:line="269" w:lineRule="auto"/>
              <w:jc w:val="right"/>
              <w:rPr>
                <w:rFonts w:ascii="David" w:eastAsia="Calibri" w:hAnsi="David"/>
                <w:color w:val="000000"/>
                <w:sz w:val="22"/>
                <w:szCs w:val="22"/>
                <w:rtl/>
              </w:rPr>
            </w:pPr>
            <w:r w:rsidRPr="00AA5065">
              <w:rPr>
                <w:rFonts w:ascii="David" w:eastAsia="Calibri" w:hAnsi="David"/>
                <w:color w:val="000000"/>
                <w:sz w:val="22"/>
                <w:szCs w:val="22"/>
              </w:rPr>
              <w:t>0</w:t>
            </w:r>
          </w:p>
        </w:tc>
        <w:tc>
          <w:tcPr>
            <w:tcW w:w="879"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0</w:t>
            </w:r>
          </w:p>
        </w:tc>
        <w:tc>
          <w:tcPr>
            <w:tcW w:w="976"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3</w:t>
            </w:r>
          </w:p>
        </w:tc>
        <w:tc>
          <w:tcPr>
            <w:tcW w:w="1608" w:type="dxa"/>
            <w:noWrap/>
            <w:hideMark/>
          </w:tcPr>
          <w:p w:rsidR="00AA5065" w:rsidRPr="00AA5065" w:rsidP="00860D89">
            <w:pPr>
              <w:bidi w:val="0"/>
              <w:spacing w:line="269" w:lineRule="auto"/>
              <w:jc w:val="right"/>
              <w:rPr>
                <w:rFonts w:ascii="David" w:eastAsia="Calibri" w:hAnsi="David"/>
                <w:color w:val="000000"/>
                <w:sz w:val="22"/>
                <w:szCs w:val="22"/>
              </w:rPr>
            </w:pPr>
            <w:r w:rsidRPr="00AA5065">
              <w:rPr>
                <w:rFonts w:ascii="David" w:eastAsia="Calibri" w:hAnsi="David"/>
                <w:color w:val="000000"/>
                <w:sz w:val="22"/>
                <w:szCs w:val="22"/>
              </w:rPr>
              <w:t>0</w:t>
            </w:r>
          </w:p>
        </w:tc>
      </w:tr>
    </w:tbl>
    <w:p w:rsidR="00AA5065" w:rsidRPr="00AA5065" w:rsidP="00860D89">
      <w:pPr>
        <w:spacing w:line="269" w:lineRule="auto"/>
        <w:rPr>
          <w:rFonts w:eastAsia="Calibri"/>
          <w:szCs w:val="20"/>
          <w:rtl/>
        </w:rPr>
      </w:pPr>
      <w:r w:rsidRPr="00AA5065">
        <w:rPr>
          <w:rFonts w:eastAsia="Calibri" w:hint="cs"/>
          <w:szCs w:val="20"/>
          <w:rtl/>
        </w:rPr>
        <w:t>המקור: הסיירת הירוקה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eastAsia"/>
          <w:b/>
          <w:bCs/>
          <w:rtl/>
        </w:rPr>
        <w:t>מהנתונים</w:t>
      </w:r>
      <w:r w:rsidRPr="00AA5065">
        <w:rPr>
          <w:rFonts w:eastAsia="Calibri"/>
          <w:b/>
          <w:bCs/>
          <w:rtl/>
        </w:rPr>
        <w:t xml:space="preserve"> עולה כי חלה עלייה </w:t>
      </w:r>
      <w:r w:rsidRPr="00AA5065">
        <w:rPr>
          <w:rFonts w:eastAsia="Calibri" w:hint="cs"/>
          <w:b/>
          <w:bCs/>
          <w:rtl/>
        </w:rPr>
        <w:t xml:space="preserve">במספר הפעילויות המרכזיות </w:t>
      </w:r>
      <w:r w:rsidRPr="00AA5065">
        <w:rPr>
          <w:rFonts w:eastAsia="Calibri"/>
          <w:b/>
          <w:bCs/>
          <w:rtl/>
        </w:rPr>
        <w:t xml:space="preserve">של הסיירת הירוקה בשטחי </w:t>
      </w:r>
      <w:r w:rsidRPr="00AA5065">
        <w:rPr>
          <w:rFonts w:eastAsia="Calibri" w:hint="cs"/>
          <w:b/>
          <w:bCs/>
          <w:rtl/>
        </w:rPr>
        <w:t>ה</w:t>
      </w:r>
      <w:r w:rsidRPr="00AA5065">
        <w:rPr>
          <w:rFonts w:eastAsia="Calibri"/>
          <w:b/>
          <w:bCs/>
          <w:rtl/>
        </w:rPr>
        <w:t xml:space="preserve">אש </w:t>
      </w:r>
      <w:r w:rsidRPr="00AA5065">
        <w:rPr>
          <w:rFonts w:eastAsia="Calibri" w:hint="cs"/>
          <w:b/>
          <w:bCs/>
          <w:rtl/>
        </w:rPr>
        <w:t xml:space="preserve">של בסיס </w:t>
      </w:r>
      <w:r w:rsidRPr="00AA5065">
        <w:rPr>
          <w:rFonts w:eastAsia="Calibri"/>
          <w:b/>
          <w:bCs/>
          <w:rtl/>
        </w:rPr>
        <w:t xml:space="preserve">מל"י </w:t>
      </w:r>
      <w:r w:rsidRPr="00AA5065">
        <w:rPr>
          <w:rFonts w:eastAsia="Calibri" w:hint="cs"/>
          <w:b/>
          <w:bCs/>
          <w:rtl/>
        </w:rPr>
        <w:t>ב</w:t>
      </w:r>
      <w:r w:rsidRPr="00AA5065">
        <w:rPr>
          <w:rFonts w:eastAsia="Calibri"/>
          <w:b/>
          <w:bCs/>
          <w:rtl/>
        </w:rPr>
        <w:t xml:space="preserve">צאלים </w:t>
      </w:r>
      <w:r w:rsidRPr="00AA5065">
        <w:rPr>
          <w:rFonts w:eastAsia="Calibri" w:hint="cs"/>
          <w:b/>
          <w:bCs/>
          <w:rtl/>
        </w:rPr>
        <w:t>להשמדת קנאביס ולפינויים משטחי אש בשנים 2021 - 2023 לעומת</w:t>
      </w:r>
      <w:r w:rsidRPr="00AA5065">
        <w:rPr>
          <w:rFonts w:eastAsia="Calibri"/>
          <w:b/>
          <w:bCs/>
          <w:rtl/>
        </w:rPr>
        <w:t xml:space="preserve"> </w:t>
      </w:r>
      <w:r w:rsidRPr="00AA5065">
        <w:rPr>
          <w:rFonts w:eastAsia="Calibri" w:hint="eastAsia"/>
          <w:b/>
          <w:bCs/>
          <w:rtl/>
        </w:rPr>
        <w:t>היקף</w:t>
      </w:r>
      <w:r w:rsidRPr="00AA5065">
        <w:rPr>
          <w:rFonts w:eastAsia="Calibri"/>
          <w:b/>
          <w:bCs/>
          <w:rtl/>
        </w:rPr>
        <w:t xml:space="preserve"> </w:t>
      </w:r>
      <w:r w:rsidRPr="00AA5065">
        <w:rPr>
          <w:rFonts w:eastAsia="Calibri" w:hint="cs"/>
          <w:b/>
          <w:bCs/>
          <w:rtl/>
        </w:rPr>
        <w:t>פ</w:t>
      </w:r>
      <w:r w:rsidRPr="00AA5065">
        <w:rPr>
          <w:rFonts w:eastAsia="Calibri" w:hint="eastAsia"/>
          <w:b/>
          <w:bCs/>
          <w:rtl/>
        </w:rPr>
        <w:t>עילויות</w:t>
      </w:r>
      <w:r w:rsidRPr="00AA5065">
        <w:rPr>
          <w:rFonts w:eastAsia="Calibri" w:hint="cs"/>
          <w:b/>
          <w:bCs/>
          <w:rtl/>
        </w:rPr>
        <w:t>יה</w:t>
      </w:r>
      <w:r w:rsidRPr="00AA5065">
        <w:rPr>
          <w:rFonts w:eastAsia="Calibri"/>
          <w:b/>
          <w:bCs/>
          <w:rtl/>
        </w:rPr>
        <w:t xml:space="preserve"> בתקופת </w:t>
      </w:r>
      <w:r w:rsidRPr="00AA5065">
        <w:rPr>
          <w:rFonts w:eastAsia="Calibri" w:hint="cs"/>
          <w:b/>
          <w:bCs/>
          <w:rtl/>
        </w:rPr>
        <w:t xml:space="preserve">הביקורת </w:t>
      </w:r>
      <w:r w:rsidRPr="00AA5065">
        <w:rPr>
          <w:rFonts w:eastAsia="Calibri" w:hint="eastAsia"/>
          <w:b/>
          <w:bCs/>
          <w:rtl/>
        </w:rPr>
        <w:t>הקוד</w:t>
      </w:r>
      <w:r w:rsidRPr="00AA5065">
        <w:rPr>
          <w:rFonts w:eastAsia="Calibri" w:hint="cs"/>
          <w:b/>
          <w:bCs/>
          <w:rtl/>
        </w:rPr>
        <w:t>מת</w:t>
      </w:r>
      <w:r w:rsidRPr="00AA5065">
        <w:rPr>
          <w:rFonts w:eastAsia="Calibri"/>
          <w:b/>
          <w:bCs/>
          <w:rtl/>
        </w:rPr>
        <w:t xml:space="preserve">. בשטחי </w:t>
      </w:r>
      <w:r w:rsidRPr="00AA5065">
        <w:rPr>
          <w:rFonts w:eastAsia="Calibri" w:hint="cs"/>
          <w:b/>
          <w:bCs/>
          <w:rtl/>
        </w:rPr>
        <w:t>ה</w:t>
      </w:r>
      <w:r w:rsidRPr="00AA5065">
        <w:rPr>
          <w:rFonts w:eastAsia="Calibri"/>
          <w:b/>
          <w:bCs/>
          <w:rtl/>
        </w:rPr>
        <w:t xml:space="preserve">אש </w:t>
      </w:r>
      <w:r w:rsidRPr="00AA5065">
        <w:rPr>
          <w:rFonts w:eastAsia="Calibri" w:hint="cs"/>
          <w:b/>
          <w:bCs/>
          <w:rtl/>
        </w:rPr>
        <w:t xml:space="preserve">של בסיס </w:t>
      </w:r>
      <w:r w:rsidRPr="00AA5065">
        <w:rPr>
          <w:rFonts w:eastAsia="Calibri"/>
          <w:b/>
          <w:bCs/>
          <w:rtl/>
        </w:rPr>
        <w:t xml:space="preserve">מל"י </w:t>
      </w:r>
      <w:r w:rsidRPr="00AA5065">
        <w:rPr>
          <w:rFonts w:eastAsia="Calibri" w:hint="cs"/>
          <w:b/>
          <w:bCs/>
          <w:rtl/>
        </w:rPr>
        <w:t>ב</w:t>
      </w:r>
      <w:r w:rsidRPr="00AA5065">
        <w:rPr>
          <w:rFonts w:eastAsia="Calibri"/>
          <w:b/>
          <w:bCs/>
          <w:rtl/>
        </w:rPr>
        <w:t>צאלים בוצעו בשנים</w:t>
      </w:r>
      <w:r w:rsidRPr="00AA5065">
        <w:rPr>
          <w:rFonts w:eastAsia="Calibri" w:hint="cs"/>
          <w:b/>
          <w:bCs/>
          <w:rtl/>
        </w:rPr>
        <w:t xml:space="preserve"> 2021 - 2023</w:t>
      </w:r>
      <w:r w:rsidRPr="00AA5065">
        <w:rPr>
          <w:rFonts w:eastAsia="Calibri"/>
          <w:b/>
          <w:bCs/>
          <w:rtl/>
        </w:rPr>
        <w:t xml:space="preserve"> 1,730 פעולות להשמדת קנאביס וכן 1,855 פינויים משטחי אש. נוסף</w:t>
      </w:r>
      <w:r w:rsidRPr="00AA5065">
        <w:rPr>
          <w:rFonts w:eastAsia="Calibri" w:hint="cs"/>
          <w:b/>
          <w:bCs/>
          <w:rtl/>
        </w:rPr>
        <w:t xml:space="preserve"> על כך</w:t>
      </w:r>
      <w:r w:rsidRPr="00AA5065">
        <w:rPr>
          <w:rFonts w:eastAsia="Calibri"/>
          <w:b/>
          <w:bCs/>
          <w:rtl/>
        </w:rPr>
        <w:t>, בשטחי אג"ת</w:t>
      </w:r>
      <w:r w:rsidRPr="00AA5065">
        <w:rPr>
          <w:rFonts w:eastAsia="Calibri" w:hint="cs"/>
          <w:b/>
          <w:bCs/>
          <w:rtl/>
        </w:rPr>
        <w:t xml:space="preserve"> </w:t>
      </w:r>
      <w:r w:rsidRPr="00AA5065">
        <w:rPr>
          <w:rFonts w:eastAsia="Calibri"/>
          <w:b/>
          <w:bCs/>
          <w:rtl/>
        </w:rPr>
        <w:t>ו</w:t>
      </w:r>
      <w:r w:rsidRPr="00AA5065">
        <w:rPr>
          <w:rFonts w:eastAsia="Calibri" w:hint="cs"/>
          <w:b/>
          <w:bCs/>
          <w:rtl/>
        </w:rPr>
        <w:t>ב</w:t>
      </w:r>
      <w:r w:rsidRPr="00AA5065">
        <w:rPr>
          <w:rFonts w:eastAsia="Calibri"/>
          <w:b/>
          <w:bCs/>
          <w:rtl/>
        </w:rPr>
        <w:t>סביבת בסיס נבטים בוצעו בשנים 202</w:t>
      </w:r>
      <w:r w:rsidRPr="00AA5065">
        <w:rPr>
          <w:rFonts w:eastAsia="Calibri" w:hint="cs"/>
          <w:b/>
          <w:bCs/>
          <w:rtl/>
        </w:rPr>
        <w:t xml:space="preserve">1 </w:t>
      </w:r>
      <w:r w:rsidRPr="00AA5065">
        <w:rPr>
          <w:rFonts w:eastAsia="Calibri"/>
          <w:b/>
          <w:bCs/>
          <w:rtl/>
        </w:rPr>
        <w:t>-</w:t>
      </w:r>
      <w:r w:rsidRPr="00AA5065">
        <w:rPr>
          <w:rFonts w:eastAsia="Calibri" w:hint="cs"/>
          <w:b/>
          <w:bCs/>
          <w:rtl/>
        </w:rPr>
        <w:t xml:space="preserve"> </w:t>
      </w:r>
      <w:r w:rsidRPr="00AA5065">
        <w:rPr>
          <w:rFonts w:eastAsia="Calibri"/>
          <w:b/>
          <w:bCs/>
          <w:rtl/>
        </w:rPr>
        <w:t>202</w:t>
      </w:r>
      <w:r w:rsidRPr="00AA5065">
        <w:rPr>
          <w:rFonts w:eastAsia="Calibri" w:hint="cs"/>
          <w:b/>
          <w:bCs/>
          <w:rtl/>
        </w:rPr>
        <w:t>3</w:t>
      </w:r>
      <w:r w:rsidRPr="00AA5065">
        <w:rPr>
          <w:rFonts w:eastAsia="Calibri"/>
          <w:b/>
          <w:bCs/>
          <w:rtl/>
        </w:rPr>
        <w:t xml:space="preserve"> פעולות להפיכות קרקע ב</w:t>
      </w:r>
      <w:r w:rsidRPr="00AA5065">
        <w:rPr>
          <w:rFonts w:eastAsia="Calibri" w:hint="cs"/>
          <w:b/>
          <w:bCs/>
          <w:rtl/>
        </w:rPr>
        <w:t>-</w:t>
      </w:r>
      <w:r w:rsidRPr="00AA5065">
        <w:rPr>
          <w:rFonts w:eastAsia="Calibri"/>
          <w:b/>
          <w:bCs/>
          <w:rtl/>
        </w:rPr>
        <w:t>4,498 דונם</w:t>
      </w:r>
      <w:r w:rsidRPr="00AA5065">
        <w:rPr>
          <w:rFonts w:eastAsia="Calibri" w:hint="cs"/>
          <w:b/>
          <w:bCs/>
          <w:rtl/>
        </w:rPr>
        <w:t>,</w:t>
      </w:r>
      <w:r w:rsidRPr="00AA5065">
        <w:rPr>
          <w:rFonts w:eastAsia="Calibri"/>
          <w:b/>
          <w:bCs/>
          <w:rtl/>
        </w:rPr>
        <w:t xml:space="preserve"> וכן ניתנו 43</w:t>
      </w:r>
      <w:r w:rsidRPr="00AA5065">
        <w:rPr>
          <w:rFonts w:eastAsia="Calibri" w:hint="cs"/>
          <w:b/>
          <w:bCs/>
          <w:rtl/>
        </w:rPr>
        <w:t xml:space="preserve"> </w:t>
      </w:r>
      <w:r w:rsidRPr="00AA5065">
        <w:rPr>
          <w:rFonts w:eastAsia="Calibri"/>
          <w:b/>
          <w:bCs/>
          <w:rtl/>
        </w:rPr>
        <w:t>צווים לפינוי קרקע.</w:t>
      </w:r>
      <w:r w:rsidRPr="00AA5065">
        <w:rPr>
          <w:rFonts w:eastAsia="Calibri" w:hint="cs"/>
          <w:b/>
          <w:bCs/>
          <w:rtl/>
        </w:rPr>
        <w:t xml:space="preserve"> </w:t>
      </w:r>
      <w:r w:rsidRPr="00AA5065">
        <w:rPr>
          <w:rFonts w:eastAsia="Calibri" w:hint="eastAsia"/>
          <w:b/>
          <w:bCs/>
          <w:rtl/>
        </w:rPr>
        <w:t>עם</w:t>
      </w:r>
      <w:r w:rsidRPr="00AA5065">
        <w:rPr>
          <w:rFonts w:eastAsia="Calibri"/>
          <w:b/>
          <w:bCs/>
          <w:rtl/>
        </w:rPr>
        <w:t xml:space="preserve"> </w:t>
      </w:r>
      <w:r w:rsidRPr="00AA5065">
        <w:rPr>
          <w:rFonts w:eastAsia="Calibri" w:hint="eastAsia"/>
          <w:b/>
          <w:bCs/>
          <w:rtl/>
        </w:rPr>
        <w:t>זאת</w:t>
      </w:r>
      <w:r w:rsidRPr="00AA5065">
        <w:rPr>
          <w:rFonts w:eastAsia="Calibri" w:hint="cs"/>
          <w:b/>
          <w:bCs/>
          <w:rtl/>
        </w:rPr>
        <w:t>,</w:t>
      </w:r>
      <w:r w:rsidRPr="00AA5065">
        <w:rPr>
          <w:rFonts w:eastAsia="Calibri"/>
          <w:b/>
          <w:bCs/>
          <w:rtl/>
        </w:rPr>
        <w:t xml:space="preserve"> </w:t>
      </w:r>
      <w:r w:rsidRPr="00AA5065">
        <w:rPr>
          <w:rFonts w:eastAsia="Calibri" w:hint="eastAsia"/>
          <w:b/>
          <w:bCs/>
          <w:rtl/>
        </w:rPr>
        <w:t>בשנת</w:t>
      </w:r>
      <w:r w:rsidRPr="00AA5065">
        <w:rPr>
          <w:rFonts w:eastAsia="Calibri"/>
          <w:b/>
          <w:bCs/>
          <w:rtl/>
        </w:rPr>
        <w:t xml:space="preserve"> 2024 </w:t>
      </w:r>
      <w:r w:rsidRPr="00AA5065">
        <w:rPr>
          <w:rFonts w:eastAsia="Calibri" w:hint="cs"/>
          <w:b/>
          <w:bCs/>
          <w:rtl/>
        </w:rPr>
        <w:t>ולמעשה גם בסוף שנת 2023 חלה</w:t>
      </w:r>
      <w:r w:rsidRPr="00AA5065">
        <w:rPr>
          <w:rFonts w:eastAsia="Calibri"/>
          <w:b/>
          <w:bCs/>
          <w:rtl/>
        </w:rPr>
        <w:t xml:space="preserve"> </w:t>
      </w:r>
      <w:r w:rsidRPr="00AA5065">
        <w:rPr>
          <w:rFonts w:eastAsia="Calibri" w:hint="eastAsia"/>
          <w:b/>
          <w:bCs/>
          <w:rtl/>
        </w:rPr>
        <w:t>ירידה</w:t>
      </w:r>
      <w:r w:rsidRPr="00AA5065">
        <w:rPr>
          <w:rFonts w:eastAsia="Calibri"/>
          <w:b/>
          <w:bCs/>
          <w:rtl/>
        </w:rPr>
        <w:t xml:space="preserve"> </w:t>
      </w:r>
      <w:r w:rsidRPr="00AA5065">
        <w:rPr>
          <w:rFonts w:eastAsia="Calibri" w:hint="cs"/>
          <w:b/>
          <w:bCs/>
          <w:rtl/>
        </w:rPr>
        <w:t>ניכרת</w:t>
      </w:r>
      <w:r w:rsidRPr="00AA5065">
        <w:rPr>
          <w:rFonts w:eastAsia="Calibri"/>
          <w:b/>
          <w:bCs/>
          <w:rtl/>
        </w:rPr>
        <w:t xml:space="preserve"> </w:t>
      </w:r>
      <w:r w:rsidRPr="00AA5065">
        <w:rPr>
          <w:rFonts w:eastAsia="Calibri" w:hint="eastAsia"/>
          <w:b/>
          <w:bCs/>
          <w:rtl/>
        </w:rPr>
        <w:t>בהיקף</w:t>
      </w:r>
      <w:r w:rsidRPr="00AA5065">
        <w:rPr>
          <w:rFonts w:eastAsia="Calibri"/>
          <w:b/>
          <w:bCs/>
          <w:rtl/>
        </w:rPr>
        <w:t xml:space="preserve"> </w:t>
      </w:r>
      <w:r w:rsidRPr="00AA5065">
        <w:rPr>
          <w:rFonts w:eastAsia="Calibri" w:hint="eastAsia"/>
          <w:b/>
          <w:bCs/>
          <w:rtl/>
        </w:rPr>
        <w:t>הפעילויות</w:t>
      </w:r>
      <w:r w:rsidRPr="00AA5065">
        <w:rPr>
          <w:rFonts w:eastAsia="Calibri"/>
          <w:b/>
          <w:bCs/>
          <w:rtl/>
        </w:rPr>
        <w:t xml:space="preserve"> </w:t>
      </w:r>
      <w:r w:rsidRPr="00AA5065">
        <w:rPr>
          <w:rFonts w:eastAsia="Calibri" w:hint="eastAsia"/>
          <w:b/>
          <w:bCs/>
          <w:rtl/>
        </w:rPr>
        <w:t>האמור</w:t>
      </w:r>
      <w:r w:rsidRPr="00AA5065">
        <w:rPr>
          <w:rFonts w:eastAsia="Calibri"/>
          <w:b/>
          <w:bCs/>
          <w:rtl/>
        </w:rPr>
        <w:t xml:space="preserve"> </w:t>
      </w:r>
      <w:r w:rsidRPr="00AA5065">
        <w:rPr>
          <w:rFonts w:eastAsia="Calibri" w:hint="eastAsia"/>
          <w:b/>
          <w:bCs/>
          <w:rtl/>
        </w:rPr>
        <w:t>המיוחסת</w:t>
      </w:r>
      <w:r w:rsidRPr="00AA5065">
        <w:rPr>
          <w:rFonts w:eastAsia="Calibri"/>
          <w:b/>
          <w:bCs/>
          <w:rtl/>
        </w:rPr>
        <w:t xml:space="preserve"> </w:t>
      </w:r>
      <w:r w:rsidRPr="00AA5065">
        <w:rPr>
          <w:rFonts w:eastAsia="Calibri" w:hint="eastAsia"/>
          <w:b/>
          <w:bCs/>
          <w:rtl/>
        </w:rPr>
        <w:t>בעיקרה</w:t>
      </w:r>
      <w:r w:rsidRPr="00AA5065">
        <w:rPr>
          <w:rFonts w:eastAsia="Calibri"/>
          <w:b/>
          <w:bCs/>
          <w:rtl/>
        </w:rPr>
        <w:t xml:space="preserve"> </w:t>
      </w:r>
      <w:r w:rsidRPr="00AA5065">
        <w:rPr>
          <w:rFonts w:eastAsia="Calibri" w:hint="eastAsia"/>
          <w:b/>
          <w:bCs/>
          <w:rtl/>
        </w:rPr>
        <w:t>למלחמת</w:t>
      </w:r>
      <w:r w:rsidRPr="00AA5065">
        <w:rPr>
          <w:rFonts w:eastAsia="Calibri"/>
          <w:b/>
          <w:bCs/>
          <w:rtl/>
        </w:rPr>
        <w:t xml:space="preserve"> חרבות </w:t>
      </w:r>
      <w:r w:rsidRPr="00AA5065">
        <w:rPr>
          <w:rFonts w:eastAsia="Calibri" w:hint="eastAsia"/>
          <w:b/>
          <w:bCs/>
          <w:rtl/>
        </w:rPr>
        <w:t>ברזל</w:t>
      </w:r>
      <w:r w:rsidRPr="00AA5065">
        <w:rPr>
          <w:rFonts w:eastAsia="Calibri"/>
          <w:b/>
          <w:bCs/>
          <w:rtl/>
        </w:rPr>
        <w:t xml:space="preserve"> </w:t>
      </w:r>
      <w:r w:rsidRPr="00AA5065">
        <w:rPr>
          <w:rFonts w:eastAsia="Calibri" w:hint="eastAsia"/>
          <w:b/>
          <w:bCs/>
          <w:rtl/>
        </w:rPr>
        <w:t>והשפעותיה</w:t>
      </w:r>
      <w:r w:rsidRPr="00AA5065">
        <w:rPr>
          <w:rFonts w:eastAsia="Calibri"/>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לאחר</w:t>
      </w:r>
      <w:r w:rsidRPr="00AA5065">
        <w:rPr>
          <w:rFonts w:eastAsia="Calibri"/>
          <w:rtl/>
        </w:rPr>
        <w:t xml:space="preserve"> סיום ביקורת המעקב סייר צוות הביקורת בבסיס מל"י </w:t>
      </w:r>
      <w:r w:rsidRPr="00AA5065">
        <w:rPr>
          <w:rFonts w:eastAsia="Calibri" w:hint="cs"/>
          <w:rtl/>
        </w:rPr>
        <w:t>ב</w:t>
      </w:r>
      <w:r w:rsidRPr="00AA5065">
        <w:rPr>
          <w:rFonts w:eastAsia="Calibri"/>
          <w:rtl/>
        </w:rPr>
        <w:t xml:space="preserve">צאלים. בסיור הוצגו לצוות </w:t>
      </w:r>
      <w:r w:rsidRPr="00AA5065">
        <w:rPr>
          <w:rFonts w:eastAsia="Calibri" w:hint="eastAsia"/>
          <w:rtl/>
        </w:rPr>
        <w:t>פעולות</w:t>
      </w:r>
      <w:r w:rsidRPr="00AA5065">
        <w:rPr>
          <w:rFonts w:eastAsia="Calibri"/>
          <w:rtl/>
        </w:rPr>
        <w:t xml:space="preserve"> שננקטו על ידי צה"ל </w:t>
      </w:r>
      <w:r w:rsidRPr="00AA5065">
        <w:rPr>
          <w:rFonts w:eastAsia="Calibri" w:hint="eastAsia"/>
          <w:rtl/>
        </w:rPr>
        <w:t>ורט</w:t>
      </w:r>
      <w:r w:rsidRPr="00AA5065">
        <w:rPr>
          <w:rFonts w:eastAsia="Calibri"/>
          <w:rtl/>
        </w:rPr>
        <w:t xml:space="preserve">"ג </w:t>
      </w:r>
      <w:r w:rsidRPr="00AA5065">
        <w:rPr>
          <w:rFonts w:eastAsia="Calibri" w:hint="cs"/>
          <w:rtl/>
        </w:rPr>
        <w:t>כדי</w:t>
      </w:r>
      <w:r w:rsidRPr="00AA5065">
        <w:rPr>
          <w:rFonts w:eastAsia="Calibri"/>
          <w:rtl/>
        </w:rPr>
        <w:t xml:space="preserve"> לצמצם את התופעות האמורות ולשפר את </w:t>
      </w:r>
      <w:r w:rsidRPr="00AA5065">
        <w:rPr>
          <w:rFonts w:eastAsia="Calibri" w:hint="eastAsia"/>
          <w:rtl/>
        </w:rPr>
        <w:t>האבטחה</w:t>
      </w:r>
      <w:r w:rsidRPr="00AA5065">
        <w:rPr>
          <w:rFonts w:eastAsia="Calibri"/>
          <w:rtl/>
        </w:rPr>
        <w:t xml:space="preserve"> על הבסיס </w:t>
      </w:r>
      <w:r w:rsidRPr="00AA5065">
        <w:rPr>
          <w:rFonts w:eastAsia="Calibri" w:hint="eastAsia"/>
          <w:rtl/>
        </w:rPr>
        <w:t>ועל</w:t>
      </w:r>
      <w:r w:rsidRPr="00AA5065">
        <w:rPr>
          <w:rFonts w:eastAsia="Calibri"/>
          <w:rtl/>
        </w:rPr>
        <w:t xml:space="preserve"> </w:t>
      </w:r>
      <w:r w:rsidRPr="00AA5065">
        <w:rPr>
          <w:rFonts w:eastAsia="Calibri" w:hint="eastAsia"/>
          <w:rtl/>
        </w:rPr>
        <w:t>שטחי</w:t>
      </w:r>
      <w:r w:rsidRPr="00AA5065">
        <w:rPr>
          <w:rFonts w:eastAsia="Calibri"/>
          <w:rtl/>
        </w:rPr>
        <w:t xml:space="preserve"> </w:t>
      </w:r>
      <w:r w:rsidRPr="00AA5065">
        <w:rPr>
          <w:rFonts w:eastAsia="Calibri" w:hint="eastAsia"/>
          <w:rtl/>
        </w:rPr>
        <w:t>האש</w:t>
      </w:r>
      <w:r w:rsidRPr="00AA5065">
        <w:rPr>
          <w:rFonts w:eastAsia="Calibri"/>
          <w:rtl/>
        </w:rPr>
        <w:t xml:space="preserve"> </w:t>
      </w:r>
      <w:r w:rsidRPr="00AA5065">
        <w:rPr>
          <w:rFonts w:eastAsia="Calibri" w:hint="eastAsia"/>
          <w:rtl/>
        </w:rPr>
        <w:t>הסמוכים</w:t>
      </w:r>
      <w:r w:rsidRPr="00AA5065">
        <w:rPr>
          <w:rFonts w:eastAsia="Calibri"/>
          <w:rtl/>
        </w:rPr>
        <w:t xml:space="preserve"> </w:t>
      </w:r>
      <w:r w:rsidRPr="00AA5065">
        <w:rPr>
          <w:rFonts w:eastAsia="Calibri" w:hint="eastAsia"/>
          <w:rtl/>
        </w:rPr>
        <w:t>לו</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Pr>
      </w:pPr>
      <w:bookmarkStart w:id="141" w:name="_Hlk204859673"/>
      <w:r w:rsidRPr="00AA5065">
        <w:rPr>
          <w:rFonts w:eastAsia="Calibri" w:hint="eastAsia"/>
          <w:b/>
          <w:bCs/>
          <w:rtl/>
        </w:rPr>
        <w:t>בביקורת</w:t>
      </w:r>
      <w:r w:rsidRPr="00AA5065">
        <w:rPr>
          <w:rFonts w:eastAsia="Calibri"/>
          <w:b/>
          <w:bCs/>
          <w:rtl/>
        </w:rPr>
        <w:t xml:space="preserve"> </w:t>
      </w:r>
      <w:r w:rsidRPr="00AA5065">
        <w:rPr>
          <w:rFonts w:eastAsia="Calibri" w:hint="cs"/>
          <w:b/>
          <w:bCs/>
          <w:rtl/>
        </w:rPr>
        <w:t>ה</w:t>
      </w:r>
      <w:r w:rsidRPr="00AA5065">
        <w:rPr>
          <w:rFonts w:eastAsia="Calibri" w:hint="eastAsia"/>
          <w:b/>
          <w:bCs/>
          <w:rtl/>
        </w:rPr>
        <w:t>קודמת</w:t>
      </w:r>
      <w:r w:rsidRPr="00AA5065">
        <w:rPr>
          <w:rFonts w:eastAsia="Calibri"/>
          <w:b/>
          <w:bCs/>
          <w:rtl/>
        </w:rPr>
        <w:t xml:space="preserve"> </w:t>
      </w:r>
      <w:r w:rsidRPr="00AA5065">
        <w:rPr>
          <w:rFonts w:eastAsia="Calibri" w:hint="eastAsia"/>
          <w:b/>
          <w:bCs/>
          <w:rtl/>
        </w:rPr>
        <w:t>עלה</w:t>
      </w:r>
      <w:r w:rsidRPr="00AA5065">
        <w:rPr>
          <w:rFonts w:eastAsia="Calibri"/>
          <w:b/>
          <w:bCs/>
          <w:rtl/>
        </w:rPr>
        <w:t xml:space="preserve"> </w:t>
      </w:r>
      <w:r w:rsidRPr="00AA5065">
        <w:rPr>
          <w:rFonts w:eastAsia="Calibri" w:hint="eastAsia"/>
          <w:b/>
          <w:bCs/>
          <w:rtl/>
        </w:rPr>
        <w:t>כי</w:t>
      </w:r>
      <w:r w:rsidRPr="00AA5065">
        <w:rPr>
          <w:rFonts w:eastAsia="Calibri"/>
          <w:b/>
          <w:bCs/>
          <w:rtl/>
        </w:rPr>
        <w:t xml:space="preserve"> </w:t>
      </w:r>
      <w:r w:rsidRPr="00AA5065">
        <w:rPr>
          <w:rFonts w:eastAsia="Calibri" w:hint="eastAsia"/>
          <w:b/>
          <w:bCs/>
          <w:rtl/>
        </w:rPr>
        <w:t>קיימת</w:t>
      </w:r>
      <w:r w:rsidRPr="00AA5065">
        <w:rPr>
          <w:rFonts w:eastAsia="Calibri"/>
          <w:b/>
          <w:bCs/>
          <w:rtl/>
        </w:rPr>
        <w:t xml:space="preserve"> </w:t>
      </w:r>
      <w:r w:rsidRPr="00AA5065">
        <w:rPr>
          <w:rFonts w:eastAsia="Calibri" w:hint="eastAsia"/>
          <w:b/>
          <w:bCs/>
          <w:rtl/>
        </w:rPr>
        <w:t>תופעה</w:t>
      </w:r>
      <w:r w:rsidRPr="00AA5065">
        <w:rPr>
          <w:rFonts w:eastAsia="Calibri"/>
          <w:b/>
          <w:bCs/>
          <w:rtl/>
        </w:rPr>
        <w:t xml:space="preserve"> </w:t>
      </w:r>
      <w:r w:rsidRPr="00AA5065">
        <w:rPr>
          <w:rFonts w:eastAsia="Calibri" w:hint="eastAsia"/>
          <w:b/>
          <w:bCs/>
          <w:rtl/>
        </w:rPr>
        <w:t>של</w:t>
      </w:r>
      <w:r w:rsidRPr="00AA5065">
        <w:rPr>
          <w:rFonts w:eastAsia="Calibri"/>
          <w:b/>
          <w:bCs/>
          <w:rtl/>
        </w:rPr>
        <w:t xml:space="preserve"> </w:t>
      </w:r>
      <w:r w:rsidRPr="00AA5065">
        <w:rPr>
          <w:rFonts w:eastAsia="Calibri" w:hint="eastAsia"/>
          <w:b/>
          <w:bCs/>
          <w:rtl/>
        </w:rPr>
        <w:t>פלישה</w:t>
      </w:r>
      <w:r w:rsidRPr="00AA5065">
        <w:rPr>
          <w:rFonts w:eastAsia="Calibri"/>
          <w:b/>
          <w:bCs/>
          <w:rtl/>
        </w:rPr>
        <w:t xml:space="preserve"> </w:t>
      </w:r>
      <w:r w:rsidRPr="00AA5065">
        <w:rPr>
          <w:rFonts w:eastAsia="Calibri" w:hint="eastAsia"/>
          <w:b/>
          <w:bCs/>
          <w:rtl/>
        </w:rPr>
        <w:t>לשטחי</w:t>
      </w:r>
      <w:r w:rsidRPr="00AA5065">
        <w:rPr>
          <w:rFonts w:eastAsia="Calibri"/>
          <w:b/>
          <w:bCs/>
          <w:rtl/>
        </w:rPr>
        <w:t xml:space="preserve"> </w:t>
      </w:r>
      <w:r w:rsidRPr="00AA5065">
        <w:rPr>
          <w:rFonts w:eastAsia="Calibri" w:hint="eastAsia"/>
          <w:b/>
          <w:bCs/>
          <w:rtl/>
        </w:rPr>
        <w:t>אש</w:t>
      </w:r>
      <w:r w:rsidRPr="00AA5065">
        <w:rPr>
          <w:rFonts w:eastAsia="Calibri"/>
          <w:b/>
          <w:bCs/>
          <w:rtl/>
        </w:rPr>
        <w:t xml:space="preserve"> </w:t>
      </w:r>
      <w:r w:rsidRPr="00AA5065">
        <w:rPr>
          <w:rFonts w:eastAsia="Calibri" w:hint="eastAsia"/>
          <w:b/>
          <w:bCs/>
          <w:rtl/>
        </w:rPr>
        <w:t>של</w:t>
      </w:r>
      <w:r w:rsidRPr="00AA5065">
        <w:rPr>
          <w:rFonts w:eastAsia="Calibri"/>
          <w:b/>
          <w:bCs/>
          <w:rtl/>
        </w:rPr>
        <w:t xml:space="preserve"> </w:t>
      </w:r>
      <w:r w:rsidRPr="00AA5065">
        <w:rPr>
          <w:rFonts w:eastAsia="Calibri" w:hint="eastAsia"/>
          <w:b/>
          <w:bCs/>
          <w:rtl/>
        </w:rPr>
        <w:t>צה</w:t>
      </w:r>
      <w:r w:rsidRPr="00AA5065">
        <w:rPr>
          <w:rFonts w:eastAsia="Calibri"/>
          <w:b/>
          <w:bCs/>
          <w:rtl/>
        </w:rPr>
        <w:t xml:space="preserve">"ל </w:t>
      </w:r>
      <w:r w:rsidRPr="00AA5065">
        <w:rPr>
          <w:rFonts w:eastAsia="Calibri" w:hint="eastAsia"/>
          <w:b/>
          <w:bCs/>
          <w:rtl/>
        </w:rPr>
        <w:t>באזור</w:t>
      </w:r>
      <w:r w:rsidRPr="00AA5065">
        <w:rPr>
          <w:rFonts w:eastAsia="Calibri"/>
          <w:b/>
          <w:bCs/>
          <w:rtl/>
        </w:rPr>
        <w:t xml:space="preserve"> </w:t>
      </w:r>
      <w:r w:rsidRPr="00AA5065">
        <w:rPr>
          <w:rFonts w:eastAsia="Calibri" w:hint="eastAsia"/>
          <w:b/>
          <w:bCs/>
          <w:rtl/>
        </w:rPr>
        <w:t>הנגב</w:t>
      </w:r>
      <w:r w:rsidRPr="00AA5065">
        <w:rPr>
          <w:rFonts w:eastAsia="Calibri"/>
          <w:b/>
          <w:bCs/>
          <w:rtl/>
        </w:rPr>
        <w:t xml:space="preserve"> </w:t>
      </w:r>
      <w:r w:rsidRPr="00AA5065">
        <w:rPr>
          <w:rFonts w:eastAsia="Calibri" w:hint="eastAsia"/>
          <w:b/>
          <w:bCs/>
          <w:rtl/>
        </w:rPr>
        <w:t>וביצוע</w:t>
      </w:r>
      <w:r w:rsidRPr="00AA5065">
        <w:rPr>
          <w:rFonts w:eastAsia="Calibri"/>
          <w:b/>
          <w:bCs/>
          <w:rtl/>
        </w:rPr>
        <w:t xml:space="preserve"> </w:t>
      </w:r>
      <w:r w:rsidRPr="00AA5065">
        <w:rPr>
          <w:rFonts w:eastAsia="Calibri" w:hint="eastAsia"/>
          <w:b/>
          <w:bCs/>
          <w:rtl/>
        </w:rPr>
        <w:t>פעילות</w:t>
      </w:r>
      <w:r w:rsidRPr="00AA5065">
        <w:rPr>
          <w:rFonts w:eastAsia="Calibri"/>
          <w:b/>
          <w:bCs/>
          <w:rtl/>
        </w:rPr>
        <w:t xml:space="preserve"> </w:t>
      </w:r>
      <w:r w:rsidRPr="00AA5065">
        <w:rPr>
          <w:rFonts w:eastAsia="Calibri" w:hint="eastAsia"/>
          <w:b/>
          <w:bCs/>
          <w:rtl/>
        </w:rPr>
        <w:t>פלילית</w:t>
      </w:r>
      <w:r w:rsidRPr="00AA5065">
        <w:rPr>
          <w:rFonts w:eastAsia="Calibri"/>
          <w:b/>
          <w:bCs/>
          <w:rtl/>
        </w:rPr>
        <w:t xml:space="preserve"> </w:t>
      </w:r>
      <w:r w:rsidRPr="00AA5065">
        <w:rPr>
          <w:rFonts w:eastAsia="Calibri" w:hint="cs"/>
          <w:b/>
          <w:bCs/>
          <w:rtl/>
        </w:rPr>
        <w:t>מסוגים שונים</w:t>
      </w:r>
      <w:r w:rsidRPr="00AA5065">
        <w:rPr>
          <w:rFonts w:eastAsia="Calibri"/>
          <w:b/>
          <w:bCs/>
          <w:rtl/>
        </w:rPr>
        <w:t xml:space="preserve"> </w:t>
      </w:r>
      <w:r w:rsidRPr="00AA5065">
        <w:rPr>
          <w:rFonts w:eastAsia="Calibri" w:hint="cs"/>
          <w:b/>
          <w:bCs/>
          <w:rtl/>
        </w:rPr>
        <w:t>כגון הקמת חממות לגידול קנאביס, תפיסת קרקעות ועיבודן ללא אישור וכן פלישות בעיבודים</w:t>
      </w:r>
      <w:r w:rsidRPr="00AA5065">
        <w:rPr>
          <w:rFonts w:eastAsia="Calibri"/>
          <w:b/>
          <w:b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צה"ל מסר בתשובתו</w:t>
      </w:r>
      <w:r w:rsidRPr="00AA5065">
        <w:rPr>
          <w:rFonts w:eastAsia="Calibri"/>
          <w:rtl/>
        </w:rPr>
        <w:t xml:space="preserve"> </w:t>
      </w:r>
      <w:r w:rsidRPr="00AA5065">
        <w:rPr>
          <w:rFonts w:eastAsia="Calibri" w:hint="eastAsia"/>
          <w:rtl/>
        </w:rPr>
        <w:t>מיום</w:t>
      </w:r>
      <w:r w:rsidRPr="00AA5065">
        <w:rPr>
          <w:rFonts w:eastAsia="Calibri"/>
          <w:rtl/>
        </w:rPr>
        <w:t xml:space="preserve"> 20</w:t>
      </w:r>
      <w:r w:rsidRPr="00AA5065">
        <w:rPr>
          <w:rFonts w:eastAsia="Calibri" w:hint="cs"/>
          <w:rtl/>
        </w:rPr>
        <w:t>.11.25</w:t>
      </w:r>
      <w:r w:rsidRPr="00AA5065">
        <w:rPr>
          <w:rFonts w:eastAsia="Calibri"/>
          <w:rtl/>
        </w:rPr>
        <w:t xml:space="preserve"> (להלן - </w:t>
      </w:r>
      <w:r w:rsidRPr="00AA5065">
        <w:rPr>
          <w:rFonts w:eastAsia="Calibri" w:hint="eastAsia"/>
          <w:rtl/>
        </w:rPr>
        <w:t>תשובת</w:t>
      </w:r>
      <w:r w:rsidRPr="00AA5065">
        <w:rPr>
          <w:rFonts w:eastAsia="Calibri"/>
          <w:rtl/>
        </w:rPr>
        <w:t xml:space="preserve"> </w:t>
      </w:r>
      <w:r w:rsidRPr="00AA5065">
        <w:rPr>
          <w:rFonts w:eastAsia="Calibri" w:hint="eastAsia"/>
          <w:rtl/>
        </w:rPr>
        <w:t>צה</w:t>
      </w:r>
      <w:r w:rsidRPr="00AA5065">
        <w:rPr>
          <w:rFonts w:eastAsia="Calibri"/>
          <w:rtl/>
        </w:rPr>
        <w:t xml:space="preserve">"ל) </w:t>
      </w:r>
      <w:r w:rsidRPr="00AA5065">
        <w:rPr>
          <w:rFonts w:eastAsia="Calibri" w:hint="eastAsia"/>
          <w:rtl/>
        </w:rPr>
        <w:t>כי</w:t>
      </w:r>
      <w:r w:rsidRPr="00AA5065">
        <w:rPr>
          <w:rFonts w:eastAsia="Calibri"/>
          <w:rtl/>
        </w:rPr>
        <w:t xml:space="preserve"> </w:t>
      </w:r>
      <w:r w:rsidRPr="00AA5065">
        <w:rPr>
          <w:rFonts w:eastAsia="Calibri" w:hint="cs"/>
          <w:rtl/>
        </w:rPr>
        <w:t xml:space="preserve">בשנים 2024 ו-2025 (עד לחודש אוגוסט) כמות האיתורים שזוהו והשתילים שהשמידו מצויה במגמת עלייה. בשנת 2025 זוהו פי </w:t>
      </w:r>
      <w:r w:rsidR="00AF3FA8">
        <w:rPr>
          <w:rFonts w:eastAsia="Calibri"/>
          <w:rtl/>
        </w:rPr>
        <w:br/>
      </w:r>
      <w:r w:rsidRPr="00AA5065">
        <w:rPr>
          <w:rFonts w:eastAsia="Calibri" w:hint="cs"/>
          <w:rtl/>
        </w:rPr>
        <w:t>כ-1.5 יותר איתורים לחודש, והושמדו פי כ-2.3 שתילים לחודש לעומת שנת 2024. כמו כן, הוקמה יחידת הגיריות, כוח ייחודי, מקצועי ועצמאי הנותן מענה שיטתי ושוטף בשטחי האש. יחידה זו פועלת לפירוק תשתיות בלתי חוקיות ולצמצום חממות ופלישה לשטחי אש, והיא משתמשת באמצעי איתור כמו רחפנים, מצלמות, סיורי שטח ודיווחים מאזרחים ומכוחות מתאמנים. היחידה פועלת בשיתוף פעולה עם הסיירת הירוקה. נוסף על כך, בינואר 2025 הוקמה פלוגת אבטחה בבסיס מל"י העוסקת בהגנת המחנה ואף הוקם חמ"ל שעוסק בנושא. עוד ציין צה"ל כי שטחי האש סביב בסיס מל"י גודלם כמיליון דונם, ולא קיימים האמצעים לבקרה על כלל שטחי האש, מלבד יחידת הגיריות המבצעת פעולות מניעה כגון הגברת הנוכחות. כמו כן צה"ל מבצע אכיפה ובקרה שוטפות על כניסת אוכלוסייה לשטחי אש, ובצירי הגישה לשטחי האש מוצב שילוט אזהרה.</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Times New Roman" w:hAnsi="David"/>
          <w:sz w:val="24"/>
          <w:lang w:eastAsia="he-IL"/>
        </w:rPr>
      </w:pPr>
      <w:r w:rsidRPr="00AA5065">
        <w:rPr>
          <w:rFonts w:eastAsia="Calibri" w:hint="cs"/>
          <w:rtl/>
        </w:rPr>
        <w:t>המשטרה מסרה בתשובתה כי "</w:t>
      </w:r>
      <w:r w:rsidRPr="00AA5065">
        <w:rPr>
          <w:rFonts w:ascii="David" w:eastAsia="Times New Roman" w:hAnsi="David" w:hint="eastAsia"/>
          <w:sz w:val="24"/>
          <w:rtl/>
          <w:lang w:eastAsia="he-IL"/>
        </w:rPr>
        <w:t>בסוף</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שנת</w:t>
      </w:r>
      <w:r w:rsidRPr="00AA5065">
        <w:rPr>
          <w:rFonts w:ascii="David" w:eastAsia="Times New Roman" w:hAnsi="David"/>
          <w:sz w:val="24"/>
          <w:rtl/>
          <w:lang w:eastAsia="he-IL"/>
        </w:rPr>
        <w:t xml:space="preserve"> 2024 </w:t>
      </w:r>
      <w:r w:rsidRPr="00AA5065">
        <w:rPr>
          <w:rFonts w:ascii="David" w:eastAsia="Times New Roman" w:hAnsi="David" w:hint="eastAsia"/>
          <w:sz w:val="24"/>
          <w:rtl/>
          <w:lang w:eastAsia="he-IL"/>
        </w:rPr>
        <w:t>הוקם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צוות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היגוי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באחריות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מת</w:t>
      </w:r>
      <w:r w:rsidRPr="00AA5065">
        <w:rPr>
          <w:rFonts w:ascii="David" w:eastAsia="Times New Roman" w:hAnsi="David"/>
          <w:sz w:val="24"/>
          <w:rtl/>
          <w:lang w:eastAsia="he-IL"/>
        </w:rPr>
        <w:t>"</w:t>
      </w:r>
      <w:r w:rsidRPr="00AA5065">
        <w:rPr>
          <w:rFonts w:ascii="David" w:eastAsia="Times New Roman" w:hAnsi="David" w:hint="eastAsia"/>
          <w:sz w:val="24"/>
          <w:rtl/>
          <w:lang w:eastAsia="he-IL"/>
        </w:rPr>
        <w:t>ח</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שגב</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שלום</w:t>
      </w:r>
      <w:r w:rsidRPr="00AA5065">
        <w:rPr>
          <w:rFonts w:ascii="David" w:eastAsia="Times New Roman" w:hAnsi="David" w:hint="cs"/>
          <w:sz w:val="24"/>
          <w:rtl/>
          <w:lang w:eastAsia="he-IL"/>
        </w:rPr>
        <w:t>,</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על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פי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הנחיית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ממ</w:t>
      </w:r>
      <w:r w:rsidRPr="00AA5065">
        <w:rPr>
          <w:rFonts w:ascii="David" w:eastAsia="Times New Roman" w:hAnsi="David" w:hint="cs"/>
          <w:sz w:val="24"/>
          <w:rtl/>
          <w:lang w:eastAsia="he-IL"/>
        </w:rPr>
        <w:t>"</w:t>
      </w:r>
      <w:r w:rsidRPr="00AA5065">
        <w:rPr>
          <w:rFonts w:ascii="David" w:eastAsia="Times New Roman" w:hAnsi="David" w:hint="eastAsia"/>
          <w:sz w:val="24"/>
          <w:rtl/>
          <w:lang w:eastAsia="he-IL"/>
        </w:rPr>
        <w:t>ר</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נגב</w:t>
      </w:r>
      <w:r w:rsidRPr="00AA5065">
        <w:rPr>
          <w:rFonts w:ascii="David" w:eastAsia="Times New Roman" w:hAnsi="David" w:hint="cs"/>
          <w:sz w:val="24"/>
          <w:rtl/>
          <w:lang w:eastAsia="he-IL"/>
        </w:rPr>
        <w:t xml:space="preserve">. </w:t>
      </w:r>
      <w:r w:rsidRPr="00AA5065">
        <w:rPr>
          <w:rFonts w:ascii="David" w:eastAsia="Times New Roman" w:hAnsi="David" w:hint="eastAsia"/>
          <w:sz w:val="24"/>
          <w:rtl/>
          <w:lang w:eastAsia="he-IL"/>
        </w:rPr>
        <w:t>מטרת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הצוות</w:t>
      </w:r>
      <w:r w:rsidRPr="00AA5065">
        <w:rPr>
          <w:rFonts w:ascii="David" w:eastAsia="Times New Roman" w:hAnsi="David" w:hint="cs"/>
          <w:sz w:val="24"/>
          <w:rtl/>
          <w:lang w:eastAsia="he-IL"/>
        </w:rPr>
        <w:t xml:space="preserve">: </w:t>
      </w:r>
      <w:r w:rsidRPr="00AA5065">
        <w:rPr>
          <w:rFonts w:ascii="David" w:eastAsia="Times New Roman" w:hAnsi="David" w:hint="eastAsia"/>
          <w:sz w:val="24"/>
          <w:rtl/>
          <w:lang w:eastAsia="he-IL"/>
        </w:rPr>
        <w:t>לפקח</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ולבצע</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פעילות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ברמה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שבועית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אחר</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הטיפול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בפלישות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והקמת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חממות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גידול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סמים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בשטחי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אש</w:t>
      </w:r>
      <w:r w:rsidRPr="00AA5065">
        <w:rPr>
          <w:rFonts w:ascii="David" w:eastAsia="Times New Roman" w:hAnsi="David" w:hint="cs"/>
          <w:sz w:val="24"/>
          <w:rtl/>
          <w:lang w:eastAsia="he-IL"/>
        </w:rPr>
        <w:t xml:space="preserve">. </w:t>
      </w:r>
      <w:r w:rsidRPr="00AA5065">
        <w:rPr>
          <w:rFonts w:ascii="David" w:eastAsia="Times New Roman" w:hAnsi="David" w:hint="eastAsia"/>
          <w:sz w:val="24"/>
          <w:rtl/>
          <w:lang w:eastAsia="he-IL"/>
        </w:rPr>
        <w:t>מאז</w:t>
      </w:r>
      <w:r w:rsidRPr="00AA5065">
        <w:rPr>
          <w:rFonts w:ascii="David" w:eastAsia="Times New Roman" w:hAnsi="David" w:hint="cs"/>
          <w:sz w:val="24"/>
          <w:rtl/>
          <w:lang w:eastAsia="he-IL"/>
        </w:rPr>
        <w:t>,</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מבוצעות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פעילויות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רבות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והנושא</w:t>
      </w:r>
      <w:r w:rsidRPr="00AA5065">
        <w:rPr>
          <w:rFonts w:ascii="David" w:eastAsia="Times New Roman" w:hAnsi="David"/>
          <w:sz w:val="24"/>
          <w:rtl/>
          <w:lang w:eastAsia="he-IL"/>
        </w:rPr>
        <w:t xml:space="preserve"> </w:t>
      </w:r>
      <w:r w:rsidRPr="00AA5065">
        <w:rPr>
          <w:rFonts w:ascii="David" w:eastAsia="Times New Roman" w:hAnsi="David" w:hint="cs"/>
          <w:sz w:val="24"/>
          <w:rtl/>
          <w:lang w:eastAsia="he-IL"/>
        </w:rPr>
        <w:t xml:space="preserve">אף </w:t>
      </w:r>
      <w:r w:rsidRPr="00AA5065">
        <w:rPr>
          <w:rFonts w:ascii="David" w:eastAsia="Times New Roman" w:hAnsi="David" w:hint="eastAsia"/>
          <w:sz w:val="24"/>
          <w:rtl/>
          <w:lang w:eastAsia="he-IL"/>
        </w:rPr>
        <w:t>מתועד</w:t>
      </w:r>
      <w:r w:rsidRPr="00AA5065">
        <w:rPr>
          <w:rFonts w:ascii="David" w:eastAsia="Times New Roman" w:hAnsi="David" w:hint="cs"/>
          <w:sz w:val="24"/>
          <w:rtl/>
          <w:lang w:eastAsia="he-IL"/>
        </w:rPr>
        <w:t>.</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בנוסף</w:t>
      </w:r>
      <w:r w:rsidRPr="00AA5065">
        <w:rPr>
          <w:rFonts w:ascii="David" w:eastAsia="Times New Roman" w:hAnsi="David" w:hint="cs"/>
          <w:sz w:val="24"/>
          <w:rtl/>
          <w:lang w:eastAsia="he-IL"/>
        </w:rPr>
        <w:t>,</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בכל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תחנה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במרחב</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הוקם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רפרנט</w:t>
      </w:r>
      <w:r w:rsidRPr="00AA5065">
        <w:rPr>
          <w:rFonts w:ascii="David" w:eastAsia="Times New Roman" w:hAnsi="David"/>
          <w:sz w:val="24"/>
          <w:rtl/>
          <w:lang w:eastAsia="he-IL"/>
        </w:rPr>
        <w:t xml:space="preserve"> </w:t>
      </w:r>
      <w:r w:rsidRPr="00AA5065">
        <w:rPr>
          <w:rFonts w:ascii="David" w:eastAsia="Times New Roman" w:hAnsi="David" w:hint="cs"/>
          <w:sz w:val="24"/>
          <w:rtl/>
          <w:lang w:eastAsia="he-IL"/>
        </w:rPr>
        <w:t>המהווה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אחראי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לנושא</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זה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בגזרתם</w:t>
      </w:r>
      <w:r w:rsidRPr="00AA5065">
        <w:rPr>
          <w:rFonts w:ascii="David" w:eastAsia="Times New Roman" w:hAnsi="David" w:hint="cs"/>
          <w:sz w:val="24"/>
          <w:rtl/>
          <w:lang w:eastAsia="he-IL"/>
        </w:rPr>
        <w:t>,</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למו</w:t>
      </w:r>
      <w:r w:rsidRPr="00AA5065">
        <w:rPr>
          <w:rFonts w:ascii="David" w:eastAsia="Times New Roman" w:hAnsi="David" w:hint="cs"/>
          <w:sz w:val="24"/>
          <w:rtl/>
          <w:lang w:eastAsia="he-IL"/>
        </w:rPr>
        <w:t>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מת</w:t>
      </w:r>
      <w:r w:rsidRPr="00AA5065">
        <w:rPr>
          <w:rFonts w:ascii="David" w:eastAsia="Times New Roman" w:hAnsi="David"/>
          <w:sz w:val="24"/>
          <w:rtl/>
          <w:lang w:eastAsia="he-IL"/>
        </w:rPr>
        <w:t>"</w:t>
      </w:r>
      <w:r w:rsidRPr="00AA5065">
        <w:rPr>
          <w:rFonts w:ascii="David" w:eastAsia="Times New Roman" w:hAnsi="David" w:hint="eastAsia"/>
          <w:sz w:val="24"/>
          <w:rtl/>
          <w:lang w:eastAsia="he-IL"/>
        </w:rPr>
        <w:t>ח</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שגב</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שלום</w:t>
      </w:r>
      <w:r w:rsidRPr="00AA5065">
        <w:rPr>
          <w:rFonts w:ascii="David" w:eastAsia="Times New Roman" w:hAnsi="David" w:hint="cs"/>
          <w:sz w:val="24"/>
          <w:rtl/>
          <w:lang w:eastAsia="he-IL"/>
        </w:rPr>
        <w:t>.</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w:t>
      </w:r>
      <w:r w:rsidRPr="00AA5065">
        <w:rPr>
          <w:rFonts w:ascii="David" w:eastAsia="Times New Roman" w:hAnsi="David" w:hint="cs"/>
          <w:sz w:val="24"/>
          <w:rtl/>
          <w:lang w:eastAsia="he-IL"/>
        </w:rPr>
        <w:t>אידך,</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מספר</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נושאים</w:t>
      </w:r>
      <w:r w:rsidRPr="00AA5065">
        <w:rPr>
          <w:rFonts w:ascii="David" w:eastAsia="Times New Roman" w:hAnsi="David"/>
          <w:sz w:val="24"/>
          <w:rtl/>
          <w:lang w:eastAsia="he-IL"/>
        </w:rPr>
        <w:t xml:space="preserve"> </w:t>
      </w:r>
      <w:r w:rsidRPr="00AA5065">
        <w:rPr>
          <w:rFonts w:ascii="David" w:eastAsia="Times New Roman" w:hAnsi="David" w:hint="cs"/>
          <w:sz w:val="24"/>
          <w:rtl/>
          <w:lang w:eastAsia="he-IL"/>
        </w:rPr>
        <w:t xml:space="preserve">מכבידים ומקשים על איכות הטיפול, כדלקמן: </w:t>
      </w:r>
    </w:p>
    <w:p w:rsidR="00AA5065" w:rsidRPr="00AA5065" w:rsidP="00860D89">
      <w:pPr>
        <w:numPr>
          <w:ilvl w:val="0"/>
          <w:numId w:val="19"/>
        </w:numPr>
        <w:spacing w:line="269" w:lineRule="auto"/>
        <w:ind w:left="424"/>
        <w:jc w:val="left"/>
        <w:rPr>
          <w:rFonts w:ascii="David" w:eastAsia="Times New Roman" w:hAnsi="David"/>
          <w:sz w:val="24"/>
          <w:lang w:eastAsia="he-IL"/>
        </w:rPr>
      </w:pPr>
      <w:r w:rsidRPr="00AA5065">
        <w:rPr>
          <w:rFonts w:ascii="David" w:eastAsia="Times New Roman" w:hAnsi="David" w:hint="eastAsia"/>
          <w:sz w:val="24"/>
          <w:rtl/>
          <w:lang w:eastAsia="he-IL"/>
        </w:rPr>
        <w:t>קיימת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ירידה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בנושא</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השמדות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החממות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בשל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ניתוק</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צה</w:t>
      </w:r>
      <w:r w:rsidRPr="00AA5065">
        <w:rPr>
          <w:rFonts w:ascii="David" w:eastAsia="Times New Roman" w:hAnsi="David"/>
          <w:sz w:val="24"/>
          <w:rtl/>
          <w:lang w:eastAsia="he-IL"/>
        </w:rPr>
        <w:t>"</w:t>
      </w:r>
      <w:r w:rsidRPr="00AA5065">
        <w:rPr>
          <w:rFonts w:ascii="David" w:eastAsia="Times New Roman" w:hAnsi="David" w:hint="eastAsia"/>
          <w:sz w:val="24"/>
          <w:rtl/>
          <w:lang w:eastAsia="he-IL"/>
        </w:rPr>
        <w:t>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מהקצאת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כוח</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בשל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מלחמת</w:t>
      </w:r>
      <w:r w:rsidRPr="00AA5065">
        <w:rPr>
          <w:rFonts w:ascii="David" w:eastAsia="Times New Roman" w:hAnsi="David"/>
          <w:sz w:val="24"/>
          <w:rtl/>
          <w:lang w:eastAsia="he-IL"/>
        </w:rPr>
        <w:t xml:space="preserve"> </w:t>
      </w:r>
      <w:r w:rsidRPr="00AA5065">
        <w:rPr>
          <w:rFonts w:ascii="David" w:eastAsia="Times New Roman" w:hAnsi="David" w:hint="cs"/>
          <w:sz w:val="24"/>
          <w:rtl/>
          <w:lang w:eastAsia="he-IL"/>
        </w:rPr>
        <w:t>'</w:t>
      </w:r>
      <w:r w:rsidRPr="00AA5065">
        <w:rPr>
          <w:rFonts w:ascii="David" w:eastAsia="Times New Roman" w:hAnsi="David" w:hint="eastAsia"/>
          <w:sz w:val="24"/>
          <w:rtl/>
          <w:lang w:eastAsia="he-IL"/>
        </w:rPr>
        <w:t>חרבות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ברזל</w:t>
      </w:r>
      <w:r w:rsidRPr="00AA5065">
        <w:rPr>
          <w:rFonts w:ascii="David" w:eastAsia="Times New Roman" w:hAnsi="David" w:hint="cs"/>
          <w:sz w:val="24"/>
          <w:rtl/>
          <w:lang w:eastAsia="he-IL"/>
        </w:rPr>
        <w:t>'.</w:t>
      </w:r>
    </w:p>
    <w:p w:rsidR="00AA5065" w:rsidRPr="00AA5065" w:rsidP="00860D89">
      <w:pPr>
        <w:numPr>
          <w:ilvl w:val="0"/>
          <w:numId w:val="19"/>
        </w:numPr>
        <w:spacing w:line="269" w:lineRule="auto"/>
        <w:ind w:left="424"/>
        <w:jc w:val="left"/>
        <w:rPr>
          <w:rFonts w:ascii="David" w:eastAsia="Times New Roman" w:hAnsi="David"/>
          <w:sz w:val="24"/>
          <w:lang w:eastAsia="he-IL"/>
        </w:rPr>
      </w:pPr>
      <w:r w:rsidRPr="00AA5065">
        <w:rPr>
          <w:rFonts w:ascii="David" w:eastAsia="Times New Roman" w:hAnsi="David"/>
          <w:sz w:val="24"/>
          <w:rtl/>
          <w:lang w:eastAsia="he-IL"/>
        </w:rPr>
        <w:t xml:space="preserve">50% </w:t>
      </w:r>
      <w:r w:rsidRPr="00AA5065">
        <w:rPr>
          <w:rFonts w:ascii="David" w:eastAsia="Times New Roman" w:hAnsi="David" w:hint="eastAsia"/>
          <w:sz w:val="24"/>
          <w:rtl/>
          <w:lang w:eastAsia="he-IL"/>
        </w:rPr>
        <w:t>מהסד</w:t>
      </w:r>
      <w:r w:rsidRPr="00AA5065">
        <w:rPr>
          <w:rFonts w:ascii="David" w:eastAsia="Times New Roman" w:hAnsi="David"/>
          <w:sz w:val="24"/>
          <w:rtl/>
          <w:lang w:eastAsia="he-IL"/>
        </w:rPr>
        <w:t>"</w:t>
      </w:r>
      <w:r w:rsidRPr="00AA5065">
        <w:rPr>
          <w:rFonts w:ascii="David" w:eastAsia="Times New Roman" w:hAnsi="David" w:hint="eastAsia"/>
          <w:sz w:val="24"/>
          <w:rtl/>
          <w:lang w:eastAsia="he-IL"/>
        </w:rPr>
        <w:t>כ</w:t>
      </w:r>
      <w:r w:rsidRPr="00AA5065">
        <w:rPr>
          <w:rFonts w:ascii="David" w:eastAsia="Times New Roman" w:hAnsi="David"/>
          <w:sz w:val="24"/>
          <w:rtl/>
          <w:lang w:eastAsia="he-IL"/>
        </w:rPr>
        <w:t xml:space="preserve"> </w:t>
      </w:r>
      <w:r w:rsidRPr="00AA5065">
        <w:rPr>
          <w:rFonts w:ascii="David" w:eastAsia="Times New Roman" w:hAnsi="David" w:hint="cs"/>
          <w:sz w:val="24"/>
          <w:rtl/>
          <w:lang w:eastAsia="he-IL"/>
        </w:rPr>
        <w:t xml:space="preserve">של </w:t>
      </w:r>
      <w:r w:rsidRPr="00AA5065">
        <w:rPr>
          <w:rFonts w:ascii="David" w:eastAsia="Times New Roman" w:hAnsi="David" w:hint="eastAsia"/>
          <w:sz w:val="24"/>
          <w:rtl/>
          <w:lang w:eastAsia="he-IL"/>
        </w:rPr>
        <w:t>משרד</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החקלאות</w:t>
      </w:r>
      <w:r w:rsidRPr="00AA5065">
        <w:rPr>
          <w:rFonts w:ascii="David" w:eastAsia="Times New Roman" w:hAnsi="David"/>
          <w:sz w:val="24"/>
          <w:rtl/>
          <w:lang w:eastAsia="he-IL"/>
        </w:rPr>
        <w:t>/</w:t>
      </w:r>
      <w:r w:rsidRPr="00AA5065">
        <w:rPr>
          <w:rFonts w:ascii="David" w:eastAsia="Times New Roman" w:hAnsi="David" w:hint="eastAsia"/>
          <w:sz w:val="24"/>
          <w:rtl/>
          <w:lang w:eastAsia="he-IL"/>
        </w:rPr>
        <w:t>סיירת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ירוקה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נמצאים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בשירות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מילואים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פעיל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עקב</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המלחמה</w:t>
      </w:r>
      <w:r w:rsidRPr="00AA5065">
        <w:rPr>
          <w:rFonts w:ascii="David" w:eastAsia="Times New Roman" w:hAnsi="David"/>
          <w:sz w:val="24"/>
          <w:rtl/>
          <w:lang w:eastAsia="he-IL"/>
        </w:rPr>
        <w:t>.</w:t>
      </w:r>
    </w:p>
    <w:p w:rsidR="00AA5065" w:rsidRPr="00AA5065" w:rsidP="00860D89">
      <w:pPr>
        <w:numPr>
          <w:ilvl w:val="0"/>
          <w:numId w:val="19"/>
        </w:numPr>
        <w:spacing w:line="269" w:lineRule="auto"/>
        <w:ind w:left="424"/>
        <w:jc w:val="left"/>
        <w:rPr>
          <w:rFonts w:ascii="David" w:eastAsia="Times New Roman" w:hAnsi="David"/>
          <w:sz w:val="24"/>
          <w:rtl/>
          <w:lang w:eastAsia="he-IL"/>
        </w:rPr>
      </w:pPr>
      <w:r w:rsidRPr="00AA5065">
        <w:rPr>
          <w:rFonts w:ascii="David" w:eastAsia="Times New Roman" w:hAnsi="David" w:hint="eastAsia"/>
          <w:sz w:val="24"/>
          <w:rtl/>
          <w:lang w:eastAsia="he-IL"/>
        </w:rPr>
        <w:t>שטחי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האש</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פעילים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גם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בסופ</w:t>
      </w:r>
      <w:r w:rsidRPr="00AA5065">
        <w:rPr>
          <w:rFonts w:ascii="David" w:eastAsia="Times New Roman" w:hAnsi="David"/>
          <w:sz w:val="24"/>
          <w:rtl/>
          <w:lang w:eastAsia="he-IL"/>
        </w:rPr>
        <w:t>"</w:t>
      </w:r>
      <w:r w:rsidRPr="00AA5065">
        <w:rPr>
          <w:rFonts w:ascii="David" w:eastAsia="Times New Roman" w:hAnsi="David" w:hint="eastAsia"/>
          <w:sz w:val="24"/>
          <w:rtl/>
          <w:lang w:eastAsia="he-IL"/>
        </w:rPr>
        <w:t>ש</w:t>
      </w:r>
      <w:r w:rsidRPr="00AA5065">
        <w:rPr>
          <w:rFonts w:ascii="David" w:eastAsia="Times New Roman" w:hAnsi="David" w:hint="cs"/>
          <w:sz w:val="24"/>
          <w:rtl/>
          <w:lang w:eastAsia="he-IL"/>
        </w:rPr>
        <w:t>.</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לכך</w:t>
      </w:r>
      <w:r w:rsidRPr="00AA5065">
        <w:rPr>
          <w:rFonts w:ascii="David" w:eastAsia="Times New Roman" w:hAnsi="David" w:hint="cs"/>
          <w:sz w:val="24"/>
          <w:rtl/>
          <w:lang w:eastAsia="he-IL"/>
        </w:rPr>
        <w:t>,</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לא</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ניתן</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להיכנס</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להשמדות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ללא</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תיאום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מסודר</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מול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מת</w:t>
      </w:r>
      <w:r w:rsidRPr="00AA5065">
        <w:rPr>
          <w:rFonts w:ascii="David" w:eastAsia="Times New Roman" w:hAnsi="David"/>
          <w:sz w:val="24"/>
          <w:rtl/>
          <w:lang w:eastAsia="he-IL"/>
        </w:rPr>
        <w:t>"</w:t>
      </w:r>
      <w:r w:rsidRPr="00AA5065">
        <w:rPr>
          <w:rFonts w:ascii="David" w:eastAsia="Times New Roman" w:hAnsi="David" w:hint="eastAsia"/>
          <w:sz w:val="24"/>
          <w:rtl/>
          <w:lang w:eastAsia="he-IL"/>
        </w:rPr>
        <w:t>מ</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ופד</w:t>
      </w:r>
      <w:r w:rsidRPr="00AA5065">
        <w:rPr>
          <w:rFonts w:ascii="David" w:eastAsia="Times New Roman" w:hAnsi="David"/>
          <w:sz w:val="24"/>
          <w:rtl/>
          <w:lang w:eastAsia="he-IL"/>
        </w:rPr>
        <w:t>"</w:t>
      </w:r>
      <w:r w:rsidRPr="00AA5065">
        <w:rPr>
          <w:rFonts w:ascii="David" w:eastAsia="Times New Roman" w:hAnsi="David" w:hint="cs"/>
          <w:sz w:val="24"/>
          <w:rtl/>
          <w:lang w:eastAsia="he-IL"/>
        </w:rPr>
        <w:t>מ (פיקוד דרום)".</w:t>
      </w:r>
    </w:p>
    <w:bookmarkEnd w:id="141"/>
    <w:p w:rsidR="00AA5065" w:rsidRPr="00AA5065" w:rsidP="00860D89">
      <w:pPr>
        <w:spacing w:line="269" w:lineRule="auto"/>
        <w:ind w:left="-567"/>
        <w:rPr>
          <w:rFonts w:eastAsia="Calibri"/>
          <w:szCs w:val="20"/>
          <w:rtl/>
          <w:lang w:eastAsia="he-IL"/>
        </w:rPr>
      </w:pPr>
    </w:p>
    <w:p w:rsidR="00AA5065" w:rsidRPr="00AA5065" w:rsidP="00860D89">
      <w:pPr>
        <w:spacing w:line="269" w:lineRule="auto"/>
        <w:rPr>
          <w:rFonts w:eastAsia="Calibri"/>
          <w:b/>
          <w:bCs/>
          <w:rtl/>
        </w:rPr>
      </w:pPr>
      <w:r w:rsidRPr="00AA5065">
        <w:rPr>
          <w:rFonts w:eastAsia="Calibri" w:hint="eastAsia"/>
          <w:b/>
          <w:bCs/>
          <w:rtl/>
        </w:rPr>
        <w:t>בביקורת</w:t>
      </w:r>
      <w:r w:rsidRPr="00AA5065">
        <w:rPr>
          <w:rFonts w:eastAsia="Calibri"/>
          <w:b/>
          <w:bCs/>
          <w:rtl/>
        </w:rPr>
        <w:t xml:space="preserve"> </w:t>
      </w:r>
      <w:r w:rsidRPr="00AA5065">
        <w:rPr>
          <w:rFonts w:eastAsia="Calibri" w:hint="eastAsia"/>
          <w:b/>
          <w:bCs/>
          <w:rtl/>
        </w:rPr>
        <w:t>המעקב</w:t>
      </w:r>
      <w:r w:rsidRPr="00AA5065">
        <w:rPr>
          <w:rFonts w:eastAsia="Calibri"/>
          <w:b/>
          <w:bCs/>
          <w:rtl/>
        </w:rPr>
        <w:t xml:space="preserve"> </w:t>
      </w:r>
      <w:r w:rsidRPr="00AA5065">
        <w:rPr>
          <w:rFonts w:eastAsia="Calibri" w:hint="eastAsia"/>
          <w:b/>
          <w:bCs/>
          <w:rtl/>
        </w:rPr>
        <w:t>עלה</w:t>
      </w:r>
      <w:r w:rsidRPr="00AA5065">
        <w:rPr>
          <w:rFonts w:eastAsia="Calibri"/>
          <w:b/>
          <w:bCs/>
          <w:rtl/>
        </w:rPr>
        <w:t xml:space="preserve"> </w:t>
      </w:r>
      <w:r w:rsidRPr="00AA5065">
        <w:rPr>
          <w:rFonts w:eastAsia="Calibri" w:hint="eastAsia"/>
          <w:b/>
          <w:bCs/>
          <w:rtl/>
        </w:rPr>
        <w:t>כי</w:t>
      </w:r>
      <w:r w:rsidRPr="00AA5065">
        <w:rPr>
          <w:rFonts w:eastAsia="Calibri"/>
          <w:b/>
          <w:bCs/>
          <w:rtl/>
        </w:rPr>
        <w:t xml:space="preserve"> </w:t>
      </w:r>
      <w:r w:rsidRPr="00AA5065">
        <w:rPr>
          <w:rFonts w:eastAsia="Calibri" w:hint="cs"/>
          <w:b/>
          <w:bCs/>
          <w:rtl/>
        </w:rPr>
        <w:t>הליקוי תוקן במידה מועטה ו</w:t>
      </w:r>
      <w:r w:rsidRPr="00AA5065">
        <w:rPr>
          <w:rFonts w:eastAsia="Calibri" w:hint="eastAsia"/>
          <w:b/>
          <w:bCs/>
          <w:rtl/>
        </w:rPr>
        <w:t>התופעה</w:t>
      </w:r>
      <w:r w:rsidRPr="00AA5065">
        <w:rPr>
          <w:rFonts w:eastAsia="Calibri"/>
          <w:b/>
          <w:bCs/>
          <w:rtl/>
        </w:rPr>
        <w:t xml:space="preserve"> </w:t>
      </w:r>
      <w:r w:rsidRPr="00AA5065">
        <w:rPr>
          <w:rFonts w:eastAsia="Calibri" w:hint="eastAsia"/>
          <w:b/>
          <w:bCs/>
          <w:rtl/>
        </w:rPr>
        <w:t>של</w:t>
      </w:r>
      <w:r w:rsidRPr="00AA5065">
        <w:rPr>
          <w:rFonts w:eastAsia="Calibri"/>
          <w:b/>
          <w:bCs/>
          <w:rtl/>
        </w:rPr>
        <w:t xml:space="preserve"> </w:t>
      </w:r>
      <w:r w:rsidRPr="00AA5065">
        <w:rPr>
          <w:rFonts w:eastAsia="Calibri" w:hint="eastAsia"/>
          <w:b/>
          <w:bCs/>
          <w:rtl/>
        </w:rPr>
        <w:t>פלישה</w:t>
      </w:r>
      <w:r w:rsidRPr="00AA5065">
        <w:rPr>
          <w:rFonts w:eastAsia="Calibri"/>
          <w:b/>
          <w:bCs/>
          <w:rtl/>
        </w:rPr>
        <w:t xml:space="preserve"> </w:t>
      </w:r>
      <w:r w:rsidRPr="00AA5065">
        <w:rPr>
          <w:rFonts w:eastAsia="Calibri" w:hint="eastAsia"/>
          <w:b/>
          <w:bCs/>
          <w:rtl/>
        </w:rPr>
        <w:t>לשטחי</w:t>
      </w:r>
      <w:r w:rsidRPr="00AA5065">
        <w:rPr>
          <w:rFonts w:eastAsia="Calibri"/>
          <w:b/>
          <w:bCs/>
          <w:rtl/>
        </w:rPr>
        <w:t xml:space="preserve"> </w:t>
      </w:r>
      <w:r w:rsidRPr="00AA5065">
        <w:rPr>
          <w:rFonts w:eastAsia="Calibri" w:hint="eastAsia"/>
          <w:b/>
          <w:bCs/>
          <w:rtl/>
        </w:rPr>
        <w:t>אש</w:t>
      </w:r>
      <w:r w:rsidRPr="00AA5065">
        <w:rPr>
          <w:rFonts w:eastAsia="Calibri"/>
          <w:b/>
          <w:bCs/>
          <w:rtl/>
        </w:rPr>
        <w:t xml:space="preserve"> </w:t>
      </w:r>
      <w:r w:rsidRPr="00AA5065">
        <w:rPr>
          <w:rFonts w:eastAsia="Calibri" w:hint="eastAsia"/>
          <w:b/>
          <w:bCs/>
          <w:rtl/>
        </w:rPr>
        <w:t>של</w:t>
      </w:r>
      <w:r w:rsidRPr="00AA5065">
        <w:rPr>
          <w:rFonts w:eastAsia="Calibri"/>
          <w:b/>
          <w:bCs/>
          <w:rtl/>
        </w:rPr>
        <w:t xml:space="preserve"> </w:t>
      </w:r>
      <w:r w:rsidRPr="00AA5065">
        <w:rPr>
          <w:rFonts w:eastAsia="Calibri" w:hint="eastAsia"/>
          <w:b/>
          <w:bCs/>
          <w:rtl/>
        </w:rPr>
        <w:t>צה</w:t>
      </w:r>
      <w:r w:rsidRPr="00AA5065">
        <w:rPr>
          <w:rFonts w:eastAsia="Calibri"/>
          <w:b/>
          <w:bCs/>
          <w:rtl/>
        </w:rPr>
        <w:t xml:space="preserve">"ל </w:t>
      </w:r>
      <w:r w:rsidRPr="00AA5065">
        <w:rPr>
          <w:rFonts w:eastAsia="Calibri" w:hint="eastAsia"/>
          <w:b/>
          <w:bCs/>
          <w:rtl/>
        </w:rPr>
        <w:t>באזור</w:t>
      </w:r>
      <w:r w:rsidRPr="00AA5065">
        <w:rPr>
          <w:rFonts w:eastAsia="Calibri"/>
          <w:b/>
          <w:bCs/>
          <w:rtl/>
        </w:rPr>
        <w:t xml:space="preserve"> </w:t>
      </w:r>
      <w:r w:rsidRPr="00AA5065">
        <w:rPr>
          <w:rFonts w:eastAsia="Calibri" w:hint="eastAsia"/>
          <w:b/>
          <w:bCs/>
          <w:rtl/>
        </w:rPr>
        <w:t>הנגב</w:t>
      </w:r>
      <w:r w:rsidRPr="00AA5065">
        <w:rPr>
          <w:rFonts w:eastAsia="Calibri"/>
          <w:b/>
          <w:bCs/>
          <w:rtl/>
        </w:rPr>
        <w:t xml:space="preserve"> </w:t>
      </w:r>
      <w:r w:rsidRPr="00AA5065">
        <w:rPr>
          <w:rFonts w:eastAsia="Calibri" w:hint="eastAsia"/>
          <w:b/>
          <w:bCs/>
          <w:rtl/>
        </w:rPr>
        <w:t>וביצוע</w:t>
      </w:r>
      <w:r w:rsidRPr="00AA5065">
        <w:rPr>
          <w:rFonts w:eastAsia="Calibri"/>
          <w:b/>
          <w:bCs/>
          <w:rtl/>
        </w:rPr>
        <w:t xml:space="preserve"> </w:t>
      </w:r>
      <w:r w:rsidRPr="00AA5065">
        <w:rPr>
          <w:rFonts w:eastAsia="Calibri" w:hint="eastAsia"/>
          <w:b/>
          <w:bCs/>
          <w:rtl/>
        </w:rPr>
        <w:t>פעילות</w:t>
      </w:r>
      <w:r w:rsidRPr="00AA5065">
        <w:rPr>
          <w:rFonts w:eastAsia="Calibri"/>
          <w:b/>
          <w:bCs/>
          <w:rtl/>
        </w:rPr>
        <w:t xml:space="preserve"> </w:t>
      </w:r>
      <w:r w:rsidRPr="00AA5065">
        <w:rPr>
          <w:rFonts w:eastAsia="Calibri" w:hint="eastAsia"/>
          <w:b/>
          <w:bCs/>
          <w:rtl/>
        </w:rPr>
        <w:t>פלילית</w:t>
      </w:r>
      <w:r w:rsidRPr="00AA5065">
        <w:rPr>
          <w:rFonts w:eastAsia="Calibri"/>
          <w:b/>
          <w:bCs/>
          <w:rtl/>
        </w:rPr>
        <w:t xml:space="preserve"> </w:t>
      </w:r>
      <w:r w:rsidRPr="00AA5065">
        <w:rPr>
          <w:rFonts w:eastAsia="Calibri" w:hint="eastAsia"/>
          <w:b/>
          <w:bCs/>
          <w:rtl/>
        </w:rPr>
        <w:t>מסוגים</w:t>
      </w:r>
      <w:r w:rsidRPr="00AA5065">
        <w:rPr>
          <w:rFonts w:eastAsia="Calibri"/>
          <w:b/>
          <w:bCs/>
          <w:rtl/>
        </w:rPr>
        <w:t xml:space="preserve"> </w:t>
      </w:r>
      <w:r w:rsidRPr="00AA5065">
        <w:rPr>
          <w:rFonts w:eastAsia="Calibri" w:hint="eastAsia"/>
          <w:b/>
          <w:bCs/>
          <w:rtl/>
        </w:rPr>
        <w:t>שונים</w:t>
      </w:r>
      <w:r w:rsidRPr="00AA5065">
        <w:rPr>
          <w:rFonts w:eastAsia="Calibri"/>
          <w:b/>
          <w:bCs/>
          <w:rtl/>
        </w:rPr>
        <w:t xml:space="preserve"> עדיין נמשכה במהלך השנים 2024-2021. </w:t>
      </w:r>
      <w:bookmarkStart w:id="142" w:name="_Hlk222385557"/>
      <w:r w:rsidRPr="00AA5065">
        <w:rPr>
          <w:rFonts w:eastAsia="Calibri"/>
          <w:b/>
          <w:bCs/>
          <w:rtl/>
        </w:rPr>
        <w:t>עוד נמצא בביקורת המעקב כי בשנת 2025 ניכרת התקדמות בטיפולו של צה"ל בנושא.</w:t>
      </w:r>
    </w:p>
    <w:bookmarkEnd w:id="142"/>
    <w:p w:rsidR="00E96206" w:rsidP="00860D89">
      <w:pPr>
        <w:spacing w:line="269" w:lineRule="auto"/>
        <w:jc w:val="center"/>
        <w:rPr>
          <w:rFonts w:eastAsia="Calibri"/>
          <w:b/>
          <w:bCs/>
          <w:rtl/>
          <w:lang w:eastAsia="he-IL"/>
        </w:rPr>
      </w:pPr>
    </w:p>
    <w:p w:rsidR="00AA5065" w:rsidRPr="00AA5065" w:rsidP="00860D89">
      <w:pPr>
        <w:spacing w:line="269" w:lineRule="auto"/>
        <w:jc w:val="center"/>
        <w:rPr>
          <w:rFonts w:eastAsia="Calibri"/>
          <w:b/>
          <w:bCs/>
          <w:rtl/>
          <w:lang w:eastAsia="he-IL"/>
        </w:rPr>
      </w:pPr>
      <w:r w:rsidRPr="00AA5065">
        <w:rPr>
          <w:rFonts w:eastAsia="Calibri" w:hint="cs"/>
          <w:b/>
          <w:bCs/>
          <w:rtl/>
          <w:lang w:eastAsia="he-IL"/>
        </w:rPr>
        <w:t>מידת תיקון הליקוי</w:t>
      </w:r>
    </w:p>
    <w:p w:rsidR="00AA5065" w:rsidRPr="00AA5065" w:rsidP="00860D89">
      <w:pPr>
        <w:spacing w:line="269" w:lineRule="auto"/>
        <w:rPr>
          <w:rFonts w:eastAsia="Calibri"/>
          <w:b/>
          <w:bCs/>
          <w:rtl/>
          <w:lang w:eastAsia="he-IL"/>
        </w:rPr>
      </w:pPr>
      <w:r w:rsidRPr="00AA5065">
        <w:rPr>
          <w:rFonts w:eastAsia="Calibri"/>
          <w:noProof/>
        </w:rPr>
        <w:drawing>
          <wp:anchor distT="0" distB="0" distL="114300" distR="114300" simplePos="0" relativeHeight="251665408" behindDoc="1" locked="0" layoutInCell="1" allowOverlap="1">
            <wp:simplePos x="0" y="0"/>
            <wp:positionH relativeFrom="column">
              <wp:posOffset>508000</wp:posOffset>
            </wp:positionH>
            <wp:positionV relativeFrom="paragraph">
              <wp:posOffset>40309</wp:posOffset>
            </wp:positionV>
            <wp:extent cx="4324350" cy="933450"/>
            <wp:effectExtent l="0" t="0" r="0" b="0"/>
            <wp:wrapNone/>
            <wp:docPr id="17"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2"/>
                    <pic:cNvPicPr>
                      <a:picLocks noChangeAspect="1" noChangeArrowheads="1"/>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32435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065" w:rsidRPr="00AA5065" w:rsidP="00860D89">
      <w:pPr>
        <w:spacing w:line="269" w:lineRule="auto"/>
        <w:rPr>
          <w:rFonts w:eastAsia="Calibri"/>
          <w:b/>
          <w:bCs/>
          <w:rtl/>
          <w:lang w:eastAsia="he-IL"/>
        </w:rPr>
      </w:pPr>
    </w:p>
    <w:p w:rsidR="00AA5065" w:rsidRPr="00AA5065" w:rsidP="00860D89">
      <w:pPr>
        <w:spacing w:line="269" w:lineRule="auto"/>
        <w:rPr>
          <w:rFonts w:eastAsia="Calibri"/>
          <w:rtl/>
        </w:rPr>
      </w:pPr>
    </w:p>
    <w:p w:rsidR="00AA5065" w:rsidRPr="00AA5065" w:rsidP="00860D89">
      <w:pPr>
        <w:spacing w:line="269" w:lineRule="auto"/>
        <w:rPr>
          <w:rFonts w:eastAsia="Calibri"/>
          <w:b/>
          <w:bCs/>
          <w:rtl/>
        </w:rPr>
      </w:pPr>
    </w:p>
    <w:p w:rsidR="00AA5065" w:rsidRPr="00AA5065" w:rsidP="00860D89">
      <w:pPr>
        <w:spacing w:line="269" w:lineRule="auto"/>
        <w:rPr>
          <w:rFonts w:eastAsia="Calibri"/>
          <w:b/>
          <w:bCs/>
          <w:rtl/>
        </w:rPr>
      </w:pPr>
    </w:p>
    <w:p w:rsidR="00AA5065" w:rsidRPr="00AA5065" w:rsidP="00734ECE">
      <w:pPr>
        <w:spacing w:after="120" w:line="269" w:lineRule="auto"/>
        <w:ind w:left="-567"/>
        <w:rPr>
          <w:rFonts w:eastAsia="Calibri"/>
          <w:b/>
          <w:bCs/>
          <w:rtl/>
        </w:rPr>
      </w:pPr>
    </w:p>
    <w:p w:rsidR="00AA5065" w:rsidRPr="00AA5065" w:rsidP="00860D89">
      <w:pPr>
        <w:spacing w:line="269" w:lineRule="auto"/>
        <w:rPr>
          <w:rFonts w:eastAsia="Calibri"/>
          <w:b/>
          <w:bCs/>
          <w:rtl/>
        </w:rPr>
      </w:pPr>
      <w:r w:rsidRPr="00AA5065">
        <w:rPr>
          <w:rFonts w:eastAsia="Calibri" w:hint="cs"/>
          <w:b/>
          <w:bCs/>
          <w:rtl/>
        </w:rPr>
        <w:t xml:space="preserve">מומלץ כי צה"ל בשיתוף רט"ג ומשטרת ישראל יפעלו להגברת הפיקוח והאכיפה </w:t>
      </w:r>
      <w:r w:rsidRPr="00AA5065">
        <w:rPr>
          <w:rFonts w:eastAsia="Calibri" w:hint="eastAsia"/>
          <w:b/>
          <w:bCs/>
          <w:rtl/>
        </w:rPr>
        <w:t>על</w:t>
      </w:r>
      <w:r w:rsidRPr="00AA5065">
        <w:rPr>
          <w:rFonts w:eastAsia="Calibri" w:hint="cs"/>
          <w:b/>
          <w:bCs/>
          <w:rtl/>
        </w:rPr>
        <w:t xml:space="preserve"> פלישות </w:t>
      </w:r>
      <w:r w:rsidRPr="00AA5065">
        <w:rPr>
          <w:rFonts w:eastAsia="Calibri" w:hint="eastAsia"/>
          <w:b/>
          <w:bCs/>
          <w:rtl/>
        </w:rPr>
        <w:t>ופעולות</w:t>
      </w:r>
      <w:r w:rsidRPr="00AA5065">
        <w:rPr>
          <w:rFonts w:eastAsia="Calibri"/>
          <w:b/>
          <w:bCs/>
          <w:rtl/>
        </w:rPr>
        <w:t xml:space="preserve"> פליליות </w:t>
      </w:r>
      <w:r w:rsidRPr="00AA5065">
        <w:rPr>
          <w:rFonts w:eastAsia="Calibri" w:hint="eastAsia"/>
          <w:b/>
          <w:bCs/>
          <w:rtl/>
        </w:rPr>
        <w:t>אחרות</w:t>
      </w:r>
      <w:r w:rsidRPr="00AA5065">
        <w:rPr>
          <w:rFonts w:eastAsia="Calibri" w:hint="cs"/>
          <w:b/>
          <w:bCs/>
          <w:rtl/>
        </w:rPr>
        <w:t>,</w:t>
      </w:r>
      <w:r w:rsidRPr="00AA5065">
        <w:rPr>
          <w:rFonts w:eastAsia="Calibri"/>
          <w:b/>
          <w:bCs/>
          <w:rtl/>
        </w:rPr>
        <w:t xml:space="preserve"> כגון גידול </w:t>
      </w:r>
      <w:r w:rsidRPr="00AA5065">
        <w:rPr>
          <w:rFonts w:eastAsia="Calibri" w:hint="eastAsia"/>
          <w:b/>
          <w:bCs/>
          <w:rtl/>
        </w:rPr>
        <w:t>קנאביס</w:t>
      </w:r>
      <w:r w:rsidRPr="00AA5065">
        <w:rPr>
          <w:rFonts w:eastAsia="Calibri" w:hint="cs"/>
          <w:b/>
          <w:bCs/>
          <w:rtl/>
        </w:rPr>
        <w:t>, המתבצעות בשטחי האש של צה"ל ברחבי הנגב.</w:t>
      </w:r>
    </w:p>
    <w:p w:rsidR="00AA5065" w:rsidRPr="00AA5065" w:rsidP="00860D89">
      <w:pPr>
        <w:spacing w:line="269" w:lineRule="auto"/>
        <w:rPr>
          <w:rFonts w:eastAsia="Calibri"/>
          <w:rtl/>
        </w:rPr>
      </w:pPr>
    </w:p>
    <w:p w:rsidR="00734ECE" w:rsidRPr="00734ECE">
      <w:pPr>
        <w:bidi w:val="0"/>
        <w:spacing w:after="200" w:line="276" w:lineRule="auto"/>
        <w:rPr>
          <w:rFonts w:eastAsia="Times New Roman"/>
          <w:bCs/>
          <w:szCs w:val="28"/>
          <w:rtl/>
        </w:rPr>
      </w:pPr>
      <w:bookmarkStart w:id="143" w:name="_Toc9869672"/>
      <w:bookmarkStart w:id="144" w:name="_Toc31186281"/>
      <w:bookmarkStart w:id="145" w:name="_Toc40713073"/>
      <w:bookmarkStart w:id="146" w:name="_Toc74217770"/>
      <w:r w:rsidRPr="00734ECE">
        <w:rPr>
          <w:rFonts w:eastAsia="Times New Roman"/>
          <w:bCs/>
          <w:szCs w:val="28"/>
          <w:rtl/>
        </w:rPr>
        <w:br w:type="page"/>
      </w:r>
    </w:p>
    <w:p w:rsidR="00AA5065" w:rsidRPr="00AA5065" w:rsidP="00860D89">
      <w:pPr>
        <w:keepNext/>
        <w:keepLines/>
        <w:spacing w:line="269" w:lineRule="auto"/>
        <w:outlineLvl w:val="2"/>
        <w:rPr>
          <w:rFonts w:eastAsia="Times New Roman"/>
          <w:bCs/>
          <w:szCs w:val="28"/>
          <w:u w:val="single"/>
          <w:rtl/>
        </w:rPr>
      </w:pPr>
      <w:r w:rsidRPr="00AA5065">
        <w:rPr>
          <w:rFonts w:eastAsia="Times New Roman" w:hint="eastAsia"/>
          <w:bCs/>
          <w:szCs w:val="28"/>
          <w:u w:val="single"/>
          <w:rtl/>
        </w:rPr>
        <w:t>אוכלוסייה</w:t>
      </w:r>
      <w:r w:rsidRPr="00AA5065">
        <w:rPr>
          <w:rFonts w:eastAsia="Times New Roman"/>
          <w:bCs/>
          <w:szCs w:val="28"/>
          <w:u w:val="single"/>
          <w:rtl/>
        </w:rPr>
        <w:t xml:space="preserve"> </w:t>
      </w:r>
      <w:r w:rsidRPr="00AA5065">
        <w:rPr>
          <w:rFonts w:eastAsia="Times New Roman" w:hint="eastAsia"/>
          <w:bCs/>
          <w:szCs w:val="28"/>
          <w:u w:val="single"/>
          <w:rtl/>
        </w:rPr>
        <w:t>בדואית</w:t>
      </w:r>
      <w:r w:rsidRPr="00AA5065">
        <w:rPr>
          <w:rFonts w:eastAsia="Times New Roman"/>
          <w:bCs/>
          <w:szCs w:val="28"/>
          <w:u w:val="single"/>
          <w:rtl/>
        </w:rPr>
        <w:t xml:space="preserve"> </w:t>
      </w:r>
      <w:r w:rsidRPr="00AA5065">
        <w:rPr>
          <w:rFonts w:eastAsia="Times New Roman" w:hint="eastAsia"/>
          <w:bCs/>
          <w:szCs w:val="28"/>
          <w:u w:val="single"/>
          <w:rtl/>
        </w:rPr>
        <w:t>בקרבה</w:t>
      </w:r>
      <w:r w:rsidRPr="00AA5065">
        <w:rPr>
          <w:rFonts w:eastAsia="Times New Roman"/>
          <w:bCs/>
          <w:szCs w:val="28"/>
          <w:u w:val="single"/>
          <w:rtl/>
        </w:rPr>
        <w:t xml:space="preserve"> </w:t>
      </w:r>
      <w:r w:rsidRPr="00AA5065">
        <w:rPr>
          <w:rFonts w:eastAsia="Times New Roman" w:hint="eastAsia"/>
          <w:bCs/>
          <w:szCs w:val="28"/>
          <w:u w:val="single"/>
          <w:rtl/>
        </w:rPr>
        <w:t>יתרה</w:t>
      </w:r>
      <w:r w:rsidRPr="00AA5065">
        <w:rPr>
          <w:rFonts w:eastAsia="Times New Roman"/>
          <w:bCs/>
          <w:szCs w:val="28"/>
          <w:u w:val="single"/>
          <w:rtl/>
        </w:rPr>
        <w:t xml:space="preserve"> </w:t>
      </w:r>
      <w:r w:rsidRPr="00AA5065">
        <w:rPr>
          <w:rFonts w:eastAsia="Times New Roman" w:hint="eastAsia"/>
          <w:bCs/>
          <w:szCs w:val="28"/>
          <w:u w:val="single"/>
          <w:rtl/>
        </w:rPr>
        <w:t>לבסיס</w:t>
      </w:r>
      <w:r w:rsidRPr="00AA5065">
        <w:rPr>
          <w:rFonts w:eastAsia="Times New Roman"/>
          <w:bCs/>
          <w:szCs w:val="28"/>
          <w:u w:val="single"/>
          <w:rtl/>
        </w:rPr>
        <w:t xml:space="preserve"> </w:t>
      </w:r>
      <w:r w:rsidRPr="00AA5065">
        <w:rPr>
          <w:rFonts w:eastAsia="Times New Roman" w:hint="eastAsia"/>
          <w:bCs/>
          <w:szCs w:val="28"/>
          <w:u w:val="single"/>
          <w:rtl/>
        </w:rPr>
        <w:t>חיל</w:t>
      </w:r>
      <w:r w:rsidRPr="00AA5065">
        <w:rPr>
          <w:rFonts w:eastAsia="Times New Roman"/>
          <w:bCs/>
          <w:szCs w:val="28"/>
          <w:u w:val="single"/>
          <w:rtl/>
        </w:rPr>
        <w:t xml:space="preserve"> </w:t>
      </w:r>
      <w:r w:rsidRPr="00AA5065">
        <w:rPr>
          <w:rFonts w:eastAsia="Times New Roman" w:hint="eastAsia"/>
          <w:bCs/>
          <w:szCs w:val="28"/>
          <w:u w:val="single"/>
          <w:rtl/>
        </w:rPr>
        <w:t>האוויר</w:t>
      </w:r>
      <w:r w:rsidRPr="00AA5065">
        <w:rPr>
          <w:rFonts w:eastAsia="Times New Roman"/>
          <w:bCs/>
          <w:szCs w:val="28"/>
          <w:u w:val="single"/>
          <w:rtl/>
        </w:rPr>
        <w:t xml:space="preserve"> </w:t>
      </w:r>
      <w:r w:rsidRPr="00AA5065">
        <w:rPr>
          <w:rFonts w:eastAsia="Times New Roman" w:hint="eastAsia"/>
          <w:bCs/>
          <w:szCs w:val="28"/>
          <w:u w:val="single"/>
          <w:rtl/>
        </w:rPr>
        <w:t>בנבטים</w:t>
      </w:r>
      <w:bookmarkEnd w:id="143"/>
      <w:bookmarkEnd w:id="144"/>
      <w:bookmarkEnd w:id="145"/>
      <w:bookmarkEnd w:id="146"/>
    </w:p>
    <w:p w:rsidR="00AA5065" w:rsidRPr="00AA5065" w:rsidP="00860D89">
      <w:pPr>
        <w:spacing w:line="269" w:lineRule="auto"/>
        <w:ind w:left="-567"/>
        <w:rPr>
          <w:rFonts w:eastAsia="Calibri"/>
          <w:szCs w:val="20"/>
          <w:rtl/>
        </w:rPr>
      </w:pPr>
    </w:p>
    <w:p w:rsidR="00AA5065" w:rsidRPr="00AA5065" w:rsidP="00860D89">
      <w:pPr>
        <w:keepNext/>
        <w:spacing w:line="269" w:lineRule="auto"/>
        <w:rPr>
          <w:rFonts w:ascii="David" w:eastAsia="Calibri" w:hAnsi="David"/>
          <w:sz w:val="24"/>
          <w:rtl/>
        </w:rPr>
      </w:pPr>
      <w:r w:rsidRPr="00AA5065">
        <w:rPr>
          <w:rFonts w:ascii="David" w:eastAsia="Calibri" w:hAnsi="David" w:hint="eastAsia"/>
          <w:sz w:val="24"/>
          <w:rtl/>
        </w:rPr>
        <w:t>בסיס</w:t>
      </w:r>
      <w:r w:rsidRPr="00AA5065">
        <w:rPr>
          <w:rFonts w:ascii="David" w:eastAsia="Calibri" w:hAnsi="David"/>
          <w:sz w:val="24"/>
          <w:rtl/>
        </w:rPr>
        <w:t xml:space="preserve"> </w:t>
      </w:r>
      <w:r w:rsidRPr="00AA5065">
        <w:rPr>
          <w:rFonts w:ascii="David" w:eastAsia="Calibri" w:hAnsi="David" w:hint="eastAsia"/>
          <w:sz w:val="24"/>
          <w:rtl/>
        </w:rPr>
        <w:t>חיל</w:t>
      </w:r>
      <w:r w:rsidRPr="00AA5065">
        <w:rPr>
          <w:rFonts w:ascii="David" w:eastAsia="Calibri" w:hAnsi="David"/>
          <w:sz w:val="24"/>
          <w:rtl/>
        </w:rPr>
        <w:t xml:space="preserve"> </w:t>
      </w:r>
      <w:r w:rsidRPr="00AA5065">
        <w:rPr>
          <w:rFonts w:ascii="David" w:eastAsia="Calibri" w:hAnsi="David" w:hint="eastAsia"/>
          <w:sz w:val="24"/>
          <w:rtl/>
        </w:rPr>
        <w:t>האוויר</w:t>
      </w:r>
      <w:r w:rsidRPr="00AA5065">
        <w:rPr>
          <w:rFonts w:ascii="David" w:eastAsia="Calibri" w:hAnsi="David"/>
          <w:sz w:val="24"/>
          <w:rtl/>
        </w:rPr>
        <w:t xml:space="preserve"> </w:t>
      </w:r>
      <w:r w:rsidRPr="00AA5065">
        <w:rPr>
          <w:rFonts w:ascii="David" w:eastAsia="Calibri" w:hAnsi="David" w:hint="eastAsia"/>
          <w:sz w:val="24"/>
          <w:rtl/>
        </w:rPr>
        <w:t>נבטים</w:t>
      </w:r>
      <w:r w:rsidRPr="00AA5065">
        <w:rPr>
          <w:rFonts w:ascii="David" w:eastAsia="Calibri" w:hAnsi="David"/>
          <w:sz w:val="24"/>
          <w:rtl/>
        </w:rPr>
        <w:t xml:space="preserve">, שבנייתו הסתיימה באוקטובר 1983, נמצא סמוך לתל מלחתה ולערערה שבנגב. יצוין ששבטי הבדואים ששכנו במתחם זה בעבר קיבלו מהמדינה "שטחי תמורה" במסגרת הפינוי שלהם מהמתחם. כיום הבסיס </w:t>
      </w:r>
      <w:r w:rsidRPr="00AA5065">
        <w:rPr>
          <w:rFonts w:ascii="David" w:eastAsia="Calibri" w:hAnsi="David" w:hint="eastAsia"/>
          <w:sz w:val="24"/>
          <w:rtl/>
        </w:rPr>
        <w:t>מוקף</w:t>
      </w:r>
      <w:r w:rsidRPr="00AA5065">
        <w:rPr>
          <w:rFonts w:ascii="David" w:eastAsia="Calibri" w:hAnsi="David"/>
          <w:sz w:val="24"/>
          <w:rtl/>
        </w:rPr>
        <w:t xml:space="preserve"> מכל עבריו בהתיישבות בדואית צפופה, הן של הי</w:t>
      </w:r>
      <w:r w:rsidRPr="00AA5065">
        <w:rPr>
          <w:rFonts w:ascii="David" w:eastAsia="Calibri" w:hAnsi="David" w:hint="eastAsia"/>
          <w:sz w:val="24"/>
          <w:rtl/>
        </w:rPr>
        <w:t>י</w:t>
      </w:r>
      <w:r w:rsidRPr="00AA5065">
        <w:rPr>
          <w:rFonts w:ascii="David" w:eastAsia="Calibri" w:hAnsi="David"/>
          <w:sz w:val="24"/>
          <w:rtl/>
        </w:rPr>
        <w:t xml:space="preserve">שוב </w:t>
      </w:r>
      <w:r w:rsidRPr="00AA5065">
        <w:rPr>
          <w:rFonts w:ascii="David" w:eastAsia="Calibri" w:hAnsi="David" w:hint="eastAsia"/>
          <w:sz w:val="24"/>
          <w:rtl/>
        </w:rPr>
        <w:t>ערערה</w:t>
      </w:r>
      <w:r w:rsidRPr="00AA5065">
        <w:rPr>
          <w:rFonts w:ascii="David" w:eastAsia="Calibri" w:hAnsi="David"/>
          <w:sz w:val="24"/>
          <w:rtl/>
        </w:rPr>
        <w:t xml:space="preserve"> </w:t>
      </w:r>
      <w:r w:rsidRPr="00AA5065">
        <w:rPr>
          <w:rFonts w:ascii="David" w:eastAsia="Calibri" w:hAnsi="David" w:hint="eastAsia"/>
          <w:sz w:val="24"/>
          <w:rtl/>
        </w:rPr>
        <w:t>בנגב</w:t>
      </w:r>
      <w:r w:rsidRPr="00AA5065">
        <w:rPr>
          <w:rFonts w:ascii="David" w:eastAsia="Calibri" w:hAnsi="David"/>
          <w:sz w:val="24"/>
          <w:rtl/>
        </w:rPr>
        <w:t xml:space="preserve"> והן של הפזורה עצמה, </w:t>
      </w:r>
      <w:r w:rsidRPr="00AA5065">
        <w:rPr>
          <w:rFonts w:ascii="David" w:eastAsia="Calibri" w:hAnsi="David" w:hint="eastAsia"/>
          <w:sz w:val="24"/>
          <w:rtl/>
        </w:rPr>
        <w:t>מצב</w:t>
      </w:r>
      <w:r w:rsidRPr="00AA5065">
        <w:rPr>
          <w:rFonts w:ascii="David" w:eastAsia="Calibri" w:hAnsi="David"/>
          <w:sz w:val="24"/>
          <w:rtl/>
        </w:rPr>
        <w:t xml:space="preserve"> </w:t>
      </w:r>
      <w:r w:rsidRPr="00AA5065">
        <w:rPr>
          <w:rFonts w:ascii="David" w:eastAsia="Calibri" w:hAnsi="David" w:hint="eastAsia"/>
          <w:sz w:val="24"/>
          <w:rtl/>
        </w:rPr>
        <w:t>זה</w:t>
      </w:r>
      <w:r w:rsidRPr="00AA5065">
        <w:rPr>
          <w:rFonts w:ascii="David" w:eastAsia="Calibri" w:hAnsi="David"/>
          <w:sz w:val="24"/>
          <w:rtl/>
        </w:rPr>
        <w:t xml:space="preserve"> </w:t>
      </w:r>
      <w:r w:rsidRPr="00AA5065">
        <w:rPr>
          <w:rFonts w:ascii="David" w:eastAsia="Calibri" w:hAnsi="David" w:hint="eastAsia"/>
          <w:sz w:val="24"/>
          <w:rtl/>
        </w:rPr>
        <w:t>מעלה</w:t>
      </w:r>
      <w:r w:rsidRPr="00AA5065">
        <w:rPr>
          <w:rFonts w:ascii="David" w:eastAsia="Calibri" w:hAnsi="David"/>
          <w:sz w:val="24"/>
          <w:rtl/>
        </w:rPr>
        <w:t xml:space="preserve"> </w:t>
      </w:r>
      <w:r w:rsidRPr="00AA5065">
        <w:rPr>
          <w:rFonts w:ascii="David" w:eastAsia="Calibri" w:hAnsi="David" w:hint="eastAsia"/>
          <w:sz w:val="24"/>
          <w:rtl/>
        </w:rPr>
        <w:t>בעיות</w:t>
      </w:r>
      <w:r w:rsidRPr="00AA5065">
        <w:rPr>
          <w:rFonts w:ascii="David" w:eastAsia="Calibri" w:hAnsi="David"/>
          <w:sz w:val="24"/>
          <w:rtl/>
        </w:rPr>
        <w:t xml:space="preserve"> </w:t>
      </w:r>
      <w:r w:rsidRPr="00AA5065">
        <w:rPr>
          <w:rFonts w:ascii="David" w:eastAsia="Calibri" w:hAnsi="David" w:hint="eastAsia"/>
          <w:sz w:val="24"/>
          <w:rtl/>
        </w:rPr>
        <w:t>שונות</w:t>
      </w:r>
      <w:r w:rsidRPr="00AA5065">
        <w:rPr>
          <w:rFonts w:ascii="David" w:eastAsia="Calibri" w:hAnsi="David"/>
          <w:sz w:val="24"/>
          <w:rtl/>
        </w:rPr>
        <w:t xml:space="preserve"> </w:t>
      </w:r>
      <w:r w:rsidRPr="00AA5065">
        <w:rPr>
          <w:rFonts w:ascii="David" w:eastAsia="Calibri" w:hAnsi="David" w:hint="eastAsia"/>
          <w:sz w:val="24"/>
          <w:rtl/>
        </w:rPr>
        <w:t>שעניינן</w:t>
      </w:r>
      <w:r w:rsidRPr="00AA5065">
        <w:rPr>
          <w:rFonts w:ascii="David" w:eastAsia="Calibri" w:hAnsi="David"/>
          <w:sz w:val="24"/>
          <w:rtl/>
        </w:rPr>
        <w:t xml:space="preserve"> פגיעה בביטחון, באיכות הסביבה ובתשתיות הבסיס </w:t>
      </w:r>
      <w:r w:rsidRPr="00AA5065">
        <w:rPr>
          <w:rFonts w:ascii="David" w:eastAsia="Calibri" w:hAnsi="David" w:hint="eastAsia"/>
          <w:sz w:val="24"/>
          <w:rtl/>
        </w:rPr>
        <w:t>וכן</w:t>
      </w:r>
      <w:r w:rsidRPr="00AA5065">
        <w:rPr>
          <w:rFonts w:ascii="David" w:eastAsia="Calibri" w:hAnsi="David"/>
          <w:sz w:val="24"/>
          <w:rtl/>
        </w:rPr>
        <w:t xml:space="preserve"> </w:t>
      </w:r>
      <w:r w:rsidRPr="00AA5065">
        <w:rPr>
          <w:rFonts w:ascii="David" w:eastAsia="Calibri" w:hAnsi="David" w:hint="eastAsia"/>
          <w:sz w:val="24"/>
          <w:rtl/>
        </w:rPr>
        <w:t>בתושבים</w:t>
      </w:r>
      <w:r w:rsidRPr="00AA5065">
        <w:rPr>
          <w:rFonts w:ascii="David" w:eastAsia="Calibri" w:hAnsi="David"/>
          <w:sz w:val="24"/>
          <w:rtl/>
        </w:rPr>
        <w:t xml:space="preserve"> </w:t>
      </w:r>
      <w:r w:rsidRPr="00AA5065">
        <w:rPr>
          <w:rFonts w:ascii="David" w:eastAsia="Calibri" w:hAnsi="David" w:hint="eastAsia"/>
          <w:sz w:val="24"/>
          <w:rtl/>
        </w:rPr>
        <w:t>הבדואים</w:t>
      </w:r>
      <w:r w:rsidRPr="00AA5065">
        <w:rPr>
          <w:rFonts w:ascii="David" w:eastAsia="Calibri" w:hAnsi="David"/>
          <w:sz w:val="24"/>
          <w:rtl/>
        </w:rPr>
        <w:t xml:space="preserve">. </w:t>
      </w:r>
    </w:p>
    <w:p w:rsidR="00AA5065" w:rsidRPr="00AA5065" w:rsidP="00860D89">
      <w:pPr>
        <w:spacing w:line="269" w:lineRule="auto"/>
        <w:rPr>
          <w:rFonts w:eastAsia="Calibri"/>
          <w:rtl/>
        </w:rPr>
      </w:pPr>
    </w:p>
    <w:p w:rsidR="00AA5065" w:rsidRPr="00AA5065" w:rsidP="00860D89">
      <w:pPr>
        <w:keepNext/>
        <w:keepLines/>
        <w:spacing w:line="269" w:lineRule="auto"/>
        <w:outlineLvl w:val="3"/>
        <w:rPr>
          <w:rFonts w:eastAsia="Times New Roman"/>
          <w:bCs/>
          <w:szCs w:val="26"/>
          <w:rtl/>
        </w:rPr>
      </w:pPr>
      <w:r w:rsidRPr="00AA5065">
        <w:rPr>
          <w:rFonts w:eastAsia="Times New Roman" w:hint="eastAsia"/>
          <w:bCs/>
          <w:szCs w:val="26"/>
          <w:rtl/>
        </w:rPr>
        <w:t>הביקורת</w:t>
      </w:r>
      <w:r w:rsidRPr="00AA5065">
        <w:rPr>
          <w:rFonts w:eastAsia="Times New Roman"/>
          <w:bCs/>
          <w:szCs w:val="26"/>
          <w:rtl/>
        </w:rPr>
        <w:t xml:space="preserve"> </w:t>
      </w:r>
      <w:r w:rsidRPr="00AA5065">
        <w:rPr>
          <w:rFonts w:eastAsia="Times New Roman" w:hint="eastAsia"/>
          <w:bCs/>
          <w:szCs w:val="26"/>
          <w:rtl/>
        </w:rPr>
        <w:t>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בביקורת הקודמת עלו מספר תופעות:</w:t>
      </w:r>
      <w:bookmarkStart w:id="147" w:name="_Toc74217771"/>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Times New Roman" w:hint="eastAsia"/>
          <w:bCs/>
          <w:spacing w:val="40"/>
          <w:rtl/>
        </w:rPr>
        <w:t>תצפית</w:t>
      </w:r>
      <w:r w:rsidRPr="00AA5065">
        <w:rPr>
          <w:rFonts w:eastAsia="Times New Roman"/>
          <w:bCs/>
          <w:spacing w:val="40"/>
          <w:rtl/>
        </w:rPr>
        <w:t xml:space="preserve"> </w:t>
      </w:r>
      <w:r w:rsidRPr="00AA5065">
        <w:rPr>
          <w:rFonts w:eastAsia="Times New Roman" w:hint="eastAsia"/>
          <w:bCs/>
          <w:spacing w:val="40"/>
          <w:rtl/>
        </w:rPr>
        <w:t>על</w:t>
      </w:r>
      <w:r w:rsidRPr="00AA5065">
        <w:rPr>
          <w:rFonts w:eastAsia="Times New Roman"/>
          <w:bCs/>
          <w:spacing w:val="40"/>
          <w:rtl/>
        </w:rPr>
        <w:t xml:space="preserve"> </w:t>
      </w:r>
      <w:r w:rsidRPr="00AA5065">
        <w:rPr>
          <w:rFonts w:eastAsia="Times New Roman" w:hint="eastAsia"/>
          <w:bCs/>
          <w:spacing w:val="40"/>
          <w:rtl/>
        </w:rPr>
        <w:t>בסיס</w:t>
      </w:r>
      <w:r w:rsidRPr="00AA5065">
        <w:rPr>
          <w:rFonts w:eastAsia="Times New Roman"/>
          <w:bCs/>
          <w:spacing w:val="40"/>
          <w:rtl/>
        </w:rPr>
        <w:t xml:space="preserve"> </w:t>
      </w:r>
      <w:r w:rsidRPr="00AA5065">
        <w:rPr>
          <w:rFonts w:eastAsia="Times New Roman" w:hint="eastAsia"/>
          <w:bCs/>
          <w:spacing w:val="40"/>
          <w:rtl/>
        </w:rPr>
        <w:t>נבטים</w:t>
      </w:r>
      <w:r w:rsidRPr="00AA5065">
        <w:rPr>
          <w:rFonts w:eastAsia="Times New Roman"/>
          <w:bCs/>
          <w:spacing w:val="40"/>
          <w:rtl/>
        </w:rPr>
        <w:t>:</w:t>
      </w:r>
      <w:bookmarkEnd w:id="147"/>
      <w:r w:rsidRPr="00AA5065">
        <w:rPr>
          <w:rFonts w:eastAsia="Calibri"/>
          <w:rtl/>
        </w:rPr>
        <w:t xml:space="preserve"> </w:t>
      </w:r>
      <w:r w:rsidRPr="00AA5065">
        <w:rPr>
          <w:rFonts w:eastAsia="Calibri" w:hint="eastAsia"/>
          <w:rtl/>
        </w:rPr>
        <w:t>ליד</w:t>
      </w:r>
      <w:r w:rsidRPr="00AA5065">
        <w:rPr>
          <w:rFonts w:eastAsia="Calibri"/>
          <w:rtl/>
        </w:rPr>
        <w:t xml:space="preserve"> ההתיישבות של פזורת </w:t>
      </w:r>
      <w:r w:rsidRPr="00AA5065">
        <w:rPr>
          <w:rFonts w:eastAsia="Calibri" w:hint="eastAsia"/>
          <w:rtl/>
        </w:rPr>
        <w:t>מולדה</w:t>
      </w:r>
      <w:r w:rsidRPr="00AA5065">
        <w:rPr>
          <w:rFonts w:eastAsia="Calibri"/>
          <w:rtl/>
        </w:rPr>
        <w:t xml:space="preserve"> קיים רכס שממנו ניתן להשקיף מלמעלה על הבסיס ולתעד את כל ההמראות והנחיתות. מצב זה מאפשר לימוד של דפוסי הפעולה שמאפיינים את פעילות הבסיס, הן בשגרה והן בחירום. </w:t>
      </w:r>
      <w:r w:rsidRPr="00AA5065">
        <w:rPr>
          <w:rFonts w:eastAsia="Calibri" w:hint="eastAsia"/>
          <w:rtl/>
        </w:rPr>
        <w:t>ידע</w:t>
      </w:r>
      <w:r w:rsidRPr="00AA5065">
        <w:rPr>
          <w:rFonts w:eastAsia="Calibri"/>
          <w:rtl/>
        </w:rPr>
        <w:t xml:space="preserve"> </w:t>
      </w:r>
      <w:r w:rsidRPr="00AA5065">
        <w:rPr>
          <w:rFonts w:eastAsia="Calibri" w:hint="eastAsia"/>
          <w:rtl/>
        </w:rPr>
        <w:t>זה</w:t>
      </w:r>
      <w:r w:rsidRPr="00AA5065">
        <w:rPr>
          <w:rFonts w:eastAsia="Calibri"/>
          <w:rtl/>
        </w:rPr>
        <w:t xml:space="preserve"> </w:t>
      </w:r>
      <w:r w:rsidRPr="00AA5065">
        <w:rPr>
          <w:rFonts w:eastAsia="Calibri" w:hint="eastAsia"/>
          <w:rtl/>
        </w:rPr>
        <w:t>הוא</w:t>
      </w:r>
      <w:r w:rsidRPr="00AA5065">
        <w:rPr>
          <w:rFonts w:eastAsia="Calibri"/>
          <w:rtl/>
        </w:rPr>
        <w:t xml:space="preserve"> נכס מודיעיני אסטרטגי </w:t>
      </w:r>
      <w:r w:rsidRPr="00AA5065">
        <w:rPr>
          <w:rFonts w:eastAsia="Calibri" w:hint="eastAsia"/>
          <w:rtl/>
        </w:rPr>
        <w:t>והוא</w:t>
      </w:r>
      <w:r w:rsidRPr="00AA5065">
        <w:rPr>
          <w:rFonts w:eastAsia="Calibri"/>
          <w:rtl/>
        </w:rPr>
        <w:t xml:space="preserve"> </w:t>
      </w:r>
      <w:r w:rsidRPr="00AA5065">
        <w:rPr>
          <w:rFonts w:eastAsia="Calibri" w:hint="eastAsia"/>
          <w:rtl/>
        </w:rPr>
        <w:t>חשוף</w:t>
      </w:r>
      <w:r w:rsidRPr="00AA5065">
        <w:rPr>
          <w:rFonts w:eastAsia="Calibri"/>
          <w:rtl/>
        </w:rPr>
        <w:t xml:space="preserve"> לעיני כ</w:t>
      </w:r>
      <w:r w:rsidRPr="00AA5065">
        <w:rPr>
          <w:rFonts w:eastAsia="Calibri" w:hint="eastAsia"/>
          <w:rtl/>
        </w:rPr>
        <w:t>ו</w:t>
      </w:r>
      <w:r w:rsidRPr="00AA5065">
        <w:rPr>
          <w:rFonts w:eastAsia="Calibri"/>
          <w:rtl/>
        </w:rPr>
        <w:t>ל.</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bookmarkStart w:id="148" w:name="_Toc74217772"/>
      <w:r w:rsidRPr="00AA5065">
        <w:rPr>
          <w:rFonts w:eastAsia="Times New Roman" w:hint="eastAsia"/>
          <w:bCs/>
          <w:spacing w:val="40"/>
          <w:rtl/>
        </w:rPr>
        <w:t>רעיית</w:t>
      </w:r>
      <w:r w:rsidRPr="00AA5065">
        <w:rPr>
          <w:rFonts w:eastAsia="Times New Roman"/>
          <w:bCs/>
          <w:spacing w:val="40"/>
          <w:rtl/>
        </w:rPr>
        <w:t xml:space="preserve"> </w:t>
      </w:r>
      <w:r w:rsidRPr="00AA5065">
        <w:rPr>
          <w:rFonts w:eastAsia="Times New Roman" w:hint="eastAsia"/>
          <w:bCs/>
          <w:spacing w:val="40"/>
          <w:rtl/>
        </w:rPr>
        <w:t>צאן</w:t>
      </w:r>
      <w:r w:rsidRPr="00AA5065">
        <w:rPr>
          <w:rFonts w:eastAsia="Times New Roman"/>
          <w:bCs/>
          <w:spacing w:val="40"/>
          <w:rtl/>
        </w:rPr>
        <w:t xml:space="preserve"> </w:t>
      </w:r>
      <w:r w:rsidRPr="00AA5065">
        <w:rPr>
          <w:rFonts w:eastAsia="Times New Roman" w:hint="eastAsia"/>
          <w:bCs/>
          <w:spacing w:val="40"/>
          <w:rtl/>
        </w:rPr>
        <w:t>סמוך</w:t>
      </w:r>
      <w:r w:rsidRPr="00AA5065">
        <w:rPr>
          <w:rFonts w:eastAsia="Times New Roman"/>
          <w:bCs/>
          <w:spacing w:val="40"/>
          <w:rtl/>
        </w:rPr>
        <w:t xml:space="preserve"> </w:t>
      </w:r>
      <w:r w:rsidRPr="00AA5065">
        <w:rPr>
          <w:rFonts w:eastAsia="Times New Roman" w:hint="eastAsia"/>
          <w:bCs/>
          <w:spacing w:val="40"/>
          <w:rtl/>
        </w:rPr>
        <w:t>לבסיס</w:t>
      </w:r>
      <w:r w:rsidRPr="00AA5065">
        <w:rPr>
          <w:rFonts w:eastAsia="Times New Roman"/>
          <w:bCs/>
          <w:spacing w:val="40"/>
          <w:rtl/>
        </w:rPr>
        <w:t xml:space="preserve"> </w:t>
      </w:r>
      <w:r w:rsidRPr="00AA5065">
        <w:rPr>
          <w:rFonts w:eastAsia="Times New Roman" w:hint="eastAsia"/>
          <w:bCs/>
          <w:spacing w:val="40"/>
          <w:rtl/>
        </w:rPr>
        <w:t>נבטים</w:t>
      </w:r>
      <w:r w:rsidRPr="00AA5065">
        <w:rPr>
          <w:rFonts w:eastAsia="Times New Roman"/>
          <w:bCs/>
          <w:spacing w:val="40"/>
          <w:rtl/>
        </w:rPr>
        <w:t>:</w:t>
      </w:r>
      <w:bookmarkEnd w:id="148"/>
      <w:r w:rsidRPr="00AA5065">
        <w:rPr>
          <w:rFonts w:eastAsia="Calibri"/>
          <w:rtl/>
        </w:rPr>
        <w:t xml:space="preserve"> </w:t>
      </w:r>
      <w:r w:rsidRPr="00AA5065">
        <w:rPr>
          <w:rFonts w:eastAsia="Calibri" w:hint="eastAsia"/>
          <w:rtl/>
        </w:rPr>
        <w:t>רועי</w:t>
      </w:r>
      <w:r w:rsidRPr="00AA5065">
        <w:rPr>
          <w:rFonts w:eastAsia="Calibri"/>
          <w:rtl/>
        </w:rPr>
        <w:t xml:space="preserve"> </w:t>
      </w:r>
      <w:r w:rsidRPr="00AA5065">
        <w:rPr>
          <w:rFonts w:eastAsia="Calibri" w:hint="eastAsia"/>
          <w:rtl/>
        </w:rPr>
        <w:t>צאן</w:t>
      </w:r>
      <w:r w:rsidRPr="00AA5065">
        <w:rPr>
          <w:rFonts w:eastAsia="Calibri"/>
          <w:rtl/>
        </w:rPr>
        <w:t xml:space="preserve"> </w:t>
      </w:r>
      <w:r w:rsidRPr="00AA5065">
        <w:rPr>
          <w:rFonts w:eastAsia="Calibri" w:hint="eastAsia"/>
          <w:rtl/>
        </w:rPr>
        <w:t>ו</w:t>
      </w:r>
      <w:r w:rsidRPr="00AA5065">
        <w:rPr>
          <w:rFonts w:eastAsia="Calibri"/>
          <w:rtl/>
        </w:rPr>
        <w:t xml:space="preserve">תושבים </w:t>
      </w:r>
      <w:r w:rsidRPr="00AA5065">
        <w:rPr>
          <w:rFonts w:eastAsia="Calibri" w:hint="eastAsia"/>
          <w:rtl/>
        </w:rPr>
        <w:t>מפזורת</w:t>
      </w:r>
      <w:r w:rsidRPr="00AA5065">
        <w:rPr>
          <w:rFonts w:eastAsia="Calibri"/>
          <w:rtl/>
        </w:rPr>
        <w:t xml:space="preserve"> </w:t>
      </w:r>
      <w:r w:rsidRPr="00AA5065">
        <w:rPr>
          <w:rFonts w:eastAsia="Calibri" w:hint="eastAsia"/>
          <w:rtl/>
        </w:rPr>
        <w:t>כסיפה</w:t>
      </w:r>
      <w:r w:rsidRPr="00AA5065">
        <w:rPr>
          <w:rFonts w:eastAsia="Calibri"/>
          <w:rtl/>
        </w:rPr>
        <w:t xml:space="preserve"> </w:t>
      </w:r>
      <w:r w:rsidRPr="00AA5065">
        <w:rPr>
          <w:rFonts w:eastAsia="Calibri" w:hint="eastAsia"/>
          <w:rtl/>
        </w:rPr>
        <w:t>מתקרבים</w:t>
      </w:r>
      <w:r w:rsidRPr="00AA5065">
        <w:rPr>
          <w:rFonts w:eastAsia="Calibri"/>
          <w:rtl/>
        </w:rPr>
        <w:t xml:space="preserve"> </w:t>
      </w:r>
      <w:r w:rsidRPr="00AA5065">
        <w:rPr>
          <w:rFonts w:eastAsia="Calibri" w:hint="eastAsia"/>
          <w:rtl/>
        </w:rPr>
        <w:t>לעיתים</w:t>
      </w:r>
      <w:r w:rsidRPr="00AA5065">
        <w:rPr>
          <w:rFonts w:eastAsia="Calibri"/>
          <w:rtl/>
        </w:rPr>
        <w:t xml:space="preserve"> </w:t>
      </w:r>
      <w:r w:rsidRPr="00AA5065">
        <w:rPr>
          <w:rFonts w:eastAsia="Calibri" w:hint="eastAsia"/>
          <w:rtl/>
        </w:rPr>
        <w:t>למובלעת</w:t>
      </w:r>
      <w:r>
        <w:rPr>
          <w:rFonts w:eastAsia="Calibri"/>
          <w:vertAlign w:val="superscript"/>
          <w:rtl/>
        </w:rPr>
        <w:footnoteReference w:id="150"/>
      </w:r>
      <w:r w:rsidRPr="00AA5065">
        <w:rPr>
          <w:rFonts w:eastAsia="Calibri" w:hint="cs"/>
          <w:rtl/>
        </w:rPr>
        <w:t xml:space="preserve"> </w:t>
      </w:r>
      <w:r w:rsidRPr="00AA5065">
        <w:rPr>
          <w:rFonts w:eastAsia="Calibri"/>
          <w:rtl/>
        </w:rPr>
        <w:t xml:space="preserve">של הבסיס </w:t>
      </w:r>
      <w:r w:rsidRPr="00AA5065">
        <w:rPr>
          <w:rFonts w:eastAsia="Calibri" w:hint="eastAsia"/>
          <w:rtl/>
        </w:rPr>
        <w:t>שבצידו</w:t>
      </w:r>
      <w:r w:rsidRPr="00AA5065">
        <w:rPr>
          <w:rFonts w:eastAsia="Calibri"/>
          <w:rtl/>
        </w:rPr>
        <w:t xml:space="preserve"> </w:t>
      </w:r>
      <w:r w:rsidRPr="00AA5065">
        <w:rPr>
          <w:rFonts w:eastAsia="Calibri" w:hint="eastAsia"/>
          <w:rtl/>
        </w:rPr>
        <w:t>המזרחי</w:t>
      </w:r>
      <w:r w:rsidRPr="00AA5065">
        <w:rPr>
          <w:rFonts w:eastAsia="Calibri"/>
          <w:rtl/>
        </w:rPr>
        <w:t xml:space="preserve">, עד כדי </w:t>
      </w:r>
      <w:r w:rsidRPr="00AA5065">
        <w:rPr>
          <w:rFonts w:eastAsia="Calibri" w:hint="eastAsia"/>
          <w:rtl/>
        </w:rPr>
        <w:t>כניסה</w:t>
      </w:r>
      <w:r w:rsidRPr="00AA5065">
        <w:rPr>
          <w:rFonts w:eastAsia="Calibri"/>
          <w:rtl/>
        </w:rPr>
        <w:t xml:space="preserve"> </w:t>
      </w:r>
      <w:r w:rsidRPr="00AA5065">
        <w:rPr>
          <w:rFonts w:eastAsia="Calibri" w:hint="eastAsia"/>
          <w:rtl/>
        </w:rPr>
        <w:t>ל</w:t>
      </w:r>
      <w:r w:rsidRPr="00AA5065">
        <w:rPr>
          <w:rFonts w:eastAsia="Calibri"/>
          <w:rtl/>
        </w:rPr>
        <w:t xml:space="preserve">מובלעת עצמה, מצב </w:t>
      </w:r>
      <w:r w:rsidRPr="00AA5065">
        <w:rPr>
          <w:rFonts w:eastAsia="Calibri" w:hint="eastAsia"/>
          <w:rtl/>
        </w:rPr>
        <w:t>שיש</w:t>
      </w:r>
      <w:r w:rsidRPr="00AA5065">
        <w:rPr>
          <w:rFonts w:eastAsia="Calibri"/>
          <w:rtl/>
        </w:rPr>
        <w:t xml:space="preserve"> </w:t>
      </w:r>
      <w:r w:rsidRPr="00AA5065">
        <w:rPr>
          <w:rFonts w:eastAsia="Calibri" w:hint="eastAsia"/>
          <w:rtl/>
        </w:rPr>
        <w:t>בו</w:t>
      </w:r>
      <w:r w:rsidRPr="00AA5065">
        <w:rPr>
          <w:rFonts w:eastAsia="Calibri"/>
          <w:rtl/>
        </w:rPr>
        <w:t xml:space="preserve"> פוטנציאל לפגיעה במטוס, שיכולה להסב נזקים אדירים, </w:t>
      </w:r>
      <w:r w:rsidRPr="00AA5065">
        <w:rPr>
          <w:rFonts w:eastAsia="Calibri" w:hint="eastAsia"/>
          <w:rtl/>
        </w:rPr>
        <w:t>ו</w:t>
      </w:r>
      <w:r w:rsidRPr="00AA5065">
        <w:rPr>
          <w:rFonts w:eastAsia="Calibri"/>
          <w:rtl/>
        </w:rPr>
        <w:t xml:space="preserve">בתושבים עצמם. </w:t>
      </w:r>
      <w:bookmarkStart w:id="149" w:name="_Toc74217773"/>
    </w:p>
    <w:p w:rsidR="00AA5065" w:rsidRPr="00AA5065" w:rsidP="00860D89">
      <w:pPr>
        <w:spacing w:line="269" w:lineRule="auto"/>
        <w:ind w:left="-567"/>
        <w:rPr>
          <w:rFonts w:eastAsia="Times New Roman"/>
          <w:bCs/>
          <w:spacing w:val="40"/>
          <w:rtl/>
        </w:rPr>
      </w:pPr>
    </w:p>
    <w:p w:rsidR="00AA5065" w:rsidRPr="00AA5065" w:rsidP="00860D89">
      <w:pPr>
        <w:spacing w:line="269" w:lineRule="auto"/>
        <w:rPr>
          <w:rFonts w:eastAsia="Calibri"/>
          <w:rtl/>
        </w:rPr>
      </w:pPr>
      <w:r w:rsidRPr="00AA5065">
        <w:rPr>
          <w:rFonts w:eastAsia="Times New Roman" w:hint="eastAsia"/>
          <w:bCs/>
          <w:spacing w:val="40"/>
          <w:rtl/>
        </w:rPr>
        <w:t>השלכת</w:t>
      </w:r>
      <w:r w:rsidRPr="00AA5065">
        <w:rPr>
          <w:rFonts w:eastAsia="Times New Roman"/>
          <w:bCs/>
          <w:spacing w:val="40"/>
          <w:rtl/>
        </w:rPr>
        <w:t xml:space="preserve"> </w:t>
      </w:r>
      <w:r w:rsidRPr="00AA5065">
        <w:rPr>
          <w:rFonts w:eastAsia="Times New Roman" w:hint="eastAsia"/>
          <w:bCs/>
          <w:spacing w:val="40"/>
          <w:rtl/>
        </w:rPr>
        <w:t>צמיגים</w:t>
      </w:r>
      <w:r w:rsidRPr="00AA5065">
        <w:rPr>
          <w:rFonts w:eastAsia="Times New Roman"/>
          <w:bCs/>
          <w:spacing w:val="40"/>
          <w:rtl/>
        </w:rPr>
        <w:t xml:space="preserve"> </w:t>
      </w:r>
      <w:r w:rsidRPr="00AA5065">
        <w:rPr>
          <w:rFonts w:eastAsia="Times New Roman" w:hint="eastAsia"/>
          <w:bCs/>
          <w:spacing w:val="40"/>
          <w:rtl/>
        </w:rPr>
        <w:t>ואבנים</w:t>
      </w:r>
      <w:r w:rsidRPr="00AA5065">
        <w:rPr>
          <w:rFonts w:eastAsia="Times New Roman"/>
          <w:bCs/>
          <w:spacing w:val="40"/>
          <w:rtl/>
        </w:rPr>
        <w:t xml:space="preserve"> </w:t>
      </w:r>
      <w:r w:rsidRPr="00AA5065">
        <w:rPr>
          <w:rFonts w:eastAsia="Times New Roman" w:hint="eastAsia"/>
          <w:bCs/>
          <w:spacing w:val="40"/>
          <w:rtl/>
        </w:rPr>
        <w:t>בנתיבי</w:t>
      </w:r>
      <w:r w:rsidRPr="00AA5065">
        <w:rPr>
          <w:rFonts w:eastAsia="Times New Roman"/>
          <w:bCs/>
          <w:spacing w:val="40"/>
          <w:rtl/>
        </w:rPr>
        <w:t xml:space="preserve"> </w:t>
      </w:r>
      <w:r w:rsidRPr="00AA5065">
        <w:rPr>
          <w:rFonts w:eastAsia="Times New Roman" w:hint="eastAsia"/>
          <w:bCs/>
          <w:spacing w:val="40"/>
          <w:rtl/>
        </w:rPr>
        <w:t>תחבורה</w:t>
      </w:r>
      <w:r w:rsidRPr="00AA5065">
        <w:rPr>
          <w:rFonts w:eastAsia="Times New Roman"/>
          <w:bCs/>
          <w:spacing w:val="40"/>
          <w:rtl/>
        </w:rPr>
        <w:t>:</w:t>
      </w:r>
      <w:bookmarkEnd w:id="149"/>
      <w:r w:rsidRPr="00AA5065">
        <w:rPr>
          <w:rFonts w:eastAsia="Calibri"/>
          <w:rtl/>
        </w:rPr>
        <w:t xml:space="preserve"> לעיתים מושלכים צמיגים ואבנים לעבר מכוניות צבאיות הנעות בכביש 80.</w:t>
      </w:r>
      <w:bookmarkStart w:id="150" w:name="_Toc74217774"/>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Times New Roman" w:hint="eastAsia"/>
          <w:bCs/>
          <w:spacing w:val="40"/>
          <w:rtl/>
        </w:rPr>
        <w:t>קרבת</w:t>
      </w:r>
      <w:r w:rsidRPr="00AA5065">
        <w:rPr>
          <w:rFonts w:eastAsia="Times New Roman"/>
          <w:bCs/>
          <w:spacing w:val="40"/>
          <w:rtl/>
        </w:rPr>
        <w:t xml:space="preserve"> </w:t>
      </w:r>
      <w:r w:rsidRPr="00AA5065">
        <w:rPr>
          <w:rFonts w:eastAsia="Times New Roman" w:hint="eastAsia"/>
          <w:bCs/>
          <w:spacing w:val="40"/>
          <w:rtl/>
        </w:rPr>
        <w:t>התושבים</w:t>
      </w:r>
      <w:r w:rsidRPr="00AA5065">
        <w:rPr>
          <w:rFonts w:eastAsia="Times New Roman"/>
          <w:bCs/>
          <w:spacing w:val="40"/>
          <w:rtl/>
        </w:rPr>
        <w:t xml:space="preserve"> </w:t>
      </w:r>
      <w:r w:rsidRPr="00AA5065">
        <w:rPr>
          <w:rFonts w:eastAsia="Times New Roman" w:hint="eastAsia"/>
          <w:bCs/>
          <w:spacing w:val="40"/>
          <w:rtl/>
        </w:rPr>
        <w:t>לגדרות</w:t>
      </w:r>
      <w:r w:rsidRPr="00AA5065">
        <w:rPr>
          <w:rFonts w:eastAsia="Times New Roman"/>
          <w:bCs/>
          <w:spacing w:val="40"/>
          <w:rtl/>
        </w:rPr>
        <w:t xml:space="preserve"> </w:t>
      </w:r>
      <w:r w:rsidRPr="00AA5065">
        <w:rPr>
          <w:rFonts w:eastAsia="Times New Roman" w:hint="eastAsia"/>
          <w:bCs/>
          <w:spacing w:val="40"/>
          <w:rtl/>
        </w:rPr>
        <w:t>הבסיס</w:t>
      </w:r>
      <w:bookmarkEnd w:id="150"/>
      <w:r w:rsidRPr="00AA5065">
        <w:rPr>
          <w:rFonts w:eastAsia="Times New Roman"/>
          <w:bCs/>
          <w:spacing w:val="40"/>
          <w:rtl/>
        </w:rPr>
        <w:t>:</w:t>
      </w:r>
      <w:r w:rsidRPr="00AA5065">
        <w:rPr>
          <w:rFonts w:eastAsia="Calibri"/>
          <w:rtl/>
        </w:rPr>
        <w:t xml:space="preserve"> </w:t>
      </w:r>
      <w:r w:rsidRPr="00AA5065">
        <w:rPr>
          <w:rFonts w:eastAsia="Calibri" w:hint="eastAsia"/>
          <w:rtl/>
        </w:rPr>
        <w:t>שבטים</w:t>
      </w:r>
      <w:r w:rsidRPr="00AA5065">
        <w:rPr>
          <w:rFonts w:eastAsia="Calibri"/>
          <w:rtl/>
        </w:rPr>
        <w:t xml:space="preserve"> </w:t>
      </w:r>
      <w:r w:rsidRPr="00AA5065">
        <w:rPr>
          <w:rFonts w:eastAsia="Calibri" w:hint="eastAsia"/>
          <w:rtl/>
        </w:rPr>
        <w:t>שנמצאים</w:t>
      </w:r>
      <w:r w:rsidRPr="00AA5065">
        <w:rPr>
          <w:rFonts w:eastAsia="Calibri"/>
          <w:rtl/>
        </w:rPr>
        <w:t xml:space="preserve"> בחלקו הצפוני של הבסיס מתקרבים באין מפריע לבסיס, </w:t>
      </w:r>
      <w:r w:rsidRPr="00AA5065">
        <w:rPr>
          <w:rFonts w:eastAsia="Calibri" w:hint="eastAsia"/>
          <w:rtl/>
        </w:rPr>
        <w:t>ולעיתים</w:t>
      </w:r>
      <w:r w:rsidRPr="00AA5065">
        <w:rPr>
          <w:rFonts w:eastAsia="Calibri"/>
          <w:rtl/>
        </w:rPr>
        <w:t xml:space="preserve"> </w:t>
      </w:r>
      <w:r w:rsidRPr="00AA5065">
        <w:rPr>
          <w:rFonts w:eastAsia="Calibri" w:hint="eastAsia"/>
          <w:rtl/>
        </w:rPr>
        <w:t>אף</w:t>
      </w:r>
      <w:r w:rsidRPr="00AA5065">
        <w:rPr>
          <w:rFonts w:eastAsia="Calibri"/>
          <w:rtl/>
        </w:rPr>
        <w:t xml:space="preserve"> </w:t>
      </w:r>
      <w:r w:rsidRPr="00AA5065">
        <w:rPr>
          <w:rFonts w:eastAsia="Calibri" w:hint="eastAsia"/>
          <w:rtl/>
        </w:rPr>
        <w:t>קושרים</w:t>
      </w:r>
      <w:r w:rsidRPr="00AA5065">
        <w:rPr>
          <w:rFonts w:eastAsia="Calibri"/>
          <w:rtl/>
        </w:rPr>
        <w:t xml:space="preserve"> בעלי חיים </w:t>
      </w:r>
      <w:r w:rsidRPr="00AA5065">
        <w:rPr>
          <w:rFonts w:eastAsia="Calibri" w:hint="eastAsia"/>
          <w:rtl/>
        </w:rPr>
        <w:t>ל</w:t>
      </w:r>
      <w:r w:rsidRPr="00AA5065">
        <w:rPr>
          <w:rFonts w:eastAsia="Calibri"/>
          <w:rtl/>
        </w:rPr>
        <w:t xml:space="preserve">גדרות הבסיס </w:t>
      </w:r>
      <w:r w:rsidRPr="00AA5065">
        <w:rPr>
          <w:rFonts w:eastAsia="Calibri" w:hint="eastAsia"/>
          <w:rtl/>
        </w:rPr>
        <w:t>ותולים</w:t>
      </w:r>
      <w:r w:rsidRPr="00AA5065">
        <w:rPr>
          <w:rFonts w:eastAsia="Calibri"/>
          <w:rtl/>
        </w:rPr>
        <w:t xml:space="preserve"> </w:t>
      </w:r>
      <w:r w:rsidRPr="00AA5065">
        <w:rPr>
          <w:rFonts w:eastAsia="Calibri" w:hint="eastAsia"/>
          <w:rtl/>
        </w:rPr>
        <w:t>פריטי</w:t>
      </w:r>
      <w:r w:rsidRPr="00AA5065">
        <w:rPr>
          <w:rFonts w:eastAsia="Calibri"/>
          <w:rtl/>
        </w:rPr>
        <w:t xml:space="preserve"> כביסה לי</w:t>
      </w:r>
      <w:r w:rsidRPr="00AA5065">
        <w:rPr>
          <w:rFonts w:eastAsia="Calibri" w:hint="eastAsia"/>
          <w:rtl/>
        </w:rPr>
        <w:t>י</w:t>
      </w:r>
      <w:r w:rsidRPr="00AA5065">
        <w:rPr>
          <w:rFonts w:eastAsia="Calibri"/>
          <w:rtl/>
        </w:rPr>
        <w:t xml:space="preserve">בוש על </w:t>
      </w:r>
      <w:r w:rsidRPr="00AA5065">
        <w:rPr>
          <w:rFonts w:eastAsia="Calibri" w:hint="eastAsia"/>
          <w:rtl/>
        </w:rPr>
        <w:t>ה</w:t>
      </w:r>
      <w:r w:rsidRPr="00AA5065">
        <w:rPr>
          <w:rFonts w:eastAsia="Calibri"/>
          <w:rtl/>
        </w:rPr>
        <w:t xml:space="preserve">גדרות. </w:t>
      </w:r>
      <w:r w:rsidRPr="00AA5065">
        <w:rPr>
          <w:rFonts w:eastAsia="Calibri" w:hint="eastAsia"/>
          <w:rtl/>
        </w:rPr>
        <w:t>אירועים</w:t>
      </w:r>
      <w:r w:rsidRPr="00AA5065">
        <w:rPr>
          <w:rFonts w:eastAsia="Calibri"/>
          <w:rtl/>
        </w:rPr>
        <w:t xml:space="preserve"> </w:t>
      </w:r>
      <w:r w:rsidRPr="00AA5065">
        <w:rPr>
          <w:rFonts w:eastAsia="Calibri" w:hint="eastAsia"/>
          <w:rtl/>
        </w:rPr>
        <w:t>אלה</w:t>
      </w:r>
      <w:r w:rsidRPr="00AA5065">
        <w:rPr>
          <w:rFonts w:eastAsia="Calibri"/>
          <w:rtl/>
        </w:rPr>
        <w:t xml:space="preserve"> מביא</w:t>
      </w:r>
      <w:r w:rsidRPr="00AA5065">
        <w:rPr>
          <w:rFonts w:eastAsia="Calibri" w:hint="eastAsia"/>
          <w:rtl/>
        </w:rPr>
        <w:t>ים</w:t>
      </w:r>
      <w:r w:rsidRPr="00AA5065">
        <w:rPr>
          <w:rFonts w:eastAsia="Calibri"/>
          <w:rtl/>
        </w:rPr>
        <w:t xml:space="preserve"> להתרעות שווא במערכת </w:t>
      </w:r>
      <w:r w:rsidRPr="00AA5065">
        <w:rPr>
          <w:rFonts w:eastAsia="Calibri" w:hint="eastAsia"/>
          <w:rtl/>
        </w:rPr>
        <w:t>ההתרעה</w:t>
      </w:r>
      <w:r w:rsidRPr="00AA5065">
        <w:rPr>
          <w:rFonts w:eastAsia="Calibri"/>
          <w:rtl/>
        </w:rPr>
        <w:t xml:space="preserve"> של הבסיס.</w:t>
      </w:r>
    </w:p>
    <w:p w:rsidR="00AA5065" w:rsidRPr="00AA5065" w:rsidP="00860D89">
      <w:pPr>
        <w:spacing w:line="269" w:lineRule="auto"/>
        <w:ind w:left="-567"/>
        <w:rPr>
          <w:rFonts w:eastAsia="Calibri"/>
          <w:szCs w:val="20"/>
          <w:rtl/>
        </w:rPr>
      </w:pPr>
    </w:p>
    <w:p w:rsidR="00AA5065" w:rsidRPr="00AA5065" w:rsidP="00860D89">
      <w:pPr>
        <w:keepNext/>
        <w:keepLines/>
        <w:spacing w:line="269" w:lineRule="auto"/>
        <w:outlineLvl w:val="2"/>
        <w:rPr>
          <w:rFonts w:eastAsia="Calibri"/>
          <w:rtl/>
        </w:rPr>
      </w:pPr>
      <w:bookmarkStart w:id="151" w:name="_Toc74217775"/>
      <w:r w:rsidRPr="00AA5065">
        <w:rPr>
          <w:rFonts w:eastAsia="Times New Roman" w:hint="eastAsia"/>
          <w:bCs/>
          <w:spacing w:val="40"/>
          <w:rtl/>
        </w:rPr>
        <w:t>פגיעה</w:t>
      </w:r>
      <w:r w:rsidRPr="00AA5065">
        <w:rPr>
          <w:rFonts w:eastAsia="Times New Roman"/>
          <w:bCs/>
          <w:spacing w:val="40"/>
          <w:rtl/>
        </w:rPr>
        <w:t xml:space="preserve"> </w:t>
      </w:r>
      <w:r w:rsidRPr="00AA5065">
        <w:rPr>
          <w:rFonts w:eastAsia="Times New Roman" w:hint="eastAsia"/>
          <w:bCs/>
          <w:spacing w:val="40"/>
          <w:rtl/>
        </w:rPr>
        <w:t>בגדר</w:t>
      </w:r>
      <w:r w:rsidRPr="00AA5065">
        <w:rPr>
          <w:rFonts w:eastAsia="Times New Roman"/>
          <w:bCs/>
          <w:spacing w:val="40"/>
          <w:rtl/>
        </w:rPr>
        <w:t xml:space="preserve"> </w:t>
      </w:r>
      <w:r w:rsidRPr="00AA5065">
        <w:rPr>
          <w:rFonts w:eastAsia="Times New Roman" w:hint="eastAsia"/>
          <w:bCs/>
          <w:spacing w:val="40"/>
          <w:rtl/>
        </w:rPr>
        <w:t>האלקטרונית</w:t>
      </w:r>
      <w:r w:rsidRPr="00AA5065">
        <w:rPr>
          <w:rFonts w:eastAsia="Times New Roman"/>
          <w:bCs/>
          <w:spacing w:val="40"/>
          <w:rtl/>
        </w:rPr>
        <w:t xml:space="preserve"> </w:t>
      </w:r>
      <w:r w:rsidRPr="00AA5065">
        <w:rPr>
          <w:rFonts w:eastAsia="Times New Roman" w:hint="eastAsia"/>
          <w:bCs/>
          <w:spacing w:val="40"/>
          <w:rtl/>
        </w:rPr>
        <w:t>ההיקפית</w:t>
      </w:r>
      <w:r w:rsidRPr="00AA5065">
        <w:rPr>
          <w:rFonts w:eastAsia="Times New Roman"/>
          <w:bCs/>
          <w:spacing w:val="40"/>
          <w:rtl/>
        </w:rPr>
        <w:t xml:space="preserve"> </w:t>
      </w:r>
      <w:r w:rsidRPr="00AA5065">
        <w:rPr>
          <w:rFonts w:eastAsia="Times New Roman" w:hint="eastAsia"/>
          <w:bCs/>
          <w:spacing w:val="40"/>
          <w:rtl/>
        </w:rPr>
        <w:t>של</w:t>
      </w:r>
      <w:r w:rsidRPr="00AA5065">
        <w:rPr>
          <w:rFonts w:eastAsia="Times New Roman"/>
          <w:bCs/>
          <w:spacing w:val="40"/>
          <w:rtl/>
        </w:rPr>
        <w:t xml:space="preserve"> </w:t>
      </w:r>
      <w:r w:rsidRPr="00AA5065">
        <w:rPr>
          <w:rFonts w:eastAsia="Times New Roman" w:hint="eastAsia"/>
          <w:bCs/>
          <w:spacing w:val="40"/>
          <w:rtl/>
        </w:rPr>
        <w:t>בסיס</w:t>
      </w:r>
      <w:r w:rsidRPr="00AA5065">
        <w:rPr>
          <w:rFonts w:eastAsia="Times New Roman"/>
          <w:bCs/>
          <w:spacing w:val="40"/>
          <w:rtl/>
        </w:rPr>
        <w:t xml:space="preserve"> </w:t>
      </w:r>
      <w:r w:rsidRPr="00AA5065">
        <w:rPr>
          <w:rFonts w:eastAsia="Times New Roman" w:hint="eastAsia"/>
          <w:bCs/>
          <w:spacing w:val="40"/>
          <w:rtl/>
        </w:rPr>
        <w:t>נבטים</w:t>
      </w:r>
      <w:r w:rsidRPr="00AA5065">
        <w:rPr>
          <w:rFonts w:eastAsia="Times New Roman"/>
          <w:bCs/>
          <w:spacing w:val="40"/>
          <w:rtl/>
        </w:rPr>
        <w:t>:</w:t>
      </w:r>
      <w:bookmarkEnd w:id="151"/>
      <w:r w:rsidRPr="00AA5065">
        <w:rPr>
          <w:rFonts w:eastAsia="Calibri"/>
          <w:rtl/>
        </w:rPr>
        <w:t xml:space="preserve"> </w:t>
      </w:r>
      <w:r w:rsidRPr="00AA5065">
        <w:rPr>
          <w:rFonts w:eastAsia="Calibri" w:hint="eastAsia"/>
          <w:rtl/>
        </w:rPr>
        <w:t>בחלק</w:t>
      </w:r>
      <w:r w:rsidRPr="00AA5065">
        <w:rPr>
          <w:rFonts w:eastAsia="Calibri"/>
          <w:rtl/>
        </w:rPr>
        <w:t xml:space="preserve"> הדרומי של הבסיס (בצד כביש 80) </w:t>
      </w:r>
      <w:r w:rsidRPr="00AA5065">
        <w:rPr>
          <w:rFonts w:eastAsia="Calibri" w:hint="eastAsia"/>
          <w:rtl/>
        </w:rPr>
        <w:t>נמצאות</w:t>
      </w:r>
      <w:r w:rsidRPr="00AA5065">
        <w:rPr>
          <w:rFonts w:eastAsia="Calibri"/>
          <w:rtl/>
        </w:rPr>
        <w:t xml:space="preserve"> שכונות 1 ו-2 של ערערה בנגב, </w:t>
      </w:r>
      <w:r w:rsidRPr="00AA5065">
        <w:rPr>
          <w:rFonts w:eastAsia="Calibri" w:hint="eastAsia"/>
          <w:rtl/>
        </w:rPr>
        <w:t>והמרחק</w:t>
      </w:r>
      <w:r w:rsidRPr="00AA5065">
        <w:rPr>
          <w:rFonts w:eastAsia="Calibri"/>
          <w:rtl/>
        </w:rPr>
        <w:t xml:space="preserve"> </w:t>
      </w:r>
      <w:r w:rsidRPr="00AA5065">
        <w:rPr>
          <w:rFonts w:eastAsia="Calibri" w:hint="eastAsia"/>
          <w:rtl/>
        </w:rPr>
        <w:t>שבין</w:t>
      </w:r>
      <w:r w:rsidRPr="00AA5065">
        <w:rPr>
          <w:rFonts w:eastAsia="Calibri"/>
          <w:rtl/>
        </w:rPr>
        <w:t xml:space="preserve"> מטעי הזיתים שלהם לגדר הבסיס </w:t>
      </w:r>
      <w:r w:rsidRPr="00AA5065">
        <w:rPr>
          <w:rFonts w:eastAsia="Calibri" w:hint="eastAsia"/>
          <w:rtl/>
        </w:rPr>
        <w:t>הוא</w:t>
      </w:r>
      <w:r w:rsidRPr="00AA5065">
        <w:rPr>
          <w:rFonts w:eastAsia="Calibri"/>
          <w:rtl/>
        </w:rPr>
        <w:t xml:space="preserve"> רק מטר אחד. ברווח צר זה מתבצע</w:t>
      </w:r>
      <w:r w:rsidRPr="00AA5065">
        <w:rPr>
          <w:rFonts w:eastAsia="Calibri" w:hint="eastAsia"/>
          <w:rtl/>
        </w:rPr>
        <w:t>ות</w:t>
      </w:r>
      <w:r w:rsidRPr="00AA5065">
        <w:rPr>
          <w:rFonts w:eastAsia="Calibri"/>
          <w:rtl/>
        </w:rPr>
        <w:t xml:space="preserve"> בתדירות גבוהה שריפ</w:t>
      </w:r>
      <w:r w:rsidRPr="00AA5065">
        <w:rPr>
          <w:rFonts w:eastAsia="Calibri" w:hint="eastAsia"/>
          <w:rtl/>
        </w:rPr>
        <w:t>ו</w:t>
      </w:r>
      <w:r w:rsidRPr="00AA5065">
        <w:rPr>
          <w:rFonts w:eastAsia="Calibri"/>
          <w:rtl/>
        </w:rPr>
        <w:t xml:space="preserve">ת גזם, </w:t>
      </w:r>
      <w:r w:rsidRPr="00AA5065">
        <w:rPr>
          <w:rFonts w:eastAsia="Calibri" w:hint="eastAsia"/>
          <w:rtl/>
        </w:rPr>
        <w:t>ה</w:t>
      </w:r>
      <w:r w:rsidRPr="00AA5065">
        <w:rPr>
          <w:rFonts w:eastAsia="Calibri"/>
          <w:rtl/>
        </w:rPr>
        <w:t>פוגע</w:t>
      </w:r>
      <w:r w:rsidRPr="00AA5065">
        <w:rPr>
          <w:rFonts w:eastAsia="Calibri" w:hint="eastAsia"/>
          <w:rtl/>
        </w:rPr>
        <w:t>ות</w:t>
      </w:r>
      <w:r w:rsidRPr="00AA5065">
        <w:rPr>
          <w:rFonts w:eastAsia="Calibri"/>
          <w:rtl/>
        </w:rPr>
        <w:t xml:space="preserve"> בגדר ההיקפית של הבסיס.</w:t>
      </w:r>
    </w:p>
    <w:p w:rsidR="00AA5065" w:rsidRPr="00AA5065" w:rsidP="00860D89">
      <w:pPr>
        <w:spacing w:line="269" w:lineRule="auto"/>
        <w:rPr>
          <w:rFonts w:eastAsia="Calibri"/>
          <w:rtl/>
        </w:rPr>
      </w:pPr>
    </w:p>
    <w:p w:rsidR="00AA5065" w:rsidRPr="00AA5065" w:rsidP="00860D89">
      <w:pPr>
        <w:keepNext/>
        <w:keepLines/>
        <w:spacing w:line="269" w:lineRule="auto"/>
        <w:outlineLvl w:val="3"/>
        <w:rPr>
          <w:rFonts w:eastAsia="Times New Roman"/>
          <w:bCs/>
          <w:szCs w:val="26"/>
          <w:rtl/>
        </w:rPr>
      </w:pPr>
      <w:r w:rsidRPr="00AA5065">
        <w:rPr>
          <w:rFonts w:eastAsia="Times New Roman" w:hint="eastAsia"/>
          <w:bCs/>
          <w:szCs w:val="26"/>
          <w:rtl/>
        </w:rPr>
        <w:t>ביקורת</w:t>
      </w:r>
      <w:r w:rsidRPr="00AA5065">
        <w:rPr>
          <w:rFonts w:eastAsia="Times New Roman"/>
          <w:bCs/>
          <w:szCs w:val="26"/>
          <w:rtl/>
        </w:rPr>
        <w:t xml:space="preserve"> </w:t>
      </w:r>
      <w:r w:rsidRPr="00AA5065">
        <w:rPr>
          <w:rFonts w:eastAsia="Times New Roman" w:hint="eastAsia"/>
          <w:bCs/>
          <w:szCs w:val="26"/>
          <w:rtl/>
        </w:rPr>
        <w:t>המעקב</w:t>
      </w:r>
    </w:p>
    <w:p w:rsidR="00AA5065" w:rsidRPr="00AA5065" w:rsidP="00860D89">
      <w:pPr>
        <w:spacing w:line="269" w:lineRule="auto"/>
        <w:ind w:left="-567"/>
        <w:rPr>
          <w:rFonts w:eastAsia="Calibri"/>
          <w:szCs w:val="20"/>
          <w:rtl/>
        </w:rPr>
      </w:pPr>
    </w:p>
    <w:p w:rsidR="00AA5065" w:rsidRPr="00AA5065" w:rsidP="00860D89">
      <w:pPr>
        <w:keepNext/>
        <w:spacing w:line="269" w:lineRule="auto"/>
        <w:rPr>
          <w:rFonts w:ascii="David" w:eastAsia="Calibri" w:hAnsi="David"/>
          <w:sz w:val="24"/>
          <w:rtl/>
        </w:rPr>
      </w:pPr>
      <w:r w:rsidRPr="00AA5065">
        <w:rPr>
          <w:rFonts w:ascii="David" w:eastAsia="Calibri" w:hAnsi="David"/>
          <w:sz w:val="24"/>
          <w:rtl/>
        </w:rPr>
        <w:t xml:space="preserve">בביקורת הקודמת הועלו כמה תופעות המתרחשות בסביבת בסיס חיל האוויר בנבטים, כגון רעיית צאן בסמוך לבסיס, השלכת צמיגים ואבנים בנתיבי התחבורה המובילים אליו וכן פגיעה בגדר ההיקפית של הבסיס. </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b/>
          <w:bCs/>
          <w:sz w:val="24"/>
          <w:rtl/>
        </w:rPr>
      </w:pPr>
      <w:bookmarkStart w:id="152" w:name="_Hlk204859765"/>
      <w:r w:rsidRPr="00AA5065">
        <w:rPr>
          <w:rFonts w:ascii="David" w:eastAsia="Calibri" w:hAnsi="David"/>
          <w:b/>
          <w:bCs/>
          <w:sz w:val="24"/>
          <w:rtl/>
        </w:rPr>
        <w:t xml:space="preserve">בביקורת המעקב נמצא כי הליקוי לא תוקן. אומנם כבר לא מתרחשים אירועי יידוי אבנים לעבר מכוניות צבאיות בכביש 80 או חדירות לבסיס, אולם תופעות אחרות שהועלו בביקורת הקודמת עדיין מתרחשות. בין היתר חלה עלייה של ממש באירועי ירי בסמיכות לבסיס ואף בזליגה של ירי לשטחו (באחד המקרים כנף של מטוס נפגעה מירי כאמור). עוד הועלה כי תושבים בפזורה עדיין יכולים להגיע קרוב מאוד לבסיס, דבר המאפשר צפייה על הנעשה בו ועלול להביא לפגיעה בביטחון המידע הקשור לפעילותו. תופעה זו באה לידי ביטוי בהגשת כתב אישום ביולי </w:t>
      </w:r>
      <w:r w:rsidRPr="00AA5065">
        <w:rPr>
          <w:rFonts w:ascii="David" w:eastAsia="Calibri" w:hAnsi="David"/>
          <w:b/>
          <w:bCs/>
          <w:sz w:val="24"/>
        </w:rPr>
        <w:t xml:space="preserve"> 2025</w:t>
      </w:r>
      <w:r w:rsidRPr="00AA5065">
        <w:rPr>
          <w:rFonts w:ascii="David" w:eastAsia="Calibri" w:hAnsi="David" w:hint="cs"/>
          <w:b/>
          <w:bCs/>
          <w:sz w:val="24"/>
          <w:rtl/>
        </w:rPr>
        <w:t>נ</w:t>
      </w:r>
      <w:r w:rsidRPr="00AA5065">
        <w:rPr>
          <w:rFonts w:ascii="David" w:eastAsia="Calibri" w:hAnsi="David"/>
          <w:b/>
          <w:bCs/>
          <w:sz w:val="24"/>
          <w:rtl/>
        </w:rPr>
        <w:t>גד תושבת הפזורה אשר עמדה בקשר עם גורמי מודיעין איראניים וביצעה עבורם משימות ביטחוניות שונות, בין היתר במבצע "עם כלביא", כגון איסוף מודיעין על הבסיס וצילום המראות של מטוסי קרב.</w:t>
      </w:r>
      <w:r w:rsidRPr="00AA5065">
        <w:rPr>
          <w:rFonts w:ascii="David" w:eastAsia="Calibri" w:hAnsi="David"/>
          <w:b/>
          <w:bCs/>
          <w:sz w:val="24"/>
          <w:rtl/>
        </w:rPr>
        <w:t xml:space="preserve"> </w:t>
      </w:r>
      <w:r w:rsidRPr="00AA5065">
        <w:rPr>
          <w:rFonts w:ascii="David" w:eastAsia="Calibri" w:hAnsi="David"/>
          <w:b/>
          <w:bCs/>
          <w:sz w:val="24"/>
          <w:rtl/>
        </w:rPr>
        <w:t>נוסף על כך החלה תופעה חמורה שלא התרחשה בתקופת הביקורת הקודמת, ועלולות להיות לה השלכות אסטרטגיות: חדירת רחפנים לשטח הבסיס</w:t>
      </w:r>
      <w:r>
        <w:rPr>
          <w:rFonts w:ascii="David" w:eastAsia="Calibri" w:hAnsi="David"/>
          <w:b/>
          <w:bCs/>
          <w:sz w:val="24"/>
          <w:vertAlign w:val="superscript"/>
          <w:rtl/>
        </w:rPr>
        <w:footnoteReference w:id="151"/>
      </w:r>
      <w:r w:rsidRPr="00AA5065">
        <w:rPr>
          <w:rFonts w:ascii="David" w:eastAsia="Calibri" w:hAnsi="David"/>
          <w:b/>
          <w:bCs/>
          <w:sz w:val="24"/>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 xml:space="preserve">הרשות לפיתוח והתיישבות הבדואים בנגב </w:t>
      </w:r>
      <w:r w:rsidRPr="00AA5065">
        <w:rPr>
          <w:rFonts w:eastAsia="Calibri" w:hint="cs"/>
          <w:rtl/>
        </w:rPr>
        <w:t>מסרה בתשובתה</w:t>
      </w:r>
      <w:r w:rsidRPr="00AA5065">
        <w:rPr>
          <w:rFonts w:eastAsia="Calibri"/>
          <w:rtl/>
        </w:rPr>
        <w:t xml:space="preserve"> כי הרשות פועלת מזה כשנתיים, בהתאם לתוכנית המיקודים כפי שהוגדרה בהחלטת ממשלה 704 </w:t>
      </w:r>
      <w:r w:rsidRPr="00AA5065">
        <w:rPr>
          <w:rFonts w:eastAsia="Calibri" w:hint="cs"/>
          <w:rtl/>
        </w:rPr>
        <w:t>ו</w:t>
      </w:r>
      <w:r w:rsidRPr="00AA5065">
        <w:rPr>
          <w:rFonts w:eastAsia="Calibri"/>
          <w:rtl/>
        </w:rPr>
        <w:t>אזור בסיס נבטים אינו חלק מאזורי המיקוד ונמצא בעדיפות נמוכה יותר מבחינת הסדרת ההתיישבות</w:t>
      </w:r>
      <w:r w:rsidRPr="00AA5065">
        <w:rPr>
          <w:rFonts w:eastAsia="Calibri"/>
        </w:rPr>
        <w:t>.</w:t>
      </w:r>
      <w:r w:rsidRPr="00AA5065">
        <w:rPr>
          <w:rFonts w:eastAsia="Calibri"/>
          <w:rtl/>
        </w:rPr>
        <w:t xml:space="preserve"> עם זאת, לאחרונה קידמה הרשות מדיניות מעודכנת להסדרת התיישבות בתביעות בעלות ביישובי הבדואים שקיבלה תוקף בהח</w:t>
      </w:r>
      <w:r w:rsidRPr="00AA5065">
        <w:rPr>
          <w:rFonts w:eastAsia="Calibri" w:hint="cs"/>
          <w:rtl/>
        </w:rPr>
        <w:t>לטת ממשלה</w:t>
      </w:r>
      <w:r w:rsidRPr="00AA5065">
        <w:rPr>
          <w:rFonts w:eastAsia="Calibri"/>
          <w:rtl/>
        </w:rPr>
        <w:t xml:space="preserve"> 3101</w:t>
      </w:r>
      <w:r w:rsidRPr="00AA5065">
        <w:rPr>
          <w:rFonts w:eastAsia="Calibri" w:hint="cs"/>
          <w:rtl/>
        </w:rPr>
        <w:t xml:space="preserve">, </w:t>
      </w:r>
      <w:r w:rsidRPr="00AA5065">
        <w:rPr>
          <w:rFonts w:eastAsia="Calibri"/>
          <w:rtl/>
        </w:rPr>
        <w:t xml:space="preserve">במסגרת זו נכללו </w:t>
      </w:r>
      <w:r w:rsidRPr="00AA5065">
        <w:rPr>
          <w:rFonts w:eastAsia="Calibri" w:hint="cs"/>
          <w:rtl/>
        </w:rPr>
        <w:t>חמישה</w:t>
      </w:r>
      <w:r w:rsidRPr="00AA5065">
        <w:rPr>
          <w:rFonts w:eastAsia="Calibri"/>
          <w:rtl/>
        </w:rPr>
        <w:t xml:space="preserve"> יישובי פיילוט למימוש המדיניות, ביניהם היישוב כסייפה.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אגף</w:t>
      </w:r>
      <w:r w:rsidRPr="00AA5065">
        <w:rPr>
          <w:rFonts w:eastAsia="Calibri"/>
          <w:rtl/>
        </w:rPr>
        <w:t xml:space="preserve"> </w:t>
      </w:r>
      <w:r w:rsidRPr="00AA5065">
        <w:rPr>
          <w:rFonts w:eastAsia="Calibri" w:hint="eastAsia"/>
          <w:rtl/>
        </w:rPr>
        <w:t>מבצעים</w:t>
      </w:r>
      <w:r w:rsidRPr="00AA5065">
        <w:rPr>
          <w:rFonts w:eastAsia="Calibri"/>
          <w:rtl/>
        </w:rPr>
        <w:t xml:space="preserve"> </w:t>
      </w:r>
      <w:r w:rsidRPr="00AA5065">
        <w:rPr>
          <w:rFonts w:eastAsia="Calibri" w:hint="eastAsia"/>
          <w:rtl/>
        </w:rPr>
        <w:t>לוגיסטיים</w:t>
      </w:r>
      <w:r w:rsidRPr="00AA5065">
        <w:rPr>
          <w:rFonts w:eastAsia="Calibri"/>
          <w:rtl/>
        </w:rPr>
        <w:t xml:space="preserve"> </w:t>
      </w:r>
      <w:r w:rsidRPr="00AA5065">
        <w:rPr>
          <w:rFonts w:eastAsia="Calibri" w:hint="eastAsia"/>
          <w:rtl/>
        </w:rPr>
        <w:t>ונכסים</w:t>
      </w:r>
      <w:r w:rsidRPr="00AA5065">
        <w:rPr>
          <w:rFonts w:eastAsia="Calibri"/>
          <w:rtl/>
        </w:rPr>
        <w:t xml:space="preserve"> </w:t>
      </w:r>
      <w:r w:rsidRPr="00AA5065">
        <w:rPr>
          <w:rFonts w:eastAsia="Calibri" w:hint="eastAsia"/>
          <w:rtl/>
        </w:rPr>
        <w:t>במשרד</w:t>
      </w:r>
      <w:r w:rsidRPr="00AA5065">
        <w:rPr>
          <w:rFonts w:eastAsia="Calibri"/>
          <w:rtl/>
        </w:rPr>
        <w:t xml:space="preserve"> </w:t>
      </w:r>
      <w:r w:rsidRPr="00AA5065">
        <w:rPr>
          <w:rFonts w:eastAsia="Calibri" w:hint="eastAsia"/>
          <w:rtl/>
        </w:rPr>
        <w:t>הביטחון</w:t>
      </w:r>
      <w:r w:rsidRPr="00AA5065">
        <w:rPr>
          <w:rFonts w:eastAsia="Calibri"/>
          <w:rtl/>
        </w:rPr>
        <w:t xml:space="preserve"> </w:t>
      </w:r>
      <w:r w:rsidRPr="00AA5065">
        <w:rPr>
          <w:rFonts w:eastAsia="Calibri" w:hint="cs"/>
          <w:rtl/>
        </w:rPr>
        <w:t xml:space="preserve">מסר בתשובתו </w:t>
      </w:r>
      <w:r w:rsidRPr="00AA5065">
        <w:rPr>
          <w:rFonts w:eastAsia="Calibri" w:hint="eastAsia"/>
          <w:rtl/>
        </w:rPr>
        <w:t>מיום</w:t>
      </w:r>
      <w:r w:rsidRPr="00AA5065">
        <w:rPr>
          <w:rFonts w:eastAsia="Calibri"/>
          <w:rtl/>
        </w:rPr>
        <w:t xml:space="preserve"> 7.9.25 </w:t>
      </w:r>
      <w:r w:rsidRPr="00AA5065">
        <w:rPr>
          <w:rFonts w:eastAsia="Calibri" w:hint="eastAsia"/>
          <w:rtl/>
        </w:rPr>
        <w:t>כי</w:t>
      </w:r>
      <w:r w:rsidRPr="00AA5065">
        <w:rPr>
          <w:rFonts w:eastAsia="Calibri"/>
          <w:rtl/>
        </w:rPr>
        <w:t xml:space="preserve"> "...המשרד פועל מזה תקופה ממושכת ליצירת הסכם עם הרשות להסדרת התיישבות </w:t>
      </w:r>
      <w:r w:rsidRPr="00AA5065">
        <w:rPr>
          <w:rFonts w:eastAsia="Calibri" w:hint="eastAsia"/>
          <w:rtl/>
        </w:rPr>
        <w:t>הבדואים</w:t>
      </w:r>
      <w:r w:rsidRPr="00AA5065">
        <w:rPr>
          <w:rFonts w:eastAsia="Calibri"/>
          <w:rtl/>
        </w:rPr>
        <w:t xml:space="preserve"> </w:t>
      </w:r>
      <w:r w:rsidRPr="00AA5065">
        <w:rPr>
          <w:rFonts w:eastAsia="Calibri" w:hint="eastAsia"/>
          <w:rtl/>
        </w:rPr>
        <w:t>בנגב</w:t>
      </w:r>
      <w:r w:rsidRPr="00AA5065">
        <w:rPr>
          <w:rFonts w:eastAsia="Calibri"/>
          <w:rtl/>
        </w:rPr>
        <w:t xml:space="preserve">, </w:t>
      </w:r>
      <w:r w:rsidRPr="00AA5065">
        <w:rPr>
          <w:rFonts w:eastAsia="Calibri" w:hint="eastAsia"/>
          <w:rtl/>
        </w:rPr>
        <w:t>במסגרתו</w:t>
      </w:r>
      <w:r w:rsidRPr="00AA5065">
        <w:rPr>
          <w:rFonts w:eastAsia="Calibri"/>
          <w:rtl/>
        </w:rPr>
        <w:t xml:space="preserve"> </w:t>
      </w:r>
      <w:r w:rsidRPr="00AA5065">
        <w:rPr>
          <w:rFonts w:eastAsia="Calibri" w:hint="eastAsia"/>
          <w:rtl/>
        </w:rPr>
        <w:t>יוסדר</w:t>
      </w:r>
      <w:r w:rsidRPr="00AA5065">
        <w:rPr>
          <w:rFonts w:eastAsia="Calibri"/>
          <w:rtl/>
        </w:rPr>
        <w:t xml:space="preserve"> </w:t>
      </w:r>
      <w:r w:rsidRPr="00AA5065">
        <w:rPr>
          <w:rFonts w:eastAsia="Calibri" w:hint="eastAsia"/>
          <w:rtl/>
        </w:rPr>
        <w:t>מערך</w:t>
      </w:r>
      <w:r w:rsidRPr="00AA5065">
        <w:rPr>
          <w:rFonts w:eastAsia="Calibri"/>
          <w:rtl/>
        </w:rPr>
        <w:t xml:space="preserve"> </w:t>
      </w:r>
      <w:r w:rsidRPr="00AA5065">
        <w:rPr>
          <w:rFonts w:eastAsia="Calibri" w:hint="eastAsia"/>
          <w:rtl/>
        </w:rPr>
        <w:t>היחסים</w:t>
      </w:r>
      <w:r w:rsidRPr="00AA5065">
        <w:rPr>
          <w:rFonts w:eastAsia="Calibri"/>
          <w:rtl/>
        </w:rPr>
        <w:t xml:space="preserve"> </w:t>
      </w:r>
      <w:r w:rsidRPr="00AA5065">
        <w:rPr>
          <w:rFonts w:eastAsia="Calibri" w:hint="eastAsia"/>
          <w:rtl/>
        </w:rPr>
        <w:t>בין</w:t>
      </w:r>
      <w:r w:rsidRPr="00AA5065">
        <w:rPr>
          <w:rFonts w:eastAsia="Calibri"/>
          <w:rtl/>
        </w:rPr>
        <w:t xml:space="preserve"> </w:t>
      </w:r>
      <w:r w:rsidRPr="00AA5065">
        <w:rPr>
          <w:rFonts w:eastAsia="Calibri" w:hint="eastAsia"/>
          <w:rtl/>
        </w:rPr>
        <w:t>הצדדים</w:t>
      </w:r>
      <w:r w:rsidRPr="00AA5065">
        <w:rPr>
          <w:rFonts w:eastAsia="Calibri"/>
          <w:rtl/>
        </w:rPr>
        <w:t xml:space="preserve"> </w:t>
      </w:r>
      <w:r w:rsidRPr="00AA5065">
        <w:rPr>
          <w:rFonts w:eastAsia="Calibri" w:hint="eastAsia"/>
          <w:rtl/>
        </w:rPr>
        <w:t>ויינתן</w:t>
      </w:r>
      <w:r w:rsidRPr="00AA5065">
        <w:rPr>
          <w:rFonts w:eastAsia="Calibri"/>
          <w:rtl/>
        </w:rPr>
        <w:t xml:space="preserve"> </w:t>
      </w:r>
      <w:r w:rsidRPr="00AA5065">
        <w:rPr>
          <w:rFonts w:eastAsia="Calibri" w:hint="eastAsia"/>
          <w:rtl/>
        </w:rPr>
        <w:t>מענה</w:t>
      </w:r>
      <w:r w:rsidRPr="00AA5065">
        <w:rPr>
          <w:rFonts w:eastAsia="Calibri"/>
          <w:rtl/>
        </w:rPr>
        <w:t xml:space="preserve"> </w:t>
      </w:r>
      <w:r w:rsidRPr="00AA5065">
        <w:rPr>
          <w:rFonts w:eastAsia="Calibri" w:hint="eastAsia"/>
          <w:rtl/>
        </w:rPr>
        <w:t>ממוקד</w:t>
      </w:r>
      <w:r w:rsidRPr="00AA5065">
        <w:rPr>
          <w:rFonts w:eastAsia="Calibri"/>
          <w:rtl/>
        </w:rPr>
        <w:t xml:space="preserve"> </w:t>
      </w:r>
      <w:r w:rsidRPr="00AA5065">
        <w:rPr>
          <w:rFonts w:eastAsia="Calibri" w:hint="eastAsia"/>
          <w:rtl/>
        </w:rPr>
        <w:t>לאירועים</w:t>
      </w:r>
      <w:r w:rsidRPr="00AA5065">
        <w:rPr>
          <w:rFonts w:eastAsia="Calibri"/>
          <w:rtl/>
        </w:rPr>
        <w:t xml:space="preserve"> </w:t>
      </w:r>
      <w:r w:rsidRPr="00AA5065">
        <w:rPr>
          <w:rFonts w:eastAsia="Calibri" w:hint="eastAsia"/>
          <w:rtl/>
        </w:rPr>
        <w:t>נקודתיים</w:t>
      </w:r>
      <w:r w:rsidRPr="00AA5065">
        <w:rPr>
          <w:rFonts w:eastAsia="Calibri"/>
          <w:rtl/>
        </w:rPr>
        <w:t xml:space="preserve"> </w:t>
      </w:r>
      <w:r w:rsidRPr="00AA5065">
        <w:rPr>
          <w:rFonts w:eastAsia="Calibri" w:hint="eastAsia"/>
          <w:rtl/>
        </w:rPr>
        <w:t>בהם</w:t>
      </w:r>
      <w:r w:rsidRPr="00AA5065">
        <w:rPr>
          <w:rFonts w:eastAsia="Calibri"/>
          <w:rtl/>
        </w:rPr>
        <w:t xml:space="preserve"> </w:t>
      </w:r>
      <w:r w:rsidRPr="00AA5065">
        <w:rPr>
          <w:rFonts w:eastAsia="Calibri" w:hint="eastAsia"/>
          <w:rtl/>
        </w:rPr>
        <w:t>קיימים</w:t>
      </w:r>
      <w:r w:rsidRPr="00AA5065">
        <w:rPr>
          <w:rFonts w:eastAsia="Calibri"/>
          <w:rtl/>
        </w:rPr>
        <w:t xml:space="preserve"> </w:t>
      </w:r>
      <w:r w:rsidRPr="00AA5065">
        <w:rPr>
          <w:rFonts w:eastAsia="Calibri" w:hint="eastAsia"/>
          <w:rtl/>
        </w:rPr>
        <w:t>צבירי</w:t>
      </w:r>
      <w:r w:rsidRPr="00AA5065">
        <w:rPr>
          <w:rFonts w:eastAsia="Calibri"/>
          <w:rtl/>
        </w:rPr>
        <w:t xml:space="preserve"> </w:t>
      </w:r>
      <w:r w:rsidRPr="00AA5065">
        <w:rPr>
          <w:rFonts w:eastAsia="Calibri" w:hint="eastAsia"/>
          <w:rtl/>
        </w:rPr>
        <w:t>התיישבות</w:t>
      </w:r>
      <w:r w:rsidRPr="00AA5065">
        <w:rPr>
          <w:rFonts w:eastAsia="Calibri"/>
          <w:rtl/>
        </w:rPr>
        <w:t xml:space="preserve"> בלתי מוסדרת בשטח האש 526 (דרום הר חברון) ובסמוך לקריית המודיעין (מדרום ללקיה).</w:t>
      </w:r>
      <w:r w:rsidRPr="00AA5065">
        <w:rPr>
          <w:rFonts w:eastAsia="Calibri" w:hint="cs"/>
          <w:rtl/>
        </w:rPr>
        <w:t xml:space="preserve"> </w:t>
      </w:r>
      <w:r w:rsidRPr="00AA5065">
        <w:rPr>
          <w:rFonts w:eastAsia="Calibri"/>
          <w:rtl/>
        </w:rPr>
        <w:t>טיוטת ההסכם נדונה בין הצדדים ואנו צופים כי ניתן יהיה לסכמה במהלך הרבעון האחרון של שנת 2025".</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Times New Roman" w:hAnsi="David"/>
          <w:sz w:val="24"/>
          <w:rtl/>
          <w:lang w:eastAsia="he-IL"/>
        </w:rPr>
      </w:pPr>
      <w:r w:rsidRPr="00AA5065">
        <w:rPr>
          <w:rFonts w:ascii="David" w:eastAsia="Times New Roman" w:hAnsi="David" w:hint="cs"/>
          <w:sz w:val="24"/>
          <w:rtl/>
          <w:lang w:eastAsia="he-IL"/>
        </w:rPr>
        <w:t>המשטרה מסרה בתשובתה כי "תחנת ערוער ובסיס נבטים של חיל האוויר מנהלים קשרי עבודה ושיתופי פעולה מצוינים שהביאו לירידה משמעותית באירועים הפליליים הנוגעים לבסיס. שיתוף הפעולה המודיעיני והמבצעי חוזק תוך קיום פגישות משותפות תכופות למתן מענה הוליסטי לאתגרים המשותפים. הוקם חמ"ל משותף המספק חוזי אווירי צבאי מעל גזרת ערוער סביב השעון במטרה למגר פשיעה ולייצר שיח מבצעי משותף".</w:t>
      </w:r>
    </w:p>
    <w:p w:rsidR="00AA5065" w:rsidRPr="00AA5065" w:rsidP="00860D89">
      <w:pPr>
        <w:spacing w:line="269" w:lineRule="auto"/>
        <w:ind w:left="-567"/>
        <w:rPr>
          <w:rFonts w:eastAsia="Calibri"/>
          <w:szCs w:val="20"/>
          <w:rtl/>
          <w:lang w:eastAsia="he-IL"/>
        </w:rPr>
      </w:pPr>
    </w:p>
    <w:p w:rsidR="00AA5065" w:rsidRPr="00AA5065" w:rsidP="00860D89">
      <w:pPr>
        <w:spacing w:line="269" w:lineRule="auto"/>
        <w:rPr>
          <w:rFonts w:ascii="David" w:eastAsia="Times New Roman" w:hAnsi="David"/>
          <w:sz w:val="24"/>
          <w:rtl/>
          <w:lang w:eastAsia="he-IL"/>
        </w:rPr>
      </w:pPr>
      <w:r w:rsidRPr="00AA5065">
        <w:rPr>
          <w:rFonts w:eastAsia="Calibri" w:hint="cs"/>
          <w:rtl/>
        </w:rPr>
        <w:t>עוד הוסיפה המשטרה בתשובתה כי "</w:t>
      </w:r>
      <w:r w:rsidRPr="00AA5065">
        <w:rPr>
          <w:rFonts w:ascii="David" w:eastAsia="Times New Roman" w:hAnsi="David" w:hint="eastAsia"/>
          <w:sz w:val="24"/>
          <w:rtl/>
          <w:lang w:eastAsia="he-IL"/>
        </w:rPr>
        <w:t>בכל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אירוע</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בו</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מדווח</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מצה</w:t>
      </w:r>
      <w:r w:rsidRPr="00AA5065">
        <w:rPr>
          <w:rFonts w:ascii="David" w:eastAsia="Times New Roman" w:hAnsi="David" w:hint="cs"/>
          <w:sz w:val="24"/>
          <w:rtl/>
          <w:lang w:eastAsia="he-IL"/>
        </w:rPr>
        <w:t>"</w:t>
      </w:r>
      <w:r w:rsidRPr="00AA5065">
        <w:rPr>
          <w:rFonts w:ascii="David" w:eastAsia="Times New Roman" w:hAnsi="David" w:hint="eastAsia"/>
          <w:sz w:val="24"/>
          <w:rtl/>
          <w:lang w:eastAsia="he-IL"/>
        </w:rPr>
        <w:t>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על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פגיעה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בגדר</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או</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הפרעה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לפעילות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הצבאית</w:t>
      </w:r>
      <w:r w:rsidRPr="00AA5065">
        <w:rPr>
          <w:rFonts w:ascii="David" w:eastAsia="Times New Roman" w:hAnsi="David" w:hint="cs"/>
          <w:sz w:val="24"/>
          <w:rtl/>
          <w:lang w:eastAsia="he-IL"/>
        </w:rPr>
        <w:t xml:space="preserve">, מגיעה </w:t>
      </w:r>
      <w:r w:rsidRPr="00AA5065">
        <w:rPr>
          <w:rFonts w:ascii="David" w:eastAsia="Times New Roman" w:hAnsi="David" w:hint="eastAsia"/>
          <w:sz w:val="24"/>
          <w:rtl/>
          <w:lang w:eastAsia="he-IL"/>
        </w:rPr>
        <w:t>ניידת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למקום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וניתן</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מענה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לאירוע</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בהתאם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לממצאים</w:t>
      </w:r>
      <w:r w:rsidRPr="00AA5065">
        <w:rPr>
          <w:rFonts w:ascii="David" w:eastAsia="Times New Roman" w:hAnsi="David"/>
          <w:sz w:val="24"/>
          <w:rtl/>
          <w:lang w:eastAsia="he-IL"/>
        </w:rPr>
        <w:t>.</w:t>
      </w:r>
      <w:r w:rsidRPr="00AA5065">
        <w:rPr>
          <w:rFonts w:ascii="David" w:eastAsia="Times New Roman" w:hAnsi="David" w:hint="cs"/>
          <w:sz w:val="24"/>
          <w:rtl/>
          <w:lang w:eastAsia="he-IL"/>
        </w:rPr>
        <w:t xml:space="preserve"> לעניין נ</w:t>
      </w:r>
      <w:r w:rsidRPr="00AA5065">
        <w:rPr>
          <w:rFonts w:ascii="David" w:eastAsia="Times New Roman" w:hAnsi="David" w:hint="eastAsia"/>
          <w:sz w:val="24"/>
          <w:rtl/>
          <w:lang w:eastAsia="he-IL"/>
        </w:rPr>
        <w:t>ושא</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הירי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בשטח</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הפתוח</w:t>
      </w:r>
      <w:r w:rsidRPr="00AA5065">
        <w:rPr>
          <w:rFonts w:ascii="David" w:eastAsia="Times New Roman" w:hAnsi="David" w:hint="cs"/>
          <w:sz w:val="24"/>
          <w:rtl/>
          <w:lang w:eastAsia="he-IL"/>
        </w:rPr>
        <w:t xml:space="preserve"> -</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במ</w:t>
      </w:r>
      <w:r w:rsidRPr="00AA5065">
        <w:rPr>
          <w:rFonts w:ascii="David" w:eastAsia="Times New Roman" w:hAnsi="David" w:hint="cs"/>
          <w:sz w:val="24"/>
          <w:rtl/>
          <w:lang w:eastAsia="he-IL"/>
        </w:rPr>
        <w:t>רוצת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השנה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האחרונה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משטרת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מרחב</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הנגב</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עוסקת</w:t>
      </w:r>
      <w:r w:rsidRPr="00AA5065">
        <w:rPr>
          <w:rFonts w:ascii="David" w:eastAsia="Times New Roman" w:hAnsi="David"/>
          <w:sz w:val="24"/>
          <w:rtl/>
          <w:lang w:eastAsia="he-IL"/>
        </w:rPr>
        <w:t xml:space="preserve"> </w:t>
      </w:r>
      <w:r w:rsidRPr="00AA5065">
        <w:rPr>
          <w:rFonts w:ascii="David" w:eastAsia="Times New Roman" w:hAnsi="David" w:hint="cs"/>
          <w:sz w:val="24"/>
          <w:rtl/>
          <w:lang w:eastAsia="he-IL"/>
        </w:rPr>
        <w:t>רבות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בפעילויות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יזומות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בכלל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הגזרה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בעניין</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ירי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w:t>
      </w:r>
      <w:r w:rsidRPr="00AA5065">
        <w:rPr>
          <w:rFonts w:ascii="David" w:eastAsia="Times New Roman" w:hAnsi="David" w:hint="cs"/>
          <w:sz w:val="24"/>
          <w:rtl/>
          <w:lang w:eastAsia="he-IL"/>
        </w:rPr>
        <w:t>סביבת בסיס חיל האויר</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ובתוך</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הישובים</w:t>
      </w:r>
      <w:r w:rsidRPr="00AA5065">
        <w:rPr>
          <w:rFonts w:ascii="David" w:eastAsia="Times New Roman" w:hAnsi="David"/>
          <w:sz w:val="24"/>
          <w:rtl/>
          <w:lang w:eastAsia="he-IL"/>
        </w:rPr>
        <w:t>.</w:t>
      </w:r>
      <w:r w:rsidRPr="00AA5065">
        <w:rPr>
          <w:rFonts w:ascii="David" w:eastAsia="Times New Roman" w:hAnsi="David" w:hint="cs"/>
          <w:sz w:val="24"/>
          <w:rtl/>
          <w:lang w:eastAsia="he-IL"/>
        </w:rPr>
        <w:t xml:space="preserve"> </w:t>
      </w:r>
      <w:r w:rsidRPr="00AA5065">
        <w:rPr>
          <w:rFonts w:ascii="David" w:eastAsia="Times New Roman" w:hAnsi="David" w:hint="eastAsia"/>
          <w:sz w:val="24"/>
          <w:rtl/>
          <w:lang w:eastAsia="he-IL"/>
        </w:rPr>
        <w:t>מחוז</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דרום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אף</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הקים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מספר</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מפקדות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בשת</w:t>
      </w:r>
      <w:r w:rsidRPr="00AA5065">
        <w:rPr>
          <w:rFonts w:ascii="David" w:eastAsia="Times New Roman" w:hAnsi="David"/>
          <w:sz w:val="24"/>
          <w:rtl/>
          <w:lang w:eastAsia="he-IL"/>
        </w:rPr>
        <w:t>"</w:t>
      </w:r>
      <w:r w:rsidRPr="00AA5065">
        <w:rPr>
          <w:rFonts w:ascii="David" w:eastAsia="Times New Roman" w:hAnsi="David" w:hint="eastAsia"/>
          <w:sz w:val="24"/>
          <w:rtl/>
          <w:lang w:eastAsia="he-IL"/>
        </w:rPr>
        <w:t>פ</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יחידות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שונות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במהלך</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שנת</w:t>
      </w:r>
      <w:r w:rsidRPr="00AA5065">
        <w:rPr>
          <w:rFonts w:ascii="David" w:eastAsia="Times New Roman" w:hAnsi="David"/>
          <w:sz w:val="24"/>
          <w:rtl/>
          <w:lang w:eastAsia="he-IL"/>
        </w:rPr>
        <w:t xml:space="preserve"> 2025 </w:t>
      </w:r>
      <w:r w:rsidRPr="00AA5065">
        <w:rPr>
          <w:rFonts w:ascii="David" w:eastAsia="Times New Roman" w:hAnsi="David" w:hint="eastAsia"/>
          <w:sz w:val="24"/>
          <w:rtl/>
          <w:lang w:eastAsia="he-IL"/>
        </w:rPr>
        <w:t>על</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מנת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לתת</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מענה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לאירועי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הירי</w:t>
      </w:r>
      <w:r w:rsidRPr="00AA5065">
        <w:rPr>
          <w:rFonts w:ascii="David" w:eastAsia="Times New Roman" w:hAnsi="David" w:hint="cs"/>
          <w:sz w:val="24"/>
          <w:rtl/>
          <w:lang w:eastAsia="he-IL"/>
        </w:rPr>
        <w:t>"</w:t>
      </w:r>
      <w:r w:rsidRPr="00AA5065">
        <w:rPr>
          <w:rFonts w:ascii="David" w:eastAsia="Times New Roman" w:hAnsi="David"/>
          <w:sz w:val="24"/>
          <w:rtl/>
          <w:lang w:eastAsia="he-IL"/>
        </w:rPr>
        <w:t>.</w:t>
      </w:r>
    </w:p>
    <w:bookmarkEnd w:id="152"/>
    <w:p w:rsidR="00AA5065" w:rsidRPr="00AA5065" w:rsidP="00860D89">
      <w:pPr>
        <w:spacing w:line="269" w:lineRule="auto"/>
        <w:ind w:left="-567"/>
        <w:rPr>
          <w:rFonts w:eastAsia="Calibri"/>
          <w:szCs w:val="20"/>
          <w:rtl/>
          <w:lang w:eastAsia="he-IL"/>
        </w:rPr>
      </w:pPr>
    </w:p>
    <w:p w:rsidR="00AA5065" w:rsidRPr="00AA5065" w:rsidP="00734ECE">
      <w:pPr>
        <w:spacing w:before="120" w:line="269" w:lineRule="auto"/>
        <w:jc w:val="center"/>
        <w:rPr>
          <w:rFonts w:eastAsia="Calibri"/>
          <w:b/>
          <w:bCs/>
          <w:rtl/>
          <w:lang w:eastAsia="he-IL"/>
        </w:rPr>
      </w:pPr>
      <w:r w:rsidRPr="00AA5065">
        <w:rPr>
          <w:rFonts w:eastAsia="Calibri" w:hint="cs"/>
          <w:b/>
          <w:bCs/>
          <w:rtl/>
          <w:lang w:eastAsia="he-IL"/>
        </w:rPr>
        <w:t>מידת תיקון הליקוי</w:t>
      </w:r>
    </w:p>
    <w:p w:rsidR="00AA5065" w:rsidRPr="00AA5065" w:rsidP="00860D89">
      <w:pPr>
        <w:spacing w:line="269" w:lineRule="auto"/>
        <w:jc w:val="center"/>
        <w:rPr>
          <w:rFonts w:eastAsia="Calibri"/>
          <w:rtl/>
        </w:rPr>
      </w:pPr>
      <w:r w:rsidRPr="00AA5065">
        <w:rPr>
          <w:rFonts w:eastAsia="Calibri"/>
          <w:noProof/>
        </w:rPr>
        <w:drawing>
          <wp:inline distT="0" distB="0" distL="0" distR="0">
            <wp:extent cx="3426460" cy="939165"/>
            <wp:effectExtent l="0" t="0" r="2540" b="0"/>
            <wp:docPr id="13" name="תמונה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
                    <pic:cNvPicPr>
                      <a:picLocks noChangeAspect="1" noChangeArrowheads="1"/>
                    </pic:cNvPicPr>
                  </pic:nvPicPr>
                  <pic:blipFill>
                    <a:blip xmlns:r="http://schemas.openxmlformats.org/officeDocument/2006/relationships" r:embed="rId16">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6460" cy="939165"/>
                    </a:xfrm>
                    <a:prstGeom prst="rect">
                      <a:avLst/>
                    </a:prstGeom>
                    <a:noFill/>
                  </pic:spPr>
                </pic:pic>
              </a:graphicData>
            </a:graphic>
          </wp:inline>
        </w:drawing>
      </w:r>
    </w:p>
    <w:p w:rsidR="00AA5065" w:rsidRPr="00AA5065" w:rsidP="00860D89">
      <w:pPr>
        <w:spacing w:line="269" w:lineRule="auto"/>
        <w:ind w:left="-567"/>
        <w:rPr>
          <w:rFonts w:eastAsia="Calibri"/>
          <w:szCs w:val="20"/>
          <w:rtl/>
        </w:rPr>
      </w:pPr>
    </w:p>
    <w:p w:rsidR="0054781A" w:rsidRPr="0054781A" w:rsidP="0054781A">
      <w:pPr>
        <w:spacing w:line="269" w:lineRule="auto"/>
        <w:rPr>
          <w:rFonts w:eastAsia="Calibri"/>
          <w:b/>
          <w:bCs/>
          <w:rtl/>
        </w:rPr>
      </w:pPr>
      <w:r w:rsidRPr="00AA5065">
        <w:rPr>
          <w:rFonts w:eastAsia="Calibri" w:hint="eastAsia"/>
          <w:b/>
          <w:bCs/>
          <w:rtl/>
        </w:rPr>
        <w:t>מומלץ</w:t>
      </w:r>
      <w:r w:rsidRPr="00AA5065">
        <w:rPr>
          <w:rFonts w:eastAsia="Calibri"/>
          <w:b/>
          <w:bCs/>
          <w:rtl/>
        </w:rPr>
        <w:t xml:space="preserve"> שצה"ל, משרד הביטחון, </w:t>
      </w:r>
      <w:r w:rsidRPr="00AA5065">
        <w:rPr>
          <w:rFonts w:eastAsia="Calibri" w:hint="eastAsia"/>
          <w:b/>
          <w:bCs/>
          <w:rtl/>
        </w:rPr>
        <w:t>משטרת</w:t>
      </w:r>
      <w:r w:rsidRPr="00AA5065">
        <w:rPr>
          <w:rFonts w:eastAsia="Calibri"/>
          <w:b/>
          <w:bCs/>
          <w:rtl/>
        </w:rPr>
        <w:t xml:space="preserve"> </w:t>
      </w:r>
      <w:r w:rsidRPr="00AA5065">
        <w:rPr>
          <w:rFonts w:eastAsia="Calibri" w:hint="eastAsia"/>
          <w:b/>
          <w:bCs/>
          <w:rtl/>
        </w:rPr>
        <w:t>ישראל</w:t>
      </w:r>
      <w:r w:rsidRPr="00AA5065">
        <w:rPr>
          <w:rFonts w:eastAsia="Calibri"/>
          <w:b/>
          <w:bCs/>
          <w:rtl/>
        </w:rPr>
        <w:t xml:space="preserve"> </w:t>
      </w:r>
      <w:r w:rsidRPr="00AA5065">
        <w:rPr>
          <w:rFonts w:eastAsia="Calibri" w:hint="eastAsia"/>
          <w:b/>
          <w:bCs/>
          <w:rtl/>
        </w:rPr>
        <w:t>והרשות</w:t>
      </w:r>
      <w:r w:rsidRPr="00AA5065">
        <w:rPr>
          <w:rFonts w:eastAsia="Calibri"/>
          <w:b/>
          <w:bCs/>
          <w:rtl/>
        </w:rPr>
        <w:t xml:space="preserve"> להסדרת התיישבות הבדואים בנגב </w:t>
      </w:r>
      <w:r w:rsidRPr="00AA5065">
        <w:rPr>
          <w:rFonts w:eastAsia="Calibri" w:hint="eastAsia"/>
          <w:b/>
          <w:bCs/>
          <w:rtl/>
        </w:rPr>
        <w:t>יפעלו</w:t>
      </w:r>
      <w:r w:rsidRPr="00AA5065">
        <w:rPr>
          <w:rFonts w:eastAsia="Calibri"/>
          <w:b/>
          <w:bCs/>
          <w:rtl/>
        </w:rPr>
        <w:t xml:space="preserve"> </w:t>
      </w:r>
      <w:r w:rsidRPr="00AA5065">
        <w:rPr>
          <w:rFonts w:eastAsia="Calibri" w:hint="eastAsia"/>
          <w:b/>
          <w:bCs/>
          <w:rtl/>
        </w:rPr>
        <w:t>ל</w:t>
      </w:r>
      <w:r w:rsidRPr="00AA5065">
        <w:rPr>
          <w:rFonts w:eastAsia="Calibri" w:hint="cs"/>
          <w:b/>
          <w:bCs/>
          <w:rtl/>
        </w:rPr>
        <w:t xml:space="preserve">המשך </w:t>
      </w:r>
      <w:r w:rsidRPr="00AA5065">
        <w:rPr>
          <w:rFonts w:eastAsia="Calibri" w:hint="eastAsia"/>
          <w:b/>
          <w:bCs/>
          <w:rtl/>
        </w:rPr>
        <w:t>הסדרת</w:t>
      </w:r>
      <w:r w:rsidRPr="00AA5065">
        <w:rPr>
          <w:rFonts w:eastAsia="Calibri"/>
          <w:b/>
          <w:bCs/>
          <w:rtl/>
        </w:rPr>
        <w:t xml:space="preserve"> </w:t>
      </w:r>
      <w:r w:rsidRPr="00AA5065">
        <w:rPr>
          <w:rFonts w:eastAsia="Calibri" w:hint="cs"/>
          <w:b/>
          <w:bCs/>
          <w:rtl/>
        </w:rPr>
        <w:t>הטיפול בנושא הפלישה לשטחי אש צה"ליים</w:t>
      </w:r>
      <w:r w:rsidRPr="00AA5065">
        <w:rPr>
          <w:rFonts w:eastAsia="Calibri"/>
          <w:b/>
          <w:bCs/>
          <w:rtl/>
        </w:rPr>
        <w:t xml:space="preserve"> </w:t>
      </w:r>
      <w:r w:rsidRPr="00AA5065">
        <w:rPr>
          <w:rFonts w:eastAsia="Calibri" w:hint="eastAsia"/>
          <w:b/>
          <w:bCs/>
          <w:rtl/>
        </w:rPr>
        <w:t>ולתיקון</w:t>
      </w:r>
      <w:r w:rsidRPr="00AA5065">
        <w:rPr>
          <w:rFonts w:eastAsia="Calibri"/>
          <w:b/>
          <w:bCs/>
          <w:rtl/>
        </w:rPr>
        <w:t xml:space="preserve"> </w:t>
      </w:r>
      <w:r w:rsidRPr="00AA5065">
        <w:rPr>
          <w:rFonts w:eastAsia="Calibri" w:hint="eastAsia"/>
          <w:b/>
          <w:bCs/>
          <w:rtl/>
        </w:rPr>
        <w:t>המצב</w:t>
      </w:r>
      <w:r w:rsidRPr="00AA5065">
        <w:rPr>
          <w:rFonts w:eastAsia="Calibri"/>
          <w:b/>
          <w:bCs/>
          <w:rtl/>
        </w:rPr>
        <w:t>.</w:t>
      </w:r>
      <w:r>
        <w:rPr>
          <w:rFonts w:eastAsia="Times New Roman"/>
          <w:bCs/>
          <w:szCs w:val="32"/>
          <w:rtl/>
        </w:rPr>
        <w:br w:type="page"/>
      </w:r>
    </w:p>
    <w:p w:rsidR="00AA5065" w:rsidRPr="00AA5065" w:rsidP="00860D89">
      <w:pPr>
        <w:keepNext/>
        <w:keepLines/>
        <w:spacing w:line="269" w:lineRule="auto"/>
        <w:jc w:val="center"/>
        <w:outlineLvl w:val="1"/>
        <w:rPr>
          <w:rFonts w:eastAsia="Times New Roman"/>
          <w:bCs/>
          <w:szCs w:val="32"/>
          <w:rtl/>
        </w:rPr>
      </w:pPr>
      <w:r w:rsidRPr="00AA5065">
        <w:rPr>
          <w:rFonts w:eastAsia="Times New Roman" w:hint="cs"/>
          <w:bCs/>
          <w:szCs w:val="32"/>
          <w:rtl/>
        </w:rPr>
        <w:t>שער שלישי: התוויית מדיניות ממשלתית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התוויית המדיניות הממשלתית היא נדבך חשוב לקידום כלכלי וחברתי של האוכלוסייה הבדואית בנגב ולצמצום הפערים בתשתיות הציבוריות בין היישובים הבדואיים ליישובים היהודי</w:t>
      </w:r>
      <w:r w:rsidRPr="00AA5065">
        <w:rPr>
          <w:rFonts w:eastAsia="Calibri" w:hint="cs"/>
          <w:rtl/>
        </w:rPr>
        <w:t>ים</w:t>
      </w:r>
      <w:r w:rsidRPr="00AA5065">
        <w:rPr>
          <w:rFonts w:eastAsia="Calibri"/>
          <w:rtl/>
        </w:rPr>
        <w:t>.</w:t>
      </w:r>
      <w:r w:rsidRPr="00AA5065">
        <w:rPr>
          <w:rFonts w:eastAsia="Calibri" w:hint="cs"/>
          <w:rtl/>
        </w:rPr>
        <w:t xml:space="preserve"> לצורך כך נדרשת מעורבות ממשלתית רציפה ורחבה וכן בסיס נתונים אמין וזמין על האוכלוסייה המתגוררת בנגב. </w:t>
      </w:r>
    </w:p>
    <w:p w:rsidR="00AA5065" w:rsidRPr="00AA5065" w:rsidP="00860D89">
      <w:pPr>
        <w:spacing w:line="269" w:lineRule="auto"/>
        <w:ind w:left="-567"/>
        <w:rPr>
          <w:rFonts w:eastAsia="Calibri"/>
          <w:szCs w:val="20"/>
          <w:rtl/>
        </w:rPr>
      </w:pPr>
    </w:p>
    <w:p w:rsidR="00AA5065" w:rsidRPr="00AA5065" w:rsidP="0054781A">
      <w:pPr>
        <w:keepNext/>
        <w:keepLines/>
        <w:spacing w:before="120" w:line="269" w:lineRule="auto"/>
        <w:outlineLvl w:val="2"/>
        <w:rPr>
          <w:rFonts w:eastAsia="Times New Roman"/>
          <w:bCs/>
          <w:szCs w:val="28"/>
          <w:u w:val="single"/>
          <w:rtl/>
        </w:rPr>
      </w:pPr>
      <w:bookmarkStart w:id="153" w:name="_Hlk204860181"/>
      <w:r w:rsidRPr="00AA5065">
        <w:rPr>
          <w:rFonts w:eastAsia="Times New Roman" w:hint="cs"/>
          <w:bCs/>
          <w:szCs w:val="28"/>
          <w:u w:val="single"/>
          <w:rtl/>
        </w:rPr>
        <w:t>דיונים בוועדות שרים בנושא היעדר המשילות בנגב</w:t>
      </w:r>
    </w:p>
    <w:p w:rsidR="00AA5065" w:rsidRPr="00AA5065" w:rsidP="00860D89">
      <w:pPr>
        <w:spacing w:line="269" w:lineRule="auto"/>
        <w:rPr>
          <w:rFonts w:eastAsia="Calibri"/>
          <w:rtl/>
        </w:rPr>
      </w:pPr>
    </w:p>
    <w:p w:rsidR="00AA5065" w:rsidRPr="00AA5065" w:rsidP="002A07BA">
      <w:pPr>
        <w:pStyle w:val="Heading7"/>
        <w:rPr>
          <w:rFonts w:eastAsia="Times New Roman"/>
          <w:rtl/>
        </w:rPr>
      </w:pPr>
      <w:r w:rsidRPr="00AA5065">
        <w:rPr>
          <w:rFonts w:eastAsia="Times New Roman" w:hint="cs"/>
          <w:rtl/>
        </w:rPr>
        <w:t>הנושא המפורט להלן נבדק לראשונה במסגרת ביקורת זו</w:t>
      </w:r>
    </w:p>
    <w:bookmarkEnd w:id="153"/>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פעמים רבות כאשר נדרש תיאום וטיפול מערכתי ורב-משרדי בנושא בעל חשיבות רבה נעשה הדבר, בין השאר, באמצעות הקמת ועדת שרים רלוונטית. הממשלה רשאית, על פי סעיף 31(ה) לחוק יסוד: הממשלה, לפעול באמצעות ועדות שרים שדנות בעניינים מסוימים ומקבלות החלטות בתחום מוגדר, במטרה לשפר את תהליך הניהול ואת קבלת ההחלטות בתחום זה.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Pr>
      </w:pPr>
      <w:r w:rsidRPr="00AA5065">
        <w:rPr>
          <w:rFonts w:eastAsia="Calibri" w:hint="eastAsia"/>
          <w:rtl/>
        </w:rPr>
        <w:t>ועדת</w:t>
      </w:r>
      <w:r w:rsidRPr="00AA5065">
        <w:rPr>
          <w:rFonts w:eastAsia="Calibri"/>
          <w:rtl/>
        </w:rPr>
        <w:t xml:space="preserve"> </w:t>
      </w:r>
      <w:r w:rsidRPr="00AA5065">
        <w:rPr>
          <w:rFonts w:eastAsia="Calibri" w:hint="eastAsia"/>
          <w:rtl/>
        </w:rPr>
        <w:t>שרים</w:t>
      </w:r>
      <w:r w:rsidRPr="00AA5065">
        <w:rPr>
          <w:rFonts w:eastAsia="Calibri"/>
          <w:rtl/>
        </w:rPr>
        <w:t xml:space="preserve"> </w:t>
      </w:r>
      <w:r w:rsidRPr="00AA5065">
        <w:rPr>
          <w:rFonts w:eastAsia="Calibri" w:hint="eastAsia"/>
          <w:rtl/>
        </w:rPr>
        <w:t>לענייני</w:t>
      </w:r>
      <w:r w:rsidRPr="00AA5065">
        <w:rPr>
          <w:rFonts w:eastAsia="Calibri"/>
          <w:rtl/>
        </w:rPr>
        <w:t xml:space="preserve"> </w:t>
      </w:r>
      <w:r w:rsidRPr="00AA5065">
        <w:rPr>
          <w:rFonts w:eastAsia="Calibri" w:hint="eastAsia"/>
          <w:rtl/>
        </w:rPr>
        <w:t>הסדרת</w:t>
      </w:r>
      <w:r w:rsidRPr="00AA5065">
        <w:rPr>
          <w:rFonts w:eastAsia="Calibri"/>
          <w:rtl/>
        </w:rPr>
        <w:t xml:space="preserve"> </w:t>
      </w:r>
      <w:r w:rsidRPr="00AA5065">
        <w:rPr>
          <w:rFonts w:eastAsia="Calibri" w:hint="eastAsia"/>
          <w:rtl/>
        </w:rPr>
        <w:t>התיישבות</w:t>
      </w:r>
      <w:r w:rsidRPr="00AA5065">
        <w:rPr>
          <w:rFonts w:eastAsia="Calibri"/>
          <w:rtl/>
        </w:rPr>
        <w:t xml:space="preserve"> </w:t>
      </w:r>
      <w:r w:rsidRPr="00AA5065">
        <w:rPr>
          <w:rFonts w:eastAsia="Calibri" w:hint="eastAsia"/>
          <w:rtl/>
        </w:rPr>
        <w:t>ופיתוח</w:t>
      </w:r>
      <w:r w:rsidRPr="00AA5065">
        <w:rPr>
          <w:rFonts w:eastAsia="Calibri"/>
          <w:rtl/>
        </w:rPr>
        <w:t xml:space="preserve"> </w:t>
      </w:r>
      <w:r w:rsidRPr="00AA5065">
        <w:rPr>
          <w:rFonts w:eastAsia="Calibri" w:hint="eastAsia"/>
          <w:rtl/>
        </w:rPr>
        <w:t>כלכלי</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החברה</w:t>
      </w:r>
      <w:r w:rsidRPr="00AA5065">
        <w:rPr>
          <w:rFonts w:eastAsia="Calibri"/>
          <w:rtl/>
        </w:rPr>
        <w:t xml:space="preserve"> </w:t>
      </w:r>
      <w:r w:rsidRPr="00AA5065">
        <w:rPr>
          <w:rFonts w:eastAsia="Calibri" w:hint="eastAsia"/>
          <w:rtl/>
        </w:rPr>
        <w:t>הבדואית</w:t>
      </w:r>
      <w:r w:rsidRPr="00AA5065">
        <w:rPr>
          <w:rFonts w:eastAsia="Calibri"/>
          <w:rtl/>
        </w:rPr>
        <w:t xml:space="preserve"> </w:t>
      </w:r>
      <w:r w:rsidRPr="00AA5065">
        <w:rPr>
          <w:rFonts w:eastAsia="Calibri" w:hint="eastAsia"/>
          <w:rtl/>
        </w:rPr>
        <w:t>בנגב</w:t>
      </w:r>
      <w:r w:rsidRPr="00AA5065">
        <w:rPr>
          <w:rFonts w:eastAsia="Calibri"/>
          <w:rtl/>
        </w:rPr>
        <w:t xml:space="preserve"> </w:t>
      </w:r>
      <w:r w:rsidRPr="00AA5065">
        <w:rPr>
          <w:rFonts w:eastAsia="Calibri" w:hint="eastAsia"/>
          <w:rtl/>
        </w:rPr>
        <w:t>בראשות</w:t>
      </w:r>
      <w:r w:rsidRPr="00AA5065">
        <w:rPr>
          <w:rFonts w:eastAsia="Calibri"/>
          <w:rtl/>
        </w:rPr>
        <w:t xml:space="preserve"> </w:t>
      </w:r>
      <w:r w:rsidRPr="00AA5065">
        <w:rPr>
          <w:rFonts w:eastAsia="Calibri" w:hint="eastAsia"/>
          <w:rtl/>
        </w:rPr>
        <w:t>ראש</w:t>
      </w:r>
      <w:r w:rsidRPr="00AA5065">
        <w:rPr>
          <w:rFonts w:eastAsia="Calibri"/>
          <w:rtl/>
        </w:rPr>
        <w:t xml:space="preserve"> </w:t>
      </w:r>
      <w:r w:rsidRPr="00AA5065">
        <w:rPr>
          <w:rFonts w:eastAsia="Calibri" w:hint="eastAsia"/>
          <w:rtl/>
        </w:rPr>
        <w:t>הממשלה</w:t>
      </w:r>
      <w:r w:rsidRPr="00AA5065">
        <w:rPr>
          <w:rFonts w:eastAsia="Calibri"/>
          <w:rtl/>
        </w:rPr>
        <w:t xml:space="preserve"> </w:t>
      </w:r>
      <w:r w:rsidRPr="00AA5065">
        <w:rPr>
          <w:rFonts w:eastAsia="Calibri" w:hint="eastAsia"/>
          <w:rtl/>
        </w:rPr>
        <w:t>הוקמה</w:t>
      </w:r>
      <w:r w:rsidRPr="00AA5065">
        <w:rPr>
          <w:rFonts w:eastAsia="Calibri"/>
          <w:rtl/>
        </w:rPr>
        <w:t xml:space="preserve"> </w:t>
      </w:r>
      <w:r w:rsidRPr="00AA5065">
        <w:rPr>
          <w:rFonts w:eastAsia="Calibri" w:hint="eastAsia"/>
          <w:rtl/>
        </w:rPr>
        <w:t>בהחלטת</w:t>
      </w:r>
      <w:r w:rsidRPr="00AA5065">
        <w:rPr>
          <w:rFonts w:eastAsia="Calibri"/>
          <w:rtl/>
        </w:rPr>
        <w:t xml:space="preserve"> </w:t>
      </w:r>
      <w:r w:rsidRPr="00AA5065">
        <w:rPr>
          <w:rFonts w:eastAsia="Calibri" w:hint="eastAsia"/>
          <w:rtl/>
        </w:rPr>
        <w:t>הממשלה</w:t>
      </w:r>
      <w:r w:rsidRPr="00AA5065">
        <w:rPr>
          <w:rFonts w:eastAsia="Calibri"/>
          <w:rtl/>
        </w:rPr>
        <w:t xml:space="preserve"> 356 </w:t>
      </w:r>
      <w:r w:rsidRPr="00AA5065">
        <w:rPr>
          <w:rFonts w:eastAsia="Calibri" w:hint="eastAsia"/>
          <w:rtl/>
        </w:rPr>
        <w:t>מיום</w:t>
      </w:r>
      <w:r w:rsidRPr="00AA5065">
        <w:rPr>
          <w:rFonts w:eastAsia="Calibri"/>
          <w:rtl/>
        </w:rPr>
        <w:t xml:space="preserve"> 19.3.23 </w:t>
      </w:r>
      <w:r w:rsidRPr="00AA5065">
        <w:rPr>
          <w:rFonts w:eastAsia="Calibri" w:hint="eastAsia"/>
          <w:rtl/>
        </w:rPr>
        <w:t>לתקופת</w:t>
      </w:r>
      <w:r w:rsidRPr="00AA5065">
        <w:rPr>
          <w:rFonts w:eastAsia="Calibri"/>
          <w:rtl/>
        </w:rPr>
        <w:t xml:space="preserve"> </w:t>
      </w:r>
      <w:r w:rsidRPr="00AA5065">
        <w:rPr>
          <w:rFonts w:eastAsia="Calibri" w:hint="eastAsia"/>
          <w:rtl/>
        </w:rPr>
        <w:t>כהונתה</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הממשלה</w:t>
      </w:r>
      <w:r w:rsidRPr="00AA5065">
        <w:rPr>
          <w:rFonts w:eastAsia="Calibri"/>
          <w:rtl/>
        </w:rPr>
        <w:t xml:space="preserve"> </w:t>
      </w:r>
      <w:r w:rsidRPr="00AA5065">
        <w:rPr>
          <w:rFonts w:eastAsia="Calibri" w:hint="eastAsia"/>
          <w:rtl/>
        </w:rPr>
        <w:t>ה</w:t>
      </w:r>
      <w:r w:rsidRPr="00AA5065">
        <w:rPr>
          <w:rFonts w:eastAsia="Calibri"/>
          <w:rtl/>
        </w:rPr>
        <w:t>-37.</w:t>
      </w:r>
      <w:r w:rsidRPr="00AA5065">
        <w:rPr>
          <w:rFonts w:eastAsia="Calibri" w:hint="cs"/>
          <w:rtl/>
        </w:rPr>
        <w:t xml:space="preserve"> </w:t>
      </w:r>
      <w:r w:rsidRPr="00AA5065">
        <w:rPr>
          <w:rFonts w:eastAsia="Calibri" w:hint="eastAsia"/>
          <w:rtl/>
        </w:rPr>
        <w:t>בהחלטת</w:t>
      </w:r>
      <w:r w:rsidRPr="00AA5065">
        <w:rPr>
          <w:rFonts w:eastAsia="Calibri"/>
          <w:rtl/>
        </w:rPr>
        <w:t xml:space="preserve"> </w:t>
      </w:r>
      <w:r w:rsidRPr="00AA5065">
        <w:rPr>
          <w:rFonts w:eastAsia="Calibri" w:hint="eastAsia"/>
          <w:rtl/>
        </w:rPr>
        <w:t>ממשלה</w:t>
      </w:r>
      <w:r w:rsidRPr="00AA5065">
        <w:rPr>
          <w:rFonts w:eastAsia="Calibri"/>
          <w:rtl/>
        </w:rPr>
        <w:t xml:space="preserve"> </w:t>
      </w:r>
      <w:r w:rsidRPr="00AA5065">
        <w:rPr>
          <w:rFonts w:eastAsia="Calibri" w:hint="eastAsia"/>
          <w:rtl/>
        </w:rPr>
        <w:t>זו</w:t>
      </w:r>
      <w:r w:rsidRPr="00AA5065">
        <w:rPr>
          <w:rFonts w:eastAsia="Calibri"/>
          <w:rtl/>
        </w:rPr>
        <w:t xml:space="preserve"> </w:t>
      </w:r>
      <w:r w:rsidRPr="00AA5065">
        <w:rPr>
          <w:rFonts w:eastAsia="Calibri" w:hint="eastAsia"/>
          <w:rtl/>
        </w:rPr>
        <w:t>נכתב</w:t>
      </w:r>
      <w:r w:rsidRPr="00AA5065">
        <w:rPr>
          <w:rFonts w:eastAsia="Calibri"/>
          <w:rtl/>
        </w:rPr>
        <w:t xml:space="preserve"> </w:t>
      </w:r>
      <w:r w:rsidRPr="00AA5065">
        <w:rPr>
          <w:rFonts w:eastAsia="Calibri" w:hint="eastAsia"/>
          <w:rtl/>
        </w:rPr>
        <w:t>כי</w:t>
      </w:r>
      <w:r w:rsidRPr="00AA5065">
        <w:rPr>
          <w:rFonts w:eastAsia="Calibri"/>
          <w:rtl/>
        </w:rPr>
        <w:t xml:space="preserve"> </w:t>
      </w:r>
      <w:r w:rsidRPr="00AA5065">
        <w:rPr>
          <w:rFonts w:eastAsia="Calibri" w:hint="eastAsia"/>
          <w:rtl/>
        </w:rPr>
        <w:t>סמכויות</w:t>
      </w:r>
      <w:r w:rsidRPr="00AA5065">
        <w:rPr>
          <w:rFonts w:eastAsia="Calibri"/>
          <w:rtl/>
        </w:rPr>
        <w:t xml:space="preserve"> </w:t>
      </w:r>
      <w:r w:rsidRPr="00AA5065">
        <w:rPr>
          <w:rFonts w:eastAsia="Calibri" w:hint="eastAsia"/>
          <w:rtl/>
        </w:rPr>
        <w:t>הוועדה</w:t>
      </w:r>
      <w:r w:rsidRPr="00AA5065">
        <w:rPr>
          <w:rFonts w:eastAsia="Calibri"/>
          <w:rtl/>
        </w:rPr>
        <w:t xml:space="preserve"> </w:t>
      </w:r>
      <w:r w:rsidRPr="00AA5065">
        <w:rPr>
          <w:rFonts w:eastAsia="Calibri" w:hint="eastAsia"/>
          <w:rtl/>
        </w:rPr>
        <w:t>יהיו</w:t>
      </w:r>
      <w:r w:rsidRPr="00AA5065">
        <w:rPr>
          <w:rFonts w:eastAsia="Calibri"/>
          <w:rtl/>
        </w:rPr>
        <w:t xml:space="preserve"> </w:t>
      </w:r>
      <w:r w:rsidRPr="00AA5065">
        <w:rPr>
          <w:rFonts w:eastAsia="Calibri" w:hint="eastAsia"/>
          <w:rtl/>
        </w:rPr>
        <w:t>התוויית</w:t>
      </w:r>
      <w:r w:rsidRPr="00AA5065">
        <w:rPr>
          <w:rFonts w:eastAsia="Calibri"/>
          <w:rtl/>
        </w:rPr>
        <w:t xml:space="preserve"> </w:t>
      </w:r>
      <w:r w:rsidRPr="00AA5065">
        <w:rPr>
          <w:rFonts w:eastAsia="Calibri" w:hint="eastAsia"/>
          <w:rtl/>
        </w:rPr>
        <w:t>המדיניות</w:t>
      </w:r>
      <w:r w:rsidRPr="00AA5065">
        <w:rPr>
          <w:rFonts w:eastAsia="Calibri"/>
          <w:rtl/>
        </w:rPr>
        <w:t xml:space="preserve"> </w:t>
      </w:r>
      <w:r w:rsidRPr="00AA5065">
        <w:rPr>
          <w:rFonts w:eastAsia="Calibri" w:hint="eastAsia"/>
          <w:rtl/>
        </w:rPr>
        <w:t>הכוללת</w:t>
      </w:r>
      <w:r w:rsidRPr="00AA5065">
        <w:rPr>
          <w:rFonts w:eastAsia="Calibri"/>
          <w:rtl/>
        </w:rPr>
        <w:t xml:space="preserve"> </w:t>
      </w:r>
      <w:r w:rsidRPr="00AA5065">
        <w:rPr>
          <w:rFonts w:eastAsia="Calibri" w:hint="eastAsia"/>
          <w:rtl/>
        </w:rPr>
        <w:t>לנושא</w:t>
      </w:r>
      <w:r w:rsidRPr="00AA5065">
        <w:rPr>
          <w:rFonts w:eastAsia="Calibri"/>
          <w:rtl/>
        </w:rPr>
        <w:t xml:space="preserve"> </w:t>
      </w:r>
      <w:r w:rsidRPr="00AA5065">
        <w:rPr>
          <w:rFonts w:eastAsia="Calibri" w:hint="eastAsia"/>
          <w:rtl/>
        </w:rPr>
        <w:t>הסדרת</w:t>
      </w:r>
      <w:r w:rsidRPr="00AA5065">
        <w:rPr>
          <w:rFonts w:eastAsia="Calibri"/>
          <w:rtl/>
        </w:rPr>
        <w:t xml:space="preserve"> </w:t>
      </w:r>
      <w:r w:rsidRPr="00AA5065">
        <w:rPr>
          <w:rFonts w:eastAsia="Calibri" w:hint="eastAsia"/>
          <w:rtl/>
        </w:rPr>
        <w:t>התיישבות</w:t>
      </w:r>
      <w:r w:rsidRPr="00AA5065">
        <w:rPr>
          <w:rFonts w:eastAsia="Calibri"/>
          <w:rtl/>
        </w:rPr>
        <w:t xml:space="preserve"> </w:t>
      </w:r>
      <w:r w:rsidRPr="00AA5065">
        <w:rPr>
          <w:rFonts w:eastAsia="Calibri" w:hint="eastAsia"/>
          <w:rtl/>
        </w:rPr>
        <w:t>הבדואים</w:t>
      </w:r>
      <w:r w:rsidRPr="00AA5065">
        <w:rPr>
          <w:rFonts w:eastAsia="Calibri"/>
          <w:rtl/>
        </w:rPr>
        <w:t xml:space="preserve"> </w:t>
      </w:r>
      <w:r w:rsidRPr="00AA5065">
        <w:rPr>
          <w:rFonts w:eastAsia="Calibri" w:hint="eastAsia"/>
          <w:rtl/>
        </w:rPr>
        <w:t>בנגב</w:t>
      </w:r>
      <w:r w:rsidRPr="00AA5065">
        <w:rPr>
          <w:rFonts w:eastAsia="Calibri"/>
          <w:rtl/>
        </w:rPr>
        <w:t xml:space="preserve">, </w:t>
      </w:r>
      <w:r w:rsidRPr="00AA5065">
        <w:rPr>
          <w:rFonts w:eastAsia="Calibri" w:hint="eastAsia"/>
          <w:rtl/>
        </w:rPr>
        <w:t>לרבות</w:t>
      </w:r>
      <w:r w:rsidRPr="00AA5065">
        <w:rPr>
          <w:rFonts w:eastAsia="Calibri"/>
          <w:rtl/>
        </w:rPr>
        <w:t xml:space="preserve"> </w:t>
      </w:r>
      <w:r w:rsidRPr="00AA5065">
        <w:rPr>
          <w:rFonts w:eastAsia="Calibri" w:hint="eastAsia"/>
          <w:rtl/>
        </w:rPr>
        <w:t>הפיתוח</w:t>
      </w:r>
      <w:r w:rsidRPr="00AA5065">
        <w:rPr>
          <w:rFonts w:eastAsia="Calibri"/>
          <w:rtl/>
        </w:rPr>
        <w:t xml:space="preserve"> </w:t>
      </w:r>
      <w:r w:rsidRPr="00AA5065">
        <w:rPr>
          <w:rFonts w:eastAsia="Calibri" w:hint="eastAsia"/>
          <w:rtl/>
        </w:rPr>
        <w:t>הכלכלי</w:t>
      </w:r>
      <w:r w:rsidRPr="00AA5065">
        <w:rPr>
          <w:rFonts w:eastAsia="Calibri"/>
          <w:rtl/>
        </w:rPr>
        <w:t>-</w:t>
      </w:r>
      <w:r w:rsidRPr="00AA5065">
        <w:rPr>
          <w:rFonts w:eastAsia="Calibri" w:hint="eastAsia"/>
          <w:rtl/>
        </w:rPr>
        <w:t>חברתי</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האוכלוסייה</w:t>
      </w:r>
      <w:r w:rsidRPr="00AA5065">
        <w:rPr>
          <w:rFonts w:eastAsia="Calibri"/>
          <w:rtl/>
        </w:rPr>
        <w:t xml:space="preserve">. </w:t>
      </w:r>
      <w:r w:rsidRPr="00AA5065">
        <w:rPr>
          <w:rFonts w:eastAsia="Calibri" w:hint="eastAsia"/>
          <w:rtl/>
        </w:rPr>
        <w:t>מסקירת</w:t>
      </w:r>
      <w:r w:rsidRPr="00AA5065">
        <w:rPr>
          <w:rFonts w:eastAsia="Calibri"/>
          <w:rtl/>
        </w:rPr>
        <w:t xml:space="preserve"> </w:t>
      </w:r>
      <w:r w:rsidRPr="00AA5065">
        <w:rPr>
          <w:rFonts w:eastAsia="Calibri" w:hint="eastAsia"/>
          <w:rtl/>
        </w:rPr>
        <w:t>הפרוטוקולים</w:t>
      </w:r>
      <w:r>
        <w:rPr>
          <w:rFonts w:eastAsia="Calibri"/>
          <w:vertAlign w:val="superscript"/>
          <w:rtl/>
        </w:rPr>
        <w:footnoteReference w:id="152"/>
      </w:r>
      <w:r w:rsidRPr="00AA5065">
        <w:rPr>
          <w:rFonts w:eastAsia="Calibri"/>
          <w:rtl/>
        </w:rPr>
        <w:t xml:space="preserve"> של ועדה זו עולה כי היא דנה בעיקר בענייני ההסדרה</w:t>
      </w:r>
      <w:r>
        <w:rPr>
          <w:rFonts w:eastAsia="Calibri"/>
          <w:vertAlign w:val="superscript"/>
          <w:rtl/>
        </w:rPr>
        <w:footnoteReference w:id="153"/>
      </w:r>
      <w:r w:rsidRPr="00AA5065">
        <w:rPr>
          <w:rFonts w:eastAsia="Calibri"/>
          <w:rtl/>
        </w:rPr>
        <w:t xml:space="preserve"> ובת</w:t>
      </w:r>
      <w:r w:rsidRPr="00AA5065">
        <w:rPr>
          <w:rFonts w:eastAsia="Calibri" w:hint="eastAsia"/>
          <w:rtl/>
        </w:rPr>
        <w:t>וכנית</w:t>
      </w:r>
      <w:r w:rsidRPr="00AA5065">
        <w:rPr>
          <w:rFonts w:eastAsia="Calibri"/>
          <w:rtl/>
        </w:rPr>
        <w:t xml:space="preserve"> </w:t>
      </w:r>
      <w:r w:rsidRPr="00AA5065">
        <w:rPr>
          <w:rFonts w:eastAsia="Calibri" w:hint="eastAsia"/>
          <w:rtl/>
        </w:rPr>
        <w:t>המיקודים</w:t>
      </w:r>
      <w:r w:rsidRPr="00AA5065">
        <w:rPr>
          <w:rFonts w:eastAsia="Calibri"/>
          <w:rtl/>
        </w:rPr>
        <w:t>, וכמעט שאיננה עוסקת בנושאי המשילות, תכלול מידע ופעולות משרדי הממשלה השונים בנגב.</w:t>
      </w:r>
    </w:p>
    <w:p w:rsidR="00AA5065" w:rsidRPr="00AA5065" w:rsidP="00860D89">
      <w:pPr>
        <w:spacing w:line="269" w:lineRule="auto"/>
        <w:rPr>
          <w:rFonts w:eastAsia="Calibri"/>
        </w:rPr>
      </w:pPr>
      <w:r w:rsidRPr="00AA5065">
        <w:rPr>
          <w:rFonts w:eastAsia="Calibri" w:hint="cs"/>
          <w:rtl/>
        </w:rPr>
        <w:t>בישיבת הממשלה</w:t>
      </w:r>
      <w:r>
        <w:rPr>
          <w:rFonts w:eastAsia="Calibri"/>
          <w:vertAlign w:val="superscript"/>
          <w:rtl/>
        </w:rPr>
        <w:footnoteReference w:id="154"/>
      </w:r>
      <w:r w:rsidRPr="00AA5065">
        <w:rPr>
          <w:rFonts w:eastAsia="Calibri" w:hint="cs"/>
          <w:rtl/>
        </w:rPr>
        <w:t xml:space="preserve"> מיום 5.3.23 הוחלט על הקמת ועדת שרים </w:t>
      </w:r>
      <w:bookmarkStart w:id="155" w:name="_Hlk188861350"/>
      <w:r w:rsidRPr="00AA5065">
        <w:rPr>
          <w:rFonts w:eastAsia="Calibri" w:hint="cs"/>
          <w:rtl/>
        </w:rPr>
        <w:t>לפיתוח הנגב, הגליל והחוסן הלאומי בראשות שר הנגב, הגליל והחוסן הלאומי.</w:t>
      </w:r>
      <w:bookmarkEnd w:id="155"/>
      <w:r w:rsidRPr="00AA5065">
        <w:rPr>
          <w:rFonts w:eastAsia="Calibri" w:hint="cs"/>
          <w:rtl/>
        </w:rPr>
        <w:t xml:space="preserve"> עם סמכויותיה של ועדת שרים זו נמנו גיבוש תוכניות אסטרטגיות לחיזוק הנגב והגליל, קידום פרויקטים מחוללי שינוי ומנועי צמיחה בנגב ובגליל וחיזוק החוסן הלאומי והחברתי בנגב ובגליל. עוד נקבע כי מנכ"ל משרד הנגב, הגליל והחוסן הלאומי יהיה ממונה על הביצוע, התיאום והמעקב בנוגע להחלטותיה של ועדת שרים זו. החוסן הלאומי הוגדר בהחלטת הממשלה בהתאם לכמה מדדים, ובהם בין היתר ביטחון אישי וסביבה</w:t>
      </w:r>
      <w:r>
        <w:rPr>
          <w:rFonts w:eastAsia="Calibri"/>
          <w:vertAlign w:val="superscript"/>
          <w:rtl/>
        </w:rPr>
        <w:footnoteReference w:id="155"/>
      </w:r>
      <w:r w:rsidRPr="00AA5065">
        <w:rPr>
          <w:rFonts w:eastAsia="Calibri"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bookmarkStart w:id="156" w:name="_Hlk204860238"/>
      <w:r w:rsidRPr="00AA5065">
        <w:rPr>
          <w:rFonts w:eastAsia="Calibri" w:hint="cs"/>
          <w:b/>
          <w:bCs/>
          <w:rtl/>
        </w:rPr>
        <w:t>מבדיקת משרד מבקר המדינה עולה כי נכון למועד סיום הביקורת, על אף הקמת ועדת השרים לפיתוח הנגב, הגליל והחוסן הלאומי בראשות שר הנגב, כאמור בהחלטת הממשלה</w:t>
      </w:r>
      <w:r>
        <w:rPr>
          <w:rFonts w:eastAsia="Calibri"/>
          <w:b/>
          <w:bCs/>
          <w:vertAlign w:val="superscript"/>
          <w:rtl/>
        </w:rPr>
        <w:footnoteReference w:id="156"/>
      </w:r>
      <w:r w:rsidRPr="00AA5065">
        <w:rPr>
          <w:rFonts w:eastAsia="Calibri" w:hint="cs"/>
          <w:b/>
          <w:bCs/>
          <w:rtl/>
        </w:rPr>
        <w:t xml:space="preserve"> - ועדה זו לא התכנסה כלל במשך השנתיים שחלפו מאז הקמתה, נכון למועד סיום הביקורת - פברואר 2025</w:t>
      </w:r>
      <w:r>
        <w:rPr>
          <w:rFonts w:eastAsia="Calibri"/>
          <w:b/>
          <w:bCs/>
          <w:vertAlign w:val="superscript"/>
          <w:rtl/>
        </w:rPr>
        <w:footnoteReference w:id="157"/>
      </w:r>
      <w:r w:rsidRPr="00AA5065">
        <w:rPr>
          <w:rFonts w:eastAsia="Calibri" w:hint="cs"/>
          <w:b/>
          <w:bCs/>
          <w:rtl/>
        </w:rPr>
        <w:t>.</w:t>
      </w:r>
    </w:p>
    <w:bookmarkEnd w:id="156"/>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bookmarkStart w:id="157" w:name="_Hlk204860262"/>
      <w:r w:rsidRPr="00AA5065">
        <w:rPr>
          <w:rFonts w:eastAsia="Calibri" w:hint="cs"/>
          <w:b/>
          <w:bCs/>
          <w:rtl/>
        </w:rPr>
        <w:t>לפיכך, סוגיית היעדר המשילות בנגב ותכלול העשייה הממשלתית בנושא לא נידון על ידי ועדת שרים כלשהי</w:t>
      </w:r>
      <w:bookmarkEnd w:id="157"/>
      <w:r w:rsidRPr="00AA5065">
        <w:rPr>
          <w:rFonts w:eastAsia="Calibri" w:hint="cs"/>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בתשובת</w:t>
      </w:r>
      <w:r w:rsidRPr="00AA5065">
        <w:rPr>
          <w:rFonts w:eastAsia="Calibri"/>
          <w:rtl/>
        </w:rPr>
        <w:t xml:space="preserve"> </w:t>
      </w:r>
      <w:r w:rsidRPr="00AA5065">
        <w:rPr>
          <w:rFonts w:eastAsia="Calibri" w:hint="eastAsia"/>
          <w:rtl/>
        </w:rPr>
        <w:t>שר</w:t>
      </w:r>
      <w:r w:rsidRPr="00AA5065">
        <w:rPr>
          <w:rFonts w:eastAsia="Calibri"/>
          <w:rtl/>
        </w:rPr>
        <w:t xml:space="preserve"> </w:t>
      </w:r>
      <w:r w:rsidRPr="00AA5065">
        <w:rPr>
          <w:rFonts w:eastAsia="Calibri" w:hint="eastAsia"/>
          <w:rtl/>
        </w:rPr>
        <w:t>הנגב</w:t>
      </w:r>
      <w:r w:rsidRPr="00AA5065">
        <w:rPr>
          <w:rFonts w:eastAsia="Calibri"/>
          <w:rtl/>
        </w:rPr>
        <w:t xml:space="preserve">, </w:t>
      </w:r>
      <w:r w:rsidRPr="00AA5065">
        <w:rPr>
          <w:rFonts w:eastAsia="Calibri" w:hint="eastAsia"/>
          <w:rtl/>
        </w:rPr>
        <w:t>הגליל</w:t>
      </w:r>
      <w:r w:rsidRPr="00AA5065">
        <w:rPr>
          <w:rFonts w:eastAsia="Calibri"/>
          <w:rtl/>
        </w:rPr>
        <w:t xml:space="preserve"> </w:t>
      </w:r>
      <w:r w:rsidRPr="00AA5065">
        <w:rPr>
          <w:rFonts w:eastAsia="Calibri" w:hint="eastAsia"/>
          <w:rtl/>
        </w:rPr>
        <w:t>והחוסן</w:t>
      </w:r>
      <w:r w:rsidRPr="00AA5065">
        <w:rPr>
          <w:rFonts w:eastAsia="Calibri"/>
          <w:rtl/>
        </w:rPr>
        <w:t xml:space="preserve"> </w:t>
      </w:r>
      <w:r w:rsidRPr="00AA5065">
        <w:rPr>
          <w:rFonts w:eastAsia="Calibri" w:hint="eastAsia"/>
          <w:rtl/>
        </w:rPr>
        <w:t>הלאומי</w:t>
      </w:r>
      <w:r w:rsidRPr="00AA5065">
        <w:rPr>
          <w:rFonts w:eastAsia="Calibri"/>
          <w:rtl/>
        </w:rPr>
        <w:t xml:space="preserve"> </w:t>
      </w:r>
      <w:r w:rsidRPr="00AA5065">
        <w:rPr>
          <w:rFonts w:eastAsia="Calibri" w:hint="eastAsia"/>
          <w:rtl/>
        </w:rPr>
        <w:t>מיום</w:t>
      </w:r>
      <w:r w:rsidRPr="00AA5065">
        <w:rPr>
          <w:rFonts w:eastAsia="Calibri"/>
          <w:rtl/>
        </w:rPr>
        <w:t xml:space="preserve"> 3.11.25 </w:t>
      </w:r>
      <w:r w:rsidRPr="00AA5065">
        <w:rPr>
          <w:rFonts w:eastAsia="Calibri" w:hint="eastAsia"/>
          <w:rtl/>
        </w:rPr>
        <w:t>נכתב</w:t>
      </w:r>
      <w:r w:rsidRPr="00AA5065">
        <w:rPr>
          <w:rFonts w:eastAsia="Calibri"/>
          <w:rtl/>
        </w:rPr>
        <w:t xml:space="preserve"> </w:t>
      </w:r>
      <w:r w:rsidRPr="00AA5065">
        <w:rPr>
          <w:rFonts w:eastAsia="Calibri" w:hint="eastAsia"/>
          <w:rtl/>
        </w:rPr>
        <w:t>כי</w:t>
      </w:r>
      <w:r w:rsidRPr="00AA5065">
        <w:rPr>
          <w:rFonts w:eastAsia="Calibri"/>
          <w:rtl/>
        </w:rPr>
        <w:t xml:space="preserve"> "..</w:t>
      </w:r>
      <w:r w:rsidRPr="00AA5065">
        <w:rPr>
          <w:rFonts w:eastAsia="Calibri" w:hint="cs"/>
          <w:rtl/>
        </w:rPr>
        <w:t>.</w:t>
      </w:r>
      <w:r w:rsidRPr="00AA5065">
        <w:rPr>
          <w:rFonts w:eastAsia="Calibri" w:hint="eastAsia"/>
          <w:rtl/>
        </w:rPr>
        <w:t>המדיניות</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מזכירות</w:t>
      </w:r>
      <w:r w:rsidRPr="00AA5065">
        <w:rPr>
          <w:rFonts w:eastAsia="Calibri"/>
          <w:rtl/>
        </w:rPr>
        <w:t xml:space="preserve"> </w:t>
      </w:r>
      <w:r w:rsidRPr="00AA5065">
        <w:rPr>
          <w:rFonts w:eastAsia="Calibri" w:hint="eastAsia"/>
          <w:rtl/>
        </w:rPr>
        <w:t>הממשלה</w:t>
      </w:r>
      <w:r w:rsidRPr="00AA5065">
        <w:rPr>
          <w:rFonts w:eastAsia="Calibri"/>
          <w:rtl/>
        </w:rPr>
        <w:t xml:space="preserve"> </w:t>
      </w:r>
      <w:r w:rsidRPr="00AA5065">
        <w:rPr>
          <w:rFonts w:eastAsia="Calibri" w:hint="eastAsia"/>
          <w:rtl/>
        </w:rPr>
        <w:t>היא</w:t>
      </w:r>
      <w:r w:rsidRPr="00AA5065">
        <w:rPr>
          <w:rFonts w:eastAsia="Calibri"/>
          <w:rtl/>
        </w:rPr>
        <w:t xml:space="preserve"> </w:t>
      </w:r>
      <w:r w:rsidRPr="00AA5065">
        <w:rPr>
          <w:rFonts w:eastAsia="Calibri" w:hint="eastAsia"/>
          <w:rtl/>
        </w:rPr>
        <w:t>לכנס</w:t>
      </w:r>
      <w:r w:rsidRPr="00AA5065">
        <w:rPr>
          <w:rFonts w:eastAsia="Calibri"/>
          <w:rtl/>
        </w:rPr>
        <w:t xml:space="preserve"> </w:t>
      </w:r>
      <w:r w:rsidRPr="00AA5065">
        <w:rPr>
          <w:rFonts w:eastAsia="Calibri" w:hint="eastAsia"/>
          <w:rtl/>
        </w:rPr>
        <w:t>ועדות</w:t>
      </w:r>
      <w:r w:rsidRPr="00AA5065">
        <w:rPr>
          <w:rFonts w:eastAsia="Calibri"/>
          <w:rtl/>
        </w:rPr>
        <w:t xml:space="preserve"> </w:t>
      </w:r>
      <w:r w:rsidRPr="00AA5065">
        <w:rPr>
          <w:rFonts w:eastAsia="Calibri" w:hint="eastAsia"/>
          <w:rtl/>
        </w:rPr>
        <w:t>שרים</w:t>
      </w:r>
      <w:r w:rsidRPr="00AA5065">
        <w:rPr>
          <w:rFonts w:eastAsia="Calibri"/>
          <w:rtl/>
        </w:rPr>
        <w:t xml:space="preserve"> </w:t>
      </w:r>
      <w:r w:rsidRPr="00AA5065">
        <w:rPr>
          <w:rFonts w:eastAsia="Calibri" w:hint="eastAsia"/>
          <w:rtl/>
        </w:rPr>
        <w:t>רק</w:t>
      </w:r>
      <w:r w:rsidRPr="00AA5065">
        <w:rPr>
          <w:rFonts w:eastAsia="Calibri"/>
          <w:rtl/>
        </w:rPr>
        <w:t xml:space="preserve"> </w:t>
      </w:r>
      <w:r w:rsidRPr="00AA5065">
        <w:rPr>
          <w:rFonts w:eastAsia="Calibri" w:hint="eastAsia"/>
          <w:rtl/>
        </w:rPr>
        <w:t>כאשר</w:t>
      </w:r>
      <w:r w:rsidRPr="00AA5065">
        <w:rPr>
          <w:rFonts w:eastAsia="Calibri"/>
          <w:rtl/>
        </w:rPr>
        <w:t xml:space="preserve"> </w:t>
      </w:r>
      <w:r w:rsidRPr="00AA5065">
        <w:rPr>
          <w:rFonts w:eastAsia="Calibri" w:hint="eastAsia"/>
          <w:rtl/>
        </w:rPr>
        <w:t>מביאים</w:t>
      </w:r>
      <w:r w:rsidRPr="00AA5065">
        <w:rPr>
          <w:rFonts w:eastAsia="Calibri"/>
          <w:rtl/>
        </w:rPr>
        <w:t xml:space="preserve"> </w:t>
      </w:r>
      <w:r w:rsidRPr="00AA5065">
        <w:rPr>
          <w:rFonts w:eastAsia="Calibri" w:hint="eastAsia"/>
          <w:rtl/>
        </w:rPr>
        <w:t>הצעות</w:t>
      </w:r>
      <w:r w:rsidRPr="00AA5065">
        <w:rPr>
          <w:rFonts w:eastAsia="Calibri"/>
          <w:rtl/>
        </w:rPr>
        <w:t xml:space="preserve"> </w:t>
      </w:r>
      <w:r w:rsidRPr="00AA5065">
        <w:rPr>
          <w:rFonts w:eastAsia="Calibri" w:hint="eastAsia"/>
          <w:rtl/>
        </w:rPr>
        <w:t>החלטה</w:t>
      </w:r>
      <w:r w:rsidRPr="00AA5065">
        <w:rPr>
          <w:rFonts w:eastAsia="Calibri"/>
          <w:rtl/>
        </w:rPr>
        <w:t xml:space="preserve">. </w:t>
      </w:r>
      <w:r w:rsidRPr="00AA5065">
        <w:rPr>
          <w:rFonts w:eastAsia="Calibri" w:hint="eastAsia"/>
          <w:rtl/>
        </w:rPr>
        <w:t>במקרים</w:t>
      </w:r>
      <w:r w:rsidRPr="00AA5065">
        <w:rPr>
          <w:rFonts w:eastAsia="Calibri"/>
          <w:rtl/>
        </w:rPr>
        <w:t xml:space="preserve"> </w:t>
      </w:r>
      <w:r w:rsidRPr="00AA5065">
        <w:rPr>
          <w:rFonts w:eastAsia="Calibri" w:hint="eastAsia"/>
          <w:rtl/>
        </w:rPr>
        <w:t>רבים</w:t>
      </w:r>
      <w:r w:rsidRPr="00AA5065">
        <w:rPr>
          <w:rFonts w:eastAsia="Calibri"/>
          <w:rtl/>
        </w:rPr>
        <w:t xml:space="preserve"> </w:t>
      </w:r>
      <w:r w:rsidRPr="00AA5065">
        <w:rPr>
          <w:rFonts w:eastAsia="Calibri" w:hint="eastAsia"/>
          <w:rtl/>
        </w:rPr>
        <w:t>רצינו</w:t>
      </w:r>
      <w:r w:rsidRPr="00AA5065">
        <w:rPr>
          <w:rFonts w:eastAsia="Calibri"/>
          <w:rtl/>
        </w:rPr>
        <w:t xml:space="preserve"> </w:t>
      </w:r>
      <w:r w:rsidRPr="00AA5065">
        <w:rPr>
          <w:rFonts w:eastAsia="Calibri" w:hint="eastAsia"/>
          <w:rtl/>
        </w:rPr>
        <w:t>לכנס</w:t>
      </w:r>
      <w:r w:rsidRPr="00AA5065">
        <w:rPr>
          <w:rFonts w:eastAsia="Calibri"/>
          <w:rtl/>
        </w:rPr>
        <w:t xml:space="preserve"> </w:t>
      </w:r>
      <w:r w:rsidRPr="00AA5065">
        <w:rPr>
          <w:rFonts w:eastAsia="Calibri" w:hint="eastAsia"/>
          <w:rtl/>
        </w:rPr>
        <w:t>את</w:t>
      </w:r>
      <w:r w:rsidRPr="00AA5065">
        <w:rPr>
          <w:rFonts w:eastAsia="Calibri"/>
          <w:rtl/>
        </w:rPr>
        <w:t xml:space="preserve"> </w:t>
      </w:r>
      <w:r w:rsidRPr="00AA5065">
        <w:rPr>
          <w:rFonts w:eastAsia="Calibri" w:hint="eastAsia"/>
          <w:rtl/>
        </w:rPr>
        <w:t>הוועדה</w:t>
      </w:r>
      <w:r w:rsidRPr="00AA5065">
        <w:rPr>
          <w:rFonts w:eastAsia="Calibri"/>
          <w:rtl/>
        </w:rPr>
        <w:t xml:space="preserve"> </w:t>
      </w:r>
      <w:r w:rsidRPr="00AA5065">
        <w:rPr>
          <w:rFonts w:eastAsia="Calibri" w:hint="eastAsia"/>
          <w:rtl/>
        </w:rPr>
        <w:t>על</w:t>
      </w:r>
      <w:r w:rsidRPr="00AA5065">
        <w:rPr>
          <w:rFonts w:eastAsia="Calibri"/>
          <w:rtl/>
        </w:rPr>
        <w:t xml:space="preserve"> </w:t>
      </w:r>
      <w:r w:rsidRPr="00AA5065">
        <w:rPr>
          <w:rFonts w:eastAsia="Calibri" w:hint="eastAsia"/>
          <w:rtl/>
        </w:rPr>
        <w:t>מנת</w:t>
      </w:r>
      <w:r w:rsidRPr="00AA5065">
        <w:rPr>
          <w:rFonts w:eastAsia="Calibri"/>
          <w:rtl/>
        </w:rPr>
        <w:t xml:space="preserve"> </w:t>
      </w:r>
      <w:r w:rsidRPr="00AA5065">
        <w:rPr>
          <w:rFonts w:eastAsia="Calibri" w:hint="eastAsia"/>
          <w:rtl/>
        </w:rPr>
        <w:t>לקיים</w:t>
      </w:r>
      <w:r w:rsidRPr="00AA5065">
        <w:rPr>
          <w:rFonts w:eastAsia="Calibri"/>
          <w:rtl/>
        </w:rPr>
        <w:t xml:space="preserve"> </w:t>
      </w:r>
      <w:r w:rsidRPr="00AA5065">
        <w:rPr>
          <w:rFonts w:eastAsia="Calibri" w:hint="eastAsia"/>
          <w:rtl/>
        </w:rPr>
        <w:t>דיונים</w:t>
      </w:r>
      <w:r w:rsidRPr="00AA5065">
        <w:rPr>
          <w:rFonts w:eastAsia="Calibri"/>
          <w:rtl/>
        </w:rPr>
        <w:t xml:space="preserve"> </w:t>
      </w:r>
      <w:r w:rsidRPr="00AA5065">
        <w:rPr>
          <w:rFonts w:eastAsia="Calibri" w:hint="eastAsia"/>
          <w:rtl/>
        </w:rPr>
        <w:t>עקרוניים</w:t>
      </w:r>
      <w:r w:rsidRPr="00AA5065">
        <w:rPr>
          <w:rFonts w:eastAsia="Calibri"/>
          <w:rtl/>
        </w:rPr>
        <w:t xml:space="preserve"> </w:t>
      </w:r>
      <w:r w:rsidRPr="00AA5065">
        <w:rPr>
          <w:rFonts w:eastAsia="Calibri" w:hint="eastAsia"/>
          <w:rtl/>
        </w:rPr>
        <w:t>על</w:t>
      </w:r>
      <w:r w:rsidRPr="00AA5065">
        <w:rPr>
          <w:rFonts w:eastAsia="Calibri"/>
          <w:rtl/>
        </w:rPr>
        <w:t xml:space="preserve"> </w:t>
      </w:r>
      <w:r w:rsidRPr="00AA5065">
        <w:rPr>
          <w:rFonts w:eastAsia="Calibri" w:hint="eastAsia"/>
          <w:rtl/>
        </w:rPr>
        <w:t>מצב</w:t>
      </w:r>
      <w:r w:rsidRPr="00AA5065">
        <w:rPr>
          <w:rFonts w:eastAsia="Calibri"/>
          <w:rtl/>
        </w:rPr>
        <w:t xml:space="preserve"> </w:t>
      </w:r>
      <w:r w:rsidRPr="00AA5065">
        <w:rPr>
          <w:rFonts w:eastAsia="Calibri" w:hint="eastAsia"/>
          <w:rtl/>
        </w:rPr>
        <w:t>הנגב</w:t>
      </w:r>
      <w:r w:rsidRPr="00AA5065">
        <w:rPr>
          <w:rFonts w:eastAsia="Calibri"/>
          <w:rtl/>
        </w:rPr>
        <w:t xml:space="preserve"> </w:t>
      </w:r>
      <w:r w:rsidRPr="00AA5065">
        <w:rPr>
          <w:rFonts w:eastAsia="Calibri" w:hint="eastAsia"/>
          <w:rtl/>
        </w:rPr>
        <w:t>והגליל</w:t>
      </w:r>
      <w:r w:rsidRPr="00AA5065">
        <w:rPr>
          <w:rFonts w:eastAsia="Calibri"/>
          <w:rtl/>
        </w:rPr>
        <w:t xml:space="preserve"> (שאינם </w:t>
      </w:r>
      <w:r w:rsidRPr="00AA5065">
        <w:rPr>
          <w:rFonts w:eastAsia="Calibri" w:hint="eastAsia"/>
          <w:rtl/>
        </w:rPr>
        <w:t>בהיבט</w:t>
      </w:r>
      <w:r w:rsidRPr="00AA5065">
        <w:rPr>
          <w:rFonts w:eastAsia="Calibri"/>
          <w:rtl/>
        </w:rPr>
        <w:t xml:space="preserve"> </w:t>
      </w:r>
      <w:r w:rsidRPr="00AA5065">
        <w:rPr>
          <w:rFonts w:eastAsia="Calibri" w:hint="eastAsia"/>
          <w:rtl/>
        </w:rPr>
        <w:t>המשילות</w:t>
      </w:r>
      <w:r w:rsidRPr="00AA5065">
        <w:rPr>
          <w:rFonts w:eastAsia="Calibri"/>
          <w:rtl/>
        </w:rPr>
        <w:t xml:space="preserve">), </w:t>
      </w:r>
      <w:r w:rsidRPr="00AA5065">
        <w:rPr>
          <w:rFonts w:eastAsia="Calibri" w:hint="eastAsia"/>
          <w:rtl/>
        </w:rPr>
        <w:t>נאמר</w:t>
      </w:r>
      <w:r w:rsidRPr="00AA5065">
        <w:rPr>
          <w:rFonts w:eastAsia="Calibri"/>
          <w:rtl/>
        </w:rPr>
        <w:t xml:space="preserve"> </w:t>
      </w:r>
      <w:r w:rsidRPr="00AA5065">
        <w:rPr>
          <w:rFonts w:eastAsia="Calibri" w:hint="eastAsia"/>
          <w:rtl/>
        </w:rPr>
        <w:t>לנו</w:t>
      </w:r>
      <w:r w:rsidRPr="00AA5065">
        <w:rPr>
          <w:rFonts w:eastAsia="Calibri"/>
          <w:rtl/>
        </w:rPr>
        <w:t xml:space="preserve"> </w:t>
      </w:r>
      <w:r w:rsidRPr="00AA5065">
        <w:rPr>
          <w:rFonts w:eastAsia="Calibri" w:hint="eastAsia"/>
          <w:rtl/>
        </w:rPr>
        <w:t>כי</w:t>
      </w:r>
      <w:r w:rsidRPr="00AA5065">
        <w:rPr>
          <w:rFonts w:eastAsia="Calibri"/>
          <w:rtl/>
        </w:rPr>
        <w:t xml:space="preserve"> </w:t>
      </w:r>
      <w:r w:rsidRPr="00AA5065">
        <w:rPr>
          <w:rFonts w:eastAsia="Calibri" w:hint="eastAsia"/>
          <w:rtl/>
        </w:rPr>
        <w:t>הדבר</w:t>
      </w:r>
      <w:r w:rsidRPr="00AA5065">
        <w:rPr>
          <w:rFonts w:eastAsia="Calibri"/>
          <w:rtl/>
        </w:rPr>
        <w:t xml:space="preserve"> </w:t>
      </w:r>
      <w:r w:rsidRPr="00AA5065">
        <w:rPr>
          <w:rFonts w:eastAsia="Calibri" w:hint="eastAsia"/>
          <w:rtl/>
        </w:rPr>
        <w:t>אינו</w:t>
      </w:r>
      <w:r w:rsidRPr="00AA5065">
        <w:rPr>
          <w:rFonts w:eastAsia="Calibri"/>
          <w:rtl/>
        </w:rPr>
        <w:t xml:space="preserve"> </w:t>
      </w:r>
      <w:r w:rsidRPr="00AA5065">
        <w:rPr>
          <w:rFonts w:eastAsia="Calibri" w:hint="eastAsia"/>
          <w:rtl/>
        </w:rPr>
        <w:t>מקובל</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 xml:space="preserve">מומלץ כי שר הנגב, הגליל והחוסן הלאומי, כיושב בראש ועדת השרים לפיתוח הנגב, הגליל והחוסן הלאומי, יכנס את הוועדה במטרה לקדם את הנושאים שהוגדרו בסמכות הוועדה בהחלטת הממשלה, ובכלל זה </w:t>
      </w:r>
      <w:r w:rsidRPr="00AA5065">
        <w:rPr>
          <w:rFonts w:eastAsia="Calibri" w:hint="eastAsia"/>
          <w:b/>
          <w:bCs/>
          <w:rtl/>
        </w:rPr>
        <w:t>חיזוק</w:t>
      </w:r>
      <w:r w:rsidRPr="00AA5065">
        <w:rPr>
          <w:rFonts w:eastAsia="Calibri"/>
          <w:b/>
          <w:bCs/>
          <w:rtl/>
        </w:rPr>
        <w:t xml:space="preserve"> החוסן הלאומי והחברתי בנגב‏.‏ </w:t>
      </w:r>
    </w:p>
    <w:p w:rsidR="00AA5065" w:rsidRPr="00AA5065" w:rsidP="00860D89">
      <w:pPr>
        <w:spacing w:line="269" w:lineRule="auto"/>
        <w:rPr>
          <w:rFonts w:eastAsia="Calibri"/>
          <w:rtl/>
        </w:rPr>
      </w:pPr>
      <w:bookmarkStart w:id="158" w:name="_Hlk204860332"/>
    </w:p>
    <w:p w:rsidR="00AA5065" w:rsidRPr="00AA5065" w:rsidP="0054781A">
      <w:pPr>
        <w:keepNext/>
        <w:keepLines/>
        <w:spacing w:before="120" w:line="269" w:lineRule="auto"/>
        <w:outlineLvl w:val="2"/>
        <w:rPr>
          <w:rFonts w:eastAsia="Times New Roman"/>
          <w:bCs/>
          <w:szCs w:val="28"/>
          <w:u w:val="single"/>
          <w:rtl/>
        </w:rPr>
      </w:pPr>
      <w:r w:rsidRPr="00AA5065">
        <w:rPr>
          <w:rFonts w:eastAsia="Times New Roman" w:hint="cs"/>
          <w:bCs/>
          <w:szCs w:val="28"/>
          <w:u w:val="single"/>
          <w:rtl/>
        </w:rPr>
        <w:t>הפעולות של רשות האוכלוסין לבדיקת התושבות</w:t>
      </w:r>
    </w:p>
    <w:bookmarkEnd w:id="158"/>
    <w:p w:rsidR="00AA5065" w:rsidRPr="00AA5065" w:rsidP="00860D89">
      <w:pPr>
        <w:spacing w:line="269" w:lineRule="auto"/>
        <w:rPr>
          <w:rFonts w:eastAsia="Calibri"/>
          <w:rtl/>
        </w:rPr>
      </w:pPr>
    </w:p>
    <w:p w:rsidR="00AA5065" w:rsidRPr="00AA5065" w:rsidP="00860D89">
      <w:pPr>
        <w:keepNext/>
        <w:keepLines/>
        <w:spacing w:line="269" w:lineRule="auto"/>
        <w:outlineLvl w:val="3"/>
        <w:rPr>
          <w:rFonts w:eastAsia="Times New Roman"/>
          <w:bCs/>
          <w:szCs w:val="26"/>
          <w:rtl/>
        </w:rPr>
      </w:pPr>
      <w:r w:rsidRPr="00AA5065">
        <w:rPr>
          <w:rFonts w:eastAsia="Times New Roman" w:hint="cs"/>
          <w:bCs/>
          <w:szCs w:val="26"/>
          <w:rtl/>
          <w:lang w:eastAsia="he-IL"/>
        </w:rPr>
        <w:t>קשיים בביצוע בדיקת תושבות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 xml:space="preserve">על רשות האוכלוסין מוטל לבצע בדיקת תושבות, דהיינו </w:t>
      </w:r>
      <w:r w:rsidRPr="00AA5065">
        <w:rPr>
          <w:rFonts w:eastAsia="Calibri" w:hint="cs"/>
          <w:rtl/>
        </w:rPr>
        <w:t>ל</w:t>
      </w:r>
      <w:r w:rsidRPr="00AA5065">
        <w:rPr>
          <w:rFonts w:eastAsia="Calibri"/>
          <w:rtl/>
        </w:rPr>
        <w:t>בצע בדיקות</w:t>
      </w:r>
      <w:r w:rsidRPr="00AA5065">
        <w:rPr>
          <w:rFonts w:eastAsia="Calibri" w:hint="cs"/>
          <w:rtl/>
        </w:rPr>
        <w:t xml:space="preserve"> </w:t>
      </w:r>
      <w:r w:rsidRPr="00AA5065">
        <w:rPr>
          <w:rFonts w:eastAsia="Calibri"/>
          <w:rtl/>
        </w:rPr>
        <w:t>וחקירות שונות, כדי לוודא כי אכן מרכז החיים של כל דורש</w:t>
      </w:r>
      <w:r w:rsidRPr="00AA5065">
        <w:rPr>
          <w:rFonts w:eastAsia="Calibri" w:hint="cs"/>
          <w:rtl/>
        </w:rPr>
        <w:t xml:space="preserve"> מעמד</w:t>
      </w:r>
      <w:r w:rsidRPr="00AA5065">
        <w:rPr>
          <w:rFonts w:eastAsia="Calibri"/>
          <w:rtl/>
        </w:rPr>
        <w:t xml:space="preserve"> תושב הוא בישראל. רק אם יתברר</w:t>
      </w:r>
      <w:r w:rsidRPr="00AA5065">
        <w:rPr>
          <w:rFonts w:eastAsia="Calibri" w:hint="cs"/>
          <w:rtl/>
        </w:rPr>
        <w:t xml:space="preserve"> </w:t>
      </w:r>
      <w:r w:rsidRPr="00AA5065">
        <w:rPr>
          <w:rFonts w:eastAsia="Calibri"/>
          <w:rtl/>
        </w:rPr>
        <w:t>כי אכן מתקיימים כלל התנאים שנקבעו, יהיה זכאי אותו דורש תושבות לכלל ההטבות המגיעות</w:t>
      </w:r>
      <w:r w:rsidRPr="00AA5065">
        <w:rPr>
          <w:rFonts w:eastAsia="Calibri" w:hint="cs"/>
          <w:rtl/>
        </w:rPr>
        <w:t xml:space="preserve"> </w:t>
      </w:r>
      <w:r w:rsidRPr="00AA5065">
        <w:rPr>
          <w:rFonts w:eastAsia="Calibri"/>
          <w:rtl/>
        </w:rPr>
        <w:t>לתושב ישראל, ובכללן קבלת קצבאות מבט"ל.</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cs"/>
          <w:bCs/>
          <w:spacing w:val="40"/>
          <w:rtl/>
        </w:rPr>
        <w:t>הביקורת הקודמת</w:t>
      </w:r>
    </w:p>
    <w:p w:rsidR="00AA5065" w:rsidRPr="00AA5065" w:rsidP="00860D89">
      <w:pPr>
        <w:spacing w:line="269" w:lineRule="auto"/>
        <w:ind w:left="-567"/>
        <w:rPr>
          <w:rFonts w:eastAsia="Calibri"/>
          <w:szCs w:val="20"/>
          <w:rtl/>
          <w:lang w:eastAsia="he-IL"/>
        </w:rPr>
      </w:pPr>
    </w:p>
    <w:p w:rsidR="00AA5065" w:rsidRPr="00AA5065" w:rsidP="00860D89">
      <w:pPr>
        <w:spacing w:line="269" w:lineRule="auto"/>
        <w:rPr>
          <w:rFonts w:eastAsia="Calibri"/>
          <w:sz w:val="24"/>
          <w:rtl/>
          <w:lang w:eastAsia="he-IL"/>
        </w:rPr>
      </w:pPr>
      <w:r w:rsidRPr="00AA5065">
        <w:rPr>
          <w:rFonts w:eastAsia="Calibri" w:hint="cs"/>
          <w:sz w:val="24"/>
          <w:rtl/>
          <w:lang w:eastAsia="he-IL"/>
        </w:rPr>
        <w:t>בביקורת הקודמת עלה כי "בכל הנוגע ל</w:t>
      </w:r>
      <w:r w:rsidRPr="00AA5065">
        <w:rPr>
          <w:rFonts w:eastAsia="Calibri" w:hint="eastAsia"/>
          <w:sz w:val="24"/>
          <w:rtl/>
          <w:lang w:eastAsia="he-IL"/>
        </w:rPr>
        <w:t>מגזר</w:t>
      </w:r>
      <w:r w:rsidRPr="00AA5065">
        <w:rPr>
          <w:rFonts w:eastAsia="Calibri"/>
          <w:sz w:val="24"/>
          <w:rtl/>
          <w:lang w:eastAsia="he-IL"/>
        </w:rPr>
        <w:t xml:space="preserve"> </w:t>
      </w:r>
      <w:r w:rsidRPr="00AA5065">
        <w:rPr>
          <w:rFonts w:eastAsia="Calibri" w:hint="eastAsia"/>
          <w:sz w:val="24"/>
          <w:rtl/>
          <w:lang w:eastAsia="he-IL"/>
        </w:rPr>
        <w:t xml:space="preserve">הבדואי </w:t>
      </w:r>
      <w:bookmarkStart w:id="159" w:name="_Hlk196371757"/>
      <w:r w:rsidRPr="00AA5065">
        <w:rPr>
          <w:rFonts w:eastAsia="Calibri" w:hint="eastAsia"/>
          <w:sz w:val="24"/>
          <w:rtl/>
          <w:lang w:eastAsia="he-IL"/>
        </w:rPr>
        <w:t>אין</w:t>
      </w:r>
      <w:r w:rsidRPr="00AA5065">
        <w:rPr>
          <w:rFonts w:eastAsia="Calibri"/>
          <w:sz w:val="24"/>
          <w:rtl/>
          <w:lang w:eastAsia="he-IL"/>
        </w:rPr>
        <w:t xml:space="preserve"> </w:t>
      </w:r>
      <w:r w:rsidRPr="00AA5065">
        <w:rPr>
          <w:rFonts w:eastAsia="Calibri" w:hint="eastAsia"/>
          <w:sz w:val="24"/>
          <w:rtl/>
          <w:lang w:eastAsia="he-IL"/>
        </w:rPr>
        <w:t>בידי</w:t>
      </w:r>
      <w:r w:rsidRPr="00AA5065">
        <w:rPr>
          <w:rFonts w:eastAsia="Calibri"/>
          <w:sz w:val="24"/>
          <w:rtl/>
          <w:lang w:eastAsia="he-IL"/>
        </w:rPr>
        <w:t xml:space="preserve"> </w:t>
      </w:r>
      <w:r w:rsidRPr="00AA5065">
        <w:rPr>
          <w:rFonts w:eastAsia="Calibri" w:hint="eastAsia"/>
          <w:sz w:val="24"/>
          <w:rtl/>
          <w:lang w:eastAsia="he-IL"/>
        </w:rPr>
        <w:t>רשות</w:t>
      </w:r>
      <w:r w:rsidRPr="00AA5065">
        <w:rPr>
          <w:rFonts w:eastAsia="Calibri"/>
          <w:sz w:val="24"/>
          <w:rtl/>
          <w:lang w:eastAsia="he-IL"/>
        </w:rPr>
        <w:t xml:space="preserve"> </w:t>
      </w:r>
      <w:r w:rsidRPr="00AA5065">
        <w:rPr>
          <w:rFonts w:eastAsia="Calibri" w:hint="eastAsia"/>
          <w:sz w:val="24"/>
          <w:rtl/>
          <w:lang w:eastAsia="he-IL"/>
        </w:rPr>
        <w:t>האוכלוסין</w:t>
      </w:r>
      <w:r w:rsidRPr="00AA5065">
        <w:rPr>
          <w:rFonts w:eastAsia="Calibri"/>
          <w:sz w:val="24"/>
          <w:rtl/>
          <w:lang w:eastAsia="he-IL"/>
        </w:rPr>
        <w:t xml:space="preserve"> </w:t>
      </w:r>
      <w:r w:rsidRPr="00AA5065">
        <w:rPr>
          <w:rFonts w:eastAsia="Calibri" w:hint="eastAsia"/>
          <w:sz w:val="24"/>
          <w:rtl/>
          <w:lang w:eastAsia="he-IL"/>
        </w:rPr>
        <w:t>הכלים</w:t>
      </w:r>
      <w:r w:rsidRPr="00AA5065">
        <w:rPr>
          <w:rFonts w:eastAsia="Calibri"/>
          <w:sz w:val="24"/>
          <w:rtl/>
          <w:lang w:eastAsia="he-IL"/>
        </w:rPr>
        <w:t xml:space="preserve"> </w:t>
      </w:r>
      <w:r w:rsidRPr="00AA5065">
        <w:rPr>
          <w:rFonts w:eastAsia="Calibri" w:hint="eastAsia"/>
          <w:sz w:val="24"/>
          <w:rtl/>
          <w:lang w:eastAsia="he-IL"/>
        </w:rPr>
        <w:t>המתאימים</w:t>
      </w:r>
      <w:r w:rsidRPr="00AA5065">
        <w:rPr>
          <w:rFonts w:eastAsia="Calibri"/>
          <w:sz w:val="24"/>
          <w:rtl/>
          <w:lang w:eastAsia="he-IL"/>
        </w:rPr>
        <w:t xml:space="preserve"> </w:t>
      </w:r>
      <w:r w:rsidRPr="00AA5065">
        <w:rPr>
          <w:rFonts w:eastAsia="Calibri" w:hint="eastAsia"/>
          <w:sz w:val="24"/>
          <w:rtl/>
          <w:lang w:eastAsia="he-IL"/>
        </w:rPr>
        <w:t>והמשאבים</w:t>
      </w:r>
      <w:r w:rsidRPr="00AA5065">
        <w:rPr>
          <w:rFonts w:eastAsia="Calibri"/>
          <w:sz w:val="24"/>
          <w:rtl/>
          <w:lang w:eastAsia="he-IL"/>
        </w:rPr>
        <w:t xml:space="preserve"> </w:t>
      </w:r>
      <w:r w:rsidRPr="00AA5065">
        <w:rPr>
          <w:rFonts w:eastAsia="Calibri" w:hint="eastAsia"/>
          <w:sz w:val="24"/>
          <w:rtl/>
          <w:lang w:eastAsia="he-IL"/>
        </w:rPr>
        <w:t>הנדרשים</w:t>
      </w:r>
      <w:r w:rsidRPr="00AA5065">
        <w:rPr>
          <w:rFonts w:eastAsia="Calibri"/>
          <w:sz w:val="24"/>
          <w:rtl/>
          <w:lang w:eastAsia="he-IL"/>
        </w:rPr>
        <w:t xml:space="preserve"> </w:t>
      </w:r>
      <w:r w:rsidRPr="00AA5065">
        <w:rPr>
          <w:rFonts w:eastAsia="Calibri" w:hint="cs"/>
          <w:sz w:val="24"/>
          <w:rtl/>
          <w:lang w:eastAsia="he-IL"/>
        </w:rPr>
        <w:t>כדי</w:t>
      </w:r>
      <w:r w:rsidRPr="00AA5065">
        <w:rPr>
          <w:rFonts w:eastAsia="Calibri"/>
          <w:sz w:val="24"/>
          <w:rtl/>
          <w:lang w:eastAsia="he-IL"/>
        </w:rPr>
        <w:t xml:space="preserve"> </w:t>
      </w:r>
      <w:r w:rsidRPr="00AA5065">
        <w:rPr>
          <w:rFonts w:eastAsia="Calibri" w:hint="eastAsia"/>
          <w:sz w:val="24"/>
          <w:rtl/>
          <w:lang w:eastAsia="he-IL"/>
        </w:rPr>
        <w:t>לבצע</w:t>
      </w:r>
      <w:r w:rsidRPr="00AA5065">
        <w:rPr>
          <w:rFonts w:eastAsia="Calibri"/>
          <w:sz w:val="24"/>
          <w:rtl/>
          <w:lang w:eastAsia="he-IL"/>
        </w:rPr>
        <w:t xml:space="preserve"> </w:t>
      </w:r>
      <w:r w:rsidRPr="00AA5065">
        <w:rPr>
          <w:rFonts w:eastAsia="Calibri" w:hint="eastAsia"/>
          <w:sz w:val="24"/>
          <w:rtl/>
          <w:lang w:eastAsia="he-IL"/>
        </w:rPr>
        <w:t>בירור</w:t>
      </w:r>
      <w:r w:rsidRPr="00AA5065">
        <w:rPr>
          <w:rFonts w:eastAsia="Calibri"/>
          <w:sz w:val="24"/>
          <w:rtl/>
          <w:lang w:eastAsia="he-IL"/>
        </w:rPr>
        <w:t xml:space="preserve"> </w:t>
      </w:r>
      <w:r w:rsidRPr="00AA5065">
        <w:rPr>
          <w:rFonts w:eastAsia="Calibri" w:hint="eastAsia"/>
          <w:sz w:val="24"/>
          <w:rtl/>
          <w:lang w:eastAsia="he-IL"/>
        </w:rPr>
        <w:t>יסודי</w:t>
      </w:r>
      <w:r w:rsidRPr="00AA5065">
        <w:rPr>
          <w:rFonts w:eastAsia="Calibri"/>
          <w:sz w:val="24"/>
          <w:rtl/>
          <w:lang w:eastAsia="he-IL"/>
        </w:rPr>
        <w:t xml:space="preserve"> </w:t>
      </w:r>
      <w:r w:rsidRPr="00AA5065">
        <w:rPr>
          <w:rFonts w:eastAsia="Calibri" w:hint="eastAsia"/>
          <w:sz w:val="24"/>
          <w:rtl/>
          <w:lang w:eastAsia="he-IL"/>
        </w:rPr>
        <w:t>של</w:t>
      </w:r>
      <w:r w:rsidRPr="00AA5065">
        <w:rPr>
          <w:rFonts w:eastAsia="Calibri"/>
          <w:sz w:val="24"/>
          <w:rtl/>
          <w:lang w:eastAsia="he-IL"/>
        </w:rPr>
        <w:t xml:space="preserve"> </w:t>
      </w:r>
      <w:r w:rsidRPr="00AA5065">
        <w:rPr>
          <w:rFonts w:eastAsia="Calibri" w:hint="eastAsia"/>
          <w:sz w:val="24"/>
          <w:rtl/>
          <w:lang w:eastAsia="he-IL"/>
        </w:rPr>
        <w:t>כל</w:t>
      </w:r>
      <w:r w:rsidRPr="00AA5065">
        <w:rPr>
          <w:rFonts w:eastAsia="Calibri"/>
          <w:sz w:val="24"/>
          <w:rtl/>
          <w:lang w:eastAsia="he-IL"/>
        </w:rPr>
        <w:t xml:space="preserve"> </w:t>
      </w:r>
      <w:r w:rsidRPr="00AA5065">
        <w:rPr>
          <w:rFonts w:eastAsia="Calibri" w:hint="eastAsia"/>
          <w:sz w:val="24"/>
          <w:rtl/>
          <w:lang w:eastAsia="he-IL"/>
        </w:rPr>
        <w:t>דרישה</w:t>
      </w:r>
      <w:r w:rsidRPr="00AA5065">
        <w:rPr>
          <w:rFonts w:eastAsia="Calibri"/>
          <w:sz w:val="24"/>
          <w:rtl/>
          <w:lang w:eastAsia="he-IL"/>
        </w:rPr>
        <w:t xml:space="preserve"> </w:t>
      </w:r>
      <w:r w:rsidRPr="00AA5065">
        <w:rPr>
          <w:rFonts w:eastAsia="Calibri" w:hint="eastAsia"/>
          <w:sz w:val="24"/>
          <w:rtl/>
          <w:lang w:eastAsia="he-IL"/>
        </w:rPr>
        <w:t>ל</w:t>
      </w:r>
      <w:r w:rsidRPr="00AA5065">
        <w:rPr>
          <w:rFonts w:eastAsia="Calibri" w:hint="cs"/>
          <w:sz w:val="24"/>
          <w:rtl/>
          <w:lang w:eastAsia="he-IL"/>
        </w:rPr>
        <w:t>שיוך מוניציפלי של מי שרשום כ'שבט' או לשינוי מקום מגורים". עוד נמצא כי</w:t>
      </w:r>
      <w:r w:rsidRPr="00AA5065">
        <w:rPr>
          <w:rFonts w:eastAsia="Calibri"/>
          <w:sz w:val="24"/>
          <w:rtl/>
          <w:lang w:eastAsia="he-IL"/>
        </w:rPr>
        <w:t xml:space="preserve"> אין לה הכלים לבירור יסודי של כל דרישה ל</w:t>
      </w:r>
      <w:r w:rsidRPr="00AA5065">
        <w:rPr>
          <w:rFonts w:eastAsia="Calibri" w:hint="cs"/>
          <w:sz w:val="24"/>
          <w:rtl/>
          <w:lang w:eastAsia="he-IL"/>
        </w:rPr>
        <w:t>הכרה ב</w:t>
      </w:r>
      <w:r w:rsidRPr="00AA5065">
        <w:rPr>
          <w:rFonts w:eastAsia="Calibri"/>
          <w:sz w:val="24"/>
          <w:rtl/>
          <w:lang w:eastAsia="he-IL"/>
        </w:rPr>
        <w:t>תושבות מצד בני האוכלוסייה הבדואית</w:t>
      </w:r>
      <w:r w:rsidRPr="00AA5065">
        <w:rPr>
          <w:rFonts w:eastAsia="Calibri" w:hint="cs"/>
          <w:sz w:val="24"/>
          <w:rtl/>
          <w:lang w:eastAsia="he-IL"/>
        </w:rPr>
        <w:t>, וכי</w:t>
      </w:r>
      <w:r w:rsidRPr="00AA5065">
        <w:rPr>
          <w:rFonts w:eastAsia="Calibri"/>
          <w:sz w:val="24"/>
          <w:rtl/>
          <w:lang w:eastAsia="he-IL"/>
        </w:rPr>
        <w:t xml:space="preserve"> נעשה פעמים רבות שימוש במסמכים ואישורים מזויפים כדי להוכיח מגורים בישראל</w:t>
      </w:r>
      <w:bookmarkEnd w:id="159"/>
      <w:r w:rsidRPr="00AA5065">
        <w:rPr>
          <w:rFonts w:eastAsia="Calibri" w:hint="cs"/>
          <w:sz w:val="24"/>
          <w:rtl/>
          <w:lang w:eastAsia="he-I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sz w:val="24"/>
          <w:rtl/>
          <w:lang w:eastAsia="he-IL"/>
        </w:rPr>
      </w:pPr>
      <w:r w:rsidRPr="00AA5065">
        <w:rPr>
          <w:rFonts w:eastAsia="Calibri"/>
          <w:sz w:val="24"/>
          <w:rtl/>
          <w:lang w:eastAsia="he-IL"/>
        </w:rPr>
        <w:t>בדוח הקודם</w:t>
      </w:r>
      <w:r w:rsidRPr="00AA5065">
        <w:rPr>
          <w:rFonts w:eastAsia="Calibri"/>
          <w:rtl/>
        </w:rPr>
        <w:t xml:space="preserve"> </w:t>
      </w:r>
      <w:r w:rsidRPr="00AA5065">
        <w:rPr>
          <w:rFonts w:eastAsia="Calibri" w:hint="cs"/>
          <w:sz w:val="24"/>
          <w:rtl/>
          <w:lang w:eastAsia="he-IL"/>
        </w:rPr>
        <w:t>ה</w:t>
      </w:r>
      <w:r w:rsidRPr="00AA5065">
        <w:rPr>
          <w:rFonts w:eastAsia="Calibri"/>
          <w:sz w:val="24"/>
          <w:rtl/>
          <w:lang w:eastAsia="he-IL"/>
        </w:rPr>
        <w:t xml:space="preserve">ומלץ כי בט"ל ורשות האוכלוסין ימסדו הליכי בחינה יסודיים ומבוססים לדרישות תושבות מצד האוכלוסייה הבדואית ויפעלו להקצאת משאבים, כוחות חקירה וליווי כנדרש. </w:t>
      </w:r>
      <w:r w:rsidRPr="00AA5065">
        <w:rPr>
          <w:rFonts w:eastAsia="Calibri" w:hint="cs"/>
          <w:sz w:val="24"/>
          <w:rtl/>
          <w:lang w:eastAsia="he-IL"/>
        </w:rPr>
        <w:t>עוד</w:t>
      </w:r>
      <w:r w:rsidRPr="00AA5065">
        <w:rPr>
          <w:rFonts w:eastAsia="Calibri"/>
          <w:sz w:val="24"/>
          <w:rtl/>
          <w:lang w:eastAsia="he-IL"/>
        </w:rPr>
        <w:t xml:space="preserve"> </w:t>
      </w:r>
      <w:r w:rsidRPr="00AA5065">
        <w:rPr>
          <w:rFonts w:eastAsia="Calibri" w:hint="cs"/>
          <w:sz w:val="24"/>
          <w:rtl/>
          <w:lang w:eastAsia="he-IL"/>
        </w:rPr>
        <w:t>ה</w:t>
      </w:r>
      <w:r w:rsidRPr="00AA5065">
        <w:rPr>
          <w:rFonts w:eastAsia="Calibri"/>
          <w:sz w:val="24"/>
          <w:rtl/>
          <w:lang w:eastAsia="he-IL"/>
        </w:rPr>
        <w:t>ומלץ למסד הליכי בחינה למול מאגרי מידע נוספים שבידי רשויות המדינה או הרשויות המקומיות, כגון נתונים על חיבורים חוקיים למים ולחשמל, ובמידת הצורך להסדיר את הליכי שיתוף הידע הנדרש לצורך קיום הליכי בדיקה מיטביים.</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szCs w:val="20"/>
          <w:rtl/>
        </w:rPr>
      </w:pPr>
      <w:r w:rsidRPr="00AA5065">
        <w:rPr>
          <w:rFonts w:eastAsia="Times New Roman" w:hint="cs"/>
          <w:bCs/>
          <w:spacing w:val="40"/>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lang w:eastAsia="he-IL"/>
        </w:rPr>
      </w:pPr>
      <w:r w:rsidRPr="00AA5065">
        <w:rPr>
          <w:rFonts w:eastAsia="Calibri" w:hint="cs"/>
          <w:rtl/>
        </w:rPr>
        <w:t>בביקורת המעקב</w:t>
      </w:r>
      <w:r w:rsidRPr="00AA5065">
        <w:rPr>
          <w:rFonts w:eastAsia="Calibri"/>
          <w:rtl/>
        </w:rPr>
        <w:t xml:space="preserve"> </w:t>
      </w:r>
      <w:r w:rsidRPr="00AA5065">
        <w:rPr>
          <w:rFonts w:eastAsia="Calibri" w:hint="cs"/>
          <w:rtl/>
        </w:rPr>
        <w:t>נבחן כיצד</w:t>
      </w:r>
      <w:r w:rsidRPr="00AA5065">
        <w:rPr>
          <w:rFonts w:eastAsia="Calibri"/>
          <w:rtl/>
        </w:rPr>
        <w:t xml:space="preserve"> מתמודדת </w:t>
      </w:r>
      <w:r w:rsidRPr="00AA5065">
        <w:rPr>
          <w:rFonts w:eastAsia="Calibri" w:hint="cs"/>
          <w:rtl/>
        </w:rPr>
        <w:t xml:space="preserve">כיום </w:t>
      </w:r>
      <w:r w:rsidRPr="00AA5065">
        <w:rPr>
          <w:rFonts w:eastAsia="Calibri" w:hint="eastAsia"/>
          <w:rtl/>
        </w:rPr>
        <w:t>רשות</w:t>
      </w:r>
      <w:r w:rsidRPr="00AA5065">
        <w:rPr>
          <w:rFonts w:eastAsia="Calibri"/>
          <w:rtl/>
        </w:rPr>
        <w:t xml:space="preserve"> </w:t>
      </w:r>
      <w:r w:rsidRPr="00AA5065">
        <w:rPr>
          <w:rFonts w:eastAsia="Calibri" w:hint="eastAsia"/>
          <w:rtl/>
        </w:rPr>
        <w:t>האוכלוסין</w:t>
      </w:r>
      <w:r w:rsidRPr="00AA5065">
        <w:rPr>
          <w:rFonts w:eastAsia="Calibri"/>
          <w:rtl/>
        </w:rPr>
        <w:t xml:space="preserve"> </w:t>
      </w:r>
      <w:r w:rsidRPr="00AA5065">
        <w:rPr>
          <w:rFonts w:eastAsia="Calibri" w:hint="eastAsia"/>
          <w:rtl/>
        </w:rPr>
        <w:t>עם</w:t>
      </w:r>
      <w:r w:rsidRPr="00AA5065">
        <w:rPr>
          <w:rFonts w:eastAsia="Calibri"/>
          <w:rtl/>
        </w:rPr>
        <w:t xml:space="preserve"> </w:t>
      </w:r>
      <w:r w:rsidRPr="00AA5065">
        <w:rPr>
          <w:rFonts w:eastAsia="Calibri" w:hint="cs"/>
          <w:rtl/>
        </w:rPr>
        <w:t>הקשיים בבירור הדרישות ל</w:t>
      </w:r>
      <w:r w:rsidRPr="00AA5065">
        <w:rPr>
          <w:rFonts w:eastAsia="Calibri" w:hint="eastAsia"/>
          <w:rtl/>
        </w:rPr>
        <w:t xml:space="preserve">תושבות </w:t>
      </w:r>
      <w:r w:rsidRPr="00AA5065">
        <w:rPr>
          <w:rFonts w:eastAsia="Calibri" w:hint="cs"/>
          <w:rtl/>
        </w:rPr>
        <w:t>ועם ה</w:t>
      </w:r>
      <w:r w:rsidRPr="00AA5065">
        <w:rPr>
          <w:rFonts w:eastAsia="Calibri" w:hint="eastAsia"/>
          <w:rtl/>
        </w:rPr>
        <w:t>תופעה</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המצאת</w:t>
      </w:r>
      <w:r w:rsidRPr="00AA5065">
        <w:rPr>
          <w:rFonts w:eastAsia="Calibri"/>
          <w:rtl/>
        </w:rPr>
        <w:t xml:space="preserve"> </w:t>
      </w:r>
      <w:r w:rsidRPr="00AA5065">
        <w:rPr>
          <w:rFonts w:eastAsia="Calibri" w:hint="eastAsia"/>
          <w:rtl/>
        </w:rPr>
        <w:t>אישורים</w:t>
      </w:r>
      <w:r w:rsidRPr="00AA5065">
        <w:rPr>
          <w:rFonts w:eastAsia="Calibri"/>
          <w:rtl/>
        </w:rPr>
        <w:t xml:space="preserve"> </w:t>
      </w:r>
      <w:r w:rsidRPr="00AA5065">
        <w:rPr>
          <w:rFonts w:eastAsia="Calibri" w:hint="eastAsia"/>
          <w:rtl/>
        </w:rPr>
        <w:t>פיקטיביים</w:t>
      </w:r>
      <w:r w:rsidRPr="00AA5065">
        <w:rPr>
          <w:rFonts w:eastAsia="Calibri"/>
          <w:rtl/>
        </w:rPr>
        <w:t xml:space="preserve"> </w:t>
      </w:r>
      <w:r w:rsidRPr="00AA5065">
        <w:rPr>
          <w:rFonts w:eastAsia="Calibri" w:hint="eastAsia"/>
          <w:rtl/>
        </w:rPr>
        <w:t>שונים</w:t>
      </w:r>
      <w:r w:rsidRPr="00AA5065">
        <w:rPr>
          <w:rFonts w:eastAsia="Calibri"/>
          <w:rtl/>
        </w:rPr>
        <w:t xml:space="preserve"> </w:t>
      </w:r>
      <w:r w:rsidRPr="00AA5065">
        <w:rPr>
          <w:rFonts w:eastAsia="Calibri" w:hint="eastAsia"/>
          <w:rtl/>
        </w:rPr>
        <w:t>לצורך</w:t>
      </w:r>
      <w:r w:rsidRPr="00AA5065">
        <w:rPr>
          <w:rFonts w:eastAsia="Calibri" w:hint="cs"/>
          <w:rtl/>
        </w:rPr>
        <w:t xml:space="preserve"> זה</w:t>
      </w:r>
      <w:r w:rsidRPr="00AA5065">
        <w:rPr>
          <w:rFonts w:eastAsia="Calibri"/>
          <w:rtl/>
        </w:rPr>
        <w:t xml:space="preserve">. </w:t>
      </w:r>
    </w:p>
    <w:p w:rsidR="00AA5065" w:rsidRPr="00AA5065" w:rsidP="00860D89">
      <w:pPr>
        <w:spacing w:line="269" w:lineRule="auto"/>
        <w:ind w:left="-567"/>
        <w:rPr>
          <w:rFonts w:eastAsia="Calibri"/>
          <w:szCs w:val="20"/>
          <w:rtl/>
          <w:lang w:eastAsia="he-IL"/>
        </w:rPr>
      </w:pPr>
    </w:p>
    <w:p w:rsidR="00AA5065" w:rsidRPr="00AA5065" w:rsidP="00860D89">
      <w:pPr>
        <w:spacing w:line="269" w:lineRule="auto"/>
        <w:rPr>
          <w:rFonts w:eastAsia="Calibri"/>
          <w:rtl/>
          <w:lang w:eastAsia="he-IL"/>
        </w:rPr>
      </w:pPr>
      <w:bookmarkStart w:id="160" w:name="_Hlk196381486"/>
      <w:r w:rsidRPr="00AA5065">
        <w:rPr>
          <w:rFonts w:eastAsia="Calibri" w:hint="cs"/>
          <w:rtl/>
        </w:rPr>
        <w:t>הוועדה הבין-משרדית להתמודדות עם תופעת יבוא נשים פלסטיניות למגזר הבדואי בנגב</w:t>
      </w:r>
      <w:r w:rsidRPr="00AA5065">
        <w:rPr>
          <w:rFonts w:eastAsia="Calibri" w:hint="cs"/>
          <w:rtl/>
          <w:lang w:eastAsia="he-IL"/>
        </w:rPr>
        <w:t xml:space="preserve"> ציינה</w:t>
      </w:r>
      <w:r>
        <w:rPr>
          <w:rFonts w:eastAsia="Calibri"/>
          <w:vertAlign w:val="superscript"/>
          <w:rtl/>
          <w:lang w:eastAsia="he-IL"/>
        </w:rPr>
        <w:footnoteReference w:id="158"/>
      </w:r>
      <w:bookmarkEnd w:id="160"/>
      <w:r w:rsidRPr="00AA5065">
        <w:rPr>
          <w:rFonts w:eastAsia="Calibri" w:hint="cs"/>
          <w:rtl/>
          <w:lang w:eastAsia="he-IL"/>
        </w:rPr>
        <w:t xml:space="preserve"> ב-7 בפברואר 2022 כי "</w:t>
      </w:r>
      <w:r w:rsidRPr="00AA5065">
        <w:rPr>
          <w:rFonts w:eastAsia="Calibri"/>
          <w:rtl/>
          <w:lang w:eastAsia="he-IL"/>
        </w:rPr>
        <w:t>המפגש הראשוני של הנשים הפוליגמיות וילדיהם בני הדור השני והשלישי עם רשויות</w:t>
      </w:r>
      <w:r w:rsidRPr="00AA5065">
        <w:rPr>
          <w:rFonts w:eastAsia="Calibri" w:hint="cs"/>
          <w:rtl/>
          <w:lang w:eastAsia="he-IL"/>
        </w:rPr>
        <w:t xml:space="preserve"> </w:t>
      </w:r>
      <w:r w:rsidRPr="00AA5065">
        <w:rPr>
          <w:rFonts w:eastAsia="Calibri"/>
          <w:rtl/>
          <w:lang w:eastAsia="he-IL"/>
        </w:rPr>
        <w:t>המדינה מתקיים אל מול רשות האוכלוסין וההגירה ועל כן יש להעמיד לרשותה את הכלים</w:t>
      </w:r>
      <w:r w:rsidRPr="00AA5065">
        <w:rPr>
          <w:rFonts w:eastAsia="Calibri" w:hint="cs"/>
          <w:rtl/>
          <w:lang w:eastAsia="he-IL"/>
        </w:rPr>
        <w:t xml:space="preserve"> </w:t>
      </w:r>
      <w:r w:rsidRPr="00AA5065">
        <w:rPr>
          <w:rFonts w:eastAsia="Calibri"/>
          <w:rtl/>
          <w:lang w:eastAsia="he-IL"/>
        </w:rPr>
        <w:t>הנדרשים על מנת שזו תגיע לחקר האמת בבחינת מרכזי החיים ותושבות לצורך קבלת</w:t>
      </w:r>
      <w:r w:rsidRPr="00AA5065">
        <w:rPr>
          <w:rFonts w:eastAsia="Calibri" w:hint="cs"/>
          <w:rtl/>
          <w:lang w:eastAsia="he-IL"/>
        </w:rPr>
        <w:t xml:space="preserve"> </w:t>
      </w:r>
      <w:r w:rsidRPr="00AA5065">
        <w:rPr>
          <w:rFonts w:eastAsia="Calibri"/>
          <w:rtl/>
          <w:lang w:eastAsia="he-IL"/>
        </w:rPr>
        <w:t>החלטה בעניינם.</w:t>
      </w:r>
      <w:r w:rsidRPr="00AA5065">
        <w:rPr>
          <w:rFonts w:eastAsia="Calibri" w:hint="cs"/>
          <w:rtl/>
          <w:lang w:eastAsia="he-IL"/>
        </w:rPr>
        <w:t xml:space="preserve">.. </w:t>
      </w:r>
      <w:r w:rsidRPr="00AA5065">
        <w:rPr>
          <w:rFonts w:eastAsia="Calibri"/>
          <w:rtl/>
          <w:lang w:eastAsia="he-IL"/>
        </w:rPr>
        <w:t>קיים פער בין רשימות התלמידים בבתי הספר אשר מוגשות לבחינת מרכזי החיים, לבין</w:t>
      </w:r>
      <w:r w:rsidRPr="00AA5065">
        <w:rPr>
          <w:rFonts w:eastAsia="Calibri" w:hint="cs"/>
          <w:rtl/>
          <w:lang w:eastAsia="he-IL"/>
        </w:rPr>
        <w:t xml:space="preserve"> </w:t>
      </w:r>
      <w:r w:rsidRPr="00AA5065">
        <w:rPr>
          <w:rFonts w:eastAsia="Calibri"/>
          <w:rtl/>
          <w:lang w:eastAsia="he-IL"/>
        </w:rPr>
        <w:t>התלמידים שמגיעים לבתי הספר בפועל, וישנו קושי בפיקוח על העניין עקב חוסר בתגמול</w:t>
      </w:r>
      <w:r w:rsidRPr="00AA5065">
        <w:rPr>
          <w:rFonts w:eastAsia="Calibri" w:hint="cs"/>
          <w:rtl/>
          <w:lang w:eastAsia="he-IL"/>
        </w:rPr>
        <w:t xml:space="preserve"> </w:t>
      </w:r>
      <w:r w:rsidRPr="00AA5065">
        <w:rPr>
          <w:rFonts w:eastAsia="Calibri"/>
          <w:rtl/>
          <w:lang w:eastAsia="he-IL"/>
        </w:rPr>
        <w:t>כספי למקורות המודיעין, מהדיון עולה כי בכל המרחב הבדואי במועצות האזוריות ישנו</w:t>
      </w:r>
      <w:r w:rsidRPr="00AA5065">
        <w:rPr>
          <w:rFonts w:eastAsia="Calibri" w:hint="cs"/>
          <w:rtl/>
          <w:lang w:eastAsia="he-IL"/>
        </w:rPr>
        <w:t xml:space="preserve"> </w:t>
      </w:r>
      <w:r w:rsidRPr="00AA5065">
        <w:rPr>
          <w:rFonts w:eastAsia="Calibri"/>
          <w:rtl/>
          <w:lang w:eastAsia="he-IL"/>
        </w:rPr>
        <w:t>קב"ס</w:t>
      </w:r>
      <w:r>
        <w:rPr>
          <w:rFonts w:eastAsia="Calibri"/>
          <w:vertAlign w:val="superscript"/>
          <w:rtl/>
          <w:lang w:eastAsia="he-IL"/>
        </w:rPr>
        <w:footnoteReference w:id="159"/>
      </w:r>
      <w:r w:rsidRPr="00AA5065">
        <w:rPr>
          <w:rFonts w:eastAsia="Calibri" w:hint="cs"/>
          <w:rtl/>
          <w:lang w:eastAsia="he-IL"/>
        </w:rPr>
        <w:t xml:space="preserve"> </w:t>
      </w:r>
      <w:r w:rsidRPr="00AA5065">
        <w:rPr>
          <w:rFonts w:eastAsia="Calibri"/>
          <w:rtl/>
          <w:lang w:eastAsia="he-IL"/>
        </w:rPr>
        <w:t>אחד בלבד כך שלא ניתן לקבל מידע עדכני ונכון בעניין התלמידים הרשומים והמגיעים</w:t>
      </w:r>
      <w:r w:rsidRPr="00AA5065">
        <w:rPr>
          <w:rFonts w:eastAsia="Calibri" w:hint="cs"/>
          <w:rtl/>
          <w:lang w:eastAsia="he-IL"/>
        </w:rPr>
        <w:t xml:space="preserve"> </w:t>
      </w:r>
      <w:r w:rsidRPr="00AA5065">
        <w:rPr>
          <w:rFonts w:eastAsia="Calibri"/>
          <w:rtl/>
          <w:lang w:eastAsia="he-IL"/>
        </w:rPr>
        <w:t>לבתי הספר</w:t>
      </w:r>
      <w:r w:rsidRPr="00AA5065">
        <w:rPr>
          <w:rFonts w:eastAsia="Calibri" w:hint="cs"/>
          <w:rtl/>
          <w:lang w:eastAsia="he-IL"/>
        </w:rPr>
        <w:t>"</w:t>
      </w:r>
      <w:r w:rsidRPr="00AA5065">
        <w:rPr>
          <w:rFonts w:eastAsia="Calibri"/>
          <w:rtl/>
          <w:lang w:eastAsia="he-IL"/>
        </w:rPr>
        <w:t>.</w:t>
      </w:r>
    </w:p>
    <w:p w:rsidR="00AA5065" w:rsidRPr="00AA5065" w:rsidP="00860D89">
      <w:pPr>
        <w:spacing w:line="269" w:lineRule="auto"/>
        <w:ind w:left="-567"/>
        <w:rPr>
          <w:rFonts w:eastAsia="Calibri"/>
          <w:szCs w:val="20"/>
          <w:rtl/>
          <w:lang w:eastAsia="he-IL"/>
        </w:rPr>
      </w:pPr>
    </w:p>
    <w:p w:rsidR="00AA5065" w:rsidRPr="00AA5065" w:rsidP="00860D89">
      <w:pPr>
        <w:spacing w:line="269" w:lineRule="auto"/>
        <w:rPr>
          <w:rFonts w:eastAsia="Calibri"/>
          <w:rtl/>
          <w:lang w:eastAsia="he-IL"/>
        </w:rPr>
      </w:pPr>
      <w:r w:rsidRPr="00AA5065">
        <w:rPr>
          <w:rFonts w:eastAsia="Calibri" w:hint="cs"/>
          <w:rtl/>
          <w:lang w:eastAsia="he-IL"/>
        </w:rPr>
        <w:t>גם בדיון בנושא "תופעת זיוף מסמכי הלימודים במגזר הבדואי בנגב - גיבוש דרכי התמודדות" שהתקיים ב-9.8.22 בראשות מנהלת מרחב דרום של רשות האוכלוסין, ציין נציג המל"ל כי אחד הקשיים שעולים בנוגע ל</w:t>
      </w:r>
      <w:r w:rsidRPr="00AA5065">
        <w:rPr>
          <w:rFonts w:eastAsia="Calibri"/>
          <w:rtl/>
          <w:lang w:eastAsia="he-IL"/>
        </w:rPr>
        <w:t xml:space="preserve">בקשות למעמד </w:t>
      </w:r>
      <w:r w:rsidRPr="00AA5065">
        <w:rPr>
          <w:rFonts w:eastAsia="Calibri" w:hint="cs"/>
          <w:rtl/>
          <w:lang w:eastAsia="he-IL"/>
        </w:rPr>
        <w:t xml:space="preserve">תושב </w:t>
      </w:r>
      <w:r w:rsidRPr="00AA5065">
        <w:rPr>
          <w:rFonts w:eastAsia="Calibri"/>
          <w:rtl/>
          <w:lang w:eastAsia="he-IL"/>
        </w:rPr>
        <w:t>ה</w:t>
      </w:r>
      <w:r w:rsidRPr="00AA5065">
        <w:rPr>
          <w:rFonts w:eastAsia="Calibri" w:hint="cs"/>
          <w:rtl/>
          <w:lang w:eastAsia="he-IL"/>
        </w:rPr>
        <w:t>ו</w:t>
      </w:r>
      <w:r w:rsidRPr="00AA5065">
        <w:rPr>
          <w:rFonts w:eastAsia="Calibri"/>
          <w:rtl/>
          <w:lang w:eastAsia="he-IL"/>
        </w:rPr>
        <w:t>א זיוף מסמכים או הצגת מסמכים כוזבים אשר</w:t>
      </w:r>
      <w:r w:rsidRPr="00AA5065">
        <w:rPr>
          <w:rFonts w:eastAsia="Calibri" w:hint="cs"/>
          <w:rtl/>
          <w:lang w:eastAsia="he-IL"/>
        </w:rPr>
        <w:t xml:space="preserve"> </w:t>
      </w:r>
      <w:r w:rsidRPr="00AA5065">
        <w:rPr>
          <w:rFonts w:eastAsia="Calibri"/>
          <w:rtl/>
          <w:lang w:eastAsia="he-IL"/>
        </w:rPr>
        <w:t>מטרתם לאמת לכאורה נוכחות בלימודים של תלמידים במוסדות החינוך במגזר הבדואי.</w:t>
      </w:r>
      <w:r w:rsidRPr="00AA5065">
        <w:rPr>
          <w:rFonts w:eastAsia="Calibri" w:hint="cs"/>
          <w:rtl/>
          <w:lang w:eastAsia="he-IL"/>
        </w:rPr>
        <w:t xml:space="preserve"> נציג משרד החינוך</w:t>
      </w:r>
      <w:r w:rsidRPr="00AA5065">
        <w:rPr>
          <w:rFonts w:eastAsia="Calibri"/>
          <w:rtl/>
        </w:rPr>
        <w:t xml:space="preserve"> </w:t>
      </w:r>
      <w:r w:rsidRPr="00AA5065">
        <w:rPr>
          <w:rFonts w:eastAsia="Calibri" w:hint="cs"/>
          <w:rtl/>
          <w:lang w:eastAsia="he-IL"/>
        </w:rPr>
        <w:t>ציין כי "</w:t>
      </w:r>
      <w:r w:rsidRPr="00AA5065">
        <w:rPr>
          <w:rFonts w:eastAsia="Calibri"/>
          <w:rtl/>
          <w:lang w:eastAsia="he-IL"/>
        </w:rPr>
        <w:t>אנו בהחלט</w:t>
      </w:r>
      <w:r w:rsidRPr="00AA5065">
        <w:rPr>
          <w:rFonts w:eastAsia="Calibri" w:hint="cs"/>
          <w:rtl/>
          <w:lang w:eastAsia="he-IL"/>
        </w:rPr>
        <w:t xml:space="preserve"> </w:t>
      </w:r>
      <w:r w:rsidRPr="00AA5065">
        <w:rPr>
          <w:rFonts w:eastAsia="Calibri"/>
          <w:rtl/>
          <w:lang w:eastAsia="he-IL"/>
        </w:rPr>
        <w:t>מכירים את התופעה ויודעים שיש תלמידים שמופיעים ברישום אך בפועל אינם לומדים במערכת</w:t>
      </w:r>
      <w:r w:rsidRPr="00AA5065">
        <w:rPr>
          <w:rFonts w:eastAsia="Calibri" w:hint="cs"/>
          <w:rtl/>
          <w:lang w:eastAsia="he-IL"/>
        </w:rPr>
        <w:t xml:space="preserve"> </w:t>
      </w:r>
      <w:r w:rsidRPr="00AA5065">
        <w:rPr>
          <w:rFonts w:eastAsia="Calibri"/>
          <w:rtl/>
          <w:lang w:eastAsia="he-IL"/>
        </w:rPr>
        <w:t>החינוך. כרגע ידוע שהמענה שניתן הוא לא טוב כי נסמכים על רישום שלעיתים הוא לא נכון</w:t>
      </w:r>
      <w:r w:rsidRPr="00AA5065">
        <w:rPr>
          <w:rFonts w:eastAsia="Calibri" w:hint="cs"/>
          <w:rtl/>
          <w:lang w:eastAsia="he-IL"/>
        </w:rPr>
        <w:t>"</w:t>
      </w:r>
      <w:r w:rsidRPr="00AA5065">
        <w:rPr>
          <w:rFonts w:eastAsia="Calibri"/>
          <w:rtl/>
          <w:lang w:eastAsia="he-IL"/>
        </w:rPr>
        <w:t>.</w:t>
      </w:r>
    </w:p>
    <w:p w:rsidR="00AA5065" w:rsidRPr="00AA5065" w:rsidP="00860D89">
      <w:pPr>
        <w:spacing w:line="269" w:lineRule="auto"/>
        <w:ind w:left="-567"/>
        <w:rPr>
          <w:rFonts w:eastAsia="Calibri"/>
          <w:szCs w:val="20"/>
          <w:rtl/>
          <w:lang w:eastAsia="he-IL"/>
        </w:rPr>
      </w:pPr>
    </w:p>
    <w:p w:rsidR="00AA5065" w:rsidRPr="00AA5065" w:rsidP="00860D89">
      <w:pPr>
        <w:spacing w:line="269" w:lineRule="auto"/>
        <w:rPr>
          <w:rFonts w:eastAsia="Calibri"/>
          <w:b/>
          <w:bCs/>
          <w:sz w:val="24"/>
          <w:rtl/>
        </w:rPr>
      </w:pPr>
      <w:r w:rsidRPr="00AA5065">
        <w:rPr>
          <w:rFonts w:eastAsia="Calibri" w:hint="cs"/>
          <w:rtl/>
        </w:rPr>
        <w:t>הוועדה הבין-משרדית להתמודדות עם תופעת יבוא נשים פלסטיניות למגזר הבדואי בנגב ציינה</w:t>
      </w:r>
      <w:r>
        <w:rPr>
          <w:rFonts w:eastAsia="Calibri"/>
          <w:vertAlign w:val="superscript"/>
          <w:rtl/>
        </w:rPr>
        <w:footnoteReference w:id="160"/>
      </w:r>
      <w:r w:rsidRPr="00AA5065">
        <w:rPr>
          <w:rFonts w:eastAsia="Calibri" w:hint="cs"/>
          <w:rtl/>
        </w:rPr>
        <w:t xml:space="preserve"> ב-1.3.23 כי יש לפעול להקמת יחידת איסוף נתונים ברשות האוכלוסין וההגירה שתהיה בעלת סמכויות חקירה ושתבחן ותקבע את התושבות של אזרחים ישראלים תוך עריכת ראיונות והמצאת ראיות לקביעת מרכזי החיים.</w:t>
      </w:r>
    </w:p>
    <w:p w:rsidR="00AA5065" w:rsidRPr="00AA5065" w:rsidP="00860D89">
      <w:pPr>
        <w:spacing w:line="269" w:lineRule="auto"/>
        <w:ind w:left="-567"/>
        <w:rPr>
          <w:rFonts w:eastAsia="Calibri"/>
          <w:szCs w:val="20"/>
          <w:rtl/>
          <w:lang w:eastAsia="he-IL"/>
        </w:rPr>
      </w:pPr>
    </w:p>
    <w:p w:rsidR="00AA5065" w:rsidRPr="00AA5065" w:rsidP="00860D89">
      <w:pPr>
        <w:spacing w:line="269" w:lineRule="auto"/>
        <w:rPr>
          <w:rFonts w:eastAsia="Calibri"/>
          <w:rtl/>
          <w:lang w:eastAsia="he-IL"/>
        </w:rPr>
      </w:pPr>
      <w:r w:rsidRPr="00AA5065">
        <w:rPr>
          <w:rFonts w:eastAsia="Calibri" w:hint="cs"/>
          <w:rtl/>
          <w:lang w:eastAsia="he-IL"/>
        </w:rPr>
        <w:t xml:space="preserve">בפגישה שהתקיימה בין נציגי משרד מבקר המדינה לבין מנהלת מרחב דרום של רשות האוכלוסין ב-12.8.24 ציינה המנהלת כי גם כיום היא מתמודדת עם תופעת המסמכים הפיקטיביים המוגשים ללשכת מרחב דרום, וכי היקף התופעה אף התגבר. עוד ציינה המנהלת כי כיום רשות האוכלוסין מתקשה לקבל שירותי חקירה מבט"ל, וכן כי היא איננה יכולה להשתמש בתוצרי החקירה של בט"ל לצורך הצגתם בבית המשפט כראיה, </w:t>
      </w:r>
      <w:r w:rsidRPr="00AA5065">
        <w:rPr>
          <w:rFonts w:ascii="David" w:eastAsia="Times New Roman" w:hAnsi="David" w:hint="eastAsia"/>
          <w:sz w:val="24"/>
          <w:rtl/>
          <w:lang w:eastAsia="he-IL"/>
        </w:rPr>
        <w:t>וזאת</w:t>
      </w:r>
      <w:r w:rsidRPr="00AA5065">
        <w:rPr>
          <w:rFonts w:ascii="David" w:eastAsia="Times New Roman" w:hAnsi="David"/>
          <w:sz w:val="24"/>
          <w:rtl/>
          <w:lang w:eastAsia="he-IL"/>
        </w:rPr>
        <w:t xml:space="preserve"> מהסיבה </w:t>
      </w:r>
      <w:r w:rsidRPr="00AA5065">
        <w:rPr>
          <w:rFonts w:ascii="David" w:eastAsia="Times New Roman" w:hAnsi="David" w:hint="eastAsia"/>
          <w:sz w:val="24"/>
          <w:rtl/>
          <w:lang w:eastAsia="he-IL"/>
        </w:rPr>
        <w:t>ש</w:t>
      </w:r>
      <w:r w:rsidRPr="00AA5065">
        <w:rPr>
          <w:rFonts w:ascii="David" w:eastAsia="Times New Roman" w:hAnsi="David"/>
          <w:sz w:val="24"/>
          <w:rtl/>
          <w:lang w:eastAsia="he-IL"/>
        </w:rPr>
        <w:t xml:space="preserve">חוקרי בט"ל פועלים מתוקף סמכויות החקירה המעוגנות </w:t>
      </w:r>
      <w:r w:rsidRPr="00AA5065">
        <w:rPr>
          <w:rFonts w:ascii="David" w:eastAsia="Times New Roman" w:hAnsi="David" w:hint="eastAsia"/>
          <w:sz w:val="24"/>
          <w:rtl/>
          <w:lang w:eastAsia="he-IL"/>
        </w:rPr>
        <w:t>ב</w:t>
      </w:r>
      <w:r w:rsidRPr="00AA5065">
        <w:rPr>
          <w:rFonts w:ascii="David" w:eastAsia="Times New Roman" w:hAnsi="David"/>
          <w:sz w:val="24"/>
          <w:rtl/>
          <w:lang w:eastAsia="he-IL"/>
        </w:rPr>
        <w:t>סעיפים 146, 383 ו</w:t>
      </w:r>
      <w:r w:rsidRPr="00AA5065">
        <w:rPr>
          <w:rFonts w:ascii="David" w:eastAsia="Times New Roman" w:hAnsi="David" w:hint="cs"/>
          <w:sz w:val="24"/>
          <w:rtl/>
          <w:lang w:eastAsia="he-IL"/>
        </w:rPr>
        <w:t>-</w:t>
      </w:r>
      <w:r w:rsidRPr="00AA5065">
        <w:rPr>
          <w:rFonts w:ascii="David" w:eastAsia="Times New Roman" w:hAnsi="David"/>
          <w:sz w:val="24"/>
          <w:rtl/>
          <w:lang w:eastAsia="he-IL"/>
        </w:rPr>
        <w:t xml:space="preserve">384 </w:t>
      </w:r>
      <w:r w:rsidRPr="00AA5065">
        <w:rPr>
          <w:rFonts w:ascii="David" w:eastAsia="Times New Roman" w:hAnsi="David" w:hint="eastAsia"/>
          <w:sz w:val="24"/>
          <w:rtl/>
          <w:lang w:eastAsia="he-IL"/>
        </w:rPr>
        <w:t>ל</w:t>
      </w:r>
      <w:r w:rsidRPr="00AA5065">
        <w:rPr>
          <w:rFonts w:ascii="David" w:eastAsia="Times New Roman" w:hAnsi="David"/>
          <w:sz w:val="24"/>
          <w:rtl/>
          <w:lang w:eastAsia="he-IL"/>
        </w:rPr>
        <w:t>חוק בט"ל</w:t>
      </w:r>
      <w:r w:rsidRPr="00AA5065">
        <w:rPr>
          <w:rFonts w:ascii="David" w:eastAsia="Times New Roman" w:hAnsi="David" w:hint="cs"/>
          <w:sz w:val="24"/>
          <w:rtl/>
          <w:lang w:eastAsia="he-IL"/>
        </w:rPr>
        <w:t>,</w:t>
      </w:r>
      <w:r w:rsidRPr="00AA5065">
        <w:rPr>
          <w:rFonts w:ascii="David" w:eastAsia="Times New Roman" w:hAnsi="David"/>
          <w:sz w:val="24"/>
          <w:rtl/>
          <w:lang w:eastAsia="he-IL"/>
        </w:rPr>
        <w:t xml:space="preserve"> התשנ"ה</w:t>
      </w:r>
      <w:r w:rsidRPr="00AA5065">
        <w:rPr>
          <w:rFonts w:ascii="David" w:eastAsia="Times New Roman" w:hAnsi="David" w:hint="cs"/>
          <w:sz w:val="24"/>
          <w:rtl/>
          <w:lang w:eastAsia="he-IL"/>
        </w:rPr>
        <w:t>-</w:t>
      </w:r>
      <w:r w:rsidRPr="00AA5065">
        <w:rPr>
          <w:rFonts w:ascii="David" w:eastAsia="Times New Roman" w:hAnsi="David"/>
          <w:sz w:val="24"/>
          <w:rtl/>
          <w:lang w:eastAsia="he-IL"/>
        </w:rPr>
        <w:t>1995, וכן מכ</w:t>
      </w:r>
      <w:r w:rsidRPr="00AA5065">
        <w:rPr>
          <w:rFonts w:ascii="David" w:eastAsia="Times New Roman" w:hAnsi="David" w:hint="cs"/>
          <w:sz w:val="24"/>
          <w:rtl/>
          <w:lang w:eastAsia="he-IL"/>
        </w:rPr>
        <w:t>ו</w:t>
      </w:r>
      <w:r w:rsidRPr="00AA5065">
        <w:rPr>
          <w:rFonts w:ascii="David" w:eastAsia="Times New Roman" w:hAnsi="David"/>
          <w:sz w:val="24"/>
          <w:rtl/>
          <w:lang w:eastAsia="he-IL"/>
        </w:rPr>
        <w:t>ח </w:t>
      </w:r>
      <w:hyperlink r:id="rId38" w:tooltip=" קישור לקובץ PDF" w:history="1">
        <w:r w:rsidRPr="00AA5065">
          <w:rPr>
            <w:rFonts w:ascii="David" w:eastAsia="Calibri" w:hAnsi="David"/>
            <w:rtl/>
            <w:lang w:eastAsia="he-IL"/>
          </w:rPr>
          <w:t>סעיפים</w:t>
        </w:r>
        <w:r w:rsidRPr="00AA5065">
          <w:rPr>
            <w:rFonts w:ascii="David" w:eastAsia="Calibri" w:hAnsi="David" w:hint="cs"/>
            <w:rtl/>
            <w:lang w:eastAsia="he-IL"/>
          </w:rPr>
          <w:t xml:space="preserve"> </w:t>
        </w:r>
        <w:r w:rsidRPr="00AA5065">
          <w:rPr>
            <w:rFonts w:ascii="David" w:eastAsia="Calibri" w:hAnsi="David"/>
            <w:rtl/>
            <w:lang w:eastAsia="he-IL"/>
          </w:rPr>
          <w:t>19</w:t>
        </w:r>
        <w:r w:rsidRPr="00AA5065">
          <w:rPr>
            <w:rFonts w:ascii="David" w:eastAsia="Calibri" w:hAnsi="David" w:hint="cs"/>
            <w:rtl/>
            <w:lang w:eastAsia="he-IL"/>
          </w:rPr>
          <w:t xml:space="preserve"> ו-</w:t>
        </w:r>
        <w:r w:rsidRPr="00AA5065">
          <w:rPr>
            <w:rFonts w:ascii="David" w:eastAsia="Calibri" w:hAnsi="David"/>
            <w:rtl/>
            <w:lang w:eastAsia="he-IL"/>
          </w:rPr>
          <w:t xml:space="preserve">21 לחוק הבטחת הכנסה, </w:t>
        </w:r>
        <w:bookmarkStart w:id="161" w:name="_Hlk196383323"/>
        <w:r w:rsidRPr="00AA5065">
          <w:rPr>
            <w:rFonts w:ascii="David" w:eastAsia="Calibri" w:hAnsi="David" w:hint="cs"/>
            <w:rtl/>
            <w:lang w:eastAsia="he-IL"/>
          </w:rPr>
          <w:t>ה</w:t>
        </w:r>
        <w:r w:rsidRPr="00AA5065">
          <w:rPr>
            <w:rFonts w:ascii="David" w:eastAsia="Calibri" w:hAnsi="David"/>
            <w:rtl/>
            <w:lang w:eastAsia="he-IL"/>
          </w:rPr>
          <w:t>תשמ"א</w:t>
        </w:r>
        <w:r w:rsidRPr="00AA5065">
          <w:rPr>
            <w:rFonts w:ascii="David" w:eastAsia="Calibri" w:hAnsi="David" w:hint="cs"/>
            <w:rtl/>
            <w:lang w:eastAsia="he-IL"/>
          </w:rPr>
          <w:t>-1980</w:t>
        </w:r>
        <w:bookmarkEnd w:id="161"/>
      </w:hyperlink>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דהיינו</w:t>
      </w:r>
      <w:r w:rsidRPr="00AA5065">
        <w:rPr>
          <w:rFonts w:ascii="David" w:eastAsia="Times New Roman" w:hAnsi="David"/>
          <w:sz w:val="24"/>
          <w:rtl/>
          <w:lang w:eastAsia="he-IL"/>
        </w:rPr>
        <w:t>,</w:t>
      </w:r>
      <w:r w:rsidRPr="00AA5065">
        <w:rPr>
          <w:rFonts w:ascii="David" w:eastAsia="Times New Roman" w:hAnsi="David" w:hint="cs"/>
          <w:sz w:val="24"/>
          <w:rtl/>
          <w:lang w:eastAsia="he-IL"/>
        </w:rPr>
        <w:t xml:space="preserve"> </w:t>
      </w:r>
      <w:r w:rsidRPr="00AA5065">
        <w:rPr>
          <w:rFonts w:ascii="David" w:eastAsia="Times New Roman" w:hAnsi="David" w:hint="eastAsia"/>
          <w:sz w:val="24"/>
          <w:rtl/>
          <w:lang w:eastAsia="he-IL"/>
        </w:rPr>
        <w:t>הסמכתם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בחוק</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היא</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לצורכי</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ביצוע</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חקירה</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בהתאם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לסמכויותיהם</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המעוגנות</w:t>
      </w:r>
      <w:r w:rsidRPr="00AA5065">
        <w:rPr>
          <w:rFonts w:ascii="David" w:eastAsia="Times New Roman" w:hAnsi="David"/>
          <w:sz w:val="24"/>
          <w:rtl/>
          <w:lang w:eastAsia="he-IL"/>
        </w:rPr>
        <w:t xml:space="preserve"> בחוק</w:t>
      </w:r>
      <w:r w:rsidRPr="00AA5065">
        <w:rPr>
          <w:rFonts w:ascii="David" w:eastAsia="Times New Roman" w:hAnsi="David" w:hint="cs"/>
          <w:sz w:val="24"/>
          <w:rtl/>
          <w:lang w:eastAsia="he-IL"/>
        </w:rPr>
        <w:t>,</w:t>
      </w:r>
      <w:r w:rsidRPr="00AA5065">
        <w:rPr>
          <w:rFonts w:ascii="David" w:eastAsia="Times New Roman" w:hAnsi="David"/>
          <w:sz w:val="24"/>
          <w:rtl/>
          <w:lang w:eastAsia="he-IL"/>
        </w:rPr>
        <w:t xml:space="preserve"> ולכן קיים קושי בשימוש בתוצרי עבודתם אל מול בי</w:t>
      </w:r>
      <w:r w:rsidRPr="00AA5065">
        <w:rPr>
          <w:rFonts w:ascii="David" w:eastAsia="Times New Roman" w:hAnsi="David" w:hint="cs"/>
          <w:sz w:val="24"/>
          <w:rtl/>
          <w:lang w:eastAsia="he-IL"/>
        </w:rPr>
        <w:t xml:space="preserve">ת </w:t>
      </w:r>
      <w:r w:rsidRPr="00AA5065">
        <w:rPr>
          <w:rFonts w:ascii="David" w:eastAsia="Times New Roman" w:hAnsi="David"/>
          <w:sz w:val="24"/>
          <w:rtl/>
          <w:lang w:eastAsia="he-IL"/>
        </w:rPr>
        <w:t>הד</w:t>
      </w:r>
      <w:r w:rsidRPr="00AA5065">
        <w:rPr>
          <w:rFonts w:ascii="David" w:eastAsia="Times New Roman" w:hAnsi="David" w:hint="cs"/>
          <w:sz w:val="24"/>
          <w:rtl/>
          <w:lang w:eastAsia="he-IL"/>
        </w:rPr>
        <w:t>ין</w:t>
      </w:r>
      <w:r w:rsidRPr="00AA5065">
        <w:rPr>
          <w:rFonts w:ascii="David" w:eastAsia="Times New Roman" w:hAnsi="David"/>
          <w:sz w:val="24"/>
          <w:rtl/>
          <w:lang w:eastAsia="he-IL"/>
        </w:rPr>
        <w:t xml:space="preserve"> </w:t>
      </w:r>
      <w:r w:rsidRPr="00AA5065">
        <w:rPr>
          <w:rFonts w:ascii="David" w:eastAsia="Times New Roman" w:hAnsi="David" w:hint="eastAsia"/>
          <w:sz w:val="24"/>
          <w:rtl/>
          <w:lang w:eastAsia="he-IL"/>
        </w:rPr>
        <w:t>לעררים</w:t>
      </w:r>
      <w:r w:rsidRPr="00AA5065">
        <w:rPr>
          <w:rFonts w:ascii="David" w:eastAsia="Times New Roman" w:hAnsi="David"/>
          <w:sz w:val="24"/>
          <w:rtl/>
          <w:lang w:eastAsia="he-IL"/>
        </w:rPr>
        <w:t xml:space="preserve"> </w:t>
      </w:r>
      <w:r w:rsidRPr="00AA5065">
        <w:rPr>
          <w:rFonts w:ascii="David" w:eastAsia="Times New Roman" w:hAnsi="David" w:hint="cs"/>
          <w:sz w:val="24"/>
          <w:rtl/>
          <w:lang w:eastAsia="he-IL"/>
        </w:rPr>
        <w:t>על פי</w:t>
      </w:r>
      <w:r w:rsidRPr="00AA5065">
        <w:rPr>
          <w:rFonts w:ascii="David" w:eastAsia="Times New Roman" w:hAnsi="David"/>
          <w:sz w:val="24"/>
          <w:rtl/>
          <w:lang w:eastAsia="he-IL"/>
        </w:rPr>
        <w:t xml:space="preserve"> חוק הכניסה לישראל וכד</w:t>
      </w:r>
      <w:r w:rsidRPr="00AA5065">
        <w:rPr>
          <w:rFonts w:ascii="David" w:eastAsia="Times New Roman" w:hAnsi="David" w:hint="cs"/>
          <w:sz w:val="24"/>
          <w:rtl/>
          <w:lang w:eastAsia="he-IL"/>
        </w:rPr>
        <w:t>'</w:t>
      </w:r>
      <w:r w:rsidRPr="00AA5065">
        <w:rPr>
          <w:rFonts w:ascii="David" w:eastAsia="Times New Roman" w:hAnsi="David"/>
          <w:sz w:val="24"/>
          <w:rtl/>
          <w:lang w:eastAsia="he-IL"/>
        </w:rPr>
        <w:t>.</w:t>
      </w:r>
      <w:r w:rsidRPr="00AA5065">
        <w:rPr>
          <w:rFonts w:eastAsia="Calibri" w:hint="cs"/>
          <w:rtl/>
          <w:lang w:eastAsia="he-IL"/>
        </w:rPr>
        <w:t xml:space="preserve"> לטענת המנהלת קיים צורך בהקמתה של </w:t>
      </w:r>
      <w:r w:rsidRPr="00AA5065">
        <w:rPr>
          <w:rFonts w:eastAsia="Calibri"/>
          <w:rtl/>
          <w:lang w:eastAsia="he-IL"/>
        </w:rPr>
        <w:t>יחידת חקירה</w:t>
      </w:r>
      <w:r w:rsidRPr="00AA5065">
        <w:rPr>
          <w:rFonts w:eastAsia="Calibri" w:hint="cs"/>
          <w:rtl/>
          <w:lang w:eastAsia="he-IL"/>
        </w:rPr>
        <w:t xml:space="preserve"> ומידע</w:t>
      </w:r>
      <w:r w:rsidRPr="00AA5065">
        <w:rPr>
          <w:rFonts w:eastAsia="Calibri"/>
          <w:rtl/>
          <w:lang w:eastAsia="he-IL"/>
        </w:rPr>
        <w:t xml:space="preserve"> של רשות האוכלוסין עם סמכויות בחוק</w:t>
      </w:r>
      <w:r w:rsidRPr="00AA5065">
        <w:rPr>
          <w:rFonts w:eastAsia="Calibri" w:hint="cs"/>
          <w:rtl/>
          <w:lang w:eastAsia="he-IL"/>
        </w:rPr>
        <w:t>, וכי</w:t>
      </w:r>
      <w:r w:rsidRPr="00AA5065">
        <w:rPr>
          <w:rFonts w:eastAsia="Calibri"/>
          <w:rtl/>
          <w:lang w:eastAsia="he-IL"/>
        </w:rPr>
        <w:t xml:space="preserve"> הדבר הועבר </w:t>
      </w:r>
      <w:r w:rsidRPr="00AA5065">
        <w:rPr>
          <w:rFonts w:eastAsia="Calibri" w:hint="cs"/>
          <w:rtl/>
          <w:lang w:eastAsia="he-IL"/>
        </w:rPr>
        <w:t>כ</w:t>
      </w:r>
      <w:r w:rsidRPr="00AA5065">
        <w:rPr>
          <w:rFonts w:eastAsia="Calibri"/>
          <w:rtl/>
          <w:lang w:eastAsia="he-IL"/>
        </w:rPr>
        <w:t>דריש</w:t>
      </w:r>
      <w:r w:rsidRPr="00AA5065">
        <w:rPr>
          <w:rFonts w:eastAsia="Calibri" w:hint="cs"/>
          <w:rtl/>
          <w:lang w:eastAsia="he-IL"/>
        </w:rPr>
        <w:t>ה</w:t>
      </w:r>
      <w:r w:rsidRPr="00AA5065">
        <w:rPr>
          <w:rFonts w:eastAsia="Calibri"/>
          <w:rtl/>
          <w:lang w:eastAsia="he-IL"/>
        </w:rPr>
        <w:t xml:space="preserve"> </w:t>
      </w:r>
      <w:r w:rsidRPr="00AA5065">
        <w:rPr>
          <w:rFonts w:eastAsia="Calibri" w:hint="cs"/>
          <w:rtl/>
          <w:lang w:eastAsia="he-IL"/>
        </w:rPr>
        <w:t xml:space="preserve">להכללה במסגרת </w:t>
      </w:r>
      <w:r w:rsidRPr="00AA5065">
        <w:rPr>
          <w:rFonts w:eastAsia="Calibri"/>
          <w:rtl/>
          <w:lang w:eastAsia="he-IL"/>
        </w:rPr>
        <w:t>ת</w:t>
      </w:r>
      <w:r w:rsidRPr="00AA5065">
        <w:rPr>
          <w:rFonts w:eastAsia="Calibri" w:hint="cs"/>
          <w:rtl/>
          <w:lang w:eastAsia="he-IL"/>
        </w:rPr>
        <w:t>ו</w:t>
      </w:r>
      <w:r w:rsidRPr="00AA5065">
        <w:rPr>
          <w:rFonts w:eastAsia="Calibri"/>
          <w:rtl/>
          <w:lang w:eastAsia="he-IL"/>
        </w:rPr>
        <w:t>כנית העבודה</w:t>
      </w:r>
      <w:r w:rsidRPr="00AA5065">
        <w:rPr>
          <w:rFonts w:eastAsia="Calibri" w:hint="cs"/>
          <w:rtl/>
          <w:lang w:eastAsia="he-IL"/>
        </w:rPr>
        <w:t xml:space="preserve"> של רשות האוכלוסין</w:t>
      </w:r>
      <w:r w:rsidRPr="00AA5065">
        <w:rPr>
          <w:rFonts w:eastAsia="Calibri"/>
          <w:rtl/>
          <w:lang w:eastAsia="he-IL"/>
        </w:rPr>
        <w:t xml:space="preserve"> גם </w:t>
      </w:r>
      <w:r w:rsidRPr="00AA5065">
        <w:rPr>
          <w:rFonts w:eastAsia="Calibri" w:hint="cs"/>
          <w:rtl/>
          <w:lang w:eastAsia="he-IL"/>
        </w:rPr>
        <w:t>ב</w:t>
      </w:r>
      <w:r w:rsidRPr="00AA5065">
        <w:rPr>
          <w:rFonts w:eastAsia="Calibri"/>
          <w:rtl/>
          <w:lang w:eastAsia="he-IL"/>
        </w:rPr>
        <w:t>שנת 2025. בהקשר זה חשוב לציין כי לא עבור כל אדם</w:t>
      </w:r>
      <w:r w:rsidRPr="00AA5065">
        <w:rPr>
          <w:rFonts w:eastAsia="Calibri" w:hint="cs"/>
          <w:rtl/>
          <w:lang w:eastAsia="he-IL"/>
        </w:rPr>
        <w:t xml:space="preserve"> אשר רשות האוכלוסין נדרשת לקבל החלטה בעניינו</w:t>
      </w:r>
      <w:r w:rsidRPr="00AA5065">
        <w:rPr>
          <w:rFonts w:eastAsia="Calibri"/>
          <w:rtl/>
          <w:lang w:eastAsia="he-IL"/>
        </w:rPr>
        <w:t xml:space="preserve"> יש דוחות חקירה של </w:t>
      </w:r>
      <w:r w:rsidRPr="00AA5065">
        <w:rPr>
          <w:rFonts w:eastAsia="Calibri" w:hint="cs"/>
          <w:rtl/>
          <w:lang w:eastAsia="he-IL"/>
        </w:rPr>
        <w:t>בט"ל,</w:t>
      </w:r>
      <w:r w:rsidRPr="00AA5065">
        <w:rPr>
          <w:rFonts w:eastAsia="Calibri"/>
          <w:rtl/>
          <w:lang w:eastAsia="he-IL"/>
        </w:rPr>
        <w:t xml:space="preserve"> ולכן </w:t>
      </w:r>
      <w:r w:rsidRPr="00AA5065">
        <w:rPr>
          <w:rFonts w:eastAsia="Calibri" w:hint="cs"/>
          <w:rtl/>
          <w:lang w:eastAsia="he-IL"/>
        </w:rPr>
        <w:t xml:space="preserve">קיימת </w:t>
      </w:r>
      <w:r w:rsidRPr="00AA5065">
        <w:rPr>
          <w:rFonts w:eastAsia="Calibri"/>
          <w:rtl/>
          <w:lang w:eastAsia="he-IL"/>
        </w:rPr>
        <w:t>חשיבות רבה להקמת יחידה פנימית של רשות האוכלוסין.</w:t>
      </w:r>
    </w:p>
    <w:p w:rsidR="00AA5065" w:rsidRPr="00AA5065" w:rsidP="00860D89">
      <w:pPr>
        <w:spacing w:line="269" w:lineRule="auto"/>
        <w:ind w:left="-567"/>
        <w:rPr>
          <w:rFonts w:eastAsia="Calibri"/>
          <w:szCs w:val="20"/>
          <w:rtl/>
          <w:lang w:eastAsia="he-IL"/>
        </w:rPr>
      </w:pPr>
    </w:p>
    <w:p w:rsidR="00AA5065" w:rsidRPr="00AA5065" w:rsidP="00860D89">
      <w:pPr>
        <w:spacing w:line="269" w:lineRule="auto"/>
        <w:contextualSpacing/>
        <w:rPr>
          <w:rFonts w:eastAsia="Calibri"/>
          <w:rtl/>
          <w:lang w:eastAsia="he-IL"/>
        </w:rPr>
      </w:pPr>
      <w:r w:rsidRPr="00AA5065">
        <w:rPr>
          <w:rFonts w:eastAsia="Calibri" w:hint="cs"/>
          <w:rtl/>
          <w:lang w:eastAsia="he-IL"/>
        </w:rPr>
        <w:t>סמנכ</w:t>
      </w:r>
      <w:r w:rsidR="0054781A">
        <w:rPr>
          <w:rFonts w:eastAsia="Calibri" w:hint="cs"/>
          <w:rtl/>
          <w:lang w:eastAsia="he-IL"/>
        </w:rPr>
        <w:t>"</w:t>
      </w:r>
      <w:r w:rsidRPr="00AA5065">
        <w:rPr>
          <w:rFonts w:eastAsia="Calibri" w:hint="cs"/>
          <w:rtl/>
          <w:lang w:eastAsia="he-IL"/>
        </w:rPr>
        <w:t xml:space="preserve">לית בכירה לתכנון מדיניות ואסטרטגיה ברשות האוכלוסין מסרה לצוות הביקורת </w:t>
      </w:r>
      <w:r w:rsidRPr="00AA5065">
        <w:rPr>
          <w:rFonts w:eastAsia="Calibri"/>
          <w:rtl/>
          <w:lang w:eastAsia="he-IL"/>
        </w:rPr>
        <w:br/>
      </w:r>
      <w:r w:rsidRPr="00AA5065">
        <w:rPr>
          <w:rFonts w:eastAsia="Calibri" w:hint="cs"/>
          <w:rtl/>
          <w:lang w:eastAsia="he-IL"/>
        </w:rPr>
        <w:t>ב-18.12.24 כי "</w:t>
      </w:r>
      <w:r w:rsidRPr="00AA5065">
        <w:rPr>
          <w:rFonts w:eastAsia="Calibri"/>
          <w:rtl/>
          <w:lang w:eastAsia="he-IL"/>
        </w:rPr>
        <w:t>א.</w:t>
      </w:r>
      <w:r w:rsidRPr="00AA5065">
        <w:rPr>
          <w:rFonts w:eastAsia="Calibri" w:hint="cs"/>
          <w:rtl/>
          <w:lang w:eastAsia="he-IL"/>
        </w:rPr>
        <w:t xml:space="preserve"> </w:t>
      </w:r>
      <w:r w:rsidRPr="00AA5065">
        <w:rPr>
          <w:rFonts w:eastAsia="Calibri"/>
          <w:rtl/>
          <w:lang w:eastAsia="he-IL"/>
        </w:rPr>
        <w:t>הקמתה של יחידת מידע הוא נושא שנמצא על סדר היום של הרשות אולם המשימה עדיין לא נכנסה לתוכנית העבודה מכיוון שטרם נמצא התקציב הנדרש להקמתה.</w:t>
      </w:r>
      <w:r w:rsidRPr="00AA5065">
        <w:rPr>
          <w:rFonts w:eastAsia="Calibri" w:hint="cs"/>
          <w:rtl/>
          <w:lang w:eastAsia="he-IL"/>
        </w:rPr>
        <w:t xml:space="preserve">.. </w:t>
      </w:r>
      <w:r w:rsidRPr="00AA5065">
        <w:rPr>
          <w:rFonts w:eastAsia="Calibri"/>
          <w:rtl/>
          <w:lang w:eastAsia="he-IL"/>
        </w:rPr>
        <w:t>בכוונת רשות האוכלוסין לפעול בעניין זה גם במסגרת דיוני התקציב לשנת 2026.</w:t>
      </w:r>
      <w:r w:rsidRPr="00AA5065">
        <w:rPr>
          <w:rFonts w:eastAsia="Calibri" w:hint="cs"/>
          <w:rtl/>
          <w:lang w:eastAsia="he-IL"/>
        </w:rPr>
        <w:t xml:space="preserve"> </w:t>
      </w:r>
      <w:r w:rsidRPr="00AA5065">
        <w:rPr>
          <w:rFonts w:eastAsia="Calibri"/>
          <w:rtl/>
          <w:lang w:eastAsia="he-IL"/>
        </w:rPr>
        <w:t>ב.</w:t>
      </w:r>
      <w:r w:rsidRPr="00AA5065">
        <w:rPr>
          <w:rFonts w:eastAsia="Calibri" w:hint="cs"/>
          <w:rtl/>
          <w:lang w:eastAsia="he-IL"/>
        </w:rPr>
        <w:t xml:space="preserve"> </w:t>
      </w:r>
      <w:r w:rsidRPr="00AA5065">
        <w:rPr>
          <w:rFonts w:eastAsia="Calibri"/>
          <w:rtl/>
          <w:lang w:eastAsia="he-IL"/>
        </w:rPr>
        <w:t>במקביל, הרשות פועלת במישור של הסדרת סמכויות ליחידה לכנות קשר, הפועלת כיום תחת מינהל אכיפה וזרים, כחלק ממהלך רחב יותר של הסדרת סמכויות למינהל. הדבר נמצא בדיונים מול משרד המשפטים. המשימה משתקפת בתוכנית העבודה של הלשכה המשפטית (שנת 2024)</w:t>
      </w:r>
      <w:r w:rsidRPr="00AA5065">
        <w:rPr>
          <w:rFonts w:eastAsia="Calibri" w:hint="cs"/>
          <w:rtl/>
          <w:lang w:eastAsia="he-IL"/>
        </w:rPr>
        <w:t>".</w:t>
      </w:r>
    </w:p>
    <w:p w:rsidR="00AA5065" w:rsidRPr="00AA5065" w:rsidP="00860D89">
      <w:pPr>
        <w:spacing w:line="269" w:lineRule="auto"/>
        <w:ind w:left="-567"/>
        <w:rPr>
          <w:rFonts w:eastAsia="Calibri"/>
          <w:szCs w:val="20"/>
          <w:rtl/>
          <w:lang w:eastAsia="he-IL"/>
        </w:rPr>
      </w:pPr>
    </w:p>
    <w:p w:rsidR="00AA5065" w:rsidRPr="00AA5065" w:rsidP="00860D89">
      <w:pPr>
        <w:spacing w:line="269" w:lineRule="auto"/>
        <w:contextualSpacing/>
        <w:rPr>
          <w:rFonts w:eastAsia="Calibri"/>
          <w:rtl/>
          <w:lang w:eastAsia="he-IL"/>
        </w:rPr>
      </w:pPr>
      <w:r w:rsidRPr="00AA5065">
        <w:rPr>
          <w:rFonts w:eastAsia="Calibri" w:hint="cs"/>
          <w:rtl/>
          <w:lang w:eastAsia="he-IL"/>
        </w:rPr>
        <w:t xml:space="preserve">הסתמכות רשות האוכלוסין על תוצרי החקירה של בט"ל, אשר פועל על פי תוכנית עבודה שונה הנגזרת מהצרכים הייעודיים שלו, השונים מצרכיה של רשות האוכלוסין, מקשה את פעילות רשות האוכלוסין לבירור תושבות. נוכח הצרכים בשטח חשוב כי תוקם יחידה ייעודית ברשות האוכלוסין לביצוע החקירות הנדרשות. </w:t>
      </w:r>
    </w:p>
    <w:p w:rsidR="00AA5065" w:rsidRPr="00AA5065" w:rsidP="00860D89">
      <w:pPr>
        <w:spacing w:line="269" w:lineRule="auto"/>
        <w:ind w:left="-567"/>
        <w:rPr>
          <w:rFonts w:eastAsia="Calibri"/>
          <w:szCs w:val="20"/>
          <w:rtl/>
          <w:lang w:eastAsia="he-IL"/>
        </w:rPr>
      </w:pPr>
    </w:p>
    <w:p w:rsidR="00AA5065" w:rsidRPr="00AA5065" w:rsidP="00860D89">
      <w:pPr>
        <w:spacing w:line="269" w:lineRule="auto"/>
        <w:contextualSpacing/>
        <w:rPr>
          <w:rFonts w:eastAsia="Calibri"/>
          <w:rtl/>
          <w:lang w:eastAsia="he-IL"/>
        </w:rPr>
      </w:pPr>
      <w:r w:rsidRPr="00AA5065">
        <w:rPr>
          <w:rFonts w:eastAsia="Calibri" w:hint="cs"/>
          <w:rtl/>
          <w:lang w:eastAsia="he-IL"/>
        </w:rPr>
        <w:t>בהקשר זה יצוין כי בין המלצותיה של ועדת פלמור</w:t>
      </w:r>
      <w:r>
        <w:rPr>
          <w:rFonts w:eastAsia="Calibri"/>
          <w:vertAlign w:val="superscript"/>
          <w:rtl/>
          <w:lang w:eastAsia="he-IL"/>
        </w:rPr>
        <w:footnoteReference w:id="161"/>
      </w:r>
      <w:r w:rsidRPr="00AA5065">
        <w:rPr>
          <w:rFonts w:eastAsia="Calibri" w:hint="cs"/>
          <w:rtl/>
          <w:lang w:eastAsia="he-IL"/>
        </w:rPr>
        <w:t xml:space="preserve"> מופיעה ההמלצה בדבר "הקצאה של משאבים מתאימים לרשות האוכלוסין וההגירה, במיוחד בלשכות הרלוונטיות, לצורך עיבוד המידע שמתקבל אודות חשד לפוליגמיה".</w:t>
      </w:r>
    </w:p>
    <w:p w:rsidR="00AA5065" w:rsidRPr="00AA5065" w:rsidP="00860D89">
      <w:pPr>
        <w:spacing w:line="269" w:lineRule="auto"/>
        <w:ind w:left="-567"/>
        <w:rPr>
          <w:rFonts w:eastAsia="Calibri"/>
          <w:szCs w:val="20"/>
          <w:rtl/>
        </w:rPr>
      </w:pPr>
    </w:p>
    <w:p w:rsidR="00AA5065" w:rsidRPr="00AA5065" w:rsidP="00860D89">
      <w:pPr>
        <w:spacing w:line="269" w:lineRule="auto"/>
        <w:contextualSpacing/>
        <w:rPr>
          <w:rFonts w:eastAsia="Calibri"/>
          <w:rtl/>
          <w:lang w:eastAsia="he-IL"/>
        </w:rPr>
      </w:pPr>
      <w:r w:rsidRPr="00AA5065">
        <w:rPr>
          <w:rFonts w:eastAsia="Calibri" w:hint="cs"/>
          <w:rtl/>
        </w:rPr>
        <w:t>בט"ל מסר בתשובתו כי "</w:t>
      </w:r>
      <w:r w:rsidRPr="00AA5065">
        <w:rPr>
          <w:rFonts w:ascii="David" w:eastAsia="Calibri" w:hAnsi="David"/>
          <w:sz w:val="24"/>
          <w:rtl/>
        </w:rPr>
        <w:t>אגף החקירות בביטוח הלאומי מקיים שיתוף פעולה שוטף ורציף עם רשות האוכלוסין,</w:t>
      </w:r>
      <w:r w:rsidRPr="00AA5065">
        <w:rPr>
          <w:rFonts w:ascii="David" w:eastAsia="Calibri" w:hAnsi="David" w:hint="cs"/>
          <w:sz w:val="24"/>
          <w:rtl/>
        </w:rPr>
        <w:t xml:space="preserve"> </w:t>
      </w:r>
      <w:r w:rsidRPr="00AA5065">
        <w:rPr>
          <w:rFonts w:ascii="David" w:eastAsia="Calibri" w:hAnsi="David"/>
          <w:sz w:val="24"/>
          <w:rtl/>
        </w:rPr>
        <w:t>במסגרתו מועברים אליהם תוצרי חקירות באופן סדור על בסיס שבועי, וזאת כמובן בהתאם לנהלים. ההעברה מתבצעת הן ביוזמת</w:t>
      </w:r>
      <w:r w:rsidRPr="00AA5065">
        <w:rPr>
          <w:rFonts w:ascii="David" w:eastAsia="Calibri" w:hAnsi="David" w:hint="cs"/>
          <w:sz w:val="24"/>
          <w:rtl/>
        </w:rPr>
        <w:t xml:space="preserve"> </w:t>
      </w:r>
      <w:r w:rsidRPr="00AA5065">
        <w:rPr>
          <w:rFonts w:ascii="David" w:eastAsia="Calibri" w:hAnsi="David"/>
          <w:sz w:val="24"/>
          <w:rtl/>
        </w:rPr>
        <w:t>אגף החקירות והן בהתאם לפניות המתקבלות מרשות האוכלוסין, על מנת לסייע להם בתהליכי האכיפה והבקרה שבתחום אחריותם. זאת ועוד, לאורך השנים גובשו מנגנוני עבודה מוסדרים בין שני הגופים, לרבות אנשי קשר ייעודיים, שמבטיחים זרימת מידע יעילה ומהירה</w:t>
      </w:r>
      <w:r w:rsidRPr="00AA5065">
        <w:rPr>
          <w:rFonts w:ascii="David" w:eastAsia="Calibri" w:hAnsi="David" w:hint="cs"/>
          <w:sz w:val="24"/>
          <w:rtl/>
        </w:rPr>
        <w:t>"</w:t>
      </w:r>
      <w:r w:rsidRPr="00AA5065">
        <w:rPr>
          <w:rFonts w:ascii="David" w:eastAsia="Calibri" w:hAnsi="David"/>
          <w:sz w:val="24"/>
          <w:rtl/>
        </w:rPr>
        <w:t>.</w:t>
      </w:r>
    </w:p>
    <w:p w:rsidR="00AA5065" w:rsidRPr="00AA5065" w:rsidP="00860D89">
      <w:pPr>
        <w:spacing w:line="269" w:lineRule="auto"/>
        <w:ind w:left="-567"/>
        <w:rPr>
          <w:rFonts w:eastAsia="Calibri"/>
          <w:szCs w:val="20"/>
          <w:rtl/>
          <w:lang w:eastAsia="he-IL"/>
        </w:rPr>
      </w:pPr>
    </w:p>
    <w:p w:rsidR="00AA5065" w:rsidRPr="00AA5065" w:rsidP="0054781A">
      <w:pPr>
        <w:spacing w:after="120" w:line="269" w:lineRule="auto"/>
        <w:rPr>
          <w:rFonts w:eastAsia="Calibri"/>
          <w:b/>
          <w:bCs/>
          <w:rtl/>
          <w:lang w:eastAsia="he-IL"/>
        </w:rPr>
      </w:pPr>
      <w:bookmarkStart w:id="162" w:name="_Hlk204860343"/>
      <w:r w:rsidRPr="00AA5065">
        <w:rPr>
          <w:rFonts w:eastAsia="Calibri" w:hint="cs"/>
          <w:b/>
          <w:bCs/>
          <w:rtl/>
        </w:rPr>
        <w:t xml:space="preserve">בביקורת הקודמת עלה כי </w:t>
      </w:r>
      <w:r w:rsidRPr="00AA5065">
        <w:rPr>
          <w:rFonts w:eastAsia="Calibri"/>
          <w:b/>
          <w:bCs/>
          <w:rtl/>
        </w:rPr>
        <w:t>אין בידי רשות האוכלוסין</w:t>
      </w:r>
      <w:r w:rsidRPr="00AA5065">
        <w:rPr>
          <w:rFonts w:eastAsia="Calibri" w:hint="cs"/>
          <w:b/>
          <w:bCs/>
          <w:rtl/>
        </w:rPr>
        <w:t xml:space="preserve"> </w:t>
      </w:r>
      <w:r w:rsidRPr="00AA5065">
        <w:rPr>
          <w:rFonts w:eastAsia="Calibri"/>
          <w:b/>
          <w:bCs/>
          <w:rtl/>
        </w:rPr>
        <w:t>הכלים לבירור יסודי של כל דרישה להכרה בתושבות מצד בני האוכלוסייה הבדואית</w:t>
      </w:r>
      <w:r w:rsidRPr="00AA5065">
        <w:rPr>
          <w:rFonts w:eastAsia="Calibri" w:hint="cs"/>
          <w:b/>
          <w:bCs/>
          <w:rtl/>
        </w:rPr>
        <w:t>,</w:t>
      </w:r>
      <w:r w:rsidRPr="00AA5065">
        <w:rPr>
          <w:rFonts w:eastAsia="Calibri"/>
          <w:b/>
          <w:bCs/>
          <w:rtl/>
        </w:rPr>
        <w:t xml:space="preserve"> וכי נעשה פעמים רבות שימוש במסמכים ו</w:t>
      </w:r>
      <w:r w:rsidRPr="00AA5065">
        <w:rPr>
          <w:rFonts w:eastAsia="Calibri" w:hint="cs"/>
          <w:b/>
          <w:bCs/>
          <w:rtl/>
        </w:rPr>
        <w:t>ב</w:t>
      </w:r>
      <w:r w:rsidRPr="00AA5065">
        <w:rPr>
          <w:rFonts w:eastAsia="Calibri"/>
          <w:b/>
          <w:bCs/>
          <w:rtl/>
        </w:rPr>
        <w:t>אישורים מזויפים כדי להוכיח מגורים בישראל</w:t>
      </w:r>
      <w:r w:rsidRPr="00AA5065">
        <w:rPr>
          <w:rFonts w:eastAsia="Calibri" w:hint="cs"/>
          <w:b/>
          <w:bCs/>
          <w:rtl/>
        </w:rPr>
        <w:t>. בביקורת המעקב נמצא</w:t>
      </w:r>
      <w:r w:rsidRPr="00AA5065">
        <w:rPr>
          <w:rFonts w:eastAsia="Calibri"/>
          <w:b/>
          <w:bCs/>
          <w:rtl/>
        </w:rPr>
        <w:t xml:space="preserve"> </w:t>
      </w:r>
      <w:r w:rsidRPr="00AA5065">
        <w:rPr>
          <w:rFonts w:eastAsia="Calibri" w:hint="eastAsia"/>
          <w:b/>
          <w:bCs/>
          <w:rtl/>
        </w:rPr>
        <w:t>כי</w:t>
      </w:r>
      <w:r w:rsidRPr="00AA5065">
        <w:rPr>
          <w:rFonts w:eastAsia="Calibri"/>
          <w:b/>
          <w:bCs/>
          <w:rtl/>
        </w:rPr>
        <w:t xml:space="preserve"> הליקוי לא תוקן</w:t>
      </w:r>
      <w:r w:rsidRPr="00AA5065">
        <w:rPr>
          <w:rFonts w:eastAsia="Calibri" w:hint="cs"/>
          <w:b/>
          <w:bCs/>
          <w:rtl/>
        </w:rPr>
        <w:t>;</w:t>
      </w:r>
      <w:r w:rsidRPr="00AA5065">
        <w:rPr>
          <w:rFonts w:eastAsia="Calibri"/>
          <w:b/>
          <w:bCs/>
          <w:rtl/>
        </w:rPr>
        <w:t xml:space="preserve"> </w:t>
      </w:r>
      <w:r w:rsidRPr="00AA5065">
        <w:rPr>
          <w:rFonts w:eastAsia="Calibri" w:hint="eastAsia"/>
          <w:b/>
          <w:bCs/>
          <w:rtl/>
        </w:rPr>
        <w:t>גם</w:t>
      </w:r>
      <w:r w:rsidRPr="00AA5065">
        <w:rPr>
          <w:rFonts w:eastAsia="Calibri"/>
          <w:b/>
          <w:bCs/>
          <w:rtl/>
        </w:rPr>
        <w:t xml:space="preserve"> </w:t>
      </w:r>
      <w:r w:rsidRPr="00AA5065">
        <w:rPr>
          <w:rFonts w:eastAsia="Calibri" w:hint="cs"/>
          <w:b/>
          <w:bCs/>
          <w:rtl/>
        </w:rPr>
        <w:t>במועד סיום הביקורת</w:t>
      </w:r>
      <w:r w:rsidRPr="00AA5065">
        <w:rPr>
          <w:rFonts w:eastAsia="Calibri"/>
          <w:b/>
          <w:bCs/>
          <w:rtl/>
        </w:rPr>
        <w:t xml:space="preserve"> </w:t>
      </w:r>
      <w:r w:rsidRPr="00AA5065">
        <w:rPr>
          <w:rFonts w:eastAsia="Calibri" w:hint="eastAsia"/>
          <w:b/>
          <w:bCs/>
          <w:rtl/>
        </w:rPr>
        <w:t>אין</w:t>
      </w:r>
      <w:r w:rsidRPr="00AA5065">
        <w:rPr>
          <w:rFonts w:eastAsia="Calibri"/>
          <w:b/>
          <w:bCs/>
          <w:rtl/>
        </w:rPr>
        <w:t xml:space="preserve"> ביד</w:t>
      </w:r>
      <w:r w:rsidRPr="00AA5065">
        <w:rPr>
          <w:rFonts w:eastAsia="Calibri" w:hint="cs"/>
          <w:b/>
          <w:bCs/>
          <w:rtl/>
        </w:rPr>
        <w:t>י רשות האוכלוסין אמצעי החקירה המתאימים, המשאבים</w:t>
      </w:r>
      <w:r w:rsidRPr="00AA5065">
        <w:rPr>
          <w:rFonts w:eastAsia="Calibri"/>
          <w:b/>
          <w:bCs/>
          <w:rtl/>
        </w:rPr>
        <w:t xml:space="preserve"> </w:t>
      </w:r>
      <w:r w:rsidRPr="00AA5065">
        <w:rPr>
          <w:rFonts w:eastAsia="Calibri" w:hint="cs"/>
          <w:b/>
          <w:bCs/>
          <w:rtl/>
        </w:rPr>
        <w:t>ו</w:t>
      </w:r>
      <w:r w:rsidRPr="00AA5065">
        <w:rPr>
          <w:rFonts w:eastAsia="Calibri"/>
          <w:b/>
          <w:bCs/>
          <w:rtl/>
        </w:rPr>
        <w:t xml:space="preserve">הכלים הנדרשים </w:t>
      </w:r>
      <w:r w:rsidRPr="00AA5065">
        <w:rPr>
          <w:rFonts w:eastAsia="Calibri" w:hint="cs"/>
          <w:b/>
          <w:bCs/>
          <w:rtl/>
        </w:rPr>
        <w:t>כדי</w:t>
      </w:r>
      <w:r w:rsidRPr="00AA5065">
        <w:rPr>
          <w:rFonts w:eastAsia="Calibri"/>
          <w:b/>
          <w:bCs/>
          <w:rtl/>
        </w:rPr>
        <w:t xml:space="preserve"> לברר ולוודא את מרכז החיים </w:t>
      </w:r>
      <w:r w:rsidRPr="00AA5065">
        <w:rPr>
          <w:rFonts w:eastAsia="Calibri" w:hint="eastAsia"/>
          <w:b/>
          <w:bCs/>
          <w:rtl/>
        </w:rPr>
        <w:t>האמיתי</w:t>
      </w:r>
      <w:r w:rsidRPr="00AA5065">
        <w:rPr>
          <w:rFonts w:eastAsia="Calibri"/>
          <w:b/>
          <w:bCs/>
          <w:rtl/>
        </w:rPr>
        <w:t xml:space="preserve"> של מבקשי התושבות</w:t>
      </w:r>
      <w:r w:rsidRPr="00AA5065">
        <w:rPr>
          <w:rFonts w:eastAsia="Calibri" w:hint="cs"/>
          <w:b/>
          <w:bCs/>
          <w:rtl/>
        </w:rPr>
        <w:t>, והיא נאלצת לעיתים להסתמך על תוצרי החקירה של בט"ל. הועלה כי גם כיום רשות האוכלוסין</w:t>
      </w:r>
      <w:r w:rsidRPr="00AA5065">
        <w:rPr>
          <w:rFonts w:eastAsia="Calibri"/>
          <w:b/>
          <w:bCs/>
          <w:rtl/>
        </w:rPr>
        <w:t xml:space="preserve"> מתמודדת עם תופעה של המצאת אישורים פיקטיביים שונים לצורך רישום התושבות. </w:t>
      </w:r>
      <w:r w:rsidRPr="00AA5065">
        <w:rPr>
          <w:rFonts w:eastAsia="Calibri" w:hint="cs"/>
          <w:b/>
          <w:bCs/>
          <w:rtl/>
        </w:rPr>
        <w:t>אם יכולתה של רשות האוכלוסין לחקור ולבדוק לעומק את אותם אישורים פיקטיביים לא תשתפר, ייגרם נזק כספי ניכר לקופת המדינה וכן שימוש לרעה במשאבי הביטחון הסוציאלי.</w:t>
      </w:r>
      <w:bookmarkEnd w:id="162"/>
    </w:p>
    <w:p w:rsidR="00AA5065" w:rsidRPr="00AA5065" w:rsidP="00860D89">
      <w:pPr>
        <w:spacing w:line="269" w:lineRule="auto"/>
        <w:ind w:left="-567"/>
        <w:rPr>
          <w:rFonts w:eastAsia="Calibri"/>
          <w:szCs w:val="20"/>
          <w:rtl/>
          <w:lang w:eastAsia="he-IL"/>
        </w:rPr>
      </w:pPr>
    </w:p>
    <w:p w:rsidR="00AA5065" w:rsidRPr="00AA5065" w:rsidP="00860D89">
      <w:pPr>
        <w:spacing w:line="269" w:lineRule="auto"/>
        <w:jc w:val="center"/>
        <w:rPr>
          <w:rFonts w:eastAsia="Calibri"/>
          <w:b/>
          <w:bCs/>
          <w:rtl/>
          <w:lang w:eastAsia="he-IL"/>
        </w:rPr>
      </w:pPr>
      <w:r w:rsidRPr="00AA5065">
        <w:rPr>
          <w:rFonts w:eastAsia="Calibri" w:hint="cs"/>
          <w:b/>
          <w:bCs/>
          <w:rtl/>
          <w:lang w:eastAsia="he-IL"/>
        </w:rPr>
        <w:t>מידת תיקון הליקוי</w:t>
      </w:r>
    </w:p>
    <w:p w:rsidR="00AA5065" w:rsidRPr="00AA5065" w:rsidP="00860D89">
      <w:pPr>
        <w:spacing w:line="269" w:lineRule="auto"/>
        <w:jc w:val="center"/>
        <w:rPr>
          <w:rFonts w:eastAsia="Calibri"/>
          <w:rtl/>
          <w:lang w:eastAsia="he-IL"/>
        </w:rPr>
      </w:pPr>
      <w:r w:rsidRPr="00AA5065">
        <w:rPr>
          <w:rFonts w:eastAsia="Calibri"/>
          <w:noProof/>
        </w:rPr>
        <w:drawing>
          <wp:inline distT="0" distB="0" distL="0" distR="0">
            <wp:extent cx="3426460" cy="939165"/>
            <wp:effectExtent l="0" t="0" r="2540" b="0"/>
            <wp:docPr id="31" name="תמונה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
                    <pic:cNvPicPr>
                      <a:picLocks noChangeAspect="1" noChangeArrowheads="1"/>
                    </pic:cNvPicPr>
                  </pic:nvPicPr>
                  <pic:blipFill>
                    <a:blip xmlns:r="http://schemas.openxmlformats.org/officeDocument/2006/relationships" r:embed="rId16">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6460" cy="939165"/>
                    </a:xfrm>
                    <a:prstGeom prst="rect">
                      <a:avLst/>
                    </a:prstGeom>
                    <a:noFill/>
                  </pic:spPr>
                </pic:pic>
              </a:graphicData>
            </a:graphic>
          </wp:inline>
        </w:drawing>
      </w:r>
    </w:p>
    <w:p w:rsidR="00AA5065" w:rsidRPr="00AA5065" w:rsidP="00860D89">
      <w:pPr>
        <w:spacing w:line="269" w:lineRule="auto"/>
        <w:ind w:left="-567"/>
        <w:rPr>
          <w:rFonts w:eastAsia="Calibri"/>
          <w:szCs w:val="20"/>
          <w:rtl/>
          <w:lang w:eastAsia="he-IL"/>
        </w:rPr>
      </w:pPr>
    </w:p>
    <w:p w:rsidR="00AA5065" w:rsidRPr="00AA5065" w:rsidP="00860D89">
      <w:pPr>
        <w:spacing w:line="269" w:lineRule="auto"/>
        <w:rPr>
          <w:rFonts w:eastAsia="Calibri"/>
          <w:rtl/>
        </w:rPr>
      </w:pPr>
      <w:r w:rsidRPr="00AA5065">
        <w:rPr>
          <w:rFonts w:eastAsia="Calibri" w:hint="cs"/>
          <w:b/>
          <w:bCs/>
          <w:rtl/>
        </w:rPr>
        <w:t>על</w:t>
      </w:r>
      <w:r w:rsidRPr="00AA5065">
        <w:rPr>
          <w:rFonts w:eastAsia="Calibri"/>
          <w:b/>
          <w:bCs/>
          <w:rtl/>
        </w:rPr>
        <w:t xml:space="preserve"> רשות האוכלוסין</w:t>
      </w:r>
      <w:r w:rsidRPr="00AA5065">
        <w:rPr>
          <w:rFonts w:eastAsia="Calibri" w:hint="cs"/>
          <w:b/>
          <w:bCs/>
          <w:rtl/>
        </w:rPr>
        <w:t xml:space="preserve"> ומשרד המשפטים</w:t>
      </w:r>
      <w:r w:rsidRPr="00AA5065">
        <w:rPr>
          <w:rFonts w:eastAsia="Calibri"/>
          <w:b/>
          <w:bCs/>
          <w:rtl/>
        </w:rPr>
        <w:t xml:space="preserve"> </w:t>
      </w:r>
      <w:r w:rsidRPr="00AA5065">
        <w:rPr>
          <w:rFonts w:eastAsia="Calibri" w:hint="cs"/>
          <w:b/>
          <w:bCs/>
          <w:rtl/>
        </w:rPr>
        <w:t xml:space="preserve">לפעול בהקדם לבחינת התאמת </w:t>
      </w:r>
      <w:r w:rsidRPr="00AA5065">
        <w:rPr>
          <w:rFonts w:eastAsia="Calibri"/>
          <w:b/>
          <w:bCs/>
          <w:rtl/>
        </w:rPr>
        <w:t>אמצעי החקירה</w:t>
      </w:r>
      <w:r w:rsidRPr="00AA5065">
        <w:rPr>
          <w:rFonts w:eastAsia="Calibri" w:hint="cs"/>
          <w:b/>
          <w:bCs/>
          <w:rtl/>
        </w:rPr>
        <w:t xml:space="preserve">, </w:t>
      </w:r>
      <w:r w:rsidRPr="00AA5065">
        <w:rPr>
          <w:rFonts w:eastAsia="Calibri"/>
          <w:b/>
          <w:bCs/>
          <w:rtl/>
        </w:rPr>
        <w:t xml:space="preserve">המשאבים והכלים </w:t>
      </w:r>
      <w:r w:rsidRPr="00AA5065">
        <w:rPr>
          <w:rFonts w:eastAsia="Calibri" w:hint="cs"/>
          <w:b/>
          <w:bCs/>
          <w:rtl/>
        </w:rPr>
        <w:t xml:space="preserve">הנדרשים, כדי לבדוק ביסודיות את דרישות התושבות של הבדואים. </w:t>
      </w:r>
      <w:r w:rsidRPr="00AA5065">
        <w:rPr>
          <w:rFonts w:eastAsia="Calibri" w:hint="cs"/>
          <w:b/>
          <w:bCs/>
          <w:rtl/>
          <w:lang w:eastAsia="he-IL"/>
        </w:rPr>
        <w:t>נוכח הצורך בכלי בדיקה ובביצוע חקירות לבדיקת אמינות הנתונים והמסמכים המוגשים לרשות האוכלוסין וההשלכות הרבות וכבדות המשקל, כולל הכלכליות, הנגזרות מקביעת התושבות, ונוכח הפער שעלה בדבר היעדר היכולת של רשות האוכלוסין להיעזר בתוצרי החקירה של בט"ל, על רשות האוכלוסין לייסד יכולות חקירה, בין שבסיוע גורמים אחרים ובין שבאמצעות גורם ייעודי שיקבל את הכלים והסמכויות הדרושים לצורך מילוי תפקידו.</w:t>
      </w:r>
    </w:p>
    <w:p w:rsidR="00AA5065" w:rsidRPr="00AA5065" w:rsidP="00860D89">
      <w:pPr>
        <w:spacing w:line="269" w:lineRule="auto"/>
        <w:ind w:left="-567"/>
        <w:rPr>
          <w:rFonts w:eastAsia="Calibri"/>
          <w:szCs w:val="20"/>
          <w:rtl/>
        </w:rPr>
      </w:pPr>
    </w:p>
    <w:p w:rsidR="00AA5065" w:rsidRPr="00AA5065" w:rsidP="00860D89">
      <w:pPr>
        <w:spacing w:line="269" w:lineRule="auto"/>
        <w:rPr>
          <w:rFonts w:ascii="Arial" w:eastAsia="Calibri" w:hAnsi="Arial" w:cs="Arial"/>
          <w:color w:val="002060"/>
          <w:rtl/>
        </w:rPr>
      </w:pPr>
      <w:r w:rsidRPr="00AA5065">
        <w:rPr>
          <w:rFonts w:eastAsia="Calibri" w:hint="cs"/>
          <w:rtl/>
          <w:lang w:eastAsia="he-IL"/>
        </w:rPr>
        <w:t xml:space="preserve">רשות האוכלוסין מסרה בתשובתה כי </w:t>
      </w:r>
      <w:r w:rsidRPr="00AA5065">
        <w:rPr>
          <w:rFonts w:eastAsia="Calibri"/>
          <w:rtl/>
          <w:lang w:eastAsia="he-IL"/>
        </w:rPr>
        <w:t xml:space="preserve">לאחרונה מונה יועץ לשר הפנים </w:t>
      </w:r>
      <w:r w:rsidRPr="00AA5065">
        <w:rPr>
          <w:rFonts w:eastAsia="Calibri" w:hint="cs"/>
          <w:rtl/>
          <w:lang w:eastAsia="he-IL"/>
        </w:rPr>
        <w:t xml:space="preserve">האחראי </w:t>
      </w:r>
      <w:r w:rsidRPr="00AA5065">
        <w:rPr>
          <w:rFonts w:eastAsia="Calibri"/>
          <w:rtl/>
          <w:lang w:eastAsia="he-IL"/>
        </w:rPr>
        <w:t xml:space="preserve">לבחינת תהליכי איחוד משפחות ברשות האוכלוסין וההגירה. </w:t>
      </w:r>
      <w:r w:rsidRPr="00AA5065">
        <w:rPr>
          <w:rFonts w:eastAsia="Calibri" w:hint="cs"/>
          <w:rtl/>
          <w:lang w:eastAsia="he-IL"/>
        </w:rPr>
        <w:t>כמו כן היא מסרה</w:t>
      </w:r>
      <w:r w:rsidRPr="00AA5065">
        <w:rPr>
          <w:rFonts w:eastAsia="Calibri"/>
          <w:rtl/>
          <w:lang w:eastAsia="he-IL"/>
        </w:rPr>
        <w:t xml:space="preserve"> כי </w:t>
      </w:r>
      <w:r w:rsidRPr="00AA5065">
        <w:rPr>
          <w:rFonts w:eastAsia="Calibri" w:hint="cs"/>
          <w:rtl/>
          <w:lang w:eastAsia="he-IL"/>
        </w:rPr>
        <w:t>נעשית</w:t>
      </w:r>
      <w:r w:rsidRPr="00AA5065">
        <w:rPr>
          <w:rFonts w:eastAsia="Calibri"/>
          <w:rtl/>
          <w:lang w:eastAsia="he-IL"/>
        </w:rPr>
        <w:t xml:space="preserve"> עבודה פנימית כחלק מתהליך של הקמת יח</w:t>
      </w:r>
      <w:r w:rsidRPr="00AA5065">
        <w:rPr>
          <w:rFonts w:eastAsia="Calibri" w:hint="cs"/>
          <w:rtl/>
          <w:lang w:eastAsia="he-IL"/>
        </w:rPr>
        <w:t>י</w:t>
      </w:r>
      <w:r w:rsidRPr="00AA5065">
        <w:rPr>
          <w:rFonts w:eastAsia="Calibri"/>
          <w:rtl/>
          <w:lang w:eastAsia="he-IL"/>
        </w:rPr>
        <w:t>דה לבחינת כנות קשר</w:t>
      </w:r>
      <w:r w:rsidRPr="00AA5065">
        <w:rPr>
          <w:rFonts w:eastAsia="Calibri" w:hint="cs"/>
          <w:rtl/>
          <w:lang w:eastAsia="he-IL"/>
        </w:rPr>
        <w:t>,</w:t>
      </w:r>
      <w:r w:rsidRPr="00AA5065">
        <w:rPr>
          <w:rFonts w:eastAsia="Calibri"/>
          <w:rtl/>
          <w:lang w:eastAsia="he-IL"/>
        </w:rPr>
        <w:t xml:space="preserve"> אולם אין מדובר בבחינה של מרכז חיים</w:t>
      </w:r>
      <w:r w:rsidRPr="00AA5065">
        <w:rPr>
          <w:rFonts w:eastAsia="Calibri" w:hint="cs"/>
          <w:rtl/>
          <w:lang w:eastAsia="he-IL"/>
        </w:rPr>
        <w:t xml:space="preserve"> </w:t>
      </w:r>
      <w:r w:rsidRPr="00AA5065">
        <w:rPr>
          <w:rFonts w:eastAsia="Calibri"/>
          <w:rtl/>
          <w:lang w:eastAsia="he-IL"/>
        </w:rPr>
        <w:t xml:space="preserve">(תושבות) ששם </w:t>
      </w:r>
      <w:r w:rsidRPr="00AA5065">
        <w:rPr>
          <w:rFonts w:eastAsia="Calibri" w:hint="cs"/>
          <w:rtl/>
          <w:lang w:eastAsia="he-IL"/>
        </w:rPr>
        <w:t xml:space="preserve">קיימת </w:t>
      </w:r>
      <w:r w:rsidRPr="00AA5065">
        <w:rPr>
          <w:rFonts w:eastAsia="Calibri"/>
          <w:rtl/>
          <w:lang w:eastAsia="he-IL"/>
        </w:rPr>
        <w:t>הבעיה העיקרית של זיוף מסמכים והקושי בבחינתם.</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lang w:eastAsia="he-IL"/>
        </w:rPr>
      </w:pPr>
      <w:r w:rsidRPr="00AA5065">
        <w:rPr>
          <w:rFonts w:eastAsia="Calibri" w:hint="eastAsia"/>
          <w:rtl/>
          <w:lang w:eastAsia="he-IL"/>
        </w:rPr>
        <w:t>בט</w:t>
      </w:r>
      <w:r w:rsidRPr="00AA5065">
        <w:rPr>
          <w:rFonts w:eastAsia="Calibri"/>
          <w:rtl/>
          <w:lang w:eastAsia="he-IL"/>
        </w:rPr>
        <w:t xml:space="preserve">"ל מסר בתשובתו כי </w:t>
      </w:r>
      <w:r w:rsidRPr="00AA5065">
        <w:rPr>
          <w:rFonts w:eastAsia="Calibri" w:hint="cs"/>
          <w:rtl/>
          <w:lang w:eastAsia="he-IL"/>
        </w:rPr>
        <w:t>"</w:t>
      </w:r>
      <w:r w:rsidRPr="00AA5065">
        <w:rPr>
          <w:rFonts w:eastAsia="Calibri"/>
          <w:rtl/>
          <w:lang w:eastAsia="he-IL"/>
        </w:rPr>
        <w:t>אגף החקירות בביטוח הלאומי מקיים שיתוף פעולה שוטף ורציף עם רשות האוכלוסין, במסגרתו מועברים</w:t>
      </w:r>
      <w:r w:rsidRPr="00AA5065">
        <w:rPr>
          <w:rFonts w:eastAsia="Calibri" w:hint="cs"/>
          <w:rtl/>
          <w:lang w:eastAsia="he-IL"/>
        </w:rPr>
        <w:t xml:space="preserve"> </w:t>
      </w:r>
      <w:r w:rsidRPr="00AA5065">
        <w:rPr>
          <w:rFonts w:eastAsia="Calibri"/>
          <w:rtl/>
          <w:lang w:eastAsia="he-IL"/>
        </w:rPr>
        <w:t>אליהם תוצרי חקירות באופן סדור על בסיס שבועי, וזאת כמובן בהתאם לנהלים. ההעברה מתבצעת הן</w:t>
      </w:r>
      <w:r w:rsidRPr="00AA5065">
        <w:rPr>
          <w:rFonts w:eastAsia="Calibri" w:hint="cs"/>
          <w:rtl/>
          <w:lang w:eastAsia="he-IL"/>
        </w:rPr>
        <w:t xml:space="preserve"> </w:t>
      </w:r>
      <w:r w:rsidRPr="00AA5065">
        <w:rPr>
          <w:rFonts w:eastAsia="Calibri"/>
          <w:rtl/>
          <w:lang w:eastAsia="he-IL"/>
        </w:rPr>
        <w:t>ביוזמת אגף החקירות והן בהתאם לפניות המתקבלות מרשות האוכלוסין, על מנת לסייע להם בתהליכי</w:t>
      </w:r>
      <w:r w:rsidRPr="00AA5065">
        <w:rPr>
          <w:rFonts w:eastAsia="Calibri" w:hint="cs"/>
          <w:rtl/>
          <w:lang w:eastAsia="he-IL"/>
        </w:rPr>
        <w:t xml:space="preserve"> </w:t>
      </w:r>
      <w:r w:rsidRPr="00AA5065">
        <w:rPr>
          <w:rFonts w:eastAsia="Calibri"/>
          <w:rtl/>
          <w:lang w:eastAsia="he-IL"/>
        </w:rPr>
        <w:t>האכיפה והבקרה שבתחום אחריותם.</w:t>
      </w:r>
      <w:r w:rsidRPr="00AA5065">
        <w:rPr>
          <w:rFonts w:eastAsia="Calibri" w:hint="cs"/>
          <w:rtl/>
          <w:lang w:eastAsia="he-IL"/>
        </w:rPr>
        <w:t xml:space="preserve"> </w:t>
      </w:r>
      <w:r w:rsidRPr="00AA5065">
        <w:rPr>
          <w:rFonts w:eastAsia="Calibri"/>
          <w:rtl/>
          <w:lang w:eastAsia="he-IL"/>
        </w:rPr>
        <w:t>זאת ועוד, לאורך השנים גובשו מנגנוני עבודה מוסדרים בין שני הגופים, לרבות אנשי קשר ייעודיים,</w:t>
      </w:r>
      <w:r w:rsidRPr="00AA5065">
        <w:rPr>
          <w:rFonts w:eastAsia="Calibri" w:hint="cs"/>
          <w:rtl/>
          <w:lang w:eastAsia="he-IL"/>
        </w:rPr>
        <w:t xml:space="preserve"> </w:t>
      </w:r>
      <w:r w:rsidRPr="00AA5065">
        <w:rPr>
          <w:rFonts w:eastAsia="Calibri"/>
          <w:rtl/>
          <w:lang w:eastAsia="he-IL"/>
        </w:rPr>
        <w:t>שמבטיחים זרימת מידע יעילה ומהירה</w:t>
      </w:r>
      <w:r w:rsidRPr="00AA5065">
        <w:rPr>
          <w:rFonts w:eastAsia="Calibri" w:hint="cs"/>
          <w:rtl/>
          <w:lang w:eastAsia="he-IL"/>
        </w:rPr>
        <w:t>"</w:t>
      </w:r>
      <w:r w:rsidRPr="00AA5065">
        <w:rPr>
          <w:rFonts w:eastAsia="Calibri"/>
          <w:rtl/>
          <w:lang w:eastAsia="he-IL"/>
        </w:rPr>
        <w:t>.</w:t>
      </w:r>
    </w:p>
    <w:p w:rsidR="00AA5065" w:rsidRPr="00AA5065" w:rsidP="00860D89">
      <w:pPr>
        <w:spacing w:line="269" w:lineRule="auto"/>
        <w:rPr>
          <w:rFonts w:eastAsia="Calibri"/>
          <w:rtl/>
        </w:rPr>
      </w:pPr>
    </w:p>
    <w:p w:rsidR="00AA5065" w:rsidRPr="00AA5065" w:rsidP="0054781A">
      <w:pPr>
        <w:keepNext/>
        <w:keepLines/>
        <w:spacing w:before="120" w:line="269" w:lineRule="auto"/>
        <w:outlineLvl w:val="2"/>
        <w:rPr>
          <w:rFonts w:eastAsia="Times New Roman"/>
          <w:bCs/>
          <w:szCs w:val="28"/>
          <w:u w:val="single"/>
          <w:rtl/>
        </w:rPr>
      </w:pPr>
      <w:bookmarkStart w:id="163" w:name="_Hlk204860383"/>
      <w:r w:rsidRPr="00AA5065">
        <w:rPr>
          <w:rFonts w:eastAsia="Times New Roman" w:hint="cs"/>
          <w:bCs/>
          <w:szCs w:val="28"/>
          <w:u w:val="single"/>
          <w:rtl/>
          <w:lang w:eastAsia="he-IL"/>
        </w:rPr>
        <w:t>הבקרה במעברים</w:t>
      </w:r>
      <w:r w:rsidRPr="00AA5065">
        <w:rPr>
          <w:rFonts w:eastAsia="Times New Roman" w:hint="cs"/>
          <w:bCs/>
          <w:szCs w:val="28"/>
          <w:u w:val="single"/>
          <w:rtl/>
        </w:rPr>
        <w:t xml:space="preserve"> </w:t>
      </w:r>
      <w:r w:rsidRPr="00AA5065">
        <w:rPr>
          <w:rFonts w:eastAsia="Times New Roman"/>
          <w:bCs/>
          <w:szCs w:val="28"/>
          <w:u w:val="single"/>
          <w:rtl/>
        </w:rPr>
        <w:t>היבשתיים לאזור יהודה ושומרון ‏</w:t>
      </w:r>
    </w:p>
    <w:bookmarkEnd w:id="163"/>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רשות המעברים היבשתיים (רמי"ם)</w:t>
      </w:r>
      <w:r w:rsidRPr="00AA5065">
        <w:rPr>
          <w:rFonts w:eastAsia="Calibri"/>
          <w:vertAlign w:val="superscript"/>
          <w:rtl/>
        </w:rPr>
        <w:t xml:space="preserve"> </w:t>
      </w:r>
      <w:r>
        <w:rPr>
          <w:rFonts w:eastAsia="Calibri"/>
          <w:vertAlign w:val="superscript"/>
          <w:rtl/>
        </w:rPr>
        <w:footnoteReference w:id="162"/>
      </w:r>
      <w:r w:rsidRPr="00AA5065">
        <w:rPr>
          <w:rFonts w:eastAsia="Calibri" w:hint="cs"/>
          <w:rtl/>
        </w:rPr>
        <w:t xml:space="preserve"> אחראית על הפעלת המעברים היבשתיים בין </w:t>
      </w:r>
      <w:r w:rsidRPr="00AA5065">
        <w:rPr>
          <w:rFonts w:eastAsia="Calibri"/>
          <w:rtl/>
        </w:rPr>
        <w:t xml:space="preserve">שטחי </w:t>
      </w:r>
      <w:r w:rsidRPr="00AA5065">
        <w:rPr>
          <w:rFonts w:eastAsia="Calibri" w:hint="cs"/>
          <w:rtl/>
        </w:rPr>
        <w:t>איו"ש</w:t>
      </w:r>
      <w:r w:rsidRPr="00AA5065">
        <w:rPr>
          <w:rFonts w:eastAsia="Calibri"/>
          <w:rtl/>
        </w:rPr>
        <w:t xml:space="preserve"> לישראל</w:t>
      </w:r>
      <w:r w:rsidRPr="00AA5065">
        <w:rPr>
          <w:rFonts w:eastAsia="Calibri" w:hint="cs"/>
          <w:rtl/>
        </w:rPr>
        <w:t xml:space="preserve"> כדי </w:t>
      </w:r>
      <w:r w:rsidRPr="00AA5065">
        <w:rPr>
          <w:rFonts w:eastAsia="Calibri"/>
          <w:rtl/>
        </w:rPr>
        <w:t>לאפשר תנועה</w:t>
      </w:r>
      <w:r w:rsidRPr="00AA5065">
        <w:rPr>
          <w:rFonts w:eastAsia="Calibri" w:hint="cs"/>
          <w:rtl/>
        </w:rPr>
        <w:t xml:space="preserve"> ו</w:t>
      </w:r>
      <w:r w:rsidRPr="00AA5065">
        <w:rPr>
          <w:rFonts w:eastAsia="Calibri"/>
          <w:rtl/>
        </w:rPr>
        <w:t xml:space="preserve">למנוע מעבר </w:t>
      </w:r>
      <w:r w:rsidRPr="00AA5065">
        <w:rPr>
          <w:rFonts w:eastAsia="Calibri" w:hint="cs"/>
          <w:rtl/>
        </w:rPr>
        <w:t xml:space="preserve">של </w:t>
      </w:r>
      <w:r w:rsidRPr="00AA5065">
        <w:rPr>
          <w:rFonts w:eastAsia="Calibri"/>
          <w:rtl/>
        </w:rPr>
        <w:t xml:space="preserve">אמצעי </w:t>
      </w:r>
      <w:r w:rsidRPr="00AA5065">
        <w:rPr>
          <w:rFonts w:eastAsia="Calibri" w:hint="cs"/>
          <w:rtl/>
        </w:rPr>
        <w:t xml:space="preserve">טרור </w:t>
      </w:r>
      <w:r w:rsidRPr="00AA5065">
        <w:rPr>
          <w:rFonts w:eastAsia="Calibri"/>
          <w:rtl/>
        </w:rPr>
        <w:t xml:space="preserve">וגורמי טרור במעברים </w:t>
      </w:r>
      <w:r w:rsidRPr="00AA5065">
        <w:rPr>
          <w:rFonts w:eastAsia="Calibri" w:hint="cs"/>
          <w:rtl/>
        </w:rPr>
        <w:t xml:space="preserve">אלו. המעבר בין שטחי הרשות הפלסטינית בהר חברון לאזור צפון הנגב מתבצע בעיקר דרך שלושה מעברי גבול יבשתיים: </w:t>
      </w:r>
    </w:p>
    <w:p w:rsidR="00AA5065" w:rsidRPr="00AA5065" w:rsidP="00860D89">
      <w:pPr>
        <w:spacing w:line="269" w:lineRule="auto"/>
        <w:rPr>
          <w:rFonts w:eastAsia="Times New Roman"/>
          <w:bCs/>
          <w:spacing w:val="40"/>
          <w:rtl/>
        </w:rPr>
      </w:pPr>
    </w:p>
    <w:p w:rsidR="00AA5065" w:rsidRPr="00AA5065" w:rsidP="00860D89">
      <w:pPr>
        <w:spacing w:line="269" w:lineRule="auto"/>
        <w:rPr>
          <w:rFonts w:eastAsia="Calibri"/>
          <w:rtl/>
        </w:rPr>
      </w:pPr>
      <w:r w:rsidRPr="00AA5065">
        <w:rPr>
          <w:rFonts w:eastAsia="Times New Roman" w:hint="eastAsia"/>
          <w:bCs/>
          <w:spacing w:val="40"/>
          <w:rtl/>
        </w:rPr>
        <w:t>מעבר</w:t>
      </w:r>
      <w:r w:rsidRPr="00AA5065">
        <w:rPr>
          <w:rFonts w:eastAsia="Times New Roman"/>
          <w:bCs/>
          <w:spacing w:val="40"/>
          <w:rtl/>
        </w:rPr>
        <w:t xml:space="preserve"> </w:t>
      </w:r>
      <w:r w:rsidRPr="00AA5065">
        <w:rPr>
          <w:rFonts w:eastAsia="Times New Roman" w:hint="eastAsia"/>
          <w:bCs/>
          <w:spacing w:val="40"/>
          <w:rtl/>
        </w:rPr>
        <w:t>תרקומיא</w:t>
      </w:r>
      <w:r w:rsidRPr="00AA5065">
        <w:rPr>
          <w:rFonts w:eastAsia="Times New Roman" w:hint="cs"/>
          <w:bCs/>
          <w:spacing w:val="40"/>
          <w:rtl/>
        </w:rPr>
        <w:t>:</w:t>
      </w:r>
      <w:r w:rsidRPr="00AA5065">
        <w:rPr>
          <w:rFonts w:eastAsia="Calibri" w:hint="cs"/>
          <w:rtl/>
        </w:rPr>
        <w:t xml:space="preserve"> נמצא על כביש 35 מזרחית לתרקומיא, ועוברים בו כלי רכב, סחורות ופלסטינים בעלי היתר;</w:t>
      </w:r>
    </w:p>
    <w:p w:rsidR="00AA5065" w:rsidRPr="00AA5065" w:rsidP="00860D89">
      <w:pPr>
        <w:spacing w:line="269" w:lineRule="auto"/>
        <w:rPr>
          <w:rFonts w:eastAsia="Calibri"/>
          <w:rtl/>
        </w:rPr>
      </w:pPr>
    </w:p>
    <w:p w:rsidR="00AA5065" w:rsidRPr="00AA5065" w:rsidP="00860D89">
      <w:pPr>
        <w:spacing w:line="269" w:lineRule="auto"/>
        <w:rPr>
          <w:rFonts w:eastAsia="Calibri"/>
          <w:rtl/>
        </w:rPr>
      </w:pPr>
      <w:r w:rsidRPr="00AA5065">
        <w:rPr>
          <w:rFonts w:eastAsia="Times New Roman" w:hint="eastAsia"/>
          <w:bCs/>
          <w:spacing w:val="40"/>
          <w:rtl/>
        </w:rPr>
        <w:t>מעבר</w:t>
      </w:r>
      <w:r w:rsidRPr="00AA5065">
        <w:rPr>
          <w:rFonts w:eastAsia="Times New Roman"/>
          <w:bCs/>
          <w:spacing w:val="40"/>
          <w:rtl/>
        </w:rPr>
        <w:t xml:space="preserve"> </w:t>
      </w:r>
      <w:r w:rsidRPr="00AA5065">
        <w:rPr>
          <w:rFonts w:eastAsia="Times New Roman" w:hint="eastAsia"/>
          <w:bCs/>
          <w:spacing w:val="40"/>
          <w:rtl/>
        </w:rPr>
        <w:t>מיתר</w:t>
      </w:r>
      <w:r w:rsidRPr="00AA5065">
        <w:rPr>
          <w:rFonts w:eastAsia="Times New Roman"/>
          <w:bCs/>
          <w:spacing w:val="40"/>
          <w:rtl/>
        </w:rPr>
        <w:t>:</w:t>
      </w:r>
      <w:r w:rsidRPr="00AA5065">
        <w:rPr>
          <w:rFonts w:eastAsia="Calibri" w:hint="cs"/>
          <w:rtl/>
        </w:rPr>
        <w:t xml:space="preserve"> נמצא בדרום הר חברון, סמוך ליישוב מיתר, ועוברים בו כלי רכב, סחורות ופלסטינים בעלי היתר;</w:t>
      </w:r>
    </w:p>
    <w:p w:rsidR="00AA5065" w:rsidRPr="00AA5065" w:rsidP="00860D89">
      <w:pPr>
        <w:spacing w:line="269" w:lineRule="auto"/>
        <w:rPr>
          <w:rFonts w:eastAsia="Times New Roman"/>
          <w:bCs/>
          <w:spacing w:val="40"/>
          <w:rtl/>
        </w:rPr>
      </w:pPr>
    </w:p>
    <w:p w:rsidR="00AA5065" w:rsidRPr="00AA5065" w:rsidP="00860D89">
      <w:pPr>
        <w:spacing w:line="269" w:lineRule="auto"/>
        <w:rPr>
          <w:rFonts w:eastAsia="Calibri"/>
          <w:rtl/>
        </w:rPr>
      </w:pPr>
      <w:r w:rsidRPr="00AA5065">
        <w:rPr>
          <w:rFonts w:eastAsia="Times New Roman" w:hint="eastAsia"/>
          <w:bCs/>
          <w:spacing w:val="40"/>
          <w:rtl/>
        </w:rPr>
        <w:t>מעבר</w:t>
      </w:r>
      <w:r w:rsidRPr="00AA5065">
        <w:rPr>
          <w:rFonts w:eastAsia="Times New Roman"/>
          <w:bCs/>
          <w:spacing w:val="40"/>
          <w:rtl/>
        </w:rPr>
        <w:t xml:space="preserve"> </w:t>
      </w:r>
      <w:r w:rsidRPr="00AA5065">
        <w:rPr>
          <w:rFonts w:eastAsia="Times New Roman" w:hint="eastAsia"/>
          <w:bCs/>
          <w:spacing w:val="40"/>
          <w:rtl/>
        </w:rPr>
        <w:t>מצודת</w:t>
      </w:r>
      <w:r w:rsidRPr="00AA5065">
        <w:rPr>
          <w:rFonts w:eastAsia="Times New Roman"/>
          <w:bCs/>
          <w:spacing w:val="40"/>
          <w:rtl/>
        </w:rPr>
        <w:t xml:space="preserve"> </w:t>
      </w:r>
      <w:r w:rsidRPr="00AA5065">
        <w:rPr>
          <w:rFonts w:eastAsia="Times New Roman" w:hint="eastAsia"/>
          <w:bCs/>
          <w:spacing w:val="40"/>
          <w:rtl/>
        </w:rPr>
        <w:t>יהודה</w:t>
      </w:r>
      <w:r w:rsidRPr="00AA5065">
        <w:rPr>
          <w:rFonts w:eastAsia="Times New Roman"/>
          <w:bCs/>
          <w:spacing w:val="40"/>
          <w:rtl/>
        </w:rPr>
        <w:t>:</w:t>
      </w:r>
      <w:r w:rsidRPr="00AA5065">
        <w:rPr>
          <w:rFonts w:eastAsia="Calibri" w:hint="cs"/>
          <w:rtl/>
        </w:rPr>
        <w:t xml:space="preserve"> נמצא בדרום הר חברון, סמוך ליישוב בית יתיר, ועוברים בו כלי רכב שבבעלותם של בעלי תעודת זהות כחולה.</w:t>
      </w:r>
    </w:p>
    <w:p w:rsidR="00AA5065" w:rsidRPr="00AA5065" w:rsidP="00860D89">
      <w:pPr>
        <w:spacing w:line="269" w:lineRule="auto"/>
        <w:rPr>
          <w:rFonts w:eastAsia="Calibri"/>
          <w:rtl/>
        </w:rPr>
      </w:pPr>
    </w:p>
    <w:p w:rsidR="00AA5065" w:rsidRPr="00AA5065" w:rsidP="00860D89">
      <w:pPr>
        <w:keepNext/>
        <w:keepLines/>
        <w:spacing w:line="269" w:lineRule="auto"/>
        <w:outlineLvl w:val="3"/>
        <w:rPr>
          <w:rFonts w:eastAsia="Times New Roman"/>
          <w:bCs/>
          <w:szCs w:val="26"/>
          <w:rtl/>
        </w:rPr>
      </w:pPr>
      <w:r w:rsidRPr="00AA5065">
        <w:rPr>
          <w:rFonts w:eastAsia="Times New Roman" w:hint="cs"/>
          <w:bCs/>
          <w:szCs w:val="26"/>
          <w:rtl/>
        </w:rPr>
        <w:t>הביקורת 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w:t>
      </w:r>
      <w:r w:rsidRPr="00AA5065">
        <w:rPr>
          <w:rFonts w:eastAsia="Calibri"/>
          <w:rtl/>
        </w:rPr>
        <w:t>ביקורת הקוד</w:t>
      </w:r>
      <w:r w:rsidRPr="00AA5065">
        <w:rPr>
          <w:rFonts w:eastAsia="Calibri" w:hint="cs"/>
          <w:rtl/>
        </w:rPr>
        <w:t>מת</w:t>
      </w:r>
      <w:r w:rsidRPr="00AA5065">
        <w:rPr>
          <w:rFonts w:eastAsia="Calibri"/>
          <w:rtl/>
        </w:rPr>
        <w:t xml:space="preserve"> עלה כי </w:t>
      </w:r>
      <w:r w:rsidRPr="00AA5065">
        <w:rPr>
          <w:rFonts w:eastAsia="Calibri" w:hint="eastAsia"/>
          <w:rtl/>
        </w:rPr>
        <w:t>במעברים</w:t>
      </w:r>
      <w:r w:rsidRPr="00AA5065">
        <w:rPr>
          <w:rFonts w:eastAsia="Calibri"/>
          <w:rtl/>
        </w:rPr>
        <w:t xml:space="preserve"> </w:t>
      </w:r>
      <w:r w:rsidRPr="00AA5065">
        <w:rPr>
          <w:rFonts w:eastAsia="Calibri" w:hint="eastAsia"/>
          <w:rtl/>
        </w:rPr>
        <w:t>אלו</w:t>
      </w:r>
      <w:r w:rsidRPr="00AA5065">
        <w:rPr>
          <w:rFonts w:eastAsia="Calibri"/>
          <w:rtl/>
        </w:rPr>
        <w:t xml:space="preserve"> </w:t>
      </w:r>
      <w:r w:rsidRPr="00AA5065">
        <w:rPr>
          <w:rFonts w:eastAsia="Calibri" w:hint="eastAsia"/>
          <w:rtl/>
        </w:rPr>
        <w:t>לא</w:t>
      </w:r>
      <w:r w:rsidRPr="00AA5065">
        <w:rPr>
          <w:rFonts w:eastAsia="Calibri"/>
          <w:rtl/>
        </w:rPr>
        <w:t xml:space="preserve"> </w:t>
      </w:r>
      <w:r w:rsidRPr="00AA5065">
        <w:rPr>
          <w:rFonts w:eastAsia="Calibri" w:hint="eastAsia"/>
          <w:rtl/>
        </w:rPr>
        <w:t>מתבצע</w:t>
      </w:r>
      <w:r w:rsidRPr="00AA5065">
        <w:rPr>
          <w:rFonts w:eastAsia="Calibri" w:hint="cs"/>
          <w:rtl/>
        </w:rPr>
        <w:t>ים</w:t>
      </w:r>
      <w:r w:rsidRPr="00AA5065">
        <w:rPr>
          <w:rFonts w:eastAsia="Calibri"/>
          <w:rtl/>
        </w:rPr>
        <w:t xml:space="preserve"> </w:t>
      </w:r>
      <w:r w:rsidRPr="00AA5065">
        <w:rPr>
          <w:rFonts w:eastAsia="Calibri" w:hint="eastAsia"/>
          <w:rtl/>
        </w:rPr>
        <w:t>כלל</w:t>
      </w:r>
      <w:r w:rsidRPr="00AA5065">
        <w:rPr>
          <w:rFonts w:eastAsia="Calibri"/>
          <w:rtl/>
        </w:rPr>
        <w:t xml:space="preserve"> </w:t>
      </w:r>
      <w:r w:rsidRPr="00AA5065">
        <w:rPr>
          <w:rFonts w:eastAsia="Calibri" w:hint="eastAsia"/>
          <w:rtl/>
        </w:rPr>
        <w:t>מעקב</w:t>
      </w:r>
      <w:r w:rsidRPr="00AA5065">
        <w:rPr>
          <w:rFonts w:eastAsia="Calibri"/>
          <w:rtl/>
        </w:rPr>
        <w:t xml:space="preserve"> </w:t>
      </w:r>
      <w:r w:rsidRPr="00AA5065">
        <w:rPr>
          <w:rFonts w:eastAsia="Calibri" w:hint="eastAsia"/>
          <w:rtl/>
        </w:rPr>
        <w:t>אחר</w:t>
      </w:r>
      <w:r w:rsidRPr="00AA5065">
        <w:rPr>
          <w:rFonts w:eastAsia="Calibri"/>
          <w:rtl/>
        </w:rPr>
        <w:t xml:space="preserve"> </w:t>
      </w:r>
      <w:r w:rsidRPr="00AA5065">
        <w:rPr>
          <w:rFonts w:eastAsia="Calibri" w:hint="eastAsia"/>
          <w:rtl/>
        </w:rPr>
        <w:t>יציאות</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תושבים</w:t>
      </w:r>
      <w:r w:rsidRPr="00AA5065">
        <w:rPr>
          <w:rFonts w:eastAsia="Calibri"/>
          <w:rtl/>
        </w:rPr>
        <w:t xml:space="preserve"> </w:t>
      </w:r>
      <w:r w:rsidRPr="00AA5065">
        <w:rPr>
          <w:rFonts w:eastAsia="Calibri" w:hint="eastAsia"/>
          <w:rtl/>
        </w:rPr>
        <w:t>מישראל</w:t>
      </w:r>
      <w:r w:rsidRPr="00AA5065">
        <w:rPr>
          <w:rFonts w:eastAsia="Calibri"/>
          <w:rtl/>
        </w:rPr>
        <w:t xml:space="preserve"> </w:t>
      </w:r>
      <w:r w:rsidRPr="00AA5065">
        <w:rPr>
          <w:rFonts w:eastAsia="Calibri" w:hint="eastAsia"/>
          <w:rtl/>
        </w:rPr>
        <w:t>לא</w:t>
      </w:r>
      <w:r w:rsidRPr="00AA5065">
        <w:rPr>
          <w:rFonts w:eastAsia="Calibri" w:hint="cs"/>
          <w:rtl/>
        </w:rPr>
        <w:t>יו"ש</w:t>
      </w:r>
      <w:r w:rsidRPr="00AA5065">
        <w:rPr>
          <w:rFonts w:eastAsia="Calibri"/>
          <w:rtl/>
        </w:rPr>
        <w:t xml:space="preserve"> </w:t>
      </w:r>
      <w:r w:rsidRPr="00AA5065">
        <w:rPr>
          <w:rFonts w:eastAsia="Calibri" w:hint="cs"/>
          <w:rtl/>
        </w:rPr>
        <w:t xml:space="preserve">ורישום שלהן, </w:t>
      </w:r>
      <w:r w:rsidRPr="00AA5065">
        <w:rPr>
          <w:rFonts w:eastAsia="Calibri" w:hint="eastAsia"/>
          <w:rtl/>
        </w:rPr>
        <w:t>וכי</w:t>
      </w:r>
      <w:r w:rsidRPr="00AA5065">
        <w:rPr>
          <w:rFonts w:eastAsia="Calibri"/>
          <w:rtl/>
        </w:rPr>
        <w:t xml:space="preserve"> </w:t>
      </w:r>
      <w:r w:rsidRPr="00AA5065">
        <w:rPr>
          <w:rFonts w:eastAsia="Calibri" w:hint="cs"/>
          <w:rtl/>
        </w:rPr>
        <w:t>ה</w:t>
      </w:r>
      <w:r w:rsidRPr="00AA5065">
        <w:rPr>
          <w:rFonts w:eastAsia="Calibri" w:hint="eastAsia"/>
          <w:rtl/>
        </w:rPr>
        <w:t>כניסות</w:t>
      </w:r>
      <w:r w:rsidRPr="00AA5065">
        <w:rPr>
          <w:rFonts w:eastAsia="Calibri"/>
          <w:rtl/>
        </w:rPr>
        <w:t xml:space="preserve"> </w:t>
      </w:r>
      <w:r w:rsidRPr="00AA5065">
        <w:rPr>
          <w:rFonts w:eastAsia="Calibri" w:hint="eastAsia"/>
          <w:rtl/>
        </w:rPr>
        <w:t>לישראל</w:t>
      </w:r>
      <w:r w:rsidRPr="00AA5065">
        <w:rPr>
          <w:rFonts w:eastAsia="Calibri"/>
          <w:rtl/>
        </w:rPr>
        <w:t xml:space="preserve"> </w:t>
      </w:r>
      <w:r w:rsidRPr="00AA5065">
        <w:rPr>
          <w:rFonts w:eastAsia="Calibri" w:hint="eastAsia"/>
          <w:rtl/>
        </w:rPr>
        <w:t>נרשמות</w:t>
      </w:r>
      <w:r w:rsidRPr="00AA5065">
        <w:rPr>
          <w:rFonts w:eastAsia="Calibri"/>
          <w:rtl/>
        </w:rPr>
        <w:t xml:space="preserve"> </w:t>
      </w:r>
      <w:r w:rsidRPr="00AA5065">
        <w:rPr>
          <w:rFonts w:eastAsia="Calibri" w:hint="eastAsia"/>
          <w:rtl/>
        </w:rPr>
        <w:t>רק</w:t>
      </w:r>
      <w:r w:rsidRPr="00AA5065">
        <w:rPr>
          <w:rFonts w:eastAsia="Calibri"/>
          <w:rtl/>
        </w:rPr>
        <w:t xml:space="preserve"> </w:t>
      </w:r>
      <w:r w:rsidRPr="00AA5065">
        <w:rPr>
          <w:rFonts w:eastAsia="Calibri" w:hint="eastAsia"/>
          <w:rtl/>
        </w:rPr>
        <w:t>באופן</w:t>
      </w:r>
      <w:r w:rsidRPr="00AA5065">
        <w:rPr>
          <w:rFonts w:eastAsia="Calibri"/>
          <w:rtl/>
        </w:rPr>
        <w:t xml:space="preserve"> </w:t>
      </w:r>
      <w:r w:rsidRPr="00AA5065">
        <w:rPr>
          <w:rFonts w:eastAsia="Calibri" w:hint="eastAsia"/>
          <w:rtl/>
        </w:rPr>
        <w:t>חלקי</w:t>
      </w:r>
      <w:r w:rsidRPr="00AA5065">
        <w:rPr>
          <w:rFonts w:eastAsia="Calibri" w:hint="cs"/>
          <w:rtl/>
        </w:rPr>
        <w:t>,</w:t>
      </w:r>
      <w:r w:rsidRPr="00AA5065">
        <w:rPr>
          <w:rFonts w:eastAsia="Calibri"/>
          <w:rtl/>
        </w:rPr>
        <w:t xml:space="preserve"> </w:t>
      </w:r>
      <w:r w:rsidRPr="00AA5065">
        <w:rPr>
          <w:rFonts w:eastAsia="Calibri" w:hint="cs"/>
          <w:rtl/>
        </w:rPr>
        <w:t>כך ש</w:t>
      </w:r>
      <w:r w:rsidRPr="00AA5065">
        <w:rPr>
          <w:rFonts w:eastAsia="Calibri" w:hint="eastAsia"/>
          <w:rtl/>
        </w:rPr>
        <w:t>קיים</w:t>
      </w:r>
      <w:r w:rsidRPr="00AA5065">
        <w:rPr>
          <w:rFonts w:eastAsia="Calibri"/>
          <w:rtl/>
        </w:rPr>
        <w:t xml:space="preserve"> </w:t>
      </w:r>
      <w:r w:rsidRPr="00AA5065">
        <w:rPr>
          <w:rFonts w:eastAsia="Calibri" w:hint="eastAsia"/>
          <w:rtl/>
        </w:rPr>
        <w:t>קושי</w:t>
      </w:r>
      <w:r w:rsidRPr="00AA5065">
        <w:rPr>
          <w:rFonts w:eastAsia="Calibri"/>
          <w:rtl/>
        </w:rPr>
        <w:t xml:space="preserve"> </w:t>
      </w:r>
      <w:r w:rsidRPr="00AA5065">
        <w:rPr>
          <w:rFonts w:eastAsia="Calibri" w:hint="eastAsia"/>
          <w:rtl/>
        </w:rPr>
        <w:t>לבדוק</w:t>
      </w:r>
      <w:r w:rsidRPr="00AA5065">
        <w:rPr>
          <w:rFonts w:eastAsia="Calibri"/>
          <w:rtl/>
        </w:rPr>
        <w:t xml:space="preserve"> </w:t>
      </w:r>
      <w:r w:rsidRPr="00AA5065">
        <w:rPr>
          <w:rFonts w:eastAsia="Calibri" w:hint="eastAsia"/>
          <w:rtl/>
        </w:rPr>
        <w:t>תושבות</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אנשים</w:t>
      </w:r>
      <w:r w:rsidRPr="00AA5065">
        <w:rPr>
          <w:rFonts w:eastAsia="Calibri"/>
          <w:rtl/>
        </w:rPr>
        <w:t xml:space="preserve"> </w:t>
      </w:r>
      <w:r w:rsidRPr="00AA5065">
        <w:rPr>
          <w:rFonts w:eastAsia="Calibri" w:hint="eastAsia"/>
          <w:rtl/>
        </w:rPr>
        <w:t>המבקשים</w:t>
      </w:r>
      <w:r w:rsidRPr="00AA5065">
        <w:rPr>
          <w:rFonts w:eastAsia="Calibri"/>
          <w:rtl/>
        </w:rPr>
        <w:t xml:space="preserve"> </w:t>
      </w:r>
      <w:r w:rsidRPr="00AA5065">
        <w:rPr>
          <w:rFonts w:eastAsia="Calibri" w:hint="eastAsia"/>
          <w:rtl/>
        </w:rPr>
        <w:t>להירשם</w:t>
      </w:r>
      <w:r w:rsidRPr="00AA5065">
        <w:rPr>
          <w:rFonts w:eastAsia="Calibri"/>
          <w:rtl/>
        </w:rPr>
        <w:t xml:space="preserve"> </w:t>
      </w:r>
      <w:r w:rsidRPr="00AA5065">
        <w:rPr>
          <w:rFonts w:eastAsia="Calibri" w:hint="eastAsia"/>
          <w:rtl/>
        </w:rPr>
        <w:t>כתושבי</w:t>
      </w:r>
      <w:r w:rsidRPr="00AA5065">
        <w:rPr>
          <w:rFonts w:eastAsia="Calibri"/>
          <w:rtl/>
        </w:rPr>
        <w:t xml:space="preserve"> </w:t>
      </w:r>
      <w:r w:rsidRPr="00AA5065">
        <w:rPr>
          <w:rFonts w:eastAsia="Calibri" w:hint="eastAsia"/>
          <w:rtl/>
        </w:rPr>
        <w:t>ישראל</w:t>
      </w:r>
      <w:r w:rsidRPr="00AA5065">
        <w:rPr>
          <w:rFonts w:eastAsia="Calibri"/>
          <w:rtl/>
        </w:rPr>
        <w:t xml:space="preserve"> </w:t>
      </w:r>
      <w:r w:rsidRPr="00AA5065">
        <w:rPr>
          <w:rFonts w:eastAsia="Calibri" w:hint="eastAsia"/>
          <w:rtl/>
        </w:rPr>
        <w:t>ולקבל</w:t>
      </w:r>
      <w:r w:rsidRPr="00AA5065">
        <w:rPr>
          <w:rFonts w:eastAsia="Calibri"/>
          <w:rtl/>
        </w:rPr>
        <w:t xml:space="preserve"> </w:t>
      </w:r>
      <w:r w:rsidRPr="00AA5065">
        <w:rPr>
          <w:rFonts w:eastAsia="Calibri" w:hint="eastAsia"/>
          <w:rtl/>
        </w:rPr>
        <w:t>את</w:t>
      </w:r>
      <w:r w:rsidRPr="00AA5065">
        <w:rPr>
          <w:rFonts w:eastAsia="Calibri"/>
          <w:rtl/>
        </w:rPr>
        <w:t xml:space="preserve"> </w:t>
      </w:r>
      <w:r w:rsidRPr="00AA5065">
        <w:rPr>
          <w:rFonts w:eastAsia="Calibri" w:hint="eastAsia"/>
          <w:rtl/>
        </w:rPr>
        <w:t>ההטבות</w:t>
      </w:r>
      <w:r w:rsidRPr="00AA5065">
        <w:rPr>
          <w:rFonts w:eastAsia="Calibri"/>
          <w:rtl/>
        </w:rPr>
        <w:t xml:space="preserve"> </w:t>
      </w:r>
      <w:r w:rsidRPr="00AA5065">
        <w:rPr>
          <w:rFonts w:eastAsia="Calibri" w:hint="eastAsia"/>
          <w:rtl/>
        </w:rPr>
        <w:t>מכוח</w:t>
      </w:r>
      <w:r w:rsidRPr="00AA5065">
        <w:rPr>
          <w:rFonts w:eastAsia="Calibri"/>
          <w:rtl/>
        </w:rPr>
        <w:t xml:space="preserve"> </w:t>
      </w:r>
      <w:r w:rsidRPr="00AA5065">
        <w:rPr>
          <w:rFonts w:eastAsia="Calibri" w:hint="eastAsia"/>
          <w:rtl/>
        </w:rPr>
        <w:t>רישום</w:t>
      </w:r>
      <w:r w:rsidRPr="00AA5065">
        <w:rPr>
          <w:rFonts w:eastAsia="Calibri"/>
          <w:rtl/>
        </w:rPr>
        <w:t xml:space="preserve"> </w:t>
      </w:r>
      <w:r w:rsidRPr="00AA5065">
        <w:rPr>
          <w:rFonts w:eastAsia="Calibri" w:hint="eastAsia"/>
          <w:rtl/>
        </w:rPr>
        <w:t>זה</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בדוח הקודם הומלץ כי רשות המעברים היבשתיים תשלים פיתוח מערכת מידע מקוונת לרישום כניסות ויציאות של כלל העוברים במעברים, ובפרט בכל הנוגע למעבר תושבים מהאוכלוסייה הבדואית, לשם מעקב ובקרה בנוגע לנתוני המעברים של תושבים אלו לשטחי איו"ש. עוד הומלץ כי בט</w:t>
      </w:r>
      <w:r w:rsidRPr="00AA5065">
        <w:rPr>
          <w:rFonts w:eastAsia="Calibri"/>
          <w:rtl/>
        </w:rPr>
        <w:t>"</w:t>
      </w:r>
      <w:r w:rsidRPr="00AA5065">
        <w:rPr>
          <w:rFonts w:eastAsia="Calibri" w:hint="cs"/>
          <w:rtl/>
        </w:rPr>
        <w:t>ל ורשות האוכלוסין יבצעו בחינה עיתית וסדורה של נתוני המעבר לשם בחינת מעמדם של העוברים בהם בהתאם למקום מגוריהם בפועל.</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Times New Roman" w:hAnsi="David"/>
          <w:sz w:val="24"/>
          <w:rtl/>
          <w:lang w:eastAsia="he-IL"/>
        </w:rPr>
      </w:pPr>
      <w:r w:rsidRPr="00AA5065">
        <w:rPr>
          <w:rFonts w:ascii="David" w:eastAsia="Times New Roman" w:hAnsi="David" w:hint="cs"/>
          <w:sz w:val="24"/>
          <w:rtl/>
          <w:lang w:eastAsia="he-IL"/>
        </w:rPr>
        <w:t>בדיווח רמי"ם במסגרת הערות ראש הממשלה מאוגוסט 2021 לדוח מבקר המדינה נכתב כי</w:t>
      </w:r>
      <w:r w:rsidRPr="00AA5065">
        <w:rPr>
          <w:rFonts w:eastAsia="Calibri"/>
          <w:rtl/>
        </w:rPr>
        <w:t xml:space="preserve"> </w:t>
      </w:r>
      <w:r w:rsidRPr="00AA5065">
        <w:rPr>
          <w:rFonts w:ascii="David" w:eastAsia="Times New Roman" w:hAnsi="David"/>
          <w:sz w:val="24"/>
          <w:rtl/>
          <w:lang w:eastAsia="he-IL"/>
        </w:rPr>
        <w:t>משרד הביטחון סבור כי במסגרת פיתוחה של מערכת חדשה לאבחון מעמדם של העוברים</w:t>
      </w:r>
      <w:r w:rsidRPr="00AA5065">
        <w:rPr>
          <w:rFonts w:ascii="David" w:eastAsia="Times New Roman" w:hAnsi="David" w:hint="cs"/>
          <w:sz w:val="24"/>
          <w:rtl/>
          <w:lang w:eastAsia="he-IL"/>
        </w:rPr>
        <w:t xml:space="preserve"> </w:t>
      </w:r>
      <w:r w:rsidRPr="00AA5065">
        <w:rPr>
          <w:rFonts w:ascii="David" w:eastAsia="Times New Roman" w:hAnsi="David"/>
          <w:sz w:val="24"/>
          <w:rtl/>
          <w:lang w:eastAsia="he-IL"/>
        </w:rPr>
        <w:t xml:space="preserve">במעברי הרכב או </w:t>
      </w:r>
      <w:r w:rsidRPr="00AA5065">
        <w:rPr>
          <w:rFonts w:ascii="David" w:eastAsia="Times New Roman" w:hAnsi="David" w:hint="cs"/>
          <w:sz w:val="24"/>
          <w:rtl/>
          <w:lang w:eastAsia="he-IL"/>
        </w:rPr>
        <w:t>ל</w:t>
      </w:r>
      <w:r w:rsidRPr="00AA5065">
        <w:rPr>
          <w:rFonts w:ascii="David" w:eastAsia="Times New Roman" w:hAnsi="David"/>
          <w:sz w:val="24"/>
          <w:rtl/>
          <w:lang w:eastAsia="he-IL"/>
        </w:rPr>
        <w:t xml:space="preserve">רישום כניסתם </w:t>
      </w:r>
      <w:r w:rsidRPr="00AA5065">
        <w:rPr>
          <w:rFonts w:ascii="David" w:eastAsia="Times New Roman" w:hAnsi="David" w:hint="cs"/>
          <w:sz w:val="24"/>
          <w:rtl/>
          <w:lang w:eastAsia="he-IL"/>
        </w:rPr>
        <w:t>ו</w:t>
      </w:r>
      <w:r w:rsidRPr="00AA5065">
        <w:rPr>
          <w:rFonts w:ascii="David" w:eastAsia="Times New Roman" w:hAnsi="David"/>
          <w:sz w:val="24"/>
          <w:rtl/>
          <w:lang w:eastAsia="he-IL"/>
        </w:rPr>
        <w:t>יציאתם, חייב להינתן פתרון לצרכים המבצעיים</w:t>
      </w:r>
      <w:r w:rsidRPr="00AA5065">
        <w:rPr>
          <w:rFonts w:ascii="David" w:eastAsia="Times New Roman" w:hAnsi="David" w:hint="cs"/>
          <w:sz w:val="24"/>
          <w:rtl/>
          <w:lang w:eastAsia="he-IL"/>
        </w:rPr>
        <w:t xml:space="preserve"> </w:t>
      </w:r>
      <w:r w:rsidRPr="00AA5065">
        <w:rPr>
          <w:rFonts w:ascii="David" w:eastAsia="Times New Roman" w:hAnsi="David"/>
          <w:sz w:val="24"/>
          <w:rtl/>
          <w:lang w:eastAsia="he-IL"/>
        </w:rPr>
        <w:t>והתפעוליים של רמי"ם.</w:t>
      </w:r>
      <w:r w:rsidRPr="00AA5065">
        <w:rPr>
          <w:rFonts w:ascii="David" w:eastAsia="Times New Roman" w:hAnsi="David" w:hint="cs"/>
          <w:sz w:val="24"/>
          <w:rtl/>
          <w:lang w:eastAsia="he-IL"/>
        </w:rPr>
        <w:t xml:space="preserve"> </w:t>
      </w:r>
    </w:p>
    <w:p w:rsidR="00AA5065" w:rsidRPr="00AA5065" w:rsidP="00860D89">
      <w:pPr>
        <w:spacing w:line="269" w:lineRule="auto"/>
        <w:rPr>
          <w:rFonts w:eastAsia="Calibri"/>
          <w:rtl/>
        </w:rPr>
      </w:pPr>
    </w:p>
    <w:p w:rsidR="00AA5065" w:rsidRPr="0054781A" w:rsidP="0054781A">
      <w:pPr>
        <w:keepNext/>
        <w:keepLines/>
        <w:spacing w:line="269" w:lineRule="auto"/>
        <w:outlineLvl w:val="3"/>
        <w:rPr>
          <w:rFonts w:eastAsia="Times New Roman"/>
          <w:bCs/>
          <w:szCs w:val="26"/>
          <w:rtl/>
        </w:rPr>
      </w:pPr>
      <w:r w:rsidRPr="0054781A">
        <w:rPr>
          <w:rFonts w:eastAsia="Times New Roman" w:hint="cs"/>
          <w:bCs/>
          <w:szCs w:val="26"/>
          <w:rtl/>
        </w:rPr>
        <w:t>ביקורת 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בביקורת</w:t>
      </w:r>
      <w:r w:rsidRPr="00AA5065">
        <w:rPr>
          <w:rFonts w:eastAsia="Calibri"/>
          <w:rtl/>
        </w:rPr>
        <w:t xml:space="preserve"> המעקב </w:t>
      </w:r>
      <w:r w:rsidRPr="00AA5065">
        <w:rPr>
          <w:rFonts w:eastAsia="Calibri" w:hint="cs"/>
          <w:rtl/>
        </w:rPr>
        <w:t>נבחן אם</w:t>
      </w:r>
      <w:r w:rsidRPr="00AA5065">
        <w:rPr>
          <w:rFonts w:eastAsia="Calibri"/>
          <w:rtl/>
        </w:rPr>
        <w:t xml:space="preserve"> </w:t>
      </w:r>
      <w:r w:rsidRPr="00AA5065">
        <w:rPr>
          <w:rFonts w:eastAsia="Calibri" w:hint="cs"/>
          <w:rtl/>
        </w:rPr>
        <w:t xml:space="preserve">מתבצע כיום </w:t>
      </w:r>
      <w:r w:rsidRPr="00AA5065">
        <w:rPr>
          <w:rFonts w:eastAsia="Calibri" w:hint="eastAsia"/>
          <w:rtl/>
        </w:rPr>
        <w:t>מעקב</w:t>
      </w:r>
      <w:r w:rsidRPr="00AA5065">
        <w:rPr>
          <w:rFonts w:eastAsia="Calibri"/>
          <w:rtl/>
        </w:rPr>
        <w:t xml:space="preserve"> </w:t>
      </w:r>
      <w:r w:rsidRPr="00AA5065">
        <w:rPr>
          <w:rFonts w:eastAsia="Calibri" w:hint="eastAsia"/>
          <w:rtl/>
        </w:rPr>
        <w:t>ורישום</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העוברים</w:t>
      </w:r>
      <w:r w:rsidRPr="00AA5065">
        <w:rPr>
          <w:rFonts w:eastAsia="Calibri"/>
          <w:rtl/>
        </w:rPr>
        <w:t xml:space="preserve"> </w:t>
      </w:r>
      <w:r w:rsidRPr="00AA5065">
        <w:rPr>
          <w:rFonts w:eastAsia="Calibri" w:hint="eastAsia"/>
          <w:rtl/>
        </w:rPr>
        <w:t>במעברים</w:t>
      </w:r>
      <w:r w:rsidRPr="00AA5065">
        <w:rPr>
          <w:rFonts w:eastAsia="Calibri"/>
          <w:rtl/>
        </w:rPr>
        <w:t xml:space="preserve"> </w:t>
      </w:r>
      <w:r w:rsidRPr="00AA5065">
        <w:rPr>
          <w:rFonts w:eastAsia="Calibri" w:hint="eastAsia"/>
          <w:rtl/>
        </w:rPr>
        <w:t>אלו</w:t>
      </w:r>
      <w:r w:rsidRPr="00AA5065">
        <w:rPr>
          <w:rFonts w:eastAsia="Calibri" w:hint="cs"/>
          <w:rtl/>
        </w:rPr>
        <w:t>, דבר אשר יסייע בבדיקת</w:t>
      </w:r>
      <w:r w:rsidRPr="00AA5065">
        <w:rPr>
          <w:rFonts w:eastAsia="Calibri"/>
          <w:rtl/>
        </w:rPr>
        <w:t xml:space="preserve"> </w:t>
      </w:r>
      <w:r w:rsidRPr="00AA5065">
        <w:rPr>
          <w:rFonts w:eastAsia="Calibri" w:hint="cs"/>
          <w:rtl/>
        </w:rPr>
        <w:t>ה</w:t>
      </w:r>
      <w:r w:rsidRPr="00AA5065">
        <w:rPr>
          <w:rFonts w:eastAsia="Calibri" w:hint="eastAsia"/>
          <w:rtl/>
        </w:rPr>
        <w:t>תושבות</w:t>
      </w:r>
      <w:r w:rsidRPr="00AA5065">
        <w:rPr>
          <w:rFonts w:eastAsia="Calibri"/>
          <w:rtl/>
        </w:rPr>
        <w:t xml:space="preserve"> </w:t>
      </w:r>
      <w:r w:rsidRPr="00AA5065">
        <w:rPr>
          <w:rFonts w:eastAsia="Calibri" w:hint="eastAsia"/>
          <w:rtl/>
        </w:rPr>
        <w:t>של</w:t>
      </w:r>
      <w:r w:rsidRPr="00AA5065">
        <w:rPr>
          <w:rFonts w:eastAsia="Calibri"/>
          <w:rtl/>
        </w:rPr>
        <w:t xml:space="preserve"> </w:t>
      </w:r>
      <w:r w:rsidRPr="00AA5065">
        <w:rPr>
          <w:rFonts w:eastAsia="Calibri" w:hint="eastAsia"/>
          <w:rtl/>
        </w:rPr>
        <w:t>אנשים</w:t>
      </w:r>
      <w:r w:rsidRPr="00AA5065">
        <w:rPr>
          <w:rFonts w:eastAsia="Calibri"/>
          <w:rtl/>
        </w:rPr>
        <w:t xml:space="preserve"> </w:t>
      </w:r>
      <w:r w:rsidRPr="00AA5065">
        <w:rPr>
          <w:rFonts w:eastAsia="Calibri" w:hint="eastAsia"/>
          <w:rtl/>
        </w:rPr>
        <w:t>המבקשים</w:t>
      </w:r>
      <w:r w:rsidRPr="00AA5065">
        <w:rPr>
          <w:rFonts w:eastAsia="Calibri"/>
          <w:rtl/>
        </w:rPr>
        <w:t xml:space="preserve"> </w:t>
      </w:r>
      <w:r w:rsidRPr="00AA5065">
        <w:rPr>
          <w:rFonts w:eastAsia="Calibri" w:hint="eastAsia"/>
          <w:rtl/>
        </w:rPr>
        <w:t>להירשם</w:t>
      </w:r>
      <w:r w:rsidRPr="00AA5065">
        <w:rPr>
          <w:rFonts w:eastAsia="Calibri"/>
          <w:rtl/>
        </w:rPr>
        <w:t xml:space="preserve"> </w:t>
      </w:r>
      <w:r w:rsidRPr="00AA5065">
        <w:rPr>
          <w:rFonts w:eastAsia="Calibri" w:hint="eastAsia"/>
          <w:rtl/>
        </w:rPr>
        <w:t>כתושבי</w:t>
      </w:r>
      <w:r w:rsidRPr="00AA5065">
        <w:rPr>
          <w:rFonts w:eastAsia="Calibri"/>
          <w:rtl/>
        </w:rPr>
        <w:t xml:space="preserve"> </w:t>
      </w:r>
      <w:r w:rsidRPr="00AA5065">
        <w:rPr>
          <w:rFonts w:eastAsia="Calibri" w:hint="eastAsia"/>
          <w:rtl/>
        </w:rPr>
        <w:t>ישראל</w:t>
      </w:r>
      <w:r w:rsidRPr="00AA5065">
        <w:rPr>
          <w:rFonts w:eastAsia="Calibri"/>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ראש רמי"ם מסר לצוות הביקורת ב-22.1.25 כי בעבר מערכת רעו"ת סייעה בזיהוי חד-ערכי של עוברים במעבר. רשות האוכלוסין הייתה אמונה על פיתוח המערכת ותחזוקתה, ומשתמשי הקצה במערכת הם רשות האוכלוסין, רמי"ם ומג"ב עוטף ירושלים. בשנת 2018 הפסיקה רשות האוכלוסין לממן את תחזוקת המערכת והמערכת נותקה. לדבריו, הפסקת השימוש במערכת מהווה תקלה חמורה שכן אין כיום במעברים כלים שיכולים לסייע בזיהוי חד-ערכי. למעשה, בכך נפגעה יכולת רמי"ם לממש את תפקידה לפקח על מעבר אנשים.</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בשיחות שקיימו נציגי משרד מבקר המדינה עם נציגי רשות האוכלוסין עלה כי </w:t>
      </w:r>
      <w:r w:rsidRPr="00AA5065">
        <w:rPr>
          <w:rFonts w:eastAsia="Calibri"/>
          <w:rtl/>
        </w:rPr>
        <w:t>לגבי המעברים הפנימיים המצב נשאר כפי שה</w:t>
      </w:r>
      <w:r w:rsidRPr="00AA5065">
        <w:rPr>
          <w:rFonts w:eastAsia="Calibri" w:hint="cs"/>
          <w:rtl/>
        </w:rPr>
        <w:t>יה בתקופת הביקורת הקודמת לפני כארבע שנים.</w:t>
      </w:r>
      <w:r w:rsidRPr="00AA5065">
        <w:rPr>
          <w:rFonts w:eastAsia="Calibri"/>
          <w:rtl/>
        </w:rPr>
        <w:t xml:space="preserve"> אין </w:t>
      </w:r>
      <w:r w:rsidRPr="00AA5065">
        <w:rPr>
          <w:rFonts w:eastAsia="Calibri" w:hint="cs"/>
          <w:rtl/>
        </w:rPr>
        <w:t>כיום</w:t>
      </w:r>
      <w:r w:rsidRPr="00AA5065">
        <w:rPr>
          <w:rFonts w:eastAsia="Calibri"/>
          <w:rtl/>
        </w:rPr>
        <w:t xml:space="preserve"> מערכת </w:t>
      </w:r>
      <w:r w:rsidRPr="00AA5065">
        <w:rPr>
          <w:rFonts w:eastAsia="Calibri" w:hint="cs"/>
          <w:rtl/>
        </w:rPr>
        <w:t>המבצעת</w:t>
      </w:r>
      <w:r w:rsidRPr="00AA5065">
        <w:rPr>
          <w:rFonts w:eastAsia="Calibri"/>
          <w:rtl/>
        </w:rPr>
        <w:t xml:space="preserve"> רישום לגבי </w:t>
      </w:r>
      <w:r w:rsidRPr="00AA5065">
        <w:rPr>
          <w:rFonts w:eastAsia="Calibri" w:hint="cs"/>
          <w:rtl/>
        </w:rPr>
        <w:t>ה</w:t>
      </w:r>
      <w:r w:rsidRPr="00AA5065">
        <w:rPr>
          <w:rFonts w:eastAsia="Calibri"/>
          <w:rtl/>
        </w:rPr>
        <w:t>כניסות ו</w:t>
      </w:r>
      <w:r w:rsidRPr="00AA5065">
        <w:rPr>
          <w:rFonts w:eastAsia="Calibri" w:hint="cs"/>
          <w:rtl/>
        </w:rPr>
        <w:t>ה</w:t>
      </w:r>
      <w:r w:rsidRPr="00AA5065">
        <w:rPr>
          <w:rFonts w:eastAsia="Calibri"/>
          <w:rtl/>
        </w:rPr>
        <w:t>יציאות של תושבים ארעיים</w:t>
      </w:r>
      <w:r w:rsidRPr="00AA5065">
        <w:rPr>
          <w:rFonts w:eastAsia="Calibri" w:hint="cs"/>
          <w:rtl/>
        </w:rPr>
        <w:t xml:space="preserve">, תושבי </w:t>
      </w:r>
      <w:r w:rsidRPr="00AA5065">
        <w:rPr>
          <w:rFonts w:eastAsia="Calibri"/>
          <w:rtl/>
        </w:rPr>
        <w:t>קבע</w:t>
      </w:r>
      <w:r w:rsidRPr="00AA5065">
        <w:rPr>
          <w:rFonts w:eastAsia="Calibri" w:hint="cs"/>
          <w:rtl/>
        </w:rPr>
        <w:t xml:space="preserve"> ו</w:t>
      </w:r>
      <w:r w:rsidRPr="00AA5065">
        <w:rPr>
          <w:rFonts w:eastAsia="Calibri"/>
          <w:rtl/>
        </w:rPr>
        <w:t xml:space="preserve">אזרחים, </w:t>
      </w:r>
      <w:r w:rsidRPr="00AA5065">
        <w:rPr>
          <w:rFonts w:eastAsia="Calibri" w:hint="cs"/>
          <w:rtl/>
        </w:rPr>
        <w:t>ו</w:t>
      </w:r>
      <w:r w:rsidRPr="00AA5065">
        <w:rPr>
          <w:rFonts w:eastAsia="Calibri"/>
          <w:rtl/>
        </w:rPr>
        <w:t>אין</w:t>
      </w:r>
      <w:r w:rsidRPr="00AA5065">
        <w:rPr>
          <w:rFonts w:eastAsia="Calibri" w:hint="cs"/>
          <w:rtl/>
        </w:rPr>
        <w:t xml:space="preserve"> רישום של</w:t>
      </w:r>
      <w:r w:rsidRPr="00AA5065">
        <w:rPr>
          <w:rFonts w:eastAsia="Calibri"/>
          <w:rtl/>
        </w:rPr>
        <w:t xml:space="preserve"> יציאות מהארץ לגבי תושבי</w:t>
      </w:r>
      <w:r w:rsidRPr="00AA5065">
        <w:rPr>
          <w:rFonts w:eastAsia="Calibri" w:hint="cs"/>
          <w:rtl/>
        </w:rPr>
        <w:t xml:space="preserve"> א</w:t>
      </w:r>
      <w:r w:rsidRPr="00AA5065">
        <w:rPr>
          <w:rFonts w:eastAsia="Calibri"/>
          <w:rtl/>
        </w:rPr>
        <w:t>יו"ש</w:t>
      </w:r>
      <w:r w:rsidRPr="00AA5065">
        <w:rPr>
          <w:rFonts w:eastAsia="Calibri" w:hint="cs"/>
          <w:rtl/>
        </w:rPr>
        <w:t xml:space="preserve">. </w:t>
      </w:r>
      <w:r w:rsidRPr="00AA5065">
        <w:rPr>
          <w:rFonts w:eastAsia="Calibri" w:hint="eastAsia"/>
          <w:rtl/>
        </w:rPr>
        <w:t>יצוין</w:t>
      </w:r>
      <w:r w:rsidRPr="00AA5065">
        <w:rPr>
          <w:rFonts w:eastAsia="Calibri" w:hint="cs"/>
          <w:rtl/>
        </w:rPr>
        <w:t xml:space="preserve"> כי מתקיים רישום </w:t>
      </w:r>
      <w:r w:rsidRPr="00AA5065">
        <w:rPr>
          <w:rFonts w:eastAsia="Calibri"/>
          <w:rtl/>
        </w:rPr>
        <w:t>של</w:t>
      </w:r>
      <w:r w:rsidRPr="00AA5065">
        <w:rPr>
          <w:rFonts w:eastAsia="Calibri" w:hint="cs"/>
          <w:rtl/>
        </w:rPr>
        <w:t xml:space="preserve"> כניסות</w:t>
      </w:r>
      <w:r w:rsidRPr="00AA5065">
        <w:rPr>
          <w:rFonts w:eastAsia="Calibri"/>
          <w:rtl/>
        </w:rPr>
        <w:t xml:space="preserve"> תושבי </w:t>
      </w:r>
      <w:r w:rsidRPr="00AA5065">
        <w:rPr>
          <w:rFonts w:eastAsia="Calibri" w:hint="cs"/>
          <w:rtl/>
        </w:rPr>
        <w:t>א</w:t>
      </w:r>
      <w:r w:rsidRPr="00AA5065">
        <w:rPr>
          <w:rFonts w:eastAsia="Calibri"/>
          <w:rtl/>
        </w:rPr>
        <w:t>יו"ש מ</w:t>
      </w:r>
      <w:r w:rsidRPr="00AA5065">
        <w:rPr>
          <w:rFonts w:eastAsia="Calibri" w:hint="cs"/>
          <w:rtl/>
        </w:rPr>
        <w:t>א</w:t>
      </w:r>
      <w:r w:rsidRPr="00AA5065">
        <w:rPr>
          <w:rFonts w:eastAsia="Calibri"/>
          <w:rtl/>
        </w:rPr>
        <w:t>יו"ש לארץ אבל לא מכל המעברים</w:t>
      </w:r>
      <w:r w:rsidRPr="00AA5065">
        <w:rPr>
          <w:rFonts w:eastAsia="Calibri" w:hint="cs"/>
          <w:rtl/>
        </w:rPr>
        <w:t>. נוסף על כך, יש</w:t>
      </w:r>
      <w:r w:rsidRPr="00AA5065">
        <w:rPr>
          <w:rFonts w:eastAsia="Calibri"/>
          <w:rtl/>
        </w:rPr>
        <w:t xml:space="preserve"> פרצות בגדר ומ</w:t>
      </w:r>
      <w:r w:rsidRPr="00AA5065">
        <w:rPr>
          <w:rFonts w:eastAsia="Calibri" w:hint="cs"/>
          <w:rtl/>
        </w:rPr>
        <w:t>הן</w:t>
      </w:r>
      <w:r w:rsidRPr="00AA5065">
        <w:rPr>
          <w:rFonts w:eastAsia="Calibri"/>
          <w:rtl/>
        </w:rPr>
        <w:t xml:space="preserve"> נכנסים </w:t>
      </w:r>
      <w:r w:rsidRPr="00AA5065">
        <w:rPr>
          <w:rFonts w:eastAsia="Calibri" w:hint="cs"/>
          <w:rtl/>
        </w:rPr>
        <w:t>לארץ ללא כל רישום ובקרה</w:t>
      </w:r>
      <w:r w:rsidRPr="00AA5065">
        <w:rPr>
          <w:rFonts w:eastAsia="Calibri"/>
          <w:rtl/>
        </w:rPr>
        <w:t>.</w:t>
      </w:r>
      <w:r w:rsidRPr="00AA5065">
        <w:rPr>
          <w:rFonts w:eastAsia="Calibri" w:hint="cs"/>
          <w:rtl/>
        </w:rPr>
        <w:t xml:space="preserve"> המשמעות היא כי אין יכולת לנטר ולעקוב אחר מעבר של תושבי הנגב ליו"ש וכן גם אחר מעברם בחזרה מיו"ש לשטחי הנגב.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הוועדה הבין-משרדית להתמודדות עם תופעת יבוא נשים פלסטיניות למגזר הבדואי בנגב </w:t>
      </w:r>
      <w:r w:rsidRPr="00AA5065">
        <w:rPr>
          <w:rFonts w:eastAsia="Calibri" w:hint="cs"/>
          <w:rtl/>
          <w:lang w:eastAsia="he-IL"/>
        </w:rPr>
        <w:t>ציינה</w:t>
      </w:r>
      <w:r>
        <w:rPr>
          <w:rFonts w:eastAsia="Calibri"/>
          <w:vertAlign w:val="superscript"/>
          <w:rtl/>
          <w:lang w:eastAsia="he-IL"/>
        </w:rPr>
        <w:footnoteReference w:id="163"/>
      </w:r>
      <w:r w:rsidRPr="00AA5065">
        <w:rPr>
          <w:rFonts w:eastAsia="Calibri" w:hint="cs"/>
          <w:rtl/>
        </w:rPr>
        <w:t xml:space="preserve"> </w:t>
      </w:r>
      <w:r w:rsidRPr="00AA5065">
        <w:rPr>
          <w:rFonts w:eastAsia="Calibri" w:hint="cs"/>
          <w:rtl/>
          <w:lang w:eastAsia="he-IL"/>
        </w:rPr>
        <w:t xml:space="preserve">ב-7.2.22 כי </w:t>
      </w:r>
      <w:r w:rsidRPr="00AA5065">
        <w:rPr>
          <w:rFonts w:eastAsia="Calibri" w:hint="cs"/>
          <w:rtl/>
        </w:rPr>
        <w:t>"</w:t>
      </w:r>
      <w:r w:rsidRPr="00AA5065">
        <w:rPr>
          <w:rFonts w:eastAsia="Calibri"/>
          <w:rtl/>
        </w:rPr>
        <w:t>הקשיים בקביעת מרכזי חיים על פי נתוני כניסות מ</w:t>
      </w:r>
      <w:r w:rsidRPr="00AA5065">
        <w:rPr>
          <w:rFonts w:eastAsia="Calibri" w:hint="cs"/>
          <w:rtl/>
        </w:rPr>
        <w:t>א</w:t>
      </w:r>
      <w:r w:rsidRPr="00AA5065">
        <w:rPr>
          <w:rFonts w:eastAsia="Calibri"/>
          <w:rtl/>
        </w:rPr>
        <w:t>יו"ש לישראל הם:</w:t>
      </w:r>
    </w:p>
    <w:p w:rsidR="00AA5065" w:rsidRPr="00AA5065" w:rsidP="00860D89">
      <w:pPr>
        <w:spacing w:line="269" w:lineRule="auto"/>
        <w:rPr>
          <w:rFonts w:eastAsia="Calibri"/>
          <w:rtl/>
        </w:rPr>
      </w:pPr>
    </w:p>
    <w:p w:rsidR="00AA5065" w:rsidRPr="00AA5065" w:rsidP="0054781A">
      <w:pPr>
        <w:numPr>
          <w:ilvl w:val="0"/>
          <w:numId w:val="21"/>
        </w:numPr>
        <w:spacing w:after="120" w:line="269" w:lineRule="auto"/>
        <w:rPr>
          <w:rFonts w:ascii="David" w:eastAsia="Calibri" w:hAnsi="David"/>
          <w:sz w:val="24"/>
          <w:rtl/>
        </w:rPr>
      </w:pPr>
      <w:r w:rsidRPr="00AA5065">
        <w:rPr>
          <w:rFonts w:ascii="David" w:eastAsia="Calibri" w:hAnsi="David"/>
          <w:sz w:val="24"/>
          <w:rtl/>
        </w:rPr>
        <w:t xml:space="preserve">נרשמים נתוני כניסות למדינת ישראל ואולם אין רישום של יציאות מישראל. </w:t>
      </w:r>
    </w:p>
    <w:p w:rsidR="00AA5065" w:rsidRPr="00AA5065" w:rsidP="0054781A">
      <w:pPr>
        <w:numPr>
          <w:ilvl w:val="0"/>
          <w:numId w:val="21"/>
        </w:numPr>
        <w:spacing w:after="120" w:line="269" w:lineRule="auto"/>
        <w:rPr>
          <w:rFonts w:ascii="David" w:eastAsia="Calibri" w:hAnsi="David"/>
          <w:sz w:val="24"/>
          <w:rtl/>
        </w:rPr>
      </w:pPr>
      <w:r w:rsidRPr="00AA5065">
        <w:rPr>
          <w:rFonts w:ascii="David" w:eastAsia="Calibri" w:hAnsi="David"/>
          <w:sz w:val="24"/>
          <w:rtl/>
        </w:rPr>
        <w:t>רישום הכניסות מיו"ש לישראל במעברים מתייחס לפלסטינים בלבד ולא לאזרחי מדינת ישראל נשוא הדיון, משכך אין אינדיקציה למרכז חיים בישראל.</w:t>
      </w:r>
    </w:p>
    <w:p w:rsidR="00AA5065" w:rsidRPr="00AA5065" w:rsidP="0054781A">
      <w:pPr>
        <w:numPr>
          <w:ilvl w:val="0"/>
          <w:numId w:val="21"/>
        </w:numPr>
        <w:spacing w:after="120" w:line="269" w:lineRule="auto"/>
        <w:rPr>
          <w:rFonts w:ascii="David" w:eastAsia="Calibri" w:hAnsi="David"/>
          <w:sz w:val="24"/>
          <w:rtl/>
        </w:rPr>
      </w:pPr>
      <w:r w:rsidRPr="00AA5065">
        <w:rPr>
          <w:rFonts w:ascii="David" w:eastAsia="Calibri" w:hAnsi="David"/>
          <w:sz w:val="24"/>
          <w:rtl/>
        </w:rPr>
        <w:t>הנתונים אינם מדויקים מאחר וקיימות פרצות בגדר בגבול שבין ישראל ליו"ש אך מדובר בעניין מורכב שאינו באחריות הצוות.</w:t>
      </w:r>
    </w:p>
    <w:p w:rsidR="00AA5065" w:rsidRPr="00AA5065" w:rsidP="00860D89">
      <w:pPr>
        <w:numPr>
          <w:ilvl w:val="0"/>
          <w:numId w:val="21"/>
        </w:numPr>
        <w:spacing w:line="269" w:lineRule="auto"/>
        <w:rPr>
          <w:rFonts w:ascii="David" w:eastAsia="Calibri" w:hAnsi="David"/>
          <w:sz w:val="24"/>
          <w:rtl/>
        </w:rPr>
      </w:pPr>
      <w:r w:rsidRPr="00AA5065">
        <w:rPr>
          <w:rFonts w:ascii="David" w:eastAsia="Calibri" w:hAnsi="David"/>
          <w:sz w:val="24"/>
          <w:rtl/>
        </w:rPr>
        <w:t>לפני כעשור נותקה מערכת "רעו</w:t>
      </w:r>
      <w:r w:rsidRPr="00AA5065">
        <w:rPr>
          <w:rFonts w:ascii="David" w:eastAsia="Calibri" w:hAnsi="David" w:hint="cs"/>
          <w:sz w:val="24"/>
          <w:rtl/>
        </w:rPr>
        <w:t>"</w:t>
      </w:r>
      <w:r w:rsidRPr="00AA5065">
        <w:rPr>
          <w:rFonts w:ascii="David" w:eastAsia="Calibri" w:hAnsi="David"/>
          <w:sz w:val="24"/>
          <w:rtl/>
        </w:rPr>
        <w:t>ת" של רמי"ם, אשר נתנה אינדיקציה לכניסות לישראל גם עבור אזרחי ישראל</w:t>
      </w:r>
      <w:r w:rsidRPr="00AA5065">
        <w:rPr>
          <w:rFonts w:ascii="David" w:eastAsia="Calibri" w:hAnsi="David" w:hint="cs"/>
          <w:sz w:val="24"/>
          <w:rtl/>
        </w:rPr>
        <w:t>"</w:t>
      </w:r>
      <w:r w:rsidRPr="00AA5065">
        <w:rPr>
          <w:rFonts w:ascii="David" w:eastAsia="Calibri" w:hAnsi="David"/>
          <w:sz w:val="24"/>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rtl/>
        </w:rPr>
        <w:t>עוד ציינה הוועדה הבין-משרדית - יבוא נשים</w:t>
      </w:r>
      <w:r>
        <w:rPr>
          <w:rFonts w:eastAsia="Calibri"/>
          <w:vertAlign w:val="superscript"/>
          <w:rtl/>
        </w:rPr>
        <w:footnoteReference w:id="164"/>
      </w:r>
      <w:r w:rsidRPr="00AA5065">
        <w:rPr>
          <w:rFonts w:eastAsia="Calibri" w:hint="cs"/>
          <w:rtl/>
        </w:rPr>
        <w:t xml:space="preserve"> כי "יש לבחון הקמת מערכת במעברים היבשתיים לתיעוד כניסות ויציאות של כלל האוכלוסיות ובכך לקבוע מעמד בישראל אשר ישפיע על מתן הקצבאות".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color w:val="4F81BD"/>
          <w:rtl/>
        </w:rPr>
      </w:pPr>
      <w:r w:rsidRPr="00AA5065">
        <w:rPr>
          <w:rFonts w:eastAsia="Calibri" w:hint="eastAsia"/>
          <w:b/>
          <w:bCs/>
          <w:rtl/>
        </w:rPr>
        <w:t>מצב</w:t>
      </w:r>
      <w:r w:rsidRPr="00AA5065">
        <w:rPr>
          <w:rFonts w:eastAsia="Calibri" w:hint="cs"/>
          <w:b/>
          <w:bCs/>
          <w:rtl/>
        </w:rPr>
        <w:t xml:space="preserve"> הדברים שבו לא מתבצע כלל רישום, לא בכניסה מאיו"ש למדינה ולא ביציאה מהמדינה לאיו"ש, של תושבי המדינה הבדואים בנגב המתואר לעיל מעלה חשש </w:t>
      </w:r>
      <w:r w:rsidRPr="00AA5065">
        <w:rPr>
          <w:rFonts w:eastAsia="Calibri" w:hint="eastAsia"/>
          <w:b/>
          <w:bCs/>
          <w:rtl/>
        </w:rPr>
        <w:t>שיש</w:t>
      </w:r>
      <w:r w:rsidRPr="00AA5065">
        <w:rPr>
          <w:rFonts w:eastAsia="Calibri"/>
          <w:b/>
          <w:bCs/>
          <w:rtl/>
        </w:rPr>
        <w:t xml:space="preserve"> תושבים מהאוכלוסייה הבדואית </w:t>
      </w:r>
      <w:r w:rsidRPr="00AA5065">
        <w:rPr>
          <w:rFonts w:eastAsia="Calibri" w:hint="cs"/>
          <w:b/>
          <w:bCs/>
          <w:rtl/>
        </w:rPr>
        <w:t>ה</w:t>
      </w:r>
      <w:r w:rsidRPr="00AA5065">
        <w:rPr>
          <w:rFonts w:eastAsia="Calibri"/>
          <w:b/>
          <w:bCs/>
          <w:rtl/>
        </w:rPr>
        <w:t xml:space="preserve">גרים בפועל בשטחי </w:t>
      </w:r>
      <w:r w:rsidRPr="00AA5065">
        <w:rPr>
          <w:rFonts w:eastAsia="Calibri" w:hint="cs"/>
          <w:b/>
          <w:bCs/>
          <w:rtl/>
        </w:rPr>
        <w:t>איו"ש,</w:t>
      </w:r>
      <w:r w:rsidRPr="00AA5065">
        <w:rPr>
          <w:rFonts w:eastAsia="Calibri"/>
          <w:b/>
          <w:bCs/>
          <w:rtl/>
        </w:rPr>
        <w:t xml:space="preserve"> </w:t>
      </w:r>
      <w:r w:rsidRPr="00AA5065">
        <w:rPr>
          <w:rFonts w:eastAsia="Calibri" w:hint="cs"/>
          <w:b/>
          <w:bCs/>
          <w:rtl/>
        </w:rPr>
        <w:t>ו</w:t>
      </w:r>
      <w:r w:rsidRPr="00AA5065">
        <w:rPr>
          <w:rFonts w:eastAsia="Calibri"/>
          <w:b/>
          <w:bCs/>
          <w:rtl/>
        </w:rPr>
        <w:t xml:space="preserve">אולם </w:t>
      </w:r>
      <w:r w:rsidRPr="00AA5065">
        <w:rPr>
          <w:rFonts w:eastAsia="Calibri" w:hint="cs"/>
          <w:b/>
          <w:bCs/>
          <w:rtl/>
        </w:rPr>
        <w:t xml:space="preserve">הם </w:t>
      </w:r>
      <w:r w:rsidRPr="00AA5065">
        <w:rPr>
          <w:rFonts w:eastAsia="Calibri"/>
          <w:b/>
          <w:bCs/>
          <w:rtl/>
        </w:rPr>
        <w:t xml:space="preserve">נהנים מהטבות המוענקות להם, </w:t>
      </w:r>
      <w:r w:rsidRPr="00AA5065">
        <w:rPr>
          <w:rFonts w:eastAsia="Calibri" w:hint="cs"/>
          <w:b/>
          <w:bCs/>
          <w:rtl/>
        </w:rPr>
        <w:t>ובפרט</w:t>
      </w:r>
      <w:r w:rsidRPr="00AA5065">
        <w:rPr>
          <w:rFonts w:eastAsia="Calibri"/>
          <w:b/>
          <w:bCs/>
          <w:rtl/>
        </w:rPr>
        <w:t xml:space="preserve"> קצבאות מבט"ל, מתוקף היותם רשומים כמי שמתגוררים בנגב.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בביקורת המעקב עלה כי אין בידי בט</w:t>
      </w:r>
      <w:r w:rsidRPr="00AA5065">
        <w:rPr>
          <w:rFonts w:eastAsia="Calibri"/>
          <w:b/>
          <w:bCs/>
          <w:rtl/>
        </w:rPr>
        <w:t>"</w:t>
      </w:r>
      <w:r w:rsidRPr="00AA5065">
        <w:rPr>
          <w:rFonts w:eastAsia="Calibri" w:hint="cs"/>
          <w:b/>
          <w:bCs/>
          <w:rtl/>
        </w:rPr>
        <w:t xml:space="preserve">ל נתונים מדויקים או אומדן בנוגע לנשים הבדואיות הישראליות אשר עברו להתגורר בשטחי הרשות הפלסטינית, וזאת נוכח אי-הרישום של בעלי תעודת זהות ישראלית במעברים.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bookmarkStart w:id="164" w:name="_Hlk204860397"/>
      <w:r w:rsidRPr="00AA5065">
        <w:rPr>
          <w:rFonts w:eastAsia="Calibri" w:hint="cs"/>
          <w:b/>
          <w:bCs/>
          <w:rtl/>
        </w:rPr>
        <w:t xml:space="preserve">בביקורת הקודמת עלה כי </w:t>
      </w:r>
      <w:r w:rsidRPr="00AA5065">
        <w:rPr>
          <w:rFonts w:eastAsia="Calibri"/>
          <w:b/>
          <w:bCs/>
          <w:rtl/>
        </w:rPr>
        <w:t xml:space="preserve">במעברים </w:t>
      </w:r>
      <w:r w:rsidRPr="00AA5065">
        <w:rPr>
          <w:rFonts w:eastAsia="Calibri" w:hint="cs"/>
          <w:b/>
          <w:bCs/>
          <w:rtl/>
        </w:rPr>
        <w:t>היבשתיים</w:t>
      </w:r>
      <w:r w:rsidRPr="00AA5065">
        <w:rPr>
          <w:rFonts w:eastAsia="Calibri"/>
          <w:b/>
          <w:bCs/>
          <w:rtl/>
        </w:rPr>
        <w:t xml:space="preserve"> לא מתבצע כלל מעקב אחר יציאות של תושבים </w:t>
      </w:r>
      <w:r w:rsidRPr="00AA5065">
        <w:rPr>
          <w:rFonts w:eastAsia="Calibri" w:hint="cs"/>
          <w:b/>
          <w:bCs/>
          <w:rtl/>
        </w:rPr>
        <w:t>ישראלים, כולל מהאוכלוסיי</w:t>
      </w:r>
      <w:r w:rsidRPr="00AA5065">
        <w:rPr>
          <w:rFonts w:eastAsia="Calibri" w:hint="eastAsia"/>
          <w:b/>
          <w:bCs/>
          <w:rtl/>
        </w:rPr>
        <w:t>ה</w:t>
      </w:r>
      <w:r w:rsidRPr="00AA5065">
        <w:rPr>
          <w:rFonts w:eastAsia="Calibri" w:hint="cs"/>
          <w:b/>
          <w:bCs/>
          <w:rtl/>
        </w:rPr>
        <w:t xml:space="preserve"> הבדואית בנגב, </w:t>
      </w:r>
      <w:r w:rsidRPr="00AA5065">
        <w:rPr>
          <w:rFonts w:eastAsia="Calibri"/>
          <w:b/>
          <w:bCs/>
          <w:rtl/>
        </w:rPr>
        <w:t>מישראל לא</w:t>
      </w:r>
      <w:r w:rsidRPr="00AA5065">
        <w:rPr>
          <w:rFonts w:eastAsia="Calibri" w:hint="cs"/>
          <w:b/>
          <w:bCs/>
          <w:rtl/>
        </w:rPr>
        <w:t>יו"ש,</w:t>
      </w:r>
      <w:r w:rsidRPr="00AA5065">
        <w:rPr>
          <w:rFonts w:eastAsia="Calibri"/>
          <w:b/>
          <w:bCs/>
          <w:rtl/>
        </w:rPr>
        <w:t xml:space="preserve"> </w:t>
      </w:r>
      <w:r w:rsidRPr="00AA5065">
        <w:rPr>
          <w:rFonts w:eastAsia="Calibri" w:hint="cs"/>
          <w:b/>
          <w:bCs/>
          <w:rtl/>
        </w:rPr>
        <w:t xml:space="preserve">ויש בקרה חלקית הבאה לידי ביטוי רק ברישום של תושבי איו"ש בכניסה לישראל. בביקורת המעקב נמצא כי הליקוי לא תוקן; רמי"ם לא מבצעת מעקב אחר יציאות של תושבים מישראל, ועל אף המלצת הוועדה </w:t>
      </w:r>
      <w:r w:rsidR="00AF3FA8">
        <w:rPr>
          <w:rFonts w:eastAsia="Calibri"/>
          <w:b/>
          <w:bCs/>
          <w:rtl/>
        </w:rPr>
        <w:br/>
      </w:r>
      <w:r w:rsidRPr="00AA5065">
        <w:rPr>
          <w:rFonts w:eastAsia="Calibri" w:hint="cs"/>
          <w:b/>
          <w:bCs/>
          <w:rtl/>
        </w:rPr>
        <w:t xml:space="preserve">הבין-משרדית </w:t>
      </w:r>
      <w:r w:rsidRPr="00AA5065">
        <w:rPr>
          <w:rFonts w:eastAsia="Calibri" w:hint="eastAsia"/>
          <w:b/>
          <w:bCs/>
          <w:rtl/>
        </w:rPr>
        <w:t>להתמודדות</w:t>
      </w:r>
      <w:r w:rsidRPr="00AA5065">
        <w:rPr>
          <w:rFonts w:eastAsia="Calibri"/>
          <w:b/>
          <w:bCs/>
          <w:rtl/>
        </w:rPr>
        <w:t xml:space="preserve"> עם תופעת </w:t>
      </w:r>
      <w:r w:rsidRPr="00AA5065">
        <w:rPr>
          <w:rFonts w:eastAsia="Calibri" w:hint="eastAsia"/>
          <w:b/>
          <w:bCs/>
          <w:rtl/>
        </w:rPr>
        <w:t>יבוא</w:t>
      </w:r>
      <w:r w:rsidRPr="00AA5065">
        <w:rPr>
          <w:rFonts w:eastAsia="Calibri"/>
          <w:b/>
          <w:bCs/>
          <w:rtl/>
        </w:rPr>
        <w:t xml:space="preserve"> </w:t>
      </w:r>
      <w:r w:rsidRPr="00AA5065">
        <w:rPr>
          <w:rFonts w:eastAsia="Calibri" w:hint="eastAsia"/>
          <w:b/>
          <w:bCs/>
          <w:rtl/>
        </w:rPr>
        <w:t>נשים</w:t>
      </w:r>
      <w:r w:rsidRPr="00AA5065">
        <w:rPr>
          <w:rFonts w:eastAsia="Calibri"/>
          <w:b/>
          <w:bCs/>
          <w:rtl/>
        </w:rPr>
        <w:t xml:space="preserve"> פלסטיניות למגזר הבדואי בנגב</w:t>
      </w:r>
      <w:r w:rsidRPr="00AA5065">
        <w:rPr>
          <w:rFonts w:eastAsia="Calibri" w:hint="cs"/>
          <w:rtl/>
          <w:lang w:eastAsia="he-IL"/>
        </w:rPr>
        <w:t xml:space="preserve"> </w:t>
      </w:r>
      <w:r w:rsidRPr="00AA5065">
        <w:rPr>
          <w:rFonts w:eastAsia="Calibri" w:hint="cs"/>
          <w:b/>
          <w:bCs/>
          <w:rtl/>
        </w:rPr>
        <w:t>- טרם הוקמה על ידי רשות האוכלוסין ורמי"ם</w:t>
      </w:r>
      <w:r w:rsidRPr="00AA5065">
        <w:rPr>
          <w:rFonts w:eastAsia="Calibri"/>
          <w:b/>
          <w:bCs/>
          <w:rtl/>
        </w:rPr>
        <w:t xml:space="preserve"> מערכת במעברים היבשתיים לתיעוד </w:t>
      </w:r>
      <w:r w:rsidRPr="00AA5065">
        <w:rPr>
          <w:rFonts w:eastAsia="Calibri" w:hint="cs"/>
          <w:b/>
          <w:bCs/>
          <w:rtl/>
        </w:rPr>
        <w:t>ה</w:t>
      </w:r>
      <w:r w:rsidRPr="00AA5065">
        <w:rPr>
          <w:rFonts w:eastAsia="Calibri"/>
          <w:b/>
          <w:bCs/>
          <w:rtl/>
        </w:rPr>
        <w:t>כניסות ו</w:t>
      </w:r>
      <w:r w:rsidRPr="00AA5065">
        <w:rPr>
          <w:rFonts w:eastAsia="Calibri" w:hint="cs"/>
          <w:b/>
          <w:bCs/>
          <w:rtl/>
        </w:rPr>
        <w:t>ה</w:t>
      </w:r>
      <w:r w:rsidRPr="00AA5065">
        <w:rPr>
          <w:rFonts w:eastAsia="Calibri"/>
          <w:b/>
          <w:bCs/>
          <w:rtl/>
        </w:rPr>
        <w:t>יציאות של כלל האוכלוסיות</w:t>
      </w:r>
      <w:r w:rsidRPr="00AA5065">
        <w:rPr>
          <w:rFonts w:eastAsia="Calibri" w:hint="cs"/>
          <w:b/>
          <w:bCs/>
          <w:rtl/>
        </w:rPr>
        <w:t>,</w:t>
      </w:r>
      <w:r w:rsidRPr="00AA5065">
        <w:rPr>
          <w:rFonts w:eastAsia="Calibri"/>
          <w:b/>
          <w:bCs/>
          <w:rtl/>
        </w:rPr>
        <w:t xml:space="preserve"> </w:t>
      </w:r>
      <w:r w:rsidRPr="00AA5065">
        <w:rPr>
          <w:rFonts w:eastAsia="Calibri" w:hint="cs"/>
          <w:b/>
          <w:bCs/>
          <w:rtl/>
        </w:rPr>
        <w:t>כך שעדיין מתקיים הקושי</w:t>
      </w:r>
      <w:r w:rsidRPr="00AA5065">
        <w:rPr>
          <w:rFonts w:eastAsia="Calibri" w:hint="eastAsia"/>
          <w:b/>
          <w:bCs/>
          <w:rtl/>
        </w:rPr>
        <w:t xml:space="preserve"> לבדוק</w:t>
      </w:r>
      <w:r w:rsidRPr="00AA5065">
        <w:rPr>
          <w:rFonts w:eastAsia="Calibri"/>
          <w:b/>
          <w:bCs/>
          <w:rtl/>
        </w:rPr>
        <w:t xml:space="preserve"> </w:t>
      </w:r>
      <w:r w:rsidRPr="00AA5065">
        <w:rPr>
          <w:rFonts w:eastAsia="Calibri" w:hint="eastAsia"/>
          <w:b/>
          <w:bCs/>
          <w:rtl/>
        </w:rPr>
        <w:t>תושבות</w:t>
      </w:r>
      <w:r w:rsidRPr="00AA5065">
        <w:rPr>
          <w:rFonts w:eastAsia="Calibri"/>
          <w:b/>
          <w:bCs/>
          <w:rtl/>
        </w:rPr>
        <w:t xml:space="preserve"> </w:t>
      </w:r>
      <w:r w:rsidRPr="00AA5065">
        <w:rPr>
          <w:rFonts w:eastAsia="Calibri" w:hint="eastAsia"/>
          <w:b/>
          <w:bCs/>
          <w:rtl/>
        </w:rPr>
        <w:t>של</w:t>
      </w:r>
      <w:r w:rsidRPr="00AA5065">
        <w:rPr>
          <w:rFonts w:eastAsia="Calibri"/>
          <w:b/>
          <w:bCs/>
          <w:rtl/>
        </w:rPr>
        <w:t xml:space="preserve"> </w:t>
      </w:r>
      <w:r w:rsidRPr="00AA5065">
        <w:rPr>
          <w:rFonts w:eastAsia="Calibri" w:hint="eastAsia"/>
          <w:b/>
          <w:bCs/>
          <w:rtl/>
        </w:rPr>
        <w:t>אנשים</w:t>
      </w:r>
      <w:r w:rsidRPr="00AA5065">
        <w:rPr>
          <w:rFonts w:eastAsia="Calibri"/>
          <w:b/>
          <w:bCs/>
          <w:rtl/>
        </w:rPr>
        <w:t xml:space="preserve"> </w:t>
      </w:r>
      <w:r w:rsidRPr="00AA5065">
        <w:rPr>
          <w:rFonts w:eastAsia="Calibri" w:hint="eastAsia"/>
          <w:b/>
          <w:bCs/>
          <w:rtl/>
        </w:rPr>
        <w:t>המבקשים</w:t>
      </w:r>
      <w:r w:rsidRPr="00AA5065">
        <w:rPr>
          <w:rFonts w:eastAsia="Calibri"/>
          <w:b/>
          <w:bCs/>
          <w:rtl/>
        </w:rPr>
        <w:t xml:space="preserve"> </w:t>
      </w:r>
      <w:r w:rsidRPr="00AA5065">
        <w:rPr>
          <w:rFonts w:eastAsia="Calibri" w:hint="eastAsia"/>
          <w:b/>
          <w:bCs/>
          <w:rtl/>
        </w:rPr>
        <w:t>להירשם</w:t>
      </w:r>
      <w:r w:rsidRPr="00AA5065">
        <w:rPr>
          <w:rFonts w:eastAsia="Calibri"/>
          <w:b/>
          <w:bCs/>
          <w:rtl/>
        </w:rPr>
        <w:t xml:space="preserve"> </w:t>
      </w:r>
      <w:r w:rsidRPr="00AA5065">
        <w:rPr>
          <w:rFonts w:eastAsia="Calibri" w:hint="eastAsia"/>
          <w:b/>
          <w:bCs/>
          <w:rtl/>
        </w:rPr>
        <w:t>כתושבי</w:t>
      </w:r>
      <w:r w:rsidRPr="00AA5065">
        <w:rPr>
          <w:rFonts w:eastAsia="Calibri"/>
          <w:b/>
          <w:bCs/>
          <w:rtl/>
        </w:rPr>
        <w:t xml:space="preserve"> </w:t>
      </w:r>
      <w:r w:rsidRPr="00AA5065">
        <w:rPr>
          <w:rFonts w:eastAsia="Calibri" w:hint="eastAsia"/>
          <w:b/>
          <w:bCs/>
          <w:rtl/>
        </w:rPr>
        <w:t>ישראל</w:t>
      </w:r>
      <w:r w:rsidRPr="00AA5065">
        <w:rPr>
          <w:rFonts w:eastAsia="Calibri" w:hint="cs"/>
          <w:b/>
          <w:bCs/>
          <w:rtl/>
        </w:rPr>
        <w:t>.</w:t>
      </w:r>
      <w:bookmarkEnd w:id="164"/>
    </w:p>
    <w:p w:rsidR="00AA5065" w:rsidRPr="00AA5065" w:rsidP="00860D89">
      <w:pPr>
        <w:spacing w:line="269" w:lineRule="auto"/>
        <w:ind w:left="-567"/>
        <w:rPr>
          <w:rFonts w:eastAsia="Calibri"/>
          <w:szCs w:val="20"/>
          <w:rtl/>
        </w:rPr>
      </w:pPr>
    </w:p>
    <w:p w:rsidR="00AA5065" w:rsidRPr="00AA5065" w:rsidP="00860D89">
      <w:pPr>
        <w:spacing w:line="269" w:lineRule="auto"/>
        <w:jc w:val="center"/>
        <w:rPr>
          <w:rFonts w:eastAsia="Calibri"/>
          <w:b/>
          <w:bCs/>
          <w:rtl/>
          <w:lang w:eastAsia="he-IL"/>
        </w:rPr>
      </w:pPr>
      <w:r w:rsidRPr="00AA5065">
        <w:rPr>
          <w:rFonts w:eastAsia="Calibri" w:hint="cs"/>
          <w:b/>
          <w:bCs/>
          <w:rtl/>
          <w:lang w:eastAsia="he-IL"/>
        </w:rPr>
        <w:t>מידת תיקון הליקוי</w:t>
      </w:r>
    </w:p>
    <w:p w:rsidR="00AA5065" w:rsidRPr="00AA5065" w:rsidP="00860D89">
      <w:pPr>
        <w:spacing w:line="269" w:lineRule="auto"/>
        <w:jc w:val="center"/>
        <w:rPr>
          <w:rFonts w:eastAsia="Calibri"/>
          <w:b/>
          <w:bCs/>
          <w:rtl/>
        </w:rPr>
      </w:pPr>
      <w:r w:rsidRPr="00AA5065">
        <w:rPr>
          <w:rFonts w:eastAsia="Calibri"/>
          <w:noProof/>
        </w:rPr>
        <w:drawing>
          <wp:inline distT="0" distB="0" distL="0" distR="0">
            <wp:extent cx="3426460" cy="939165"/>
            <wp:effectExtent l="0" t="0" r="2540" b="0"/>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xmlns:r="http://schemas.openxmlformats.org/officeDocument/2006/relationships" r:embed="rId16">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6460" cy="939165"/>
                    </a:xfrm>
                    <a:prstGeom prst="rect">
                      <a:avLst/>
                    </a:prstGeom>
                    <a:noFill/>
                  </pic:spPr>
                </pic:pic>
              </a:graphicData>
            </a:graphic>
          </wp:inline>
        </w:drawing>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מומלץ כי רשות המעברים היבשתיים ורשות האוכלוסין יקדמו את הקמתה של מערכת מידע מקוונת לרישום הכניסות והיציאות של כלל העוברים במעברים, לשם מעקב ובקרה בנוגע לנתוני העוברים דרכם לשטחי איו"ש ומשטחי איו"ש. זאת, בין היתר, לצורך סיוע בבחינת מרכז החיים של מי שמשתייכים לאוכלוסייה הבדואית.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רשות המעברים היבשתיים</w:t>
      </w:r>
      <w:r w:rsidRPr="00AA5065">
        <w:rPr>
          <w:rFonts w:eastAsia="Calibri" w:hint="cs"/>
          <w:rtl/>
        </w:rPr>
        <w:t xml:space="preserve"> מסרה בתשובתה</w:t>
      </w:r>
      <w:r w:rsidRPr="00AA5065">
        <w:rPr>
          <w:rFonts w:eastAsia="Calibri"/>
          <w:rtl/>
        </w:rPr>
        <w:t xml:space="preserve"> מיום 25.9.25 כי "ככל שממשלת ישראל תחליט על ביצוע רישום כניסות ויציאות של אזרחי ישראל לשטח יו"ש, רמי"ם תפעל ליישום ההחלטה באמצעות הכנת התשתית הנדרשת בכפוף להקצאת המשאבים הנדרשים".</w:t>
      </w:r>
    </w:p>
    <w:p w:rsidR="00AA5065" w:rsidRPr="00AA5065" w:rsidP="00860D89">
      <w:pPr>
        <w:spacing w:line="269" w:lineRule="auto"/>
        <w:rPr>
          <w:rFonts w:eastAsia="Calibri"/>
          <w:rtl/>
        </w:rPr>
      </w:pPr>
    </w:p>
    <w:p w:rsidR="0054781A" w:rsidRPr="003D1BCA" w:rsidP="003D1BCA">
      <w:pPr>
        <w:spacing w:line="269" w:lineRule="auto"/>
        <w:ind w:left="-567"/>
        <w:rPr>
          <w:rFonts w:eastAsia="Calibri"/>
          <w:szCs w:val="20"/>
          <w:rtl/>
        </w:rPr>
      </w:pPr>
      <w:bookmarkStart w:id="165" w:name="_Hlk204860430"/>
    </w:p>
    <w:p w:rsidR="00AA5065" w:rsidRPr="00AA5065" w:rsidP="00860D89">
      <w:pPr>
        <w:keepNext/>
        <w:keepLines/>
        <w:spacing w:line="269" w:lineRule="auto"/>
        <w:outlineLvl w:val="2"/>
        <w:rPr>
          <w:rFonts w:eastAsia="Times New Roman"/>
          <w:bCs/>
          <w:szCs w:val="28"/>
          <w:u w:val="single"/>
          <w:rtl/>
        </w:rPr>
      </w:pPr>
      <w:r w:rsidRPr="00AA5065">
        <w:rPr>
          <w:rFonts w:eastAsia="Times New Roman" w:hint="cs"/>
          <w:bCs/>
          <w:szCs w:val="28"/>
          <w:u w:val="single"/>
          <w:rtl/>
        </w:rPr>
        <w:t>הצורך במידע מרוכז ואמין ובגורם מתכלל</w:t>
      </w:r>
    </w:p>
    <w:p w:rsidR="00AA5065" w:rsidRPr="00AA5065" w:rsidP="00860D89">
      <w:pPr>
        <w:spacing w:line="269" w:lineRule="auto"/>
        <w:rPr>
          <w:rFonts w:eastAsia="Calibri"/>
          <w:rtl/>
        </w:rPr>
      </w:pPr>
      <w:bookmarkStart w:id="166" w:name="_Hlk204860471"/>
      <w:bookmarkEnd w:id="165"/>
    </w:p>
    <w:p w:rsidR="00AA5065" w:rsidRPr="00AA5065" w:rsidP="00860D89">
      <w:pPr>
        <w:keepNext/>
        <w:keepLines/>
        <w:spacing w:line="269" w:lineRule="auto"/>
        <w:outlineLvl w:val="3"/>
        <w:rPr>
          <w:rFonts w:eastAsia="Times New Roman"/>
          <w:bCs/>
          <w:szCs w:val="26"/>
          <w:rtl/>
        </w:rPr>
      </w:pPr>
      <w:r w:rsidRPr="00AA5065">
        <w:rPr>
          <w:rFonts w:eastAsia="Times New Roman" w:hint="cs"/>
          <w:bCs/>
          <w:szCs w:val="26"/>
          <w:rtl/>
        </w:rPr>
        <w:t>ביצוע סקרי אוכלוסין על ידי הלמ"ס</w:t>
      </w:r>
    </w:p>
    <w:bookmarkEnd w:id="166"/>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rtl/>
        </w:rPr>
        <w:t>הלמ"ס פועלת כיחידת סמך במשרד ראש הממשלה, והיא הזרוע הממשלתית האחראית</w:t>
      </w:r>
      <w:r w:rsidRPr="00AA5065">
        <w:rPr>
          <w:rFonts w:eastAsia="Calibri" w:hint="cs"/>
          <w:rtl/>
        </w:rPr>
        <w:t xml:space="preserve"> לאסוף מידע ונתונים</w:t>
      </w:r>
      <w:r w:rsidRPr="00AA5065">
        <w:rPr>
          <w:rFonts w:eastAsia="Calibri"/>
          <w:rtl/>
        </w:rPr>
        <w:t xml:space="preserve"> </w:t>
      </w:r>
      <w:r w:rsidRPr="00AA5065">
        <w:rPr>
          <w:rFonts w:eastAsia="Calibri" w:hint="cs"/>
          <w:rtl/>
        </w:rPr>
        <w:t>בנוגע לאוכלוסייה ולפעילויותיה בתחומי החברה, הבריאות, ה</w:t>
      </w:r>
      <w:r w:rsidRPr="00AA5065">
        <w:rPr>
          <w:rFonts w:eastAsia="Calibri"/>
          <w:rtl/>
        </w:rPr>
        <w:t>כלכל</w:t>
      </w:r>
      <w:r w:rsidRPr="00AA5065">
        <w:rPr>
          <w:rFonts w:eastAsia="Calibri" w:hint="cs"/>
          <w:rtl/>
        </w:rPr>
        <w:t>ה, המסחר והתעשייה ובתחומים אחרים, ובנוגע לתנאי הטבע של הארץ</w:t>
      </w:r>
      <w:r w:rsidRPr="00AA5065">
        <w:rPr>
          <w:rFonts w:eastAsia="Calibri"/>
          <w:rtl/>
        </w:rPr>
        <w:t xml:space="preserve">, </w:t>
      </w:r>
      <w:r w:rsidRPr="00AA5065">
        <w:rPr>
          <w:rFonts w:eastAsia="Calibri" w:hint="cs"/>
          <w:rtl/>
        </w:rPr>
        <w:t xml:space="preserve">לערוך פעולות סטטיסטיות במידע ובפרטים שנאספו ולפרסם את תוצאותיהן. </w:t>
      </w:r>
      <w:r w:rsidRPr="00AA5065">
        <w:rPr>
          <w:rFonts w:eastAsia="Calibri"/>
          <w:rtl/>
        </w:rPr>
        <w:t xml:space="preserve">זאת בהתאם להוראות פקודת הסטטיסטיקה </w:t>
      </w:r>
      <w:r w:rsidRPr="00AA5065">
        <w:rPr>
          <w:rFonts w:eastAsia="Calibri"/>
        </w:rPr>
        <w:t>]</w:t>
      </w:r>
      <w:r w:rsidRPr="00AA5065">
        <w:rPr>
          <w:rFonts w:eastAsia="Calibri"/>
          <w:rtl/>
        </w:rPr>
        <w:t>נוסח חדש</w:t>
      </w:r>
      <w:r w:rsidRPr="00AA5065">
        <w:rPr>
          <w:rFonts w:eastAsia="Calibri" w:hint="cs"/>
          <w:rtl/>
        </w:rPr>
        <w:t>]</w:t>
      </w:r>
      <w:r w:rsidRPr="00AA5065">
        <w:rPr>
          <w:rFonts w:eastAsia="Calibri"/>
          <w:rtl/>
        </w:rPr>
        <w:t>, התשל"ב</w:t>
      </w:r>
      <w:r w:rsidRPr="00AA5065">
        <w:rPr>
          <w:rFonts w:eastAsia="Calibri" w:hint="cs"/>
          <w:rtl/>
        </w:rPr>
        <w:t>-1972</w:t>
      </w:r>
      <w:r w:rsidRPr="00AA5065">
        <w:rPr>
          <w:rFonts w:eastAsia="Calibri"/>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Batang"/>
          <w:sz w:val="24"/>
          <w:rtl/>
          <w:lang w:eastAsia="ko-KR"/>
        </w:rPr>
      </w:pPr>
      <w:r w:rsidRPr="00AA5065">
        <w:rPr>
          <w:rFonts w:eastAsia="Calibri" w:hint="cs"/>
          <w:rtl/>
        </w:rPr>
        <w:t>הלמ"ס מבצעת מפקד אוכלוסין לצורך מטרות שונות, ביניהן: ספירת האוכלוסייה ומשקי הבית במדינה, לצורך קבלת מידע דמוגרפי על האוכלוסייה, לצורך קבלת מידע חברתי וכלכלי (כגון השכלה, תעסוקה ורמת חיים) וכן לשם איסוף נתונים והפקת מידע עבור משרדי הממשלה והרשויות המקומיות לצורכי תקצוב פעילויות שונות שבתחומי אחריותם. מדי שנה מופקים אומדני אוכלוסייה בהסתמך על תוצאות המפקד שנערך כאחת לעשור וכן על בסיס השינויים שדווחו לרשות האוכלוסין וההגירה בין המפקדים. במהלך מפקד האוכלוסין מתקבלים נתונים מכלל האוכלוסייה ולא רק ממדגם מתוכה.</w:t>
      </w:r>
      <w:r w:rsidRPr="00AA5065">
        <w:rPr>
          <w:rFonts w:eastAsia="Batang" w:hint="cs"/>
          <w:sz w:val="24"/>
          <w:rtl/>
          <w:lang w:eastAsia="ko-KR"/>
        </w:rPr>
        <w:t xml:space="preserve"> המפקד המסורתי האחרון בוצע בשנת 1995, והחל משנת 2008 עורכים מפקד משולב</w:t>
      </w:r>
      <w:r>
        <w:rPr>
          <w:rFonts w:eastAsia="Batang"/>
          <w:sz w:val="24"/>
          <w:vertAlign w:val="superscript"/>
          <w:rtl/>
          <w:lang w:eastAsia="ko-KR"/>
        </w:rPr>
        <w:footnoteReference w:id="165"/>
      </w:r>
      <w:r w:rsidRPr="00AA5065">
        <w:rPr>
          <w:rFonts w:eastAsia="Batang" w:hint="cs"/>
          <w:sz w:val="24"/>
          <w:rtl/>
          <w:lang w:eastAsia="ko-KR"/>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מטרה חשובה נוספת העומדת בבסיסו של מפקד האוכלוסין היא הצורך לאפיין אזורים קטנים וקבוצות אוכלוסייה קטנות, ובהם אזורים גיאוגרפיים, ולבנות תמונה ואומדן של האוכלוסייה על פי פירוט גיאוגרפי.</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Pr>
      </w:pPr>
      <w:r w:rsidRPr="00AA5065">
        <w:rPr>
          <w:rFonts w:eastAsia="Times New Roman" w:hint="eastAsia"/>
          <w:bCs/>
          <w:spacing w:val="40"/>
          <w:rtl/>
        </w:rPr>
        <w:t>הביקורת</w:t>
      </w:r>
      <w:r w:rsidRPr="00AA5065">
        <w:rPr>
          <w:rFonts w:eastAsia="Times New Roman"/>
          <w:bCs/>
          <w:spacing w:val="40"/>
          <w:rtl/>
        </w:rPr>
        <w:t xml:space="preserve"> </w:t>
      </w:r>
      <w:r w:rsidRPr="00AA5065">
        <w:rPr>
          <w:rFonts w:eastAsia="Times New Roman" w:hint="eastAsia"/>
          <w:bCs/>
          <w:spacing w:val="40"/>
          <w:rtl/>
        </w:rPr>
        <w:t>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 xml:space="preserve">בביקורת הקודמת עלה כי במפקד שנערך בשנת 2008, נתקלו נציגי הלמ"ס בקשיים שונים מול האוכלוסייה הבדואית בנגב, בפזורה וביישובים המוכרים. כך, פעמים רבות היה שיתוף פעולה חלקי בלבד - השאלונים לא מולאו באופן מלא ומפורט, ולא נכללו בתשובות פרטי כל בני המשפחה. כמו כן, </w:t>
      </w:r>
      <w:r w:rsidRPr="00AA5065">
        <w:rPr>
          <w:rFonts w:eastAsia="Calibri" w:hint="eastAsia"/>
          <w:rtl/>
        </w:rPr>
        <w:t>היו</w:t>
      </w:r>
      <w:r w:rsidRPr="00AA5065">
        <w:rPr>
          <w:rFonts w:eastAsia="Calibri"/>
          <w:rtl/>
        </w:rPr>
        <w:t xml:space="preserve"> </w:t>
      </w:r>
      <w:r w:rsidRPr="00AA5065">
        <w:rPr>
          <w:rFonts w:eastAsia="Calibri" w:hint="eastAsia"/>
          <w:rtl/>
        </w:rPr>
        <w:t>יישובים</w:t>
      </w:r>
      <w:r w:rsidRPr="00AA5065">
        <w:rPr>
          <w:rFonts w:eastAsia="Calibri"/>
          <w:rtl/>
        </w:rPr>
        <w:t xml:space="preserve"> </w:t>
      </w:r>
      <w:r w:rsidRPr="00AA5065">
        <w:rPr>
          <w:rFonts w:eastAsia="Calibri" w:hint="eastAsia"/>
          <w:rtl/>
        </w:rPr>
        <w:t>שבהם</w:t>
      </w:r>
      <w:r w:rsidRPr="00AA5065">
        <w:rPr>
          <w:rFonts w:eastAsia="Calibri"/>
          <w:rtl/>
        </w:rPr>
        <w:t xml:space="preserve"> </w:t>
      </w:r>
      <w:r w:rsidRPr="00AA5065">
        <w:rPr>
          <w:rFonts w:eastAsia="Calibri" w:hint="eastAsia"/>
          <w:rtl/>
        </w:rPr>
        <w:t>נקבע</w:t>
      </w:r>
      <w:r w:rsidRPr="00AA5065">
        <w:rPr>
          <w:rFonts w:eastAsia="Calibri"/>
          <w:rtl/>
        </w:rPr>
        <w:t xml:space="preserve"> </w:t>
      </w:r>
      <w:r w:rsidRPr="00AA5065">
        <w:rPr>
          <w:rFonts w:eastAsia="Calibri" w:hint="eastAsia"/>
          <w:rtl/>
        </w:rPr>
        <w:t>שהסוקרים</w:t>
      </w:r>
      <w:r w:rsidRPr="00AA5065">
        <w:rPr>
          <w:rFonts w:eastAsia="Calibri"/>
          <w:rtl/>
        </w:rPr>
        <w:t xml:space="preserve"> </w:t>
      </w:r>
      <w:r w:rsidRPr="00AA5065">
        <w:rPr>
          <w:rFonts w:eastAsia="Calibri" w:hint="eastAsia"/>
          <w:rtl/>
        </w:rPr>
        <w:t>יערכו</w:t>
      </w:r>
      <w:r w:rsidRPr="00AA5065">
        <w:rPr>
          <w:rFonts w:eastAsia="Calibri"/>
          <w:rtl/>
        </w:rPr>
        <w:t xml:space="preserve"> את המפקד </w:t>
      </w:r>
      <w:r w:rsidRPr="00AA5065">
        <w:rPr>
          <w:rFonts w:eastAsia="Calibri" w:hint="eastAsia"/>
          <w:rtl/>
        </w:rPr>
        <w:t>לא</w:t>
      </w:r>
      <w:r w:rsidRPr="00AA5065">
        <w:rPr>
          <w:rFonts w:eastAsia="Calibri"/>
          <w:rtl/>
        </w:rPr>
        <w:t xml:space="preserve"> בבתי התושבים</w:t>
      </w:r>
      <w:r w:rsidRPr="00AA5065">
        <w:rPr>
          <w:rFonts w:eastAsia="Calibri" w:hint="cs"/>
          <w:rtl/>
        </w:rPr>
        <w:t>,</w:t>
      </w:r>
      <w:r w:rsidRPr="00AA5065">
        <w:rPr>
          <w:rFonts w:eastAsia="Calibri"/>
          <w:rtl/>
        </w:rPr>
        <w:t xml:space="preserve"> </w:t>
      </w:r>
      <w:r w:rsidRPr="00AA5065">
        <w:rPr>
          <w:rFonts w:eastAsia="Calibri" w:hint="eastAsia"/>
          <w:rtl/>
        </w:rPr>
        <w:t>ו</w:t>
      </w:r>
      <w:r w:rsidRPr="00AA5065">
        <w:rPr>
          <w:rFonts w:eastAsia="Calibri" w:hint="cs"/>
          <w:rtl/>
        </w:rPr>
        <w:t xml:space="preserve">שהם </w:t>
      </w:r>
      <w:r w:rsidRPr="00AA5065">
        <w:rPr>
          <w:rFonts w:eastAsia="Calibri" w:hint="eastAsia"/>
          <w:rtl/>
        </w:rPr>
        <w:t>יקבלו</w:t>
      </w:r>
      <w:r w:rsidRPr="00AA5065">
        <w:rPr>
          <w:rFonts w:eastAsia="Calibri"/>
          <w:rtl/>
        </w:rPr>
        <w:t xml:space="preserve"> </w:t>
      </w:r>
      <w:r w:rsidRPr="00AA5065">
        <w:rPr>
          <w:rFonts w:eastAsia="Calibri" w:hint="eastAsia"/>
          <w:rtl/>
        </w:rPr>
        <w:t>את</w:t>
      </w:r>
      <w:r w:rsidRPr="00AA5065">
        <w:rPr>
          <w:rFonts w:eastAsia="Calibri"/>
          <w:rtl/>
        </w:rPr>
        <w:t xml:space="preserve"> תעודות הזהות של </w:t>
      </w:r>
      <w:r w:rsidRPr="00AA5065">
        <w:rPr>
          <w:rFonts w:eastAsia="Calibri" w:hint="eastAsia"/>
          <w:rtl/>
        </w:rPr>
        <w:t>כלל</w:t>
      </w:r>
      <w:r w:rsidRPr="00AA5065">
        <w:rPr>
          <w:rFonts w:eastAsia="Calibri"/>
          <w:rtl/>
        </w:rPr>
        <w:t xml:space="preserve"> </w:t>
      </w:r>
      <w:r w:rsidRPr="00AA5065">
        <w:rPr>
          <w:rFonts w:eastAsia="Calibri" w:hint="eastAsia"/>
          <w:rtl/>
        </w:rPr>
        <w:t>התושבים</w:t>
      </w:r>
      <w:r w:rsidRPr="00AA5065">
        <w:rPr>
          <w:rFonts w:eastAsia="Calibri"/>
          <w:rtl/>
        </w:rPr>
        <w:t xml:space="preserve"> </w:t>
      </w:r>
      <w:r w:rsidRPr="00AA5065">
        <w:rPr>
          <w:rFonts w:eastAsia="Calibri" w:hint="eastAsia"/>
          <w:rtl/>
        </w:rPr>
        <w:t>כפי</w:t>
      </w:r>
      <w:r w:rsidRPr="00AA5065">
        <w:rPr>
          <w:rFonts w:eastAsia="Calibri"/>
          <w:rtl/>
        </w:rPr>
        <w:t xml:space="preserve"> </w:t>
      </w:r>
      <w:r w:rsidRPr="00AA5065">
        <w:rPr>
          <w:rFonts w:eastAsia="Calibri" w:hint="eastAsia"/>
          <w:rtl/>
        </w:rPr>
        <w:t>שהן</w:t>
      </w:r>
      <w:r w:rsidRPr="00AA5065">
        <w:rPr>
          <w:rFonts w:eastAsia="Calibri"/>
          <w:rtl/>
        </w:rPr>
        <w:t xml:space="preserve">, </w:t>
      </w:r>
      <w:r w:rsidRPr="00AA5065">
        <w:rPr>
          <w:rFonts w:eastAsia="Calibri" w:hint="eastAsia"/>
          <w:rtl/>
        </w:rPr>
        <w:t>בלא</w:t>
      </w:r>
      <w:r w:rsidRPr="00AA5065">
        <w:rPr>
          <w:rFonts w:eastAsia="Calibri"/>
          <w:rtl/>
        </w:rPr>
        <w:t xml:space="preserve"> </w:t>
      </w:r>
      <w:r w:rsidRPr="00AA5065">
        <w:rPr>
          <w:rFonts w:eastAsia="Calibri" w:hint="eastAsia"/>
          <w:rtl/>
        </w:rPr>
        <w:t>שיוכלו</w:t>
      </w:r>
      <w:r w:rsidRPr="00AA5065">
        <w:rPr>
          <w:rFonts w:eastAsia="Calibri"/>
          <w:rtl/>
        </w:rPr>
        <w:t xml:space="preserve"> לזהות את התושבים </w:t>
      </w:r>
      <w:r w:rsidRPr="00AA5065">
        <w:rPr>
          <w:rFonts w:eastAsia="Calibri" w:hint="eastAsia"/>
          <w:rtl/>
        </w:rPr>
        <w:t>בעין</w:t>
      </w:r>
      <w:r w:rsidRPr="00AA5065">
        <w:rPr>
          <w:rFonts w:eastAsia="Calibri"/>
          <w:rtl/>
        </w:rPr>
        <w:t xml:space="preserve"> </w:t>
      </w:r>
      <w:r w:rsidRPr="00AA5065">
        <w:rPr>
          <w:rFonts w:eastAsia="Calibri" w:hint="eastAsia"/>
          <w:rtl/>
        </w:rPr>
        <w:t>ולערוך</w:t>
      </w:r>
      <w:r w:rsidRPr="00AA5065">
        <w:rPr>
          <w:rFonts w:eastAsia="Calibri"/>
          <w:rtl/>
        </w:rPr>
        <w:t xml:space="preserve"> </w:t>
      </w:r>
      <w:r w:rsidRPr="00AA5065">
        <w:rPr>
          <w:rFonts w:eastAsia="Calibri" w:hint="eastAsia"/>
          <w:rtl/>
        </w:rPr>
        <w:t>בקרה</w:t>
      </w:r>
      <w:r w:rsidRPr="00AA5065">
        <w:rPr>
          <w:rFonts w:eastAsia="Calibri"/>
          <w:rtl/>
        </w:rPr>
        <w:t xml:space="preserve"> </w:t>
      </w:r>
      <w:r w:rsidRPr="00AA5065">
        <w:rPr>
          <w:rFonts w:eastAsia="Calibri" w:hint="eastAsia"/>
          <w:rtl/>
        </w:rPr>
        <w:t>על</w:t>
      </w:r>
      <w:r w:rsidRPr="00AA5065">
        <w:rPr>
          <w:rFonts w:eastAsia="Calibri"/>
          <w:rtl/>
        </w:rPr>
        <w:t xml:space="preserve"> </w:t>
      </w:r>
      <w:r w:rsidRPr="00AA5065">
        <w:rPr>
          <w:rFonts w:eastAsia="Calibri" w:hint="eastAsia"/>
          <w:rtl/>
        </w:rPr>
        <w:t>הזיהוי</w:t>
      </w:r>
      <w:r w:rsidRPr="00AA5065">
        <w:rPr>
          <w:rFonts w:eastAsia="Calibri"/>
          <w:rtl/>
        </w:rPr>
        <w:t>.</w:t>
      </w:r>
    </w:p>
    <w:p w:rsidR="00AA5065" w:rsidRPr="00AA5065" w:rsidP="00860D89">
      <w:pPr>
        <w:spacing w:line="269" w:lineRule="auto"/>
        <w:ind w:left="-567"/>
        <w:rPr>
          <w:rFonts w:eastAsia="Calibri"/>
          <w:szCs w:val="20"/>
          <w:rtl/>
          <w:lang w:eastAsia="ko-KR"/>
        </w:rPr>
      </w:pPr>
    </w:p>
    <w:p w:rsidR="00AA5065" w:rsidRPr="00AA5065" w:rsidP="00860D89">
      <w:pPr>
        <w:spacing w:line="269" w:lineRule="auto"/>
        <w:rPr>
          <w:rFonts w:eastAsia="Calibri"/>
          <w:rtl/>
        </w:rPr>
      </w:pPr>
      <w:r w:rsidRPr="00AA5065">
        <w:rPr>
          <w:rFonts w:eastAsia="Calibri" w:hint="cs"/>
          <w:rtl/>
        </w:rPr>
        <w:t xml:space="preserve">עוד עלה בדוח הקודם כי </w:t>
      </w:r>
      <w:r w:rsidRPr="00AA5065">
        <w:rPr>
          <w:rFonts w:eastAsia="Calibri" w:hint="eastAsia"/>
          <w:rtl/>
        </w:rPr>
        <w:t>הלמ</w:t>
      </w:r>
      <w:r w:rsidRPr="00AA5065">
        <w:rPr>
          <w:rFonts w:eastAsia="Calibri"/>
          <w:rtl/>
        </w:rPr>
        <w:t xml:space="preserve">"ס </w:t>
      </w:r>
      <w:r w:rsidRPr="00AA5065">
        <w:rPr>
          <w:rFonts w:eastAsia="Calibri" w:hint="eastAsia"/>
          <w:rtl/>
        </w:rPr>
        <w:t>מתקשה</w:t>
      </w:r>
      <w:r w:rsidRPr="00AA5065">
        <w:rPr>
          <w:rFonts w:eastAsia="Calibri"/>
          <w:rtl/>
        </w:rPr>
        <w:t xml:space="preserve"> </w:t>
      </w:r>
      <w:r w:rsidRPr="00AA5065">
        <w:rPr>
          <w:rFonts w:eastAsia="Calibri" w:hint="eastAsia"/>
          <w:rtl/>
        </w:rPr>
        <w:t>לשייך</w:t>
      </w:r>
      <w:r w:rsidRPr="00AA5065">
        <w:rPr>
          <w:rFonts w:eastAsia="Calibri"/>
          <w:rtl/>
        </w:rPr>
        <w:t xml:space="preserve"> </w:t>
      </w:r>
      <w:r w:rsidRPr="00AA5065">
        <w:rPr>
          <w:rFonts w:eastAsia="Calibri" w:hint="eastAsia"/>
          <w:rtl/>
        </w:rPr>
        <w:t>את</w:t>
      </w:r>
      <w:r w:rsidRPr="00AA5065">
        <w:rPr>
          <w:rFonts w:eastAsia="Calibri"/>
          <w:rtl/>
        </w:rPr>
        <w:t xml:space="preserve"> </w:t>
      </w:r>
      <w:r w:rsidRPr="00AA5065">
        <w:rPr>
          <w:rFonts w:eastAsia="Calibri" w:hint="eastAsia"/>
          <w:rtl/>
        </w:rPr>
        <w:t>התושבים</w:t>
      </w:r>
      <w:r w:rsidRPr="00AA5065">
        <w:rPr>
          <w:rFonts w:eastAsia="Calibri"/>
          <w:rtl/>
        </w:rPr>
        <w:t xml:space="preserve"> </w:t>
      </w:r>
      <w:r w:rsidRPr="00AA5065">
        <w:rPr>
          <w:rFonts w:eastAsia="Calibri" w:hint="eastAsia"/>
          <w:rtl/>
        </w:rPr>
        <w:t>לאזורים</w:t>
      </w:r>
      <w:r w:rsidRPr="00AA5065">
        <w:rPr>
          <w:rFonts w:eastAsia="Calibri"/>
          <w:rtl/>
        </w:rPr>
        <w:t xml:space="preserve"> </w:t>
      </w:r>
      <w:r w:rsidRPr="00AA5065">
        <w:rPr>
          <w:rFonts w:eastAsia="Calibri" w:hint="eastAsia"/>
          <w:rtl/>
        </w:rPr>
        <w:t>השונים</w:t>
      </w:r>
      <w:r w:rsidRPr="00AA5065">
        <w:rPr>
          <w:rFonts w:eastAsia="Calibri"/>
          <w:rtl/>
        </w:rPr>
        <w:t xml:space="preserve">, </w:t>
      </w:r>
      <w:r w:rsidRPr="00AA5065">
        <w:rPr>
          <w:rFonts w:eastAsia="Calibri" w:hint="eastAsia"/>
          <w:rtl/>
        </w:rPr>
        <w:t>שכן</w:t>
      </w:r>
      <w:r w:rsidRPr="00AA5065">
        <w:rPr>
          <w:rFonts w:eastAsia="Calibri"/>
          <w:rtl/>
        </w:rPr>
        <w:t xml:space="preserve"> </w:t>
      </w:r>
      <w:r w:rsidRPr="00AA5065">
        <w:rPr>
          <w:rFonts w:eastAsia="Calibri" w:hint="eastAsia"/>
          <w:rtl/>
        </w:rPr>
        <w:t>השיוך</w:t>
      </w:r>
      <w:r w:rsidRPr="00AA5065">
        <w:rPr>
          <w:rFonts w:eastAsia="Calibri"/>
          <w:rtl/>
        </w:rPr>
        <w:t xml:space="preserve"> </w:t>
      </w:r>
      <w:r w:rsidRPr="00AA5065">
        <w:rPr>
          <w:rFonts w:eastAsia="Calibri" w:hint="eastAsia"/>
          <w:rtl/>
        </w:rPr>
        <w:t>במרשם</w:t>
      </w:r>
      <w:r w:rsidRPr="00AA5065">
        <w:rPr>
          <w:rFonts w:eastAsia="Calibri"/>
          <w:rtl/>
        </w:rPr>
        <w:t xml:space="preserve"> </w:t>
      </w:r>
      <w:r w:rsidRPr="00AA5065">
        <w:rPr>
          <w:rFonts w:eastAsia="Calibri" w:hint="eastAsia"/>
          <w:rtl/>
        </w:rPr>
        <w:t>האוכלוסין</w:t>
      </w:r>
      <w:r>
        <w:rPr>
          <w:rFonts w:eastAsia="Calibri"/>
          <w:vertAlign w:val="superscript"/>
          <w:rtl/>
        </w:rPr>
        <w:footnoteReference w:id="166"/>
      </w:r>
      <w:r w:rsidRPr="00AA5065">
        <w:rPr>
          <w:rFonts w:eastAsia="Calibri"/>
          <w:rtl/>
        </w:rPr>
        <w:t xml:space="preserve"> הוא לפי שבט ולא לפי מקום. יתרה מכך, מאחר שחלק מתושבי הפזורה </w:t>
      </w:r>
      <w:r w:rsidRPr="00AA5065">
        <w:rPr>
          <w:rFonts w:eastAsia="Calibri" w:hint="cs"/>
          <w:rtl/>
        </w:rPr>
        <w:t>מתגורר</w:t>
      </w:r>
      <w:r w:rsidRPr="00AA5065">
        <w:rPr>
          <w:rFonts w:eastAsia="Calibri"/>
          <w:rtl/>
        </w:rPr>
        <w:t xml:space="preserve">ים סמוך </w:t>
      </w:r>
      <w:r w:rsidRPr="00AA5065">
        <w:rPr>
          <w:rFonts w:eastAsia="Calibri" w:hint="cs"/>
          <w:rtl/>
        </w:rPr>
        <w:t>מאוד</w:t>
      </w:r>
      <w:r w:rsidRPr="00AA5065">
        <w:rPr>
          <w:rFonts w:eastAsia="Calibri"/>
          <w:rtl/>
        </w:rPr>
        <w:t xml:space="preserve"> ל</w:t>
      </w:r>
      <w:r w:rsidRPr="00AA5065">
        <w:rPr>
          <w:rFonts w:eastAsia="Calibri" w:hint="cs"/>
          <w:rtl/>
        </w:rPr>
        <w:t>י</w:t>
      </w:r>
      <w:r w:rsidRPr="00AA5065">
        <w:rPr>
          <w:rFonts w:eastAsia="Calibri"/>
          <w:rtl/>
        </w:rPr>
        <w:t xml:space="preserve">ישובים מוכרים, הרי שלסוקרי הלמ"ס </w:t>
      </w:r>
      <w:r w:rsidRPr="00AA5065">
        <w:rPr>
          <w:rFonts w:eastAsia="Calibri" w:hint="cs"/>
          <w:rtl/>
        </w:rPr>
        <w:t xml:space="preserve">היה </w:t>
      </w:r>
      <w:r w:rsidRPr="00AA5065">
        <w:rPr>
          <w:rFonts w:eastAsia="Calibri"/>
          <w:rtl/>
        </w:rPr>
        <w:t>קשה לזהות את הגבולות המדויקים של הקו הכחול</w:t>
      </w:r>
      <w:r>
        <w:rPr>
          <w:rFonts w:eastAsia="Calibri"/>
          <w:vertAlign w:val="superscript"/>
          <w:rtl/>
        </w:rPr>
        <w:footnoteReference w:id="167"/>
      </w:r>
      <w:r w:rsidRPr="00AA5065">
        <w:rPr>
          <w:rFonts w:eastAsia="Calibri"/>
          <w:rtl/>
        </w:rPr>
        <w:t xml:space="preserve"> </w:t>
      </w:r>
      <w:r w:rsidRPr="00AA5065">
        <w:rPr>
          <w:rFonts w:eastAsia="Calibri" w:hint="cs"/>
          <w:rtl/>
        </w:rPr>
        <w:t>ולקבוע</w:t>
      </w:r>
      <w:r w:rsidRPr="00AA5065">
        <w:rPr>
          <w:rFonts w:eastAsia="Calibri"/>
          <w:rtl/>
        </w:rPr>
        <w:t xml:space="preserve"> אם התושבים שנבדקו שייכים לעיר מוכרת או לפזורה הסמוכה אליה.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הומל</w:t>
      </w:r>
      <w:r w:rsidRPr="00AA5065">
        <w:rPr>
          <w:rFonts w:eastAsia="Calibri"/>
          <w:rtl/>
        </w:rPr>
        <w:t xml:space="preserve">ץ כי הלמ"ס </w:t>
      </w:r>
      <w:r w:rsidRPr="00AA5065">
        <w:rPr>
          <w:rFonts w:eastAsia="Calibri" w:hint="cs"/>
          <w:rtl/>
        </w:rPr>
        <w:t>תי</w:t>
      </w:r>
      <w:r w:rsidRPr="00AA5065">
        <w:rPr>
          <w:rFonts w:eastAsia="Calibri"/>
          <w:rtl/>
        </w:rPr>
        <w:t>ערך בשיתוף הגורמים הרלוונטיים, כגון רשות ההסדרה, לביצוע המפקד הקרוב בקרב האוכלוסייה הבדואית בדרום בצורה מיטבית ומלאה, תוך הפקת הלקחים הנדרשים מהמפקד הקודם והקצאת התקציב וכ</w:t>
      </w:r>
      <w:r w:rsidRPr="00AA5065">
        <w:rPr>
          <w:rFonts w:eastAsia="Calibri" w:hint="cs"/>
          <w:rtl/>
        </w:rPr>
        <w:t>ו</w:t>
      </w:r>
      <w:r w:rsidRPr="00AA5065">
        <w:rPr>
          <w:rFonts w:eastAsia="Calibri"/>
          <w:rtl/>
        </w:rPr>
        <w:t>ח האדם המתאים לכך</w:t>
      </w:r>
      <w:r w:rsidRPr="00AA5065">
        <w:rPr>
          <w:rFonts w:eastAsia="Calibri" w:hint="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ascii="David" w:eastAsia="Times New Roman" w:hAnsi="David" w:hint="cs"/>
          <w:sz w:val="24"/>
          <w:rtl/>
          <w:lang w:eastAsia="he-IL"/>
        </w:rPr>
        <w:t xml:space="preserve">בדיווח הלמ"ס במסגרת הערות ראש הממשלה מאוגוסט 2021 לדוח מבקר המדינה נכתב כי </w:t>
      </w:r>
      <w:r w:rsidRPr="00AA5065">
        <w:rPr>
          <w:rFonts w:ascii="David" w:eastAsia="Times New Roman" w:hAnsi="David"/>
          <w:sz w:val="24"/>
          <w:rtl/>
          <w:lang w:eastAsia="he-IL"/>
        </w:rPr>
        <w:t>הלמ"ס</w:t>
      </w:r>
      <w:r w:rsidRPr="00AA5065">
        <w:rPr>
          <w:rFonts w:eastAsia="Calibri"/>
          <w:rtl/>
        </w:rPr>
        <w:t xml:space="preserve"> משקיעה מאמצים רבים לפקידת האוכלוסייה הבדואית בנגב בצורה המיטבית.</w:t>
      </w:r>
      <w:r w:rsidRPr="00AA5065">
        <w:rPr>
          <w:rFonts w:eastAsia="Calibri" w:hint="cs"/>
          <w:rtl/>
        </w:rPr>
        <w:t xml:space="preserve"> </w:t>
      </w:r>
    </w:p>
    <w:p w:rsidR="00AA5065" w:rsidRPr="00AA5065" w:rsidP="00860D89">
      <w:pPr>
        <w:keepNext/>
        <w:keepLines/>
        <w:spacing w:line="269" w:lineRule="auto"/>
        <w:outlineLvl w:val="4"/>
        <w:rPr>
          <w:rFonts w:eastAsia="Times New Roman"/>
          <w:bCs/>
          <w:spacing w:val="40"/>
          <w:rtl/>
        </w:rPr>
      </w:pPr>
      <w:r w:rsidRPr="00AA5065">
        <w:rPr>
          <w:rFonts w:eastAsia="Times New Roman" w:hint="eastAsia"/>
          <w:bCs/>
          <w:spacing w:val="40"/>
          <w:rtl/>
        </w:rPr>
        <w:t>ביקורת</w:t>
      </w:r>
      <w:r w:rsidRPr="00AA5065">
        <w:rPr>
          <w:rFonts w:eastAsia="Times New Roman"/>
          <w:bCs/>
          <w:spacing w:val="40"/>
          <w:rtl/>
        </w:rPr>
        <w:t xml:space="preserve"> </w:t>
      </w:r>
      <w:r w:rsidRPr="00AA5065">
        <w:rPr>
          <w:rFonts w:eastAsia="Times New Roman" w:hint="eastAsia"/>
          <w:bCs/>
          <w:spacing w:val="40"/>
          <w:rtl/>
        </w:rPr>
        <w:t>המעקב</w:t>
      </w:r>
    </w:p>
    <w:p w:rsidR="00AA5065" w:rsidRPr="00AA5065" w:rsidP="00860D89">
      <w:pPr>
        <w:spacing w:line="269" w:lineRule="auto"/>
        <w:ind w:left="-567"/>
        <w:rPr>
          <w:rFonts w:eastAsia="Calibri"/>
          <w:szCs w:val="20"/>
          <w:rtl/>
          <w:lang w:eastAsia="ko-KR"/>
        </w:rPr>
      </w:pPr>
    </w:p>
    <w:p w:rsidR="00AA5065" w:rsidRPr="00AA5065" w:rsidP="00860D89">
      <w:pPr>
        <w:spacing w:line="269" w:lineRule="auto"/>
        <w:rPr>
          <w:rFonts w:eastAsia="Calibri"/>
          <w:rtl/>
        </w:rPr>
      </w:pPr>
      <w:r w:rsidRPr="00AA5065">
        <w:rPr>
          <w:rFonts w:eastAsia="Calibri" w:hint="eastAsia"/>
          <w:rtl/>
        </w:rPr>
        <w:t>במפקד</w:t>
      </w:r>
      <w:r w:rsidRPr="00AA5065">
        <w:rPr>
          <w:rFonts w:eastAsia="Calibri"/>
          <w:rtl/>
        </w:rPr>
        <w:t xml:space="preserve"> </w:t>
      </w:r>
      <w:r w:rsidRPr="00AA5065">
        <w:rPr>
          <w:rFonts w:eastAsia="Calibri" w:hint="eastAsia"/>
          <w:rtl/>
        </w:rPr>
        <w:t>שביצע</w:t>
      </w:r>
      <w:r w:rsidRPr="00AA5065">
        <w:rPr>
          <w:rFonts w:eastAsia="Calibri" w:hint="cs"/>
          <w:rtl/>
        </w:rPr>
        <w:t>ה</w:t>
      </w:r>
      <w:r w:rsidRPr="00AA5065">
        <w:rPr>
          <w:rFonts w:eastAsia="Calibri"/>
          <w:rtl/>
        </w:rPr>
        <w:t xml:space="preserve"> </w:t>
      </w:r>
      <w:r w:rsidRPr="00AA5065">
        <w:rPr>
          <w:rFonts w:eastAsia="Calibri" w:hint="eastAsia"/>
          <w:rtl/>
        </w:rPr>
        <w:t>הלמ</w:t>
      </w:r>
      <w:r w:rsidRPr="00AA5065">
        <w:rPr>
          <w:rFonts w:eastAsia="Calibri"/>
          <w:rtl/>
        </w:rPr>
        <w:t xml:space="preserve">"ס בשנת 2022 בוצע ניסיון להתגבר על חוסר שיתוף הפעולה </w:t>
      </w:r>
      <w:r w:rsidRPr="00AA5065">
        <w:rPr>
          <w:rFonts w:eastAsia="Calibri" w:hint="eastAsia"/>
          <w:rtl/>
        </w:rPr>
        <w:t>של</w:t>
      </w:r>
      <w:r w:rsidRPr="00AA5065">
        <w:rPr>
          <w:rFonts w:eastAsia="Calibri"/>
          <w:rtl/>
        </w:rPr>
        <w:t xml:space="preserve"> האוכלוסייה הבדואית </w:t>
      </w:r>
      <w:r w:rsidRPr="00AA5065">
        <w:rPr>
          <w:rFonts w:eastAsia="Calibri" w:hint="eastAsia"/>
          <w:rtl/>
        </w:rPr>
        <w:t>באמצעות</w:t>
      </w:r>
      <w:r w:rsidRPr="00AA5065">
        <w:rPr>
          <w:rFonts w:eastAsia="Calibri"/>
          <w:rtl/>
        </w:rPr>
        <w:t xml:space="preserve"> </w:t>
      </w:r>
      <w:r w:rsidRPr="00AA5065">
        <w:rPr>
          <w:rFonts w:eastAsia="Calibri" w:hint="eastAsia"/>
          <w:rtl/>
        </w:rPr>
        <w:t>העסקת</w:t>
      </w:r>
      <w:r w:rsidRPr="00AA5065">
        <w:rPr>
          <w:rFonts w:eastAsia="Calibri"/>
          <w:rtl/>
        </w:rPr>
        <w:t xml:space="preserve"> </w:t>
      </w:r>
      <w:r w:rsidRPr="00AA5065">
        <w:rPr>
          <w:rFonts w:eastAsia="Calibri" w:hint="eastAsia"/>
          <w:rtl/>
        </w:rPr>
        <w:t>סוקרים</w:t>
      </w:r>
      <w:r w:rsidRPr="00AA5065">
        <w:rPr>
          <w:rFonts w:eastAsia="Calibri"/>
          <w:rtl/>
        </w:rPr>
        <w:t xml:space="preserve"> </w:t>
      </w:r>
      <w:r w:rsidRPr="00AA5065">
        <w:rPr>
          <w:rFonts w:eastAsia="Calibri" w:hint="eastAsia"/>
          <w:rtl/>
        </w:rPr>
        <w:t>מתוך</w:t>
      </w:r>
      <w:r w:rsidRPr="00AA5065">
        <w:rPr>
          <w:rFonts w:eastAsia="Calibri"/>
          <w:rtl/>
        </w:rPr>
        <w:t xml:space="preserve"> </w:t>
      </w:r>
      <w:r w:rsidRPr="00AA5065">
        <w:rPr>
          <w:rFonts w:eastAsia="Calibri" w:hint="eastAsia"/>
          <w:rtl/>
        </w:rPr>
        <w:t>היישובים</w:t>
      </w:r>
      <w:r w:rsidRPr="00AA5065">
        <w:rPr>
          <w:rFonts w:eastAsia="Calibri"/>
          <w:rtl/>
        </w:rPr>
        <w:t xml:space="preserve"> הבדואים. בפועל, </w:t>
      </w:r>
      <w:r w:rsidRPr="00AA5065">
        <w:rPr>
          <w:rFonts w:eastAsia="Calibri" w:hint="eastAsia"/>
          <w:rtl/>
        </w:rPr>
        <w:t>שיעור</w:t>
      </w:r>
      <w:r w:rsidRPr="00AA5065">
        <w:rPr>
          <w:rFonts w:eastAsia="Calibri"/>
          <w:rtl/>
        </w:rPr>
        <w:t xml:space="preserve"> </w:t>
      </w:r>
      <w:r w:rsidRPr="00AA5065">
        <w:rPr>
          <w:rFonts w:eastAsia="Calibri" w:hint="eastAsia"/>
          <w:rtl/>
        </w:rPr>
        <w:t>המענה</w:t>
      </w:r>
      <w:r w:rsidRPr="00AA5065">
        <w:rPr>
          <w:rFonts w:eastAsia="Calibri"/>
          <w:rtl/>
        </w:rPr>
        <w:t xml:space="preserve"> </w:t>
      </w:r>
      <w:r w:rsidRPr="00AA5065">
        <w:rPr>
          <w:rFonts w:eastAsia="Calibri" w:hint="eastAsia"/>
          <w:rtl/>
        </w:rPr>
        <w:t>היה</w:t>
      </w:r>
      <w:r w:rsidRPr="00AA5065">
        <w:rPr>
          <w:rFonts w:eastAsia="Calibri"/>
          <w:rtl/>
        </w:rPr>
        <w:t xml:space="preserve"> </w:t>
      </w:r>
      <w:r w:rsidRPr="00AA5065">
        <w:rPr>
          <w:rFonts w:eastAsia="Calibri" w:hint="eastAsia"/>
          <w:rtl/>
        </w:rPr>
        <w:t>נמוך</w:t>
      </w:r>
      <w:r w:rsidRPr="00AA5065">
        <w:rPr>
          <w:rFonts w:eastAsia="Calibri"/>
          <w:rtl/>
        </w:rPr>
        <w:t xml:space="preserve"> מאוד (4%) </w:t>
      </w:r>
      <w:r w:rsidRPr="00AA5065">
        <w:rPr>
          <w:rFonts w:eastAsia="Calibri" w:hint="eastAsia"/>
          <w:rtl/>
        </w:rPr>
        <w:t>בקרב</w:t>
      </w:r>
      <w:r w:rsidRPr="00AA5065">
        <w:rPr>
          <w:rFonts w:eastAsia="Calibri"/>
          <w:rtl/>
        </w:rPr>
        <w:t xml:space="preserve"> </w:t>
      </w:r>
      <w:r w:rsidRPr="00AA5065">
        <w:rPr>
          <w:rFonts w:eastAsia="Calibri" w:hint="eastAsia"/>
          <w:rtl/>
        </w:rPr>
        <w:t>תושבי</w:t>
      </w:r>
      <w:r w:rsidRPr="00AA5065">
        <w:rPr>
          <w:rFonts w:eastAsia="Calibri"/>
          <w:rtl/>
        </w:rPr>
        <w:t xml:space="preserve"> </w:t>
      </w:r>
      <w:r w:rsidRPr="00AA5065">
        <w:rPr>
          <w:rFonts w:eastAsia="Calibri" w:hint="eastAsia"/>
          <w:rtl/>
        </w:rPr>
        <w:t>הפזורה</w:t>
      </w:r>
      <w:r w:rsidRPr="00AA5065">
        <w:rPr>
          <w:rFonts w:eastAsia="Calibri"/>
          <w:rtl/>
        </w:rPr>
        <w:t>, ואילו בי</w:t>
      </w:r>
      <w:r w:rsidRPr="00AA5065">
        <w:rPr>
          <w:rFonts w:eastAsia="Calibri" w:hint="eastAsia"/>
          <w:rtl/>
        </w:rPr>
        <w:t>ישובים</w:t>
      </w:r>
      <w:r w:rsidRPr="00AA5065">
        <w:rPr>
          <w:rFonts w:eastAsia="Calibri"/>
          <w:rtl/>
        </w:rPr>
        <w:t xml:space="preserve"> המוכרים </w:t>
      </w:r>
      <w:r w:rsidRPr="00AA5065">
        <w:rPr>
          <w:rFonts w:eastAsia="Calibri" w:hint="eastAsia"/>
          <w:rtl/>
        </w:rPr>
        <w:t>היה</w:t>
      </w:r>
      <w:r w:rsidRPr="00AA5065">
        <w:rPr>
          <w:rFonts w:eastAsia="Calibri"/>
          <w:rtl/>
        </w:rPr>
        <w:t xml:space="preserve"> שיעור </w:t>
      </w:r>
      <w:r w:rsidRPr="00AA5065">
        <w:rPr>
          <w:rFonts w:eastAsia="Calibri" w:hint="eastAsia"/>
          <w:rtl/>
        </w:rPr>
        <w:t>המענה</w:t>
      </w:r>
      <w:r w:rsidRPr="00AA5065">
        <w:rPr>
          <w:rFonts w:eastAsia="Calibri"/>
          <w:rtl/>
        </w:rPr>
        <w:t xml:space="preserve"> כ-30%. זאת ועוד: תושבי הפזורה עדיין היו רשומים במרשם האוכלוסין על פי ה"שבט" ולא לפי מקום המגורים שלהם, דבר אשר הקשה על </w:t>
      </w:r>
      <w:r w:rsidRPr="00AA5065">
        <w:rPr>
          <w:rFonts w:eastAsia="Calibri" w:hint="eastAsia"/>
          <w:rtl/>
        </w:rPr>
        <w:t>סוקרי</w:t>
      </w:r>
      <w:r w:rsidRPr="00AA5065">
        <w:rPr>
          <w:rFonts w:eastAsia="Calibri"/>
          <w:rtl/>
        </w:rPr>
        <w:t xml:space="preserve"> </w:t>
      </w:r>
      <w:r w:rsidRPr="00AA5065">
        <w:rPr>
          <w:rFonts w:eastAsia="Calibri" w:hint="eastAsia"/>
          <w:rtl/>
        </w:rPr>
        <w:t>הלמ</w:t>
      </w:r>
      <w:r w:rsidRPr="00AA5065">
        <w:rPr>
          <w:rFonts w:eastAsia="Calibri"/>
          <w:rtl/>
        </w:rPr>
        <w:t xml:space="preserve">"ס בבואם לשייך את התושבים לאזורים השונים. </w:t>
      </w:r>
      <w:r w:rsidRPr="00AA5065">
        <w:rPr>
          <w:rFonts w:eastAsia="Calibri" w:hint="eastAsia"/>
          <w:rtl/>
        </w:rPr>
        <w:t>נוסף</w:t>
      </w:r>
      <w:r w:rsidRPr="00AA5065">
        <w:rPr>
          <w:rFonts w:eastAsia="Calibri"/>
          <w:rtl/>
        </w:rPr>
        <w:t xml:space="preserve"> על כך, </w:t>
      </w:r>
      <w:r w:rsidRPr="00AA5065">
        <w:rPr>
          <w:rFonts w:eastAsia="Calibri" w:hint="eastAsia"/>
          <w:rtl/>
        </w:rPr>
        <w:t>לגבי</w:t>
      </w:r>
      <w:r w:rsidRPr="00AA5065">
        <w:rPr>
          <w:rFonts w:eastAsia="Calibri"/>
          <w:rtl/>
        </w:rPr>
        <w:t xml:space="preserve"> </w:t>
      </w:r>
      <w:r w:rsidRPr="00AA5065">
        <w:rPr>
          <w:rFonts w:eastAsia="Calibri" w:hint="eastAsia"/>
          <w:rtl/>
        </w:rPr>
        <w:t>תושבי</w:t>
      </w:r>
      <w:r w:rsidRPr="00AA5065">
        <w:rPr>
          <w:rFonts w:eastAsia="Calibri"/>
          <w:rtl/>
        </w:rPr>
        <w:t xml:space="preserve"> </w:t>
      </w:r>
      <w:r w:rsidRPr="00AA5065">
        <w:rPr>
          <w:rFonts w:eastAsia="Calibri" w:hint="eastAsia"/>
          <w:rtl/>
        </w:rPr>
        <w:t>הפזורה</w:t>
      </w:r>
      <w:r w:rsidRPr="00AA5065">
        <w:rPr>
          <w:rFonts w:eastAsia="Calibri"/>
          <w:rtl/>
        </w:rPr>
        <w:t xml:space="preserve"> </w:t>
      </w:r>
      <w:r w:rsidRPr="00AA5065">
        <w:rPr>
          <w:rFonts w:eastAsia="Calibri" w:hint="eastAsia"/>
          <w:rtl/>
        </w:rPr>
        <w:t>היו</w:t>
      </w:r>
      <w:r w:rsidRPr="00AA5065">
        <w:rPr>
          <w:rFonts w:eastAsia="Calibri"/>
          <w:rtl/>
        </w:rPr>
        <w:t xml:space="preserve"> </w:t>
      </w:r>
      <w:r w:rsidRPr="00AA5065">
        <w:rPr>
          <w:rFonts w:eastAsia="Calibri" w:hint="eastAsia"/>
          <w:rtl/>
        </w:rPr>
        <w:t>חסרים</w:t>
      </w:r>
      <w:r w:rsidRPr="00AA5065">
        <w:rPr>
          <w:rFonts w:eastAsia="Calibri"/>
          <w:rtl/>
        </w:rPr>
        <w:t xml:space="preserve"> </w:t>
      </w:r>
      <w:r w:rsidRPr="00AA5065">
        <w:rPr>
          <w:rFonts w:eastAsia="Calibri" w:hint="eastAsia"/>
          <w:rtl/>
        </w:rPr>
        <w:t>הנתונים</w:t>
      </w:r>
      <w:r w:rsidRPr="00AA5065">
        <w:rPr>
          <w:rFonts w:eastAsia="Calibri"/>
          <w:rtl/>
        </w:rPr>
        <w:t xml:space="preserve"> </w:t>
      </w:r>
      <w:r w:rsidRPr="00AA5065">
        <w:rPr>
          <w:rFonts w:eastAsia="Calibri" w:hint="eastAsia"/>
          <w:rtl/>
        </w:rPr>
        <w:t>החברתיים</w:t>
      </w:r>
      <w:r w:rsidRPr="00AA5065">
        <w:rPr>
          <w:rFonts w:eastAsia="Calibri"/>
          <w:rtl/>
        </w:rPr>
        <w:t>-</w:t>
      </w:r>
      <w:r w:rsidRPr="00AA5065">
        <w:rPr>
          <w:rFonts w:eastAsia="Calibri" w:hint="eastAsia"/>
          <w:rtl/>
        </w:rPr>
        <w:t>כלכליים</w:t>
      </w:r>
      <w:r w:rsidRPr="00AA5065">
        <w:rPr>
          <w:rFonts w:eastAsia="Calibri"/>
          <w:rtl/>
        </w:rPr>
        <w:t xml:space="preserve">, כגון </w:t>
      </w:r>
      <w:r w:rsidRPr="00AA5065">
        <w:rPr>
          <w:rFonts w:eastAsia="Calibri" w:hint="eastAsia"/>
          <w:rtl/>
        </w:rPr>
        <w:t>המצב</w:t>
      </w:r>
      <w:r w:rsidRPr="00AA5065">
        <w:rPr>
          <w:rFonts w:eastAsia="Calibri"/>
          <w:rtl/>
        </w:rPr>
        <w:t xml:space="preserve"> </w:t>
      </w:r>
      <w:r w:rsidRPr="00AA5065">
        <w:rPr>
          <w:rFonts w:eastAsia="Calibri" w:hint="eastAsia"/>
          <w:rtl/>
        </w:rPr>
        <w:t>התעסוקתי</w:t>
      </w:r>
      <w:r w:rsidRPr="00AA5065">
        <w:rPr>
          <w:rFonts w:eastAsia="Calibri"/>
          <w:rtl/>
        </w:rPr>
        <w:t xml:space="preserve"> שלהם, </w:t>
      </w:r>
      <w:r w:rsidRPr="00AA5065">
        <w:rPr>
          <w:rFonts w:eastAsia="Calibri" w:hint="eastAsia"/>
          <w:rtl/>
        </w:rPr>
        <w:t>גובה</w:t>
      </w:r>
      <w:r w:rsidRPr="00AA5065">
        <w:rPr>
          <w:rFonts w:eastAsia="Calibri"/>
          <w:rtl/>
        </w:rPr>
        <w:t xml:space="preserve"> </w:t>
      </w:r>
      <w:r w:rsidRPr="00AA5065">
        <w:rPr>
          <w:rFonts w:eastAsia="Calibri" w:hint="eastAsia"/>
          <w:rtl/>
        </w:rPr>
        <w:t>ההכנסה</w:t>
      </w:r>
      <w:r w:rsidRPr="00AA5065">
        <w:rPr>
          <w:rFonts w:eastAsia="Calibri"/>
          <w:rtl/>
        </w:rPr>
        <w:t xml:space="preserve"> </w:t>
      </w:r>
      <w:r w:rsidRPr="00AA5065">
        <w:rPr>
          <w:rFonts w:eastAsia="Calibri" w:hint="eastAsia"/>
          <w:rtl/>
        </w:rPr>
        <w:t>וכד</w:t>
      </w:r>
      <w:r w:rsidRPr="00AA5065">
        <w:rPr>
          <w:rFonts w:eastAsia="Calibri"/>
          <w:rtl/>
        </w:rPr>
        <w:t xml:space="preserve">', ולכן </w:t>
      </w:r>
      <w:r w:rsidRPr="00AA5065">
        <w:rPr>
          <w:rFonts w:eastAsia="Calibri" w:hint="eastAsia"/>
          <w:rtl/>
        </w:rPr>
        <w:t>הלמ</w:t>
      </w:r>
      <w:r w:rsidRPr="00AA5065">
        <w:rPr>
          <w:rFonts w:eastAsia="Calibri"/>
          <w:rtl/>
        </w:rPr>
        <w:t>"ס נאלץ לבצע אומדן של נתונים אלו.</w:t>
      </w:r>
    </w:p>
    <w:p w:rsidR="00AA5065" w:rsidRPr="00AA5065" w:rsidP="00860D89">
      <w:pPr>
        <w:spacing w:line="269" w:lineRule="auto"/>
        <w:ind w:left="-567"/>
        <w:rPr>
          <w:rFonts w:eastAsia="Calibri"/>
          <w:szCs w:val="20"/>
          <w:rtl/>
        </w:rPr>
      </w:pPr>
    </w:p>
    <w:p w:rsidR="00AA5065" w:rsidRPr="00AA5065" w:rsidP="007A08F1">
      <w:pPr>
        <w:spacing w:line="269" w:lineRule="auto"/>
        <w:rPr>
          <w:rFonts w:eastAsia="Calibri"/>
          <w:rtl/>
        </w:rPr>
      </w:pPr>
      <w:r w:rsidRPr="00AA5065">
        <w:rPr>
          <w:rFonts w:eastAsia="Calibri" w:hint="eastAsia"/>
          <w:rtl/>
        </w:rPr>
        <w:t>בהקשר</w:t>
      </w:r>
      <w:r w:rsidRPr="00AA5065">
        <w:rPr>
          <w:rFonts w:eastAsia="Calibri"/>
          <w:rtl/>
        </w:rPr>
        <w:t xml:space="preserve"> </w:t>
      </w:r>
      <w:r w:rsidRPr="00AA5065">
        <w:rPr>
          <w:rFonts w:eastAsia="Calibri" w:hint="eastAsia"/>
          <w:rtl/>
        </w:rPr>
        <w:t>זה</w:t>
      </w:r>
      <w:r w:rsidRPr="00AA5065">
        <w:rPr>
          <w:rFonts w:eastAsia="Calibri"/>
          <w:rtl/>
        </w:rPr>
        <w:t xml:space="preserve"> </w:t>
      </w:r>
      <w:r w:rsidRPr="00AA5065">
        <w:rPr>
          <w:rFonts w:eastAsia="Calibri" w:hint="eastAsia"/>
          <w:rtl/>
        </w:rPr>
        <w:t>יצוין</w:t>
      </w:r>
      <w:r w:rsidRPr="00AA5065">
        <w:rPr>
          <w:rFonts w:eastAsia="Calibri"/>
          <w:rtl/>
        </w:rPr>
        <w:t xml:space="preserve"> </w:t>
      </w:r>
      <w:r w:rsidRPr="00AA5065">
        <w:rPr>
          <w:rFonts w:eastAsia="Calibri" w:hint="eastAsia"/>
          <w:rtl/>
        </w:rPr>
        <w:t>כי</w:t>
      </w:r>
      <w:r w:rsidRPr="00AA5065">
        <w:rPr>
          <w:rFonts w:eastAsia="Calibri"/>
          <w:rtl/>
        </w:rPr>
        <w:t xml:space="preserve"> </w:t>
      </w:r>
      <w:r w:rsidRPr="00AA5065">
        <w:rPr>
          <w:rFonts w:eastAsia="Calibri" w:hint="eastAsia"/>
          <w:rtl/>
        </w:rPr>
        <w:t>על</w:t>
      </w:r>
      <w:r w:rsidRPr="00AA5065">
        <w:rPr>
          <w:rFonts w:eastAsia="Calibri"/>
          <w:rtl/>
        </w:rPr>
        <w:t xml:space="preserve"> </w:t>
      </w:r>
      <w:r w:rsidRPr="00AA5065">
        <w:rPr>
          <w:rFonts w:eastAsia="Calibri" w:hint="eastAsia"/>
          <w:rtl/>
        </w:rPr>
        <w:t>פי</w:t>
      </w:r>
      <w:r w:rsidRPr="00AA5065">
        <w:rPr>
          <w:rFonts w:eastAsia="Calibri"/>
          <w:rtl/>
        </w:rPr>
        <w:t xml:space="preserve"> </w:t>
      </w:r>
      <w:r w:rsidRPr="00AA5065">
        <w:rPr>
          <w:rFonts w:eastAsia="Calibri" w:hint="cs"/>
          <w:rtl/>
        </w:rPr>
        <w:t>פרסום</w:t>
      </w:r>
      <w:r w:rsidRPr="00AA5065">
        <w:rPr>
          <w:rFonts w:eastAsia="Calibri"/>
          <w:rtl/>
        </w:rPr>
        <w:t xml:space="preserve"> של מרכז המחקר והמידע של הכנסת</w:t>
      </w:r>
      <w:r w:rsidR="007A08F1">
        <w:rPr>
          <w:rFonts w:eastAsia="Calibri" w:hint="cs"/>
          <w:rtl/>
        </w:rPr>
        <w:t xml:space="preserve"> </w:t>
      </w:r>
      <w:r w:rsidRPr="007A08F1" w:rsidR="007A08F1">
        <w:rPr>
          <w:rFonts w:eastAsia="Calibri" w:hint="eastAsia"/>
          <w:rtl/>
        </w:rPr>
        <w:t>מ</w:t>
      </w:r>
      <w:r w:rsidRPr="007A08F1" w:rsidR="007A08F1">
        <w:rPr>
          <w:rFonts w:eastAsia="Calibri" w:hint="cs"/>
          <w:rtl/>
        </w:rPr>
        <w:t>-</w:t>
      </w:r>
      <w:r w:rsidRPr="007A08F1" w:rsidR="007A08F1">
        <w:rPr>
          <w:rFonts w:eastAsia="Calibri"/>
          <w:rtl/>
        </w:rPr>
        <w:t>10</w:t>
      </w:r>
      <w:r w:rsidRPr="007A08F1" w:rsidR="007A08F1">
        <w:rPr>
          <w:rFonts w:eastAsia="Calibri" w:hint="cs"/>
          <w:rtl/>
        </w:rPr>
        <w:t>.7.23</w:t>
      </w:r>
      <w:r>
        <w:rPr>
          <w:rFonts w:eastAsia="Calibri"/>
          <w:vertAlign w:val="superscript"/>
          <w:rtl/>
        </w:rPr>
        <w:footnoteReference w:id="168"/>
      </w:r>
      <w:r w:rsidRPr="00AA5065">
        <w:rPr>
          <w:rFonts w:eastAsia="Calibri"/>
          <w:rtl/>
        </w:rPr>
        <w:t xml:space="preserve"> </w:t>
      </w:r>
      <w:r w:rsidRPr="00AA5065">
        <w:rPr>
          <w:rFonts w:eastAsia="Calibri" w:hint="eastAsia"/>
          <w:rtl/>
        </w:rPr>
        <w:t>קיים</w:t>
      </w:r>
      <w:r w:rsidRPr="00AA5065">
        <w:rPr>
          <w:rFonts w:eastAsia="Calibri"/>
          <w:rtl/>
        </w:rPr>
        <w:t xml:space="preserve"> פער בין נתוני </w:t>
      </w:r>
      <w:r w:rsidRPr="00AA5065">
        <w:rPr>
          <w:rFonts w:eastAsia="Calibri" w:hint="eastAsia"/>
          <w:rtl/>
        </w:rPr>
        <w:t>הלמ</w:t>
      </w:r>
      <w:r w:rsidRPr="00AA5065">
        <w:rPr>
          <w:rFonts w:eastAsia="Calibri"/>
          <w:rtl/>
        </w:rPr>
        <w:t xml:space="preserve">"ס </w:t>
      </w:r>
      <w:r w:rsidRPr="00AA5065">
        <w:rPr>
          <w:rFonts w:eastAsia="Calibri" w:hint="eastAsia"/>
          <w:rtl/>
        </w:rPr>
        <w:t>ובין</w:t>
      </w:r>
      <w:r w:rsidRPr="00AA5065">
        <w:rPr>
          <w:rFonts w:eastAsia="Calibri"/>
          <w:rtl/>
        </w:rPr>
        <w:t xml:space="preserve"> </w:t>
      </w:r>
      <w:r w:rsidRPr="00AA5065">
        <w:rPr>
          <w:rFonts w:eastAsia="Calibri" w:hint="eastAsia"/>
          <w:rtl/>
        </w:rPr>
        <w:t>נתוני</w:t>
      </w:r>
      <w:r w:rsidRPr="00AA5065">
        <w:rPr>
          <w:rFonts w:eastAsia="Calibri"/>
          <w:rtl/>
        </w:rPr>
        <w:t xml:space="preserve"> </w:t>
      </w:r>
      <w:r w:rsidRPr="00AA5065">
        <w:rPr>
          <w:rFonts w:eastAsia="Calibri" w:hint="eastAsia"/>
          <w:rtl/>
        </w:rPr>
        <w:t>רשות</w:t>
      </w:r>
      <w:r w:rsidRPr="00AA5065">
        <w:rPr>
          <w:rFonts w:eastAsia="Calibri"/>
          <w:rtl/>
        </w:rPr>
        <w:t xml:space="preserve"> </w:t>
      </w:r>
      <w:r w:rsidRPr="00AA5065">
        <w:rPr>
          <w:rFonts w:eastAsia="Calibri" w:hint="eastAsia"/>
          <w:rtl/>
        </w:rPr>
        <w:t>האוכלוסין</w:t>
      </w:r>
      <w:r w:rsidRPr="00AA5065">
        <w:rPr>
          <w:rFonts w:eastAsia="Calibri"/>
          <w:rtl/>
        </w:rPr>
        <w:t xml:space="preserve"> </w:t>
      </w:r>
      <w:r w:rsidRPr="00AA5065">
        <w:rPr>
          <w:rFonts w:eastAsia="Calibri" w:hint="eastAsia"/>
          <w:rtl/>
        </w:rPr>
        <w:t>וההגירה</w:t>
      </w:r>
      <w:r w:rsidRPr="00AA5065">
        <w:rPr>
          <w:rFonts w:eastAsia="Calibri"/>
          <w:rtl/>
        </w:rPr>
        <w:t xml:space="preserve">. </w:t>
      </w:r>
      <w:r w:rsidRPr="00AA5065">
        <w:rPr>
          <w:rFonts w:eastAsia="Calibri" w:hint="eastAsia"/>
          <w:rtl/>
        </w:rPr>
        <w:t>על</w:t>
      </w:r>
      <w:r w:rsidRPr="00AA5065">
        <w:rPr>
          <w:rFonts w:eastAsia="Calibri"/>
          <w:rtl/>
        </w:rPr>
        <w:t xml:space="preserve"> </w:t>
      </w:r>
      <w:r w:rsidRPr="00AA5065">
        <w:rPr>
          <w:rFonts w:eastAsia="Calibri" w:hint="eastAsia"/>
          <w:rtl/>
        </w:rPr>
        <w:t>פי</w:t>
      </w:r>
      <w:r w:rsidRPr="00AA5065">
        <w:rPr>
          <w:rFonts w:eastAsia="Calibri"/>
          <w:rtl/>
        </w:rPr>
        <w:t xml:space="preserve"> </w:t>
      </w:r>
      <w:r w:rsidRPr="00AA5065">
        <w:rPr>
          <w:rFonts w:eastAsia="Calibri" w:hint="eastAsia"/>
          <w:rtl/>
        </w:rPr>
        <w:t>מסמך</w:t>
      </w:r>
      <w:r w:rsidRPr="00AA5065">
        <w:rPr>
          <w:rFonts w:eastAsia="Calibri"/>
          <w:rtl/>
        </w:rPr>
        <w:t xml:space="preserve"> </w:t>
      </w:r>
      <w:r w:rsidRPr="00AA5065">
        <w:rPr>
          <w:rFonts w:eastAsia="Calibri" w:hint="eastAsia"/>
          <w:rtl/>
        </w:rPr>
        <w:t>זה</w:t>
      </w:r>
      <w:r w:rsidRPr="00AA5065">
        <w:rPr>
          <w:rFonts w:eastAsia="Calibri"/>
          <w:rtl/>
        </w:rPr>
        <w:t>, "לפי נתוני רשות האוכלוסין וההגירה (יולי 2023) והלמ"ס (דצמבר 2022) בנגב מתגוררים כ-300</w:t>
      </w:r>
      <w:r w:rsidR="007A08F1">
        <w:rPr>
          <w:rFonts w:eastAsia="Calibri" w:hint="cs"/>
          <w:rtl/>
        </w:rPr>
        <w:t>,000</w:t>
      </w:r>
      <w:r w:rsidRPr="00AA5065">
        <w:rPr>
          <w:rFonts w:eastAsia="Calibri"/>
          <w:rtl/>
        </w:rPr>
        <w:t xml:space="preserve"> בדואים. לפי נתוני רשות האוכלוסין וההגירה, 71% מהם מתגוררים ביישובים הבדואים המוכרים ו-29% מהם מתגוררים ב-25 שבטים מחוץ ליישובים אלה. לפי אומדני הלמ"ס, שיעור המתגוררים ביישובים המוכרים מעט גבוה יותר - 77% ובהתאמה, שיעור המתגוררים מחוצה להם נמוך יותר</w:t>
      </w:r>
      <w:r w:rsidRPr="00AA5065">
        <w:rPr>
          <w:rFonts w:eastAsia="Calibri" w:hint="cs"/>
          <w:rtl/>
        </w:rPr>
        <w:t xml:space="preserve"> </w:t>
      </w:r>
      <w:r w:rsidRPr="00AA5065">
        <w:rPr>
          <w:rFonts w:eastAsia="Calibri"/>
          <w:rtl/>
        </w:rPr>
        <w:t>-</w:t>
      </w:r>
      <w:r w:rsidRPr="00AA5065">
        <w:rPr>
          <w:rFonts w:eastAsia="Calibri" w:hint="cs"/>
          <w:rtl/>
        </w:rPr>
        <w:t xml:space="preserve"> </w:t>
      </w:r>
      <w:r w:rsidRPr="00AA5065">
        <w:rPr>
          <w:rFonts w:eastAsia="Calibri"/>
          <w:rtl/>
        </w:rPr>
        <w:t>23%".</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סמנכ</w:t>
      </w:r>
      <w:r w:rsidRPr="00AA5065">
        <w:rPr>
          <w:rFonts w:eastAsia="Calibri"/>
          <w:rtl/>
        </w:rPr>
        <w:t>"</w:t>
      </w:r>
      <w:r w:rsidR="0054781A">
        <w:rPr>
          <w:rFonts w:eastAsia="Calibri" w:hint="cs"/>
          <w:rtl/>
        </w:rPr>
        <w:t>ל</w:t>
      </w:r>
      <w:r w:rsidRPr="00AA5065">
        <w:rPr>
          <w:rFonts w:eastAsia="Calibri"/>
          <w:rtl/>
        </w:rPr>
        <w:t xml:space="preserve">ית בכירה לתכנון מדיניות ואסטרטגיה ברשות האוכלוסין </w:t>
      </w:r>
      <w:r w:rsidRPr="00AA5065">
        <w:rPr>
          <w:rFonts w:eastAsia="Calibri" w:hint="eastAsia"/>
          <w:rtl/>
        </w:rPr>
        <w:t>מסרה</w:t>
      </w:r>
      <w:r w:rsidRPr="00AA5065">
        <w:rPr>
          <w:rFonts w:eastAsia="Calibri"/>
          <w:rtl/>
        </w:rPr>
        <w:t xml:space="preserve"> </w:t>
      </w:r>
      <w:r w:rsidRPr="00AA5065">
        <w:rPr>
          <w:rFonts w:eastAsia="Calibri" w:hint="eastAsia"/>
          <w:rtl/>
        </w:rPr>
        <w:t>לצוות</w:t>
      </w:r>
      <w:r w:rsidRPr="00AA5065">
        <w:rPr>
          <w:rFonts w:eastAsia="Calibri"/>
          <w:rtl/>
        </w:rPr>
        <w:t xml:space="preserve"> </w:t>
      </w:r>
      <w:r w:rsidRPr="00AA5065">
        <w:rPr>
          <w:rFonts w:eastAsia="Calibri" w:hint="eastAsia"/>
          <w:rtl/>
        </w:rPr>
        <w:t>הביקורת</w:t>
      </w:r>
      <w:r w:rsidRPr="00AA5065">
        <w:rPr>
          <w:rFonts w:eastAsia="Calibri"/>
          <w:rtl/>
        </w:rPr>
        <w:t xml:space="preserve"> </w:t>
      </w:r>
      <w:r w:rsidR="00AF3FA8">
        <w:rPr>
          <w:rFonts w:eastAsia="Calibri"/>
          <w:rtl/>
        </w:rPr>
        <w:br/>
      </w:r>
      <w:r w:rsidRPr="00AA5065">
        <w:rPr>
          <w:rFonts w:eastAsia="Calibri" w:hint="eastAsia"/>
          <w:rtl/>
        </w:rPr>
        <w:t>ב</w:t>
      </w:r>
      <w:r w:rsidRPr="00AA5065">
        <w:rPr>
          <w:rFonts w:eastAsia="Calibri"/>
          <w:rtl/>
        </w:rPr>
        <w:t>-18.12.24 כי "למרות שגם אומדני האוכלוסייה מבוססים על נתוני מרשם האוכלוסין קיימים הבדלים ביניהם שמתבטאים הן ביחס לגודל האוכלוסייה ברמה הארצית והן ביחס לנתוני אוכלוסייה ברמת היישוב או חלוקות גאוגרפיות אחרות. הבדלים אלו אינם משקפים פער אלא נובעים מכך שכל אחד משני המקורות משמש למטרות שונות, בהתאם לתפקיד והייעוד של כל אחד מהארגונים".</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bookmarkStart w:id="167" w:name="_Hlk204860440"/>
      <w:r w:rsidRPr="00AA5065">
        <w:rPr>
          <w:rFonts w:eastAsia="Calibri" w:hint="eastAsia"/>
          <w:b/>
          <w:bCs/>
          <w:rtl/>
        </w:rPr>
        <w:t>בביקורת</w:t>
      </w:r>
      <w:r w:rsidRPr="00AA5065">
        <w:rPr>
          <w:rFonts w:eastAsia="Calibri"/>
          <w:b/>
          <w:bCs/>
          <w:rtl/>
        </w:rPr>
        <w:t xml:space="preserve"> </w:t>
      </w:r>
      <w:r w:rsidRPr="00AA5065">
        <w:rPr>
          <w:rFonts w:eastAsia="Calibri" w:hint="eastAsia"/>
          <w:b/>
          <w:bCs/>
          <w:rtl/>
        </w:rPr>
        <w:t>קודמת</w:t>
      </w:r>
      <w:r w:rsidRPr="00AA5065">
        <w:rPr>
          <w:rFonts w:eastAsia="Calibri"/>
          <w:b/>
          <w:bCs/>
          <w:rtl/>
        </w:rPr>
        <w:t xml:space="preserve"> </w:t>
      </w:r>
      <w:r w:rsidRPr="00AA5065">
        <w:rPr>
          <w:rFonts w:eastAsia="Calibri" w:hint="eastAsia"/>
          <w:b/>
          <w:bCs/>
          <w:rtl/>
        </w:rPr>
        <w:t>עלה</w:t>
      </w:r>
      <w:r w:rsidRPr="00AA5065">
        <w:rPr>
          <w:rFonts w:eastAsia="Calibri"/>
          <w:b/>
          <w:bCs/>
          <w:rtl/>
        </w:rPr>
        <w:t xml:space="preserve"> </w:t>
      </w:r>
      <w:r w:rsidRPr="00AA5065">
        <w:rPr>
          <w:rFonts w:eastAsia="Calibri" w:hint="eastAsia"/>
          <w:b/>
          <w:bCs/>
          <w:rtl/>
        </w:rPr>
        <w:t>כי</w:t>
      </w:r>
      <w:r w:rsidRPr="00AA5065">
        <w:rPr>
          <w:rFonts w:eastAsia="Calibri"/>
          <w:b/>
          <w:bCs/>
          <w:rtl/>
        </w:rPr>
        <w:t xml:space="preserve"> </w:t>
      </w:r>
      <w:r w:rsidRPr="00AA5065">
        <w:rPr>
          <w:rFonts w:eastAsia="Calibri" w:hint="eastAsia"/>
          <w:b/>
          <w:bCs/>
          <w:rtl/>
        </w:rPr>
        <w:t>הלמ</w:t>
      </w:r>
      <w:r w:rsidRPr="00AA5065">
        <w:rPr>
          <w:rFonts w:eastAsia="Calibri"/>
          <w:b/>
          <w:bCs/>
          <w:rtl/>
        </w:rPr>
        <w:t>"ס מתקשה לבצע סקרי אוכלוסין בקרב האוכלוסייה הבדו</w:t>
      </w:r>
      <w:r w:rsidRPr="00AA5065">
        <w:rPr>
          <w:rFonts w:eastAsia="Calibri" w:hint="cs"/>
          <w:b/>
          <w:bCs/>
          <w:rtl/>
        </w:rPr>
        <w:t>א</w:t>
      </w:r>
      <w:r w:rsidRPr="00AA5065">
        <w:rPr>
          <w:rFonts w:eastAsia="Calibri"/>
          <w:b/>
          <w:bCs/>
          <w:rtl/>
        </w:rPr>
        <w:t>ית בנגב המ</w:t>
      </w:r>
      <w:r w:rsidRPr="00AA5065">
        <w:rPr>
          <w:rFonts w:eastAsia="Calibri" w:hint="cs"/>
          <w:b/>
          <w:bCs/>
          <w:rtl/>
        </w:rPr>
        <w:t>שמשים, בין היתר, כלי בידי משרדי הממשלה לתקצוב הפעילויות השונות שבאחריותם.</w:t>
      </w:r>
      <w:r w:rsidRPr="00AA5065">
        <w:rPr>
          <w:rFonts w:eastAsia="Calibri"/>
          <w:b/>
          <w:bCs/>
          <w:rtl/>
        </w:rPr>
        <w:t xml:space="preserve"> </w:t>
      </w:r>
      <w:r w:rsidRPr="00AA5065">
        <w:rPr>
          <w:rFonts w:eastAsia="Calibri" w:hint="eastAsia"/>
          <w:b/>
          <w:bCs/>
          <w:rtl/>
        </w:rPr>
        <w:t>בביקורת</w:t>
      </w:r>
      <w:r w:rsidRPr="00AA5065">
        <w:rPr>
          <w:rFonts w:eastAsia="Calibri"/>
          <w:b/>
          <w:bCs/>
          <w:rtl/>
        </w:rPr>
        <w:t xml:space="preserve"> </w:t>
      </w:r>
      <w:r w:rsidRPr="00AA5065">
        <w:rPr>
          <w:rFonts w:eastAsia="Calibri" w:hint="eastAsia"/>
          <w:b/>
          <w:bCs/>
          <w:rtl/>
        </w:rPr>
        <w:t>המעקב</w:t>
      </w:r>
      <w:r w:rsidRPr="00AA5065">
        <w:rPr>
          <w:rFonts w:eastAsia="Calibri"/>
          <w:b/>
          <w:bCs/>
          <w:rtl/>
        </w:rPr>
        <w:t xml:space="preserve"> </w:t>
      </w:r>
      <w:r w:rsidRPr="00AA5065">
        <w:rPr>
          <w:rFonts w:eastAsia="Calibri" w:hint="eastAsia"/>
          <w:b/>
          <w:bCs/>
          <w:rtl/>
        </w:rPr>
        <w:t>נמצא</w:t>
      </w:r>
      <w:r w:rsidRPr="00AA5065">
        <w:rPr>
          <w:rFonts w:eastAsia="Calibri"/>
          <w:b/>
          <w:bCs/>
          <w:rtl/>
        </w:rPr>
        <w:t xml:space="preserve"> </w:t>
      </w:r>
      <w:r w:rsidRPr="00AA5065">
        <w:rPr>
          <w:rFonts w:eastAsia="Calibri" w:hint="eastAsia"/>
          <w:b/>
          <w:bCs/>
          <w:rtl/>
        </w:rPr>
        <w:t>כי</w:t>
      </w:r>
      <w:r w:rsidRPr="00AA5065">
        <w:rPr>
          <w:rFonts w:eastAsia="Calibri"/>
          <w:b/>
          <w:bCs/>
          <w:rtl/>
        </w:rPr>
        <w:t xml:space="preserve"> </w:t>
      </w:r>
      <w:r w:rsidRPr="00AA5065">
        <w:rPr>
          <w:rFonts w:eastAsia="Calibri" w:hint="eastAsia"/>
          <w:b/>
          <w:bCs/>
          <w:rtl/>
        </w:rPr>
        <w:t>הליקוי</w:t>
      </w:r>
      <w:r w:rsidRPr="00AA5065">
        <w:rPr>
          <w:rFonts w:eastAsia="Calibri"/>
          <w:b/>
          <w:bCs/>
          <w:rtl/>
        </w:rPr>
        <w:t xml:space="preserve"> </w:t>
      </w:r>
      <w:r w:rsidRPr="00AA5065">
        <w:rPr>
          <w:rFonts w:eastAsia="Calibri" w:hint="eastAsia"/>
          <w:b/>
          <w:bCs/>
          <w:rtl/>
        </w:rPr>
        <w:t>לא</w:t>
      </w:r>
      <w:r w:rsidRPr="00AA5065">
        <w:rPr>
          <w:rFonts w:eastAsia="Calibri"/>
          <w:b/>
          <w:bCs/>
          <w:rtl/>
        </w:rPr>
        <w:t xml:space="preserve"> </w:t>
      </w:r>
      <w:r w:rsidRPr="00AA5065">
        <w:rPr>
          <w:rFonts w:eastAsia="Calibri" w:hint="eastAsia"/>
          <w:b/>
          <w:bCs/>
          <w:rtl/>
        </w:rPr>
        <w:t>תוקן</w:t>
      </w:r>
      <w:r w:rsidRPr="00AA5065">
        <w:rPr>
          <w:rFonts w:eastAsia="Calibri" w:hint="cs"/>
          <w:b/>
          <w:bCs/>
          <w:rtl/>
        </w:rPr>
        <w:t>; הלמ"ס עדיין איננה זוכה לשיתוף פעולה בקרב האוכלוסייה הבדואית בעת ביצוע סקרי האוכלוסין, וזאת אף שהועסקו על ידה סוקרים מהחברה הבדואית</w:t>
      </w:r>
      <w:r w:rsidRPr="00AA5065">
        <w:rPr>
          <w:rFonts w:eastAsia="Calibri"/>
          <w:b/>
          <w:bCs/>
          <w:rtl/>
        </w:rPr>
        <w:t>.</w:t>
      </w:r>
      <w:r w:rsidRPr="00AA5065">
        <w:rPr>
          <w:rFonts w:eastAsia="Calibri" w:hint="cs"/>
          <w:b/>
          <w:bCs/>
          <w:rtl/>
        </w:rPr>
        <w:t xml:space="preserve"> שיעור המענה הנמוך בקרב התושבים הבדואים בנגב </w:t>
      </w:r>
      <w:r w:rsidRPr="00AA5065">
        <w:rPr>
          <w:rFonts w:eastAsia="Calibri"/>
          <w:b/>
          <w:bCs/>
          <w:rtl/>
        </w:rPr>
        <w:t>(</w:t>
      </w:r>
      <w:r w:rsidRPr="00AA5065">
        <w:rPr>
          <w:rFonts w:eastAsia="Calibri" w:hint="eastAsia"/>
          <w:b/>
          <w:bCs/>
          <w:rtl/>
        </w:rPr>
        <w:t>שיעור</w:t>
      </w:r>
      <w:r w:rsidRPr="00AA5065">
        <w:rPr>
          <w:rFonts w:eastAsia="Calibri"/>
          <w:b/>
          <w:bCs/>
          <w:rtl/>
        </w:rPr>
        <w:t xml:space="preserve"> </w:t>
      </w:r>
      <w:r w:rsidRPr="00AA5065">
        <w:rPr>
          <w:rFonts w:eastAsia="Calibri" w:hint="eastAsia"/>
          <w:b/>
          <w:bCs/>
          <w:rtl/>
        </w:rPr>
        <w:t>המענה</w:t>
      </w:r>
      <w:r w:rsidRPr="00AA5065">
        <w:rPr>
          <w:rFonts w:eastAsia="Calibri"/>
          <w:b/>
          <w:bCs/>
          <w:rtl/>
        </w:rPr>
        <w:t xml:space="preserve"> </w:t>
      </w:r>
      <w:r w:rsidRPr="00AA5065">
        <w:rPr>
          <w:rFonts w:eastAsia="Calibri" w:hint="eastAsia"/>
          <w:b/>
          <w:bCs/>
          <w:rtl/>
        </w:rPr>
        <w:t>בקרב</w:t>
      </w:r>
      <w:r w:rsidRPr="00AA5065">
        <w:rPr>
          <w:rFonts w:eastAsia="Calibri"/>
          <w:b/>
          <w:bCs/>
          <w:rtl/>
        </w:rPr>
        <w:t xml:space="preserve"> </w:t>
      </w:r>
      <w:r w:rsidRPr="00AA5065">
        <w:rPr>
          <w:rFonts w:eastAsia="Calibri" w:hint="eastAsia"/>
          <w:b/>
          <w:bCs/>
          <w:rtl/>
        </w:rPr>
        <w:t>תושבי</w:t>
      </w:r>
      <w:r w:rsidRPr="00AA5065">
        <w:rPr>
          <w:rFonts w:eastAsia="Calibri"/>
          <w:b/>
          <w:bCs/>
          <w:rtl/>
        </w:rPr>
        <w:t xml:space="preserve"> </w:t>
      </w:r>
      <w:r w:rsidRPr="00AA5065">
        <w:rPr>
          <w:rFonts w:eastAsia="Calibri" w:hint="eastAsia"/>
          <w:b/>
          <w:bCs/>
          <w:rtl/>
        </w:rPr>
        <w:t>הפזורה היה</w:t>
      </w:r>
      <w:r w:rsidRPr="00AA5065">
        <w:rPr>
          <w:rFonts w:eastAsia="Calibri"/>
          <w:b/>
          <w:bCs/>
          <w:rtl/>
        </w:rPr>
        <w:t xml:space="preserve"> 4%</w:t>
      </w:r>
      <w:r w:rsidRPr="00AA5065">
        <w:rPr>
          <w:rFonts w:eastAsia="Calibri" w:hint="cs"/>
          <w:b/>
          <w:bCs/>
          <w:rtl/>
        </w:rPr>
        <w:t xml:space="preserve"> בלבד</w:t>
      </w:r>
      <w:r w:rsidRPr="00AA5065">
        <w:rPr>
          <w:rFonts w:eastAsia="Calibri"/>
          <w:b/>
          <w:bCs/>
          <w:rtl/>
        </w:rPr>
        <w:t>, ובי</w:t>
      </w:r>
      <w:r w:rsidRPr="00AA5065">
        <w:rPr>
          <w:rFonts w:eastAsia="Calibri" w:hint="eastAsia"/>
          <w:b/>
          <w:bCs/>
          <w:rtl/>
        </w:rPr>
        <w:t>ישובים</w:t>
      </w:r>
      <w:r w:rsidRPr="00AA5065">
        <w:rPr>
          <w:rFonts w:eastAsia="Calibri"/>
          <w:b/>
          <w:bCs/>
          <w:rtl/>
        </w:rPr>
        <w:t xml:space="preserve"> המוכרים כ-30%</w:t>
      </w:r>
      <w:r w:rsidRPr="00AA5065">
        <w:rPr>
          <w:rFonts w:eastAsia="Calibri" w:hint="cs"/>
          <w:b/>
          <w:bCs/>
          <w:rtl/>
        </w:rPr>
        <w:t xml:space="preserve"> בלבד</w:t>
      </w:r>
      <w:r w:rsidRPr="00AA5065">
        <w:rPr>
          <w:rFonts w:eastAsia="Calibri"/>
          <w:b/>
          <w:bCs/>
          <w:rtl/>
        </w:rPr>
        <w:t xml:space="preserve">) </w:t>
      </w:r>
      <w:r w:rsidRPr="00AA5065">
        <w:rPr>
          <w:rFonts w:eastAsia="Calibri" w:hint="cs"/>
          <w:b/>
          <w:bCs/>
          <w:rtl/>
        </w:rPr>
        <w:t>והחוסר בנתונים החברתיים-כלכליים של תושבי הפזורה מאלץ את הלמ"ס לבצע אומדן משוער של נתונים אלו.</w:t>
      </w:r>
    </w:p>
    <w:bookmarkEnd w:id="167"/>
    <w:p w:rsidR="00AA5065" w:rsidRPr="00AA5065" w:rsidP="00860D89">
      <w:pPr>
        <w:spacing w:line="269" w:lineRule="auto"/>
        <w:ind w:left="-567"/>
        <w:rPr>
          <w:rFonts w:eastAsia="Calibri"/>
          <w:szCs w:val="20"/>
          <w:rtl/>
        </w:rPr>
      </w:pPr>
    </w:p>
    <w:p w:rsidR="00AA5065" w:rsidRPr="00AA5065" w:rsidP="0054781A">
      <w:pPr>
        <w:spacing w:before="120" w:line="269" w:lineRule="auto"/>
        <w:jc w:val="center"/>
        <w:rPr>
          <w:rFonts w:eastAsia="Calibri"/>
          <w:b/>
          <w:bCs/>
          <w:rtl/>
        </w:rPr>
      </w:pPr>
      <w:r w:rsidRPr="00AA5065">
        <w:rPr>
          <w:rFonts w:eastAsia="Calibri"/>
          <w:noProof/>
        </w:rPr>
        <w:drawing>
          <wp:anchor distT="0" distB="0" distL="114300" distR="114300" simplePos="0" relativeHeight="251659264" behindDoc="1" locked="0" layoutInCell="1" allowOverlap="1">
            <wp:simplePos x="0" y="0"/>
            <wp:positionH relativeFrom="column">
              <wp:posOffset>935037</wp:posOffset>
            </wp:positionH>
            <wp:positionV relativeFrom="paragraph">
              <wp:posOffset>299720</wp:posOffset>
            </wp:positionV>
            <wp:extent cx="3422650" cy="933450"/>
            <wp:effectExtent l="0" t="0" r="6350" b="0"/>
            <wp:wrapNone/>
            <wp:docPr id="38" name="תמונה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2650" cy="933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5065">
        <w:rPr>
          <w:rFonts w:eastAsia="Calibri" w:hint="cs"/>
          <w:b/>
          <w:bCs/>
          <w:rtl/>
        </w:rPr>
        <w:t>מידת תיקון הליקוי</w:t>
      </w:r>
    </w:p>
    <w:p w:rsidR="00AA5065" w:rsidRPr="00AA5065" w:rsidP="00860D89">
      <w:pPr>
        <w:spacing w:line="269" w:lineRule="auto"/>
        <w:rPr>
          <w:rFonts w:eastAsia="Calibri"/>
          <w:rtl/>
        </w:rPr>
      </w:pPr>
    </w:p>
    <w:p w:rsidR="00AA5065" w:rsidRPr="00AA5065" w:rsidP="00860D89">
      <w:pPr>
        <w:spacing w:line="269" w:lineRule="auto"/>
        <w:rPr>
          <w:rFonts w:eastAsia="Calibri"/>
          <w:b/>
          <w:bCs/>
          <w:rtl/>
        </w:rPr>
      </w:pPr>
    </w:p>
    <w:p w:rsidR="00AA5065" w:rsidRPr="00AA5065" w:rsidP="00860D89">
      <w:pPr>
        <w:spacing w:line="269" w:lineRule="auto"/>
        <w:rPr>
          <w:rFonts w:eastAsia="Calibri"/>
          <w:b/>
          <w:bCs/>
          <w:rtl/>
        </w:rPr>
      </w:pPr>
    </w:p>
    <w:p w:rsidR="00AA5065" w:rsidRPr="00AA5065" w:rsidP="00860D89">
      <w:pPr>
        <w:spacing w:line="269" w:lineRule="auto"/>
        <w:rPr>
          <w:rFonts w:eastAsia="Calibri"/>
          <w:b/>
          <w:bCs/>
          <w:rtl/>
        </w:rPr>
      </w:pPr>
    </w:p>
    <w:p w:rsidR="00AA5065" w:rsidRPr="00AA5065" w:rsidP="00860D89">
      <w:pPr>
        <w:spacing w:line="269" w:lineRule="auto"/>
        <w:rPr>
          <w:rFonts w:eastAsia="Calibri"/>
          <w:b/>
          <w:bCs/>
          <w:rtl/>
        </w:rPr>
      </w:pPr>
    </w:p>
    <w:p w:rsidR="00AA5065" w:rsidRPr="00AA5065" w:rsidP="00860D89">
      <w:pPr>
        <w:spacing w:line="269" w:lineRule="auto"/>
        <w:rPr>
          <w:rFonts w:eastAsia="Calibri"/>
          <w:b/>
          <w:bCs/>
          <w:rtl/>
        </w:rPr>
      </w:pP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מומלץ כי הלמ"ס תפעל לשיפור משמעותי של שיעור ההשבה למפקד בקרב התושבים הבדואים בנגב וכן תגביר את מאמציה להשגת מידע אמין ומדויק יותר של הנתונים החברתיים-הכלכליים של תושבי הפזורה בנגב.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ascii="David" w:eastAsia="Calibri" w:hAnsi="David" w:hint="cs"/>
          <w:rtl/>
        </w:rPr>
        <w:t>הלמ"ס מסרה בתשובתה כי היא "פועלת ועושה כל מאמץ כדי להשיג נתונים מהימנים ומפורטים אודות האוכלוסייה הבדואית. מפקד האוכלוסין הבא מתוכנן להיות מפקד אוכלוסין מנהלי (כלומר, מפקד שיתבסס על נתונים שיתקבלו מגופים ציבוריים וממוסדות מדינה, ויצמצם את הצורך באיסוף ישיר של נתונים מהאוכלוסייה. בנוסף, לצורך קידום איסוף מידע מנהלי עבור האוכלוסייה הבדואית בנגב, הוקמה ועדה מייעצת מטעם המועצה הציבורית לסטטיסטיקה, שתלווה את הלמ"ס בתהליך איסוף הנתונים המנהליים (כתב המינוי של הוועדה מצורף). הלמ"ס אף פיתחה שיטה חדשנית לאיסוף מידע מנהלי עבור האוכלוסייה הבדואית בנגב, שתאפשר להשיג נתונים מהימנים ומפורטים יותר, והשיטה תיבחן על ידי הוועדה המייעצת".</w:t>
      </w:r>
    </w:p>
    <w:p w:rsidR="00AA5065" w:rsidRPr="00AA5065" w:rsidP="00860D89">
      <w:pPr>
        <w:spacing w:line="269" w:lineRule="auto"/>
        <w:rPr>
          <w:rFonts w:eastAsia="Calibri"/>
          <w:rtl/>
        </w:rPr>
      </w:pPr>
      <w:bookmarkStart w:id="168" w:name="_Hlk204860518"/>
    </w:p>
    <w:p w:rsidR="00AA5065" w:rsidRPr="00AA5065" w:rsidP="0054781A">
      <w:pPr>
        <w:keepNext/>
        <w:keepLines/>
        <w:spacing w:before="120" w:line="269" w:lineRule="auto"/>
        <w:outlineLvl w:val="3"/>
        <w:rPr>
          <w:rFonts w:eastAsia="Times New Roman"/>
          <w:bCs/>
          <w:szCs w:val="26"/>
          <w:rtl/>
        </w:rPr>
      </w:pPr>
      <w:r w:rsidRPr="00AA5065">
        <w:rPr>
          <w:rFonts w:eastAsia="Times New Roman" w:hint="cs"/>
          <w:bCs/>
          <w:szCs w:val="26"/>
          <w:rtl/>
        </w:rPr>
        <w:t>הצורך בבסיס נתונים אחוד ומהימן</w:t>
      </w:r>
    </w:p>
    <w:bookmarkEnd w:id="168"/>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לקיומו של בסיס נתונים אחוד ומהימן על האוכלוסייה המתגוררת בנגב יש חשיבות רבה בייעול הטיפול של הגופים השונים העוסקים במתן מענה לסוגיות הרבות המתעוררות בנוגע לאוכלוסייה זו.</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cs"/>
          <w:rtl/>
        </w:rPr>
        <w:t>חלק מהתושבים שעברו מהפזורה ל</w:t>
      </w:r>
      <w:r w:rsidRPr="00AA5065">
        <w:rPr>
          <w:rFonts w:eastAsia="Calibri"/>
          <w:rtl/>
        </w:rPr>
        <w:t xml:space="preserve">יישובי </w:t>
      </w:r>
      <w:r w:rsidRPr="00AA5065">
        <w:rPr>
          <w:rFonts w:eastAsia="Calibri" w:hint="cs"/>
          <w:rtl/>
        </w:rPr>
        <w:t>ה</w:t>
      </w:r>
      <w:r w:rsidRPr="00AA5065">
        <w:rPr>
          <w:rFonts w:eastAsia="Calibri"/>
          <w:rtl/>
        </w:rPr>
        <w:t xml:space="preserve">קבע </w:t>
      </w:r>
      <w:r w:rsidRPr="00AA5065">
        <w:rPr>
          <w:rFonts w:eastAsia="Calibri" w:hint="cs"/>
          <w:rtl/>
        </w:rPr>
        <w:t>ה</w:t>
      </w:r>
      <w:r w:rsidRPr="00AA5065">
        <w:rPr>
          <w:rFonts w:eastAsia="Calibri"/>
          <w:rtl/>
        </w:rPr>
        <w:t xml:space="preserve">מוסדרים </w:t>
      </w:r>
      <w:r w:rsidRPr="00AA5065">
        <w:rPr>
          <w:rFonts w:eastAsia="Calibri" w:hint="cs"/>
          <w:rtl/>
        </w:rPr>
        <w:t xml:space="preserve">שהוקמו לבדואים </w:t>
      </w:r>
      <w:r w:rsidRPr="00AA5065">
        <w:rPr>
          <w:rFonts w:eastAsia="Calibri"/>
          <w:rtl/>
        </w:rPr>
        <w:t>בנגב שינו את כתובתם בתעודת הזהות</w:t>
      </w:r>
      <w:r w:rsidRPr="00AA5065">
        <w:rPr>
          <w:rFonts w:eastAsia="Calibri" w:hint="cs"/>
          <w:rtl/>
        </w:rPr>
        <w:t xml:space="preserve"> בהתאם למיקומם החדש. לעומתם, תושבים</w:t>
      </w:r>
      <w:r w:rsidRPr="00AA5065">
        <w:rPr>
          <w:rFonts w:eastAsia="Calibri"/>
          <w:rtl/>
        </w:rPr>
        <w:t xml:space="preserve"> </w:t>
      </w:r>
      <w:r w:rsidRPr="00AA5065">
        <w:rPr>
          <w:rFonts w:eastAsia="Calibri" w:hint="cs"/>
          <w:rtl/>
        </w:rPr>
        <w:t>שנשארו להתגורר בפזורה</w:t>
      </w:r>
      <w:r w:rsidRPr="00AA5065">
        <w:rPr>
          <w:rFonts w:eastAsia="Calibri"/>
          <w:rtl/>
        </w:rPr>
        <w:t xml:space="preserve"> </w:t>
      </w:r>
      <w:r w:rsidRPr="00AA5065">
        <w:rPr>
          <w:rFonts w:eastAsia="Calibri" w:hint="cs"/>
          <w:rtl/>
        </w:rPr>
        <w:t>הותירו לאורך זמן רב</w:t>
      </w:r>
      <w:r w:rsidRPr="00AA5065">
        <w:rPr>
          <w:rFonts w:eastAsia="Calibri"/>
          <w:rtl/>
        </w:rPr>
        <w:t xml:space="preserve"> </w:t>
      </w:r>
      <w:r w:rsidRPr="00AA5065">
        <w:rPr>
          <w:rFonts w:eastAsia="Calibri" w:hint="cs"/>
          <w:rtl/>
        </w:rPr>
        <w:t>את רישום</w:t>
      </w:r>
      <w:r w:rsidRPr="00AA5065">
        <w:rPr>
          <w:rFonts w:eastAsia="Calibri"/>
          <w:rtl/>
        </w:rPr>
        <w:t xml:space="preserve"> שם השבט בתעודת הזהות</w:t>
      </w:r>
      <w:r w:rsidRPr="00AA5065">
        <w:rPr>
          <w:rFonts w:eastAsia="Calibri" w:hint="cs"/>
          <w:rtl/>
        </w:rPr>
        <w:t xml:space="preserve">, חלקם גם במקרים שבהם </w:t>
      </w:r>
      <w:r w:rsidRPr="00AA5065">
        <w:rPr>
          <w:rFonts w:eastAsia="Calibri"/>
          <w:rtl/>
        </w:rPr>
        <w:t>עברו ל</w:t>
      </w:r>
      <w:r w:rsidRPr="00AA5065">
        <w:rPr>
          <w:rFonts w:eastAsia="Calibri" w:hint="cs"/>
          <w:rtl/>
        </w:rPr>
        <w:t xml:space="preserve">התגורר </w:t>
      </w:r>
      <w:r w:rsidRPr="00AA5065">
        <w:rPr>
          <w:rFonts w:eastAsia="Calibri"/>
          <w:rtl/>
        </w:rPr>
        <w:t xml:space="preserve">ביישובים </w:t>
      </w:r>
      <w:r w:rsidRPr="00AA5065">
        <w:rPr>
          <w:rFonts w:eastAsia="Calibri" w:hint="cs"/>
          <w:rtl/>
        </w:rPr>
        <w:t xml:space="preserve">מוסדרים </w:t>
      </w:r>
      <w:r w:rsidRPr="00AA5065">
        <w:rPr>
          <w:rFonts w:eastAsia="Calibri"/>
          <w:rtl/>
        </w:rPr>
        <w:t>אחרים בנגב ומחוצה לו</w:t>
      </w:r>
      <w:r w:rsidRPr="00AA5065">
        <w:rPr>
          <w:rFonts w:eastAsia="Calibri" w:hint="cs"/>
          <w:rtl/>
        </w:rPr>
        <w:t>.</w:t>
      </w:r>
      <w:r w:rsidRPr="00AA5065">
        <w:rPr>
          <w:rFonts w:eastAsia="Calibri"/>
          <w:rtl/>
        </w:rPr>
        <w:t xml:space="preserve"> היעדר מען </w:t>
      </w:r>
      <w:r w:rsidRPr="00AA5065">
        <w:rPr>
          <w:rFonts w:eastAsia="Calibri" w:hint="cs"/>
          <w:rtl/>
        </w:rPr>
        <w:t xml:space="preserve">מדויק בתעודת הזהות </w:t>
      </w:r>
      <w:r w:rsidRPr="00AA5065">
        <w:rPr>
          <w:rFonts w:eastAsia="Calibri"/>
          <w:rtl/>
        </w:rPr>
        <w:t xml:space="preserve">מקשה על רשויות המדינה </w:t>
      </w:r>
      <w:r w:rsidRPr="00AA5065">
        <w:rPr>
          <w:rFonts w:eastAsia="Calibri" w:hint="cs"/>
          <w:rtl/>
        </w:rPr>
        <w:t xml:space="preserve">בעבודתן השוטפת מול </w:t>
      </w:r>
      <w:r w:rsidRPr="00AA5065">
        <w:rPr>
          <w:rFonts w:eastAsia="Calibri"/>
          <w:rtl/>
        </w:rPr>
        <w:t>התושבים ו</w:t>
      </w:r>
      <w:r w:rsidRPr="00AA5065">
        <w:rPr>
          <w:rFonts w:eastAsia="Calibri" w:hint="cs"/>
          <w:rtl/>
        </w:rPr>
        <w:t>בהתנהלות מולם</w:t>
      </w:r>
      <w:r w:rsidRPr="00AA5065">
        <w:rPr>
          <w:rFonts w:eastAsia="Calibri"/>
          <w:rtl/>
        </w:rPr>
        <w:t xml:space="preserve">, </w:t>
      </w:r>
      <w:r w:rsidRPr="00AA5065">
        <w:rPr>
          <w:rFonts w:eastAsia="Calibri" w:hint="cs"/>
          <w:rtl/>
        </w:rPr>
        <w:t xml:space="preserve">ובכלל זה בהקשר של אכיפה, </w:t>
      </w:r>
      <w:r w:rsidRPr="00AA5065">
        <w:rPr>
          <w:rFonts w:eastAsia="Calibri"/>
          <w:rtl/>
        </w:rPr>
        <w:t xml:space="preserve">שכן עיקר </w:t>
      </w:r>
      <w:r w:rsidRPr="00AA5065">
        <w:rPr>
          <w:rFonts w:eastAsia="Calibri" w:hint="cs"/>
          <w:rtl/>
        </w:rPr>
        <w:t>הקשר של רשויות המדינה עם האזרחים מתבצע באמצעות</w:t>
      </w:r>
      <w:r w:rsidRPr="00AA5065">
        <w:rPr>
          <w:rFonts w:eastAsia="Calibri"/>
          <w:rtl/>
        </w:rPr>
        <w:t xml:space="preserve"> </w:t>
      </w:r>
      <w:r w:rsidRPr="00AA5065">
        <w:rPr>
          <w:rFonts w:eastAsia="Calibri" w:hint="cs"/>
          <w:rtl/>
        </w:rPr>
        <w:t>משלוח מכתבים הכוללים דרישות מסמכים, דוחות וקנסות,</w:t>
      </w:r>
      <w:r w:rsidRPr="00AA5065">
        <w:rPr>
          <w:rFonts w:eastAsia="Calibri"/>
          <w:rtl/>
        </w:rPr>
        <w:t xml:space="preserve"> </w:t>
      </w:r>
      <w:r w:rsidRPr="00AA5065">
        <w:rPr>
          <w:rFonts w:eastAsia="Calibri" w:hint="cs"/>
          <w:rtl/>
        </w:rPr>
        <w:t>ולהעברתם לנמען נדרשת</w:t>
      </w:r>
      <w:r w:rsidRPr="00AA5065">
        <w:rPr>
          <w:rFonts w:eastAsia="Calibri"/>
          <w:rtl/>
        </w:rPr>
        <w:t xml:space="preserve"> המצאה לכתובת רשומה.</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Pr>
      </w:pPr>
      <w:r w:rsidRPr="00AA5065">
        <w:rPr>
          <w:rFonts w:eastAsia="Times New Roman" w:hint="eastAsia"/>
          <w:bCs/>
          <w:spacing w:val="40"/>
          <w:rtl/>
        </w:rPr>
        <w:t>הביקורת</w:t>
      </w:r>
      <w:r w:rsidRPr="00AA5065">
        <w:rPr>
          <w:rFonts w:eastAsia="Times New Roman"/>
          <w:bCs/>
          <w:spacing w:val="40"/>
          <w:rtl/>
        </w:rPr>
        <w:t xml:space="preserve"> </w:t>
      </w:r>
      <w:r w:rsidRPr="00AA5065">
        <w:rPr>
          <w:rFonts w:eastAsia="Times New Roman" w:hint="eastAsia"/>
          <w:bCs/>
          <w:spacing w:val="40"/>
          <w:rtl/>
        </w:rPr>
        <w:t>הקודמת</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בביקורת</w:t>
      </w:r>
      <w:r w:rsidRPr="00AA5065">
        <w:rPr>
          <w:rFonts w:eastAsia="Calibri"/>
          <w:rtl/>
        </w:rPr>
        <w:t xml:space="preserve"> הקודמת הועלה כי </w:t>
      </w:r>
      <w:r w:rsidRPr="00AA5065">
        <w:rPr>
          <w:rFonts w:eastAsia="Calibri" w:hint="eastAsia"/>
          <w:rtl/>
        </w:rPr>
        <w:t>אין</w:t>
      </w:r>
      <w:r w:rsidRPr="00AA5065">
        <w:rPr>
          <w:rFonts w:eastAsia="Calibri"/>
          <w:rtl/>
        </w:rPr>
        <w:t xml:space="preserve"> </w:t>
      </w:r>
      <w:r w:rsidRPr="00AA5065">
        <w:rPr>
          <w:rFonts w:eastAsia="Calibri" w:hint="eastAsia"/>
          <w:rtl/>
        </w:rPr>
        <w:t>בסיס</w:t>
      </w:r>
      <w:r w:rsidRPr="00AA5065">
        <w:rPr>
          <w:rFonts w:eastAsia="Calibri"/>
          <w:rtl/>
        </w:rPr>
        <w:t xml:space="preserve"> </w:t>
      </w:r>
      <w:r w:rsidRPr="00AA5065">
        <w:rPr>
          <w:rFonts w:eastAsia="Calibri" w:hint="eastAsia"/>
          <w:rtl/>
        </w:rPr>
        <w:t>נתונים</w:t>
      </w:r>
      <w:r w:rsidRPr="00AA5065">
        <w:rPr>
          <w:rFonts w:eastAsia="Calibri"/>
          <w:rtl/>
        </w:rPr>
        <w:t xml:space="preserve"> </w:t>
      </w:r>
      <w:r w:rsidRPr="00AA5065">
        <w:rPr>
          <w:rFonts w:eastAsia="Calibri" w:hint="eastAsia"/>
          <w:rtl/>
        </w:rPr>
        <w:t>אחוד</w:t>
      </w:r>
      <w:r w:rsidRPr="00AA5065">
        <w:rPr>
          <w:rFonts w:eastAsia="Calibri"/>
          <w:rtl/>
        </w:rPr>
        <w:t xml:space="preserve"> </w:t>
      </w:r>
      <w:r w:rsidRPr="00AA5065">
        <w:rPr>
          <w:rFonts w:eastAsia="Calibri" w:hint="eastAsia"/>
          <w:rtl/>
        </w:rPr>
        <w:t>ו</w:t>
      </w:r>
      <w:r w:rsidRPr="00AA5065">
        <w:rPr>
          <w:rFonts w:eastAsia="Calibri" w:hint="cs"/>
          <w:rtl/>
        </w:rPr>
        <w:t>מהימן</w:t>
      </w:r>
      <w:r w:rsidRPr="00AA5065">
        <w:rPr>
          <w:rFonts w:eastAsia="Calibri"/>
          <w:rtl/>
        </w:rPr>
        <w:t xml:space="preserve"> </w:t>
      </w:r>
      <w:r w:rsidRPr="00AA5065">
        <w:rPr>
          <w:rFonts w:eastAsia="Calibri" w:hint="eastAsia"/>
          <w:rtl/>
        </w:rPr>
        <w:t>המקובל</w:t>
      </w:r>
      <w:r w:rsidRPr="00AA5065">
        <w:rPr>
          <w:rFonts w:eastAsia="Calibri"/>
          <w:rtl/>
        </w:rPr>
        <w:t xml:space="preserve"> </w:t>
      </w:r>
      <w:r w:rsidRPr="00AA5065">
        <w:rPr>
          <w:rFonts w:eastAsia="Calibri" w:hint="eastAsia"/>
          <w:rtl/>
        </w:rPr>
        <w:t>על</w:t>
      </w:r>
      <w:r w:rsidRPr="00AA5065">
        <w:rPr>
          <w:rFonts w:eastAsia="Calibri"/>
          <w:rtl/>
        </w:rPr>
        <w:t xml:space="preserve"> </w:t>
      </w:r>
      <w:r w:rsidRPr="00AA5065">
        <w:rPr>
          <w:rFonts w:eastAsia="Calibri" w:hint="eastAsia"/>
          <w:rtl/>
        </w:rPr>
        <w:t>כלל</w:t>
      </w:r>
      <w:r w:rsidRPr="00AA5065">
        <w:rPr>
          <w:rFonts w:eastAsia="Calibri"/>
          <w:rtl/>
        </w:rPr>
        <w:t xml:space="preserve"> </w:t>
      </w:r>
      <w:r w:rsidRPr="00AA5065">
        <w:rPr>
          <w:rFonts w:eastAsia="Calibri" w:hint="eastAsia"/>
          <w:rtl/>
        </w:rPr>
        <w:t>משרדי</w:t>
      </w:r>
      <w:r w:rsidRPr="00AA5065">
        <w:rPr>
          <w:rFonts w:eastAsia="Calibri"/>
          <w:rtl/>
        </w:rPr>
        <w:t xml:space="preserve"> </w:t>
      </w:r>
      <w:r w:rsidRPr="00AA5065">
        <w:rPr>
          <w:rFonts w:eastAsia="Calibri" w:hint="eastAsia"/>
          <w:rtl/>
        </w:rPr>
        <w:t>הממשלה</w:t>
      </w:r>
      <w:r w:rsidRPr="00AA5065">
        <w:rPr>
          <w:rFonts w:eastAsia="Calibri"/>
          <w:rtl/>
        </w:rPr>
        <w:t xml:space="preserve"> </w:t>
      </w:r>
      <w:r w:rsidRPr="00AA5065">
        <w:rPr>
          <w:rFonts w:eastAsia="Calibri" w:hint="eastAsia"/>
          <w:rtl/>
        </w:rPr>
        <w:t>הנוגעים</w:t>
      </w:r>
      <w:r w:rsidRPr="00AA5065">
        <w:rPr>
          <w:rFonts w:eastAsia="Calibri"/>
          <w:rtl/>
        </w:rPr>
        <w:t xml:space="preserve"> </w:t>
      </w:r>
      <w:r w:rsidRPr="00AA5065">
        <w:rPr>
          <w:rFonts w:eastAsia="Calibri" w:hint="eastAsia"/>
          <w:rtl/>
        </w:rPr>
        <w:t>בדבר</w:t>
      </w:r>
      <w:r w:rsidRPr="00AA5065">
        <w:rPr>
          <w:rFonts w:eastAsia="Calibri"/>
          <w:rtl/>
        </w:rPr>
        <w:t xml:space="preserve">. </w:t>
      </w:r>
      <w:r w:rsidRPr="00AA5065">
        <w:rPr>
          <w:rFonts w:eastAsia="Calibri" w:hint="eastAsia"/>
          <w:rtl/>
        </w:rPr>
        <w:t>מצב</w:t>
      </w:r>
      <w:r w:rsidRPr="00AA5065">
        <w:rPr>
          <w:rFonts w:eastAsia="Calibri"/>
          <w:rtl/>
        </w:rPr>
        <w:t xml:space="preserve"> </w:t>
      </w:r>
      <w:r w:rsidRPr="00AA5065">
        <w:rPr>
          <w:rFonts w:eastAsia="Calibri" w:hint="eastAsia"/>
          <w:rtl/>
        </w:rPr>
        <w:t>זה</w:t>
      </w:r>
      <w:r w:rsidRPr="00AA5065">
        <w:rPr>
          <w:rFonts w:eastAsia="Calibri"/>
          <w:rtl/>
        </w:rPr>
        <w:t xml:space="preserve"> </w:t>
      </w:r>
      <w:r w:rsidRPr="00AA5065">
        <w:rPr>
          <w:rFonts w:eastAsia="Calibri" w:hint="eastAsia"/>
          <w:rtl/>
        </w:rPr>
        <w:t>מהווה</w:t>
      </w:r>
      <w:r w:rsidRPr="00AA5065">
        <w:rPr>
          <w:rFonts w:eastAsia="Calibri"/>
          <w:rtl/>
        </w:rPr>
        <w:t xml:space="preserve"> </w:t>
      </w:r>
      <w:r w:rsidRPr="00AA5065">
        <w:rPr>
          <w:rFonts w:eastAsia="Calibri" w:hint="eastAsia"/>
          <w:rtl/>
        </w:rPr>
        <w:t>פתח</w:t>
      </w:r>
      <w:r w:rsidRPr="00AA5065">
        <w:rPr>
          <w:rFonts w:eastAsia="Calibri"/>
          <w:rtl/>
        </w:rPr>
        <w:t xml:space="preserve"> </w:t>
      </w:r>
      <w:r w:rsidRPr="00AA5065">
        <w:rPr>
          <w:rFonts w:eastAsia="Calibri" w:hint="eastAsia"/>
          <w:rtl/>
        </w:rPr>
        <w:t>לדיווחים</w:t>
      </w:r>
      <w:r w:rsidRPr="00AA5065">
        <w:rPr>
          <w:rFonts w:eastAsia="Calibri"/>
          <w:rtl/>
        </w:rPr>
        <w:t xml:space="preserve"> </w:t>
      </w:r>
      <w:r w:rsidRPr="00AA5065">
        <w:rPr>
          <w:rFonts w:eastAsia="Calibri" w:hint="eastAsia"/>
          <w:rtl/>
        </w:rPr>
        <w:t>שונים</w:t>
      </w:r>
      <w:r w:rsidRPr="00AA5065">
        <w:rPr>
          <w:rFonts w:eastAsia="Calibri"/>
          <w:rtl/>
        </w:rPr>
        <w:t xml:space="preserve"> </w:t>
      </w:r>
      <w:r w:rsidRPr="00AA5065">
        <w:rPr>
          <w:rFonts w:eastAsia="Calibri" w:hint="eastAsia"/>
          <w:rtl/>
        </w:rPr>
        <w:t>בהתאם</w:t>
      </w:r>
      <w:r w:rsidRPr="00AA5065">
        <w:rPr>
          <w:rFonts w:eastAsia="Calibri"/>
          <w:rtl/>
        </w:rPr>
        <w:t xml:space="preserve"> </w:t>
      </w:r>
      <w:r w:rsidRPr="00AA5065">
        <w:rPr>
          <w:rFonts w:eastAsia="Calibri" w:hint="eastAsia"/>
          <w:rtl/>
        </w:rPr>
        <w:t>לצורך</w:t>
      </w:r>
      <w:r w:rsidRPr="00AA5065">
        <w:rPr>
          <w:rFonts w:eastAsia="Calibri"/>
          <w:rtl/>
        </w:rPr>
        <w:t xml:space="preserve"> </w:t>
      </w:r>
      <w:r w:rsidRPr="00AA5065">
        <w:rPr>
          <w:rFonts w:eastAsia="Calibri" w:hint="eastAsia"/>
          <w:rtl/>
        </w:rPr>
        <w:t>ויכול</w:t>
      </w:r>
      <w:r w:rsidRPr="00AA5065">
        <w:rPr>
          <w:rFonts w:eastAsia="Calibri"/>
          <w:rtl/>
        </w:rPr>
        <w:t xml:space="preserve"> </w:t>
      </w:r>
      <w:r w:rsidRPr="00AA5065">
        <w:rPr>
          <w:rFonts w:eastAsia="Calibri" w:hint="eastAsia"/>
          <w:rtl/>
        </w:rPr>
        <w:t>אף</w:t>
      </w:r>
      <w:r w:rsidRPr="00AA5065">
        <w:rPr>
          <w:rFonts w:eastAsia="Calibri"/>
          <w:rtl/>
        </w:rPr>
        <w:t xml:space="preserve"> </w:t>
      </w:r>
      <w:r w:rsidRPr="00AA5065">
        <w:rPr>
          <w:rFonts w:eastAsia="Calibri" w:hint="eastAsia"/>
          <w:rtl/>
        </w:rPr>
        <w:t>להביא</w:t>
      </w:r>
      <w:r w:rsidRPr="00AA5065">
        <w:rPr>
          <w:rFonts w:eastAsia="Calibri"/>
          <w:rtl/>
        </w:rPr>
        <w:t xml:space="preserve"> </w:t>
      </w:r>
      <w:r w:rsidRPr="00AA5065">
        <w:rPr>
          <w:rFonts w:eastAsia="Calibri" w:hint="eastAsia"/>
          <w:rtl/>
        </w:rPr>
        <w:t>לעלויות</w:t>
      </w:r>
      <w:r w:rsidRPr="00AA5065">
        <w:rPr>
          <w:rFonts w:eastAsia="Calibri"/>
          <w:rtl/>
        </w:rPr>
        <w:t xml:space="preserve"> נוספות, אשר יושתו על </w:t>
      </w:r>
      <w:r w:rsidRPr="00AA5065">
        <w:rPr>
          <w:rFonts w:eastAsia="Calibri" w:hint="eastAsia"/>
          <w:rtl/>
        </w:rPr>
        <w:t>תקציב</w:t>
      </w:r>
      <w:r w:rsidRPr="00AA5065">
        <w:rPr>
          <w:rFonts w:eastAsia="Calibri"/>
          <w:rtl/>
        </w:rPr>
        <w:t xml:space="preserve"> </w:t>
      </w:r>
      <w:r w:rsidRPr="00AA5065">
        <w:rPr>
          <w:rFonts w:eastAsia="Calibri" w:hint="eastAsia"/>
          <w:rtl/>
        </w:rPr>
        <w:t>המדינה</w:t>
      </w:r>
      <w:r w:rsidRPr="00AA5065">
        <w:rPr>
          <w:rFonts w:eastAsia="Calibri"/>
          <w:rtl/>
        </w:rPr>
        <w:t xml:space="preserve">. </w:t>
      </w:r>
      <w:r w:rsidRPr="00AA5065">
        <w:rPr>
          <w:rFonts w:eastAsia="Calibri" w:hint="eastAsia"/>
          <w:rtl/>
        </w:rPr>
        <w:t>הומלץ</w:t>
      </w:r>
      <w:r w:rsidRPr="00AA5065">
        <w:rPr>
          <w:rFonts w:eastAsia="Calibri"/>
          <w:rtl/>
        </w:rPr>
        <w:t xml:space="preserve"> כי כלל משרדי הממשלה והגופים הנוגעים בדבר יארגנו זרימת מידע מסודרת ואחודה יותר ביניהם, בכפוף להסדרים החוקיים הנדרשים. </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rPr>
      </w:pPr>
      <w:r w:rsidRPr="00AA5065">
        <w:rPr>
          <w:rFonts w:eastAsia="Times New Roman" w:hint="eastAsia"/>
          <w:bCs/>
          <w:spacing w:val="40"/>
          <w:rtl/>
        </w:rPr>
        <w:t>ביקורת</w:t>
      </w:r>
      <w:r w:rsidRPr="00AA5065">
        <w:rPr>
          <w:rFonts w:eastAsia="Times New Roman"/>
          <w:bCs/>
          <w:spacing w:val="40"/>
          <w:rtl/>
        </w:rPr>
        <w:t xml:space="preserve"> </w:t>
      </w:r>
      <w:r w:rsidRPr="00AA5065">
        <w:rPr>
          <w:rFonts w:eastAsia="Times New Roman" w:hint="eastAsia"/>
          <w:bCs/>
          <w:spacing w:val="40"/>
          <w:rtl/>
        </w:rPr>
        <w:t>המעקב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בביקורת</w:t>
      </w:r>
      <w:r w:rsidRPr="00AA5065">
        <w:rPr>
          <w:rFonts w:eastAsia="Calibri"/>
          <w:rtl/>
        </w:rPr>
        <w:t xml:space="preserve"> המעקב </w:t>
      </w:r>
      <w:r w:rsidRPr="00AA5065">
        <w:rPr>
          <w:rFonts w:eastAsia="Calibri" w:hint="eastAsia"/>
          <w:rtl/>
        </w:rPr>
        <w:t>נמצא</w:t>
      </w:r>
      <w:r w:rsidRPr="00AA5065">
        <w:rPr>
          <w:rFonts w:eastAsia="Calibri"/>
          <w:rtl/>
        </w:rPr>
        <w:t xml:space="preserve"> </w:t>
      </w:r>
      <w:r w:rsidRPr="00AA5065">
        <w:rPr>
          <w:rFonts w:eastAsia="Calibri" w:hint="eastAsia"/>
          <w:rtl/>
        </w:rPr>
        <w:t>כי</w:t>
      </w:r>
      <w:r w:rsidRPr="00AA5065">
        <w:rPr>
          <w:rFonts w:eastAsia="Calibri"/>
          <w:rtl/>
        </w:rPr>
        <w:t xml:space="preserve"> </w:t>
      </w:r>
      <w:r w:rsidRPr="00AA5065">
        <w:rPr>
          <w:rFonts w:eastAsia="Calibri" w:hint="eastAsia"/>
          <w:rtl/>
        </w:rPr>
        <w:t>טרם</w:t>
      </w:r>
      <w:r w:rsidRPr="00AA5065">
        <w:rPr>
          <w:rFonts w:eastAsia="Calibri"/>
          <w:rtl/>
        </w:rPr>
        <w:t xml:space="preserve"> </w:t>
      </w:r>
      <w:r w:rsidRPr="00AA5065">
        <w:rPr>
          <w:rFonts w:eastAsia="Calibri" w:hint="eastAsia"/>
          <w:rtl/>
        </w:rPr>
        <w:t>הוקם</w:t>
      </w:r>
      <w:r w:rsidRPr="00AA5065">
        <w:rPr>
          <w:rFonts w:eastAsia="Calibri"/>
          <w:rtl/>
        </w:rPr>
        <w:t xml:space="preserve"> בסיס נתונים מבוסס ושלם של התושבים הבדואים בנגב הכולל נתוני כתובת עדכניים, והדבר </w:t>
      </w:r>
      <w:r w:rsidRPr="00AA5065">
        <w:rPr>
          <w:rFonts w:eastAsia="Calibri" w:hint="eastAsia"/>
          <w:rtl/>
        </w:rPr>
        <w:t>מקשה</w:t>
      </w:r>
      <w:r w:rsidRPr="00AA5065">
        <w:rPr>
          <w:rFonts w:eastAsia="Calibri"/>
          <w:rtl/>
        </w:rPr>
        <w:t xml:space="preserve"> </w:t>
      </w:r>
      <w:r w:rsidRPr="00AA5065">
        <w:rPr>
          <w:rFonts w:eastAsia="Calibri" w:hint="cs"/>
          <w:rtl/>
        </w:rPr>
        <w:t>על</w:t>
      </w:r>
      <w:r w:rsidRPr="00AA5065">
        <w:rPr>
          <w:rFonts w:eastAsia="Calibri"/>
          <w:rtl/>
        </w:rPr>
        <w:t xml:space="preserve"> משרדי </w:t>
      </w:r>
      <w:r w:rsidRPr="00AA5065">
        <w:rPr>
          <w:rFonts w:eastAsia="Calibri" w:hint="cs"/>
          <w:rtl/>
        </w:rPr>
        <w:t>ה</w:t>
      </w:r>
      <w:r w:rsidRPr="00AA5065">
        <w:rPr>
          <w:rFonts w:eastAsia="Calibri"/>
          <w:rtl/>
        </w:rPr>
        <w:t>ממשלה ו</w:t>
      </w:r>
      <w:r w:rsidRPr="00AA5065">
        <w:rPr>
          <w:rFonts w:eastAsia="Calibri" w:hint="eastAsia"/>
          <w:rtl/>
        </w:rPr>
        <w:t>הרשויות</w:t>
      </w:r>
      <w:r w:rsidRPr="00AA5065">
        <w:rPr>
          <w:rFonts w:eastAsia="Calibri"/>
          <w:rtl/>
        </w:rPr>
        <w:t xml:space="preserve"> </w:t>
      </w:r>
      <w:r w:rsidRPr="00AA5065">
        <w:rPr>
          <w:rFonts w:eastAsia="Calibri" w:hint="eastAsia"/>
          <w:rtl/>
        </w:rPr>
        <w:t>המקומיות</w:t>
      </w:r>
      <w:r w:rsidRPr="00AA5065">
        <w:rPr>
          <w:rFonts w:eastAsia="Calibri" w:hint="cs"/>
          <w:rtl/>
        </w:rPr>
        <w:t xml:space="preserve"> לתפקד באופן המיטבי</w:t>
      </w:r>
      <w:r w:rsidRPr="00AA5065">
        <w:rPr>
          <w:rFonts w:eastAsia="Calibri"/>
          <w:rtl/>
        </w:rPr>
        <w:t xml:space="preserve">. </w:t>
      </w:r>
    </w:p>
    <w:p w:rsidR="00AA5065" w:rsidRPr="00AA5065" w:rsidP="00860D89">
      <w:pPr>
        <w:spacing w:line="269" w:lineRule="auto"/>
        <w:ind w:left="-567"/>
        <w:rPr>
          <w:rFonts w:eastAsia="Calibri"/>
          <w:szCs w:val="20"/>
          <w:rtl/>
        </w:rPr>
      </w:pPr>
    </w:p>
    <w:p w:rsidR="00AA5065" w:rsidRPr="00AA5065" w:rsidP="00860D89">
      <w:pPr>
        <w:numPr>
          <w:ilvl w:val="0"/>
          <w:numId w:val="16"/>
        </w:numPr>
        <w:spacing w:line="269" w:lineRule="auto"/>
        <w:ind w:left="312"/>
        <w:rPr>
          <w:rFonts w:eastAsia="Calibri"/>
        </w:rPr>
      </w:pPr>
      <w:r w:rsidRPr="00AA5065">
        <w:rPr>
          <w:rFonts w:eastAsia="Calibri" w:hint="cs"/>
          <w:rtl/>
        </w:rPr>
        <w:t>בסיכום דיון מס' 1 בנושא של צוות קשרי המגזר הבדואי עם איו"ש</w:t>
      </w:r>
      <w:r>
        <w:rPr>
          <w:rFonts w:eastAsia="Calibri"/>
          <w:vertAlign w:val="superscript"/>
          <w:rtl/>
        </w:rPr>
        <w:footnoteReference w:id="169"/>
      </w:r>
      <w:r w:rsidRPr="00AA5065">
        <w:rPr>
          <w:rFonts w:eastAsia="Calibri" w:hint="cs"/>
          <w:rtl/>
        </w:rPr>
        <w:t xml:space="preserve"> שהתקיים ב-25.4.22 במל"ל נכתב, בין השאר, כי "יש לקדם את הקמת מערכת מקוונת לשיתוף מידע בין כלל הגורמים הרלוונטיים - מדובר בפער מערכתי משמעותי הפוגע ביכולת המדינה לנטר מרכז חיים ולמנוע הונאות בקבלת מעמד וקצבאות. פער זה מחייב הקמת בסיס נתונים משותף, תוך הסרת החסמים, בעיקר בהקשרי אבטחת מידע, הקיימים בין הגופים והמשרדים השונים. כמו כן מאגר מעין זה יסייע הן בהגברת השת"פ הבינארגוני והן בייעול העבודה של כלל הגופים בהקשרים הסקטוריאליים שלהם". </w:t>
      </w:r>
    </w:p>
    <w:p w:rsidR="00AA5065" w:rsidRPr="00AA5065" w:rsidP="00860D89">
      <w:pPr>
        <w:spacing w:line="269" w:lineRule="auto"/>
        <w:ind w:left="-567"/>
        <w:rPr>
          <w:rFonts w:eastAsia="Calibri"/>
          <w:szCs w:val="20"/>
        </w:rPr>
      </w:pPr>
    </w:p>
    <w:p w:rsidR="00AA5065" w:rsidRPr="00AA5065" w:rsidP="00860D89">
      <w:pPr>
        <w:numPr>
          <w:ilvl w:val="0"/>
          <w:numId w:val="16"/>
        </w:numPr>
        <w:spacing w:line="269" w:lineRule="auto"/>
        <w:ind w:left="312"/>
        <w:rPr>
          <w:rFonts w:ascii="Calibri" w:eastAsia="Calibri" w:hAnsi="Calibri" w:cs="Calibri"/>
          <w:sz w:val="22"/>
          <w:szCs w:val="22"/>
        </w:rPr>
      </w:pPr>
      <w:r w:rsidRPr="00AA5065">
        <w:rPr>
          <w:rFonts w:eastAsia="Calibri" w:hint="eastAsia"/>
          <w:rtl/>
        </w:rPr>
        <w:t>במסמך</w:t>
      </w:r>
      <w:r w:rsidRPr="00AA5065">
        <w:rPr>
          <w:rFonts w:eastAsia="Calibri"/>
          <w:rtl/>
        </w:rPr>
        <w:t xml:space="preserve"> </w:t>
      </w:r>
      <w:r w:rsidRPr="00AA5065">
        <w:rPr>
          <w:rFonts w:eastAsia="Calibri" w:hint="eastAsia"/>
          <w:rtl/>
        </w:rPr>
        <w:t>מסכם</w:t>
      </w:r>
      <w:r w:rsidRPr="00AA5065">
        <w:rPr>
          <w:rFonts w:eastAsia="Calibri"/>
          <w:rtl/>
        </w:rPr>
        <w:t xml:space="preserve"> </w:t>
      </w:r>
      <w:r w:rsidRPr="00AA5065">
        <w:rPr>
          <w:rFonts w:eastAsia="Calibri" w:hint="eastAsia"/>
          <w:rtl/>
        </w:rPr>
        <w:t>של</w:t>
      </w:r>
      <w:r w:rsidRPr="00AA5065">
        <w:rPr>
          <w:rFonts w:eastAsia="Calibri"/>
          <w:rtl/>
        </w:rPr>
        <w:t xml:space="preserve"> הוועדה </w:t>
      </w:r>
      <w:r w:rsidRPr="00AA5065">
        <w:rPr>
          <w:rFonts w:eastAsia="Calibri" w:hint="eastAsia"/>
          <w:rtl/>
        </w:rPr>
        <w:t>הבין</w:t>
      </w:r>
      <w:r w:rsidRPr="00AA5065">
        <w:rPr>
          <w:rFonts w:eastAsia="Calibri" w:hint="cs"/>
          <w:rtl/>
        </w:rPr>
        <w:t>-</w:t>
      </w:r>
      <w:r w:rsidRPr="00AA5065">
        <w:rPr>
          <w:rFonts w:eastAsia="Calibri" w:hint="eastAsia"/>
          <w:rtl/>
        </w:rPr>
        <w:t>משרדית</w:t>
      </w:r>
      <w:r w:rsidRPr="00AA5065">
        <w:rPr>
          <w:rFonts w:eastAsia="Calibri" w:hint="cs"/>
          <w:rtl/>
        </w:rPr>
        <w:t xml:space="preserve"> </w:t>
      </w:r>
      <w:r w:rsidRPr="00AA5065">
        <w:rPr>
          <w:rFonts w:eastAsia="Calibri" w:hint="eastAsia"/>
          <w:rtl/>
        </w:rPr>
        <w:t>להתמודדות</w:t>
      </w:r>
      <w:r w:rsidRPr="00AA5065">
        <w:rPr>
          <w:rFonts w:eastAsia="Calibri"/>
          <w:rtl/>
        </w:rPr>
        <w:t xml:space="preserve"> עם תופעת </w:t>
      </w:r>
      <w:r w:rsidRPr="00AA5065">
        <w:rPr>
          <w:rFonts w:eastAsia="Calibri" w:hint="eastAsia"/>
          <w:rtl/>
        </w:rPr>
        <w:t>יבוא</w:t>
      </w:r>
      <w:r w:rsidRPr="00AA5065">
        <w:rPr>
          <w:rFonts w:eastAsia="Calibri"/>
          <w:rtl/>
        </w:rPr>
        <w:t xml:space="preserve"> </w:t>
      </w:r>
      <w:r w:rsidRPr="00AA5065">
        <w:rPr>
          <w:rFonts w:eastAsia="Calibri" w:hint="eastAsia"/>
          <w:rtl/>
        </w:rPr>
        <w:t>נשים</w:t>
      </w:r>
      <w:r w:rsidRPr="00AA5065">
        <w:rPr>
          <w:rFonts w:eastAsia="Calibri"/>
          <w:rtl/>
        </w:rPr>
        <w:t xml:space="preserve"> פלסטיניות למגזר הבדואי בנגב</w:t>
      </w:r>
      <w:r w:rsidRPr="00AA5065">
        <w:rPr>
          <w:rFonts w:eastAsia="Calibri" w:hint="cs"/>
          <w:rtl/>
        </w:rPr>
        <w:t xml:space="preserve"> </w:t>
      </w:r>
      <w:r w:rsidRPr="00AA5065">
        <w:rPr>
          <w:rFonts w:eastAsia="Calibri" w:hint="eastAsia"/>
          <w:rtl/>
        </w:rPr>
        <w:t>מיום</w:t>
      </w:r>
      <w:r w:rsidRPr="00AA5065">
        <w:rPr>
          <w:rFonts w:eastAsia="Calibri"/>
          <w:rtl/>
        </w:rPr>
        <w:t xml:space="preserve"> 1.3.23 </w:t>
      </w:r>
      <w:r w:rsidRPr="00AA5065">
        <w:rPr>
          <w:rFonts w:eastAsia="Calibri" w:hint="eastAsia"/>
          <w:rtl/>
        </w:rPr>
        <w:t>נרשם</w:t>
      </w:r>
      <w:r w:rsidRPr="00AA5065">
        <w:rPr>
          <w:rFonts w:eastAsia="Calibri"/>
          <w:rtl/>
        </w:rPr>
        <w:t xml:space="preserve"> </w:t>
      </w:r>
      <w:r w:rsidRPr="00AA5065">
        <w:rPr>
          <w:rFonts w:eastAsia="Calibri" w:hint="eastAsia"/>
          <w:rtl/>
        </w:rPr>
        <w:t>כי</w:t>
      </w:r>
      <w:r w:rsidRPr="00AA5065">
        <w:rPr>
          <w:rFonts w:eastAsia="Calibri"/>
          <w:rtl/>
        </w:rPr>
        <w:t xml:space="preserve"> "יש </w:t>
      </w:r>
      <w:r w:rsidRPr="00AA5065">
        <w:rPr>
          <w:rFonts w:eastAsia="Calibri" w:hint="eastAsia"/>
          <w:rtl/>
        </w:rPr>
        <w:t>לפעול</w:t>
      </w:r>
      <w:r w:rsidRPr="00AA5065">
        <w:rPr>
          <w:rFonts w:eastAsia="Calibri"/>
          <w:rtl/>
        </w:rPr>
        <w:t xml:space="preserve"> </w:t>
      </w:r>
      <w:r w:rsidRPr="00AA5065">
        <w:rPr>
          <w:rFonts w:eastAsia="Calibri" w:hint="eastAsia"/>
          <w:rtl/>
        </w:rPr>
        <w:t>להקמת</w:t>
      </w:r>
      <w:r w:rsidRPr="00AA5065">
        <w:rPr>
          <w:rFonts w:eastAsia="Calibri"/>
          <w:rtl/>
        </w:rPr>
        <w:t xml:space="preserve"> </w:t>
      </w:r>
      <w:r w:rsidRPr="00AA5065">
        <w:rPr>
          <w:rFonts w:eastAsia="Calibri" w:hint="eastAsia"/>
          <w:rtl/>
        </w:rPr>
        <w:t>מאגר</w:t>
      </w:r>
      <w:r w:rsidRPr="00AA5065">
        <w:rPr>
          <w:rFonts w:eastAsia="Calibri"/>
          <w:rtl/>
        </w:rPr>
        <w:t xml:space="preserve"> </w:t>
      </w:r>
      <w:r w:rsidRPr="00AA5065">
        <w:rPr>
          <w:rFonts w:eastAsia="Calibri" w:hint="eastAsia"/>
          <w:rtl/>
        </w:rPr>
        <w:t>מידע</w:t>
      </w:r>
      <w:r w:rsidRPr="00AA5065">
        <w:rPr>
          <w:rFonts w:eastAsia="Calibri"/>
          <w:rtl/>
        </w:rPr>
        <w:t xml:space="preserve"> </w:t>
      </w:r>
      <w:r w:rsidRPr="00AA5065">
        <w:rPr>
          <w:rFonts w:eastAsia="Calibri" w:hint="eastAsia"/>
          <w:rtl/>
        </w:rPr>
        <w:t>משותף</w:t>
      </w:r>
      <w:r w:rsidRPr="00AA5065">
        <w:rPr>
          <w:rFonts w:eastAsia="Calibri"/>
          <w:rtl/>
        </w:rPr>
        <w:t xml:space="preserve"> </w:t>
      </w:r>
      <w:r w:rsidRPr="00AA5065">
        <w:rPr>
          <w:rFonts w:eastAsia="Calibri" w:hint="eastAsia"/>
          <w:rtl/>
        </w:rPr>
        <w:t>שכולל</w:t>
      </w:r>
      <w:r w:rsidRPr="00AA5065">
        <w:rPr>
          <w:rFonts w:eastAsia="Calibri"/>
          <w:rtl/>
        </w:rPr>
        <w:t xml:space="preserve"> </w:t>
      </w:r>
      <w:r w:rsidRPr="00AA5065">
        <w:rPr>
          <w:rFonts w:eastAsia="Calibri" w:hint="eastAsia"/>
          <w:rtl/>
        </w:rPr>
        <w:t>את</w:t>
      </w:r>
      <w:r w:rsidRPr="00AA5065">
        <w:rPr>
          <w:rFonts w:eastAsia="Calibri"/>
          <w:rtl/>
        </w:rPr>
        <w:t xml:space="preserve"> </w:t>
      </w:r>
      <w:r w:rsidRPr="00AA5065">
        <w:rPr>
          <w:rFonts w:eastAsia="Calibri" w:hint="eastAsia"/>
          <w:rtl/>
        </w:rPr>
        <w:t>המידע</w:t>
      </w:r>
      <w:r w:rsidRPr="00AA5065">
        <w:rPr>
          <w:rFonts w:eastAsia="Calibri"/>
          <w:rtl/>
        </w:rPr>
        <w:t xml:space="preserve"> </w:t>
      </w:r>
      <w:r w:rsidRPr="00AA5065">
        <w:rPr>
          <w:rFonts w:eastAsia="Calibri" w:hint="eastAsia"/>
          <w:rtl/>
        </w:rPr>
        <w:t>הרלוונטי</w:t>
      </w:r>
      <w:r w:rsidRPr="00AA5065">
        <w:rPr>
          <w:rFonts w:eastAsia="Calibri"/>
          <w:rtl/>
        </w:rPr>
        <w:t xml:space="preserve"> </w:t>
      </w:r>
      <w:r w:rsidRPr="00AA5065">
        <w:rPr>
          <w:rFonts w:eastAsia="Calibri" w:hint="eastAsia"/>
          <w:rtl/>
        </w:rPr>
        <w:t>מכלל</w:t>
      </w:r>
      <w:r w:rsidRPr="00AA5065">
        <w:rPr>
          <w:rFonts w:eastAsia="Calibri"/>
          <w:rtl/>
        </w:rPr>
        <w:t xml:space="preserve"> </w:t>
      </w:r>
      <w:r w:rsidRPr="00AA5065">
        <w:rPr>
          <w:rFonts w:eastAsia="Calibri" w:hint="eastAsia"/>
          <w:rtl/>
        </w:rPr>
        <w:t>הגורמים</w:t>
      </w:r>
      <w:r w:rsidRPr="00AA5065">
        <w:rPr>
          <w:rFonts w:eastAsia="Calibri"/>
          <w:rtl/>
        </w:rPr>
        <w:t xml:space="preserve">, </w:t>
      </w:r>
      <w:r w:rsidRPr="00AA5065">
        <w:rPr>
          <w:rFonts w:eastAsia="Calibri" w:hint="eastAsia"/>
          <w:rtl/>
        </w:rPr>
        <w:t>ובאמצעותו</w:t>
      </w:r>
      <w:r w:rsidRPr="00AA5065">
        <w:rPr>
          <w:rFonts w:eastAsia="Calibri"/>
          <w:rtl/>
        </w:rPr>
        <w:t xml:space="preserve"> </w:t>
      </w:r>
      <w:r w:rsidRPr="00AA5065">
        <w:rPr>
          <w:rFonts w:eastAsia="Calibri" w:hint="eastAsia"/>
          <w:rtl/>
        </w:rPr>
        <w:t>רשות</w:t>
      </w:r>
      <w:r w:rsidRPr="00AA5065">
        <w:rPr>
          <w:rFonts w:eastAsia="Calibri"/>
          <w:rtl/>
        </w:rPr>
        <w:t xml:space="preserve"> </w:t>
      </w:r>
      <w:r w:rsidRPr="00AA5065">
        <w:rPr>
          <w:rFonts w:eastAsia="Calibri" w:hint="eastAsia"/>
          <w:rtl/>
        </w:rPr>
        <w:t>האוכלוסין</w:t>
      </w:r>
      <w:r w:rsidRPr="00AA5065">
        <w:rPr>
          <w:rFonts w:eastAsia="Calibri"/>
          <w:rtl/>
        </w:rPr>
        <w:t xml:space="preserve"> </w:t>
      </w:r>
      <w:r w:rsidRPr="00AA5065">
        <w:rPr>
          <w:rFonts w:eastAsia="Calibri" w:hint="eastAsia"/>
          <w:rtl/>
        </w:rPr>
        <w:t>וההגירה</w:t>
      </w:r>
      <w:r w:rsidRPr="00AA5065">
        <w:rPr>
          <w:rFonts w:eastAsia="Calibri"/>
          <w:rtl/>
        </w:rPr>
        <w:t xml:space="preserve"> </w:t>
      </w:r>
      <w:r w:rsidRPr="00AA5065">
        <w:rPr>
          <w:rFonts w:eastAsia="Calibri" w:hint="eastAsia"/>
          <w:rtl/>
        </w:rPr>
        <w:t>תבחן</w:t>
      </w:r>
      <w:r w:rsidRPr="00AA5065">
        <w:rPr>
          <w:rFonts w:eastAsia="Calibri"/>
          <w:rtl/>
        </w:rPr>
        <w:t xml:space="preserve"> </w:t>
      </w:r>
      <w:r w:rsidRPr="00AA5065">
        <w:rPr>
          <w:rFonts w:eastAsia="Calibri" w:hint="eastAsia"/>
          <w:rtl/>
        </w:rPr>
        <w:t>ותקבע</w:t>
      </w:r>
      <w:r w:rsidRPr="00AA5065">
        <w:rPr>
          <w:rFonts w:eastAsia="Calibri"/>
          <w:rtl/>
        </w:rPr>
        <w:t xml:space="preserve"> </w:t>
      </w:r>
      <w:r w:rsidRPr="00AA5065">
        <w:rPr>
          <w:rFonts w:eastAsia="Calibri" w:hint="eastAsia"/>
          <w:rtl/>
        </w:rPr>
        <w:t>תושבות</w:t>
      </w:r>
      <w:r w:rsidRPr="00AA5065">
        <w:rPr>
          <w:rFonts w:eastAsia="Calibri"/>
          <w:rtl/>
        </w:rPr>
        <w:t xml:space="preserve"> (לדוגמה </w:t>
      </w:r>
      <w:r w:rsidRPr="00AA5065">
        <w:rPr>
          <w:rFonts w:eastAsia="Calibri" w:hint="eastAsia"/>
          <w:rtl/>
        </w:rPr>
        <w:t>המערכת</w:t>
      </w:r>
      <w:r w:rsidRPr="00AA5065">
        <w:rPr>
          <w:rFonts w:eastAsia="Calibri"/>
          <w:rtl/>
        </w:rPr>
        <w:t xml:space="preserve"> </w:t>
      </w:r>
      <w:r w:rsidRPr="00AA5065">
        <w:rPr>
          <w:rFonts w:eastAsia="Calibri" w:hint="eastAsia"/>
          <w:rtl/>
        </w:rPr>
        <w:t>בנתב</w:t>
      </w:r>
      <w:r w:rsidRPr="00AA5065">
        <w:rPr>
          <w:rFonts w:eastAsia="Calibri"/>
          <w:rtl/>
        </w:rPr>
        <w:t>"ג</w:t>
      </w:r>
      <w:r w:rsidRPr="00AA5065">
        <w:rPr>
          <w:rFonts w:eastAsia="Calibri" w:hint="cs"/>
          <w:rtl/>
        </w:rPr>
        <w:t>)...</w:t>
      </w:r>
      <w:r w:rsidRPr="00AA5065">
        <w:rPr>
          <w:rFonts w:eastAsia="Calibri"/>
          <w:rtl/>
        </w:rPr>
        <w:t xml:space="preserve"> </w:t>
      </w:r>
      <w:r w:rsidRPr="00AA5065">
        <w:rPr>
          <w:rFonts w:eastAsia="Calibri" w:hint="eastAsia"/>
          <w:rtl/>
        </w:rPr>
        <w:t>חיזוק</w:t>
      </w:r>
      <w:r w:rsidRPr="00AA5065">
        <w:rPr>
          <w:rFonts w:eastAsia="Calibri"/>
          <w:rtl/>
        </w:rPr>
        <w:t xml:space="preserve"> </w:t>
      </w:r>
      <w:r w:rsidRPr="00AA5065">
        <w:rPr>
          <w:rFonts w:eastAsia="Calibri" w:hint="eastAsia"/>
          <w:rtl/>
        </w:rPr>
        <w:t>שיתוף</w:t>
      </w:r>
      <w:r w:rsidRPr="00AA5065">
        <w:rPr>
          <w:rFonts w:eastAsia="Calibri"/>
          <w:rtl/>
        </w:rPr>
        <w:t xml:space="preserve"> </w:t>
      </w:r>
      <w:r w:rsidRPr="00AA5065">
        <w:rPr>
          <w:rFonts w:eastAsia="Calibri" w:hint="eastAsia"/>
          <w:rtl/>
        </w:rPr>
        <w:t>הפעולה</w:t>
      </w:r>
      <w:r w:rsidRPr="00AA5065">
        <w:rPr>
          <w:rFonts w:eastAsia="Calibri"/>
          <w:rtl/>
        </w:rPr>
        <w:t xml:space="preserve"> </w:t>
      </w:r>
      <w:r w:rsidRPr="00AA5065">
        <w:rPr>
          <w:rFonts w:eastAsia="Calibri" w:hint="eastAsia"/>
          <w:rtl/>
        </w:rPr>
        <w:t>בין</w:t>
      </w:r>
      <w:r w:rsidRPr="00AA5065">
        <w:rPr>
          <w:rFonts w:eastAsia="Calibri"/>
          <w:rtl/>
        </w:rPr>
        <w:t xml:space="preserve"> </w:t>
      </w:r>
      <w:r w:rsidRPr="00AA5065">
        <w:rPr>
          <w:rFonts w:eastAsia="Calibri" w:hint="eastAsia"/>
          <w:rtl/>
        </w:rPr>
        <w:t>הרשויות</w:t>
      </w:r>
      <w:r w:rsidRPr="00AA5065">
        <w:rPr>
          <w:rFonts w:eastAsia="Calibri"/>
          <w:rtl/>
        </w:rPr>
        <w:t xml:space="preserve"> </w:t>
      </w:r>
      <w:r w:rsidRPr="00AA5065">
        <w:rPr>
          <w:rFonts w:eastAsia="Calibri" w:hint="eastAsia"/>
          <w:rtl/>
        </w:rPr>
        <w:t>להעברת</w:t>
      </w:r>
      <w:r w:rsidRPr="00AA5065">
        <w:rPr>
          <w:rFonts w:eastAsia="Calibri"/>
          <w:rtl/>
        </w:rPr>
        <w:t xml:space="preserve"> </w:t>
      </w:r>
      <w:r w:rsidRPr="00AA5065">
        <w:rPr>
          <w:rFonts w:eastAsia="Calibri" w:hint="eastAsia"/>
          <w:rtl/>
        </w:rPr>
        <w:t>מידע</w:t>
      </w:r>
      <w:r w:rsidRPr="00AA5065">
        <w:rPr>
          <w:rFonts w:eastAsia="Calibri"/>
          <w:rtl/>
        </w:rPr>
        <w:t xml:space="preserve"> </w:t>
      </w:r>
      <w:r w:rsidRPr="00AA5065">
        <w:rPr>
          <w:rFonts w:eastAsia="Calibri" w:hint="eastAsia"/>
          <w:rtl/>
        </w:rPr>
        <w:t>באופן</w:t>
      </w:r>
      <w:r w:rsidRPr="00AA5065">
        <w:rPr>
          <w:rFonts w:eastAsia="Calibri"/>
          <w:rtl/>
        </w:rPr>
        <w:t xml:space="preserve"> </w:t>
      </w:r>
      <w:r w:rsidRPr="00AA5065">
        <w:rPr>
          <w:rFonts w:eastAsia="Calibri" w:hint="eastAsia"/>
          <w:rtl/>
        </w:rPr>
        <w:t>שוטף</w:t>
      </w:r>
      <w:r w:rsidRPr="00AA5065">
        <w:rPr>
          <w:rFonts w:eastAsia="Calibri"/>
          <w:rtl/>
        </w:rPr>
        <w:t xml:space="preserve"> </w:t>
      </w:r>
      <w:r w:rsidRPr="00AA5065">
        <w:rPr>
          <w:rFonts w:eastAsia="Calibri" w:hint="eastAsia"/>
          <w:rtl/>
        </w:rPr>
        <w:t>בעניין</w:t>
      </w:r>
      <w:r w:rsidRPr="00AA5065">
        <w:rPr>
          <w:rFonts w:eastAsia="Calibri"/>
          <w:rtl/>
        </w:rPr>
        <w:t xml:space="preserve"> </w:t>
      </w:r>
      <w:r w:rsidRPr="00AA5065">
        <w:rPr>
          <w:rFonts w:eastAsia="Calibri" w:hint="eastAsia"/>
          <w:rtl/>
        </w:rPr>
        <w:t>מרכזי</w:t>
      </w:r>
      <w:r w:rsidRPr="00AA5065">
        <w:rPr>
          <w:rFonts w:eastAsia="Calibri"/>
          <w:rtl/>
        </w:rPr>
        <w:t xml:space="preserve"> </w:t>
      </w:r>
      <w:r w:rsidRPr="00AA5065">
        <w:rPr>
          <w:rFonts w:eastAsia="Calibri" w:hint="eastAsia"/>
          <w:rtl/>
        </w:rPr>
        <w:t>חיים</w:t>
      </w:r>
      <w:r w:rsidRPr="00AA5065">
        <w:rPr>
          <w:rFonts w:eastAsia="Calibri"/>
          <w:rtl/>
        </w:rPr>
        <w:t>".</w:t>
      </w:r>
    </w:p>
    <w:p w:rsidR="00AA5065" w:rsidRPr="00AA5065" w:rsidP="00860D89">
      <w:pPr>
        <w:numPr>
          <w:ilvl w:val="0"/>
          <w:numId w:val="16"/>
        </w:numPr>
        <w:spacing w:line="269" w:lineRule="auto"/>
        <w:ind w:left="312"/>
        <w:rPr>
          <w:rFonts w:eastAsia="Calibri"/>
          <w:rtl/>
        </w:rPr>
      </w:pPr>
      <w:r w:rsidRPr="00AA5065">
        <w:rPr>
          <w:rFonts w:eastAsia="Calibri" w:hint="eastAsia"/>
          <w:rtl/>
        </w:rPr>
        <w:t>בפגישה</w:t>
      </w:r>
      <w:r w:rsidRPr="00AA5065">
        <w:rPr>
          <w:rFonts w:eastAsia="Calibri"/>
          <w:rtl/>
        </w:rPr>
        <w:t xml:space="preserve"> </w:t>
      </w:r>
      <w:r w:rsidRPr="00AA5065">
        <w:rPr>
          <w:rFonts w:eastAsia="Calibri" w:hint="cs"/>
          <w:rtl/>
        </w:rPr>
        <w:t>שקיים צוות הביקורת</w:t>
      </w:r>
      <w:r w:rsidRPr="00AA5065">
        <w:rPr>
          <w:rFonts w:eastAsia="Calibri"/>
          <w:rtl/>
        </w:rPr>
        <w:t xml:space="preserve"> </w:t>
      </w:r>
      <w:r w:rsidRPr="00AA5065">
        <w:rPr>
          <w:rFonts w:eastAsia="Calibri" w:hint="eastAsia"/>
          <w:rtl/>
        </w:rPr>
        <w:t>ביולי</w:t>
      </w:r>
      <w:r w:rsidRPr="00AA5065">
        <w:rPr>
          <w:rFonts w:eastAsia="Calibri"/>
          <w:rtl/>
        </w:rPr>
        <w:t xml:space="preserve"> 2024 עם מנהל אגף הדמוגרפיה בלמ"ס הוא העריך שכל משרדי הממשלה צריכים בסיס נתונים אחוד של אוכלוסיית הבדואים בנגב, אולם </w:t>
      </w:r>
      <w:r w:rsidRPr="00AA5065">
        <w:rPr>
          <w:rFonts w:eastAsia="Calibri" w:hint="eastAsia"/>
          <w:rtl/>
        </w:rPr>
        <w:t>הלמ</w:t>
      </w:r>
      <w:r w:rsidRPr="00AA5065">
        <w:rPr>
          <w:rFonts w:eastAsia="Calibri"/>
          <w:rtl/>
        </w:rPr>
        <w:t>"ס מתקשה לספק אותו, בין היתר, בשל העובדה כי רשות האוכלוסין רושמת את התושבים הבדואים על פי שיוך לשבט</w:t>
      </w:r>
      <w:r w:rsidRPr="00AA5065">
        <w:rPr>
          <w:rFonts w:eastAsia="Calibri" w:hint="cs"/>
          <w:rtl/>
        </w:rPr>
        <w:t>,</w:t>
      </w:r>
      <w:r w:rsidRPr="00AA5065">
        <w:rPr>
          <w:rFonts w:eastAsia="Calibri"/>
          <w:rtl/>
        </w:rPr>
        <w:t xml:space="preserve"> ואיננה מאפשרת רישום של תושבי הפזורה בצורה המאפשרת</w:t>
      </w:r>
      <w:r w:rsidRPr="00AA5065">
        <w:rPr>
          <w:rFonts w:eastAsia="Calibri" w:hint="cs"/>
          <w:rtl/>
        </w:rPr>
        <w:t xml:space="preserve"> לזהות את</w:t>
      </w:r>
      <w:r w:rsidRPr="00AA5065">
        <w:rPr>
          <w:rFonts w:eastAsia="Calibri"/>
          <w:rtl/>
        </w:rPr>
        <w:t xml:space="preserve"> מיקו</w:t>
      </w:r>
      <w:r w:rsidRPr="00AA5065">
        <w:rPr>
          <w:rFonts w:eastAsia="Calibri" w:hint="cs"/>
          <w:rtl/>
        </w:rPr>
        <w:t>מ</w:t>
      </w:r>
      <w:r w:rsidRPr="00AA5065">
        <w:rPr>
          <w:rFonts w:eastAsia="Calibri"/>
          <w:rtl/>
        </w:rPr>
        <w:t xml:space="preserve">ם </w:t>
      </w:r>
      <w:r w:rsidRPr="00AA5065">
        <w:rPr>
          <w:rFonts w:eastAsia="Calibri" w:hint="cs"/>
          <w:rtl/>
        </w:rPr>
        <w:t>ה</w:t>
      </w:r>
      <w:r w:rsidRPr="00AA5065">
        <w:rPr>
          <w:rFonts w:eastAsia="Calibri"/>
          <w:rtl/>
        </w:rPr>
        <w:t>גיאוגרפי בשטח.</w:t>
      </w:r>
    </w:p>
    <w:p w:rsidR="00AA5065" w:rsidRPr="00AA5065" w:rsidP="00860D89">
      <w:pPr>
        <w:spacing w:line="269" w:lineRule="auto"/>
        <w:ind w:left="-567"/>
        <w:rPr>
          <w:rFonts w:eastAsia="Calibri"/>
          <w:szCs w:val="20"/>
          <w:rtl/>
        </w:rPr>
      </w:pPr>
    </w:p>
    <w:p w:rsidR="00AA5065" w:rsidRPr="00AA5065" w:rsidP="00860D89">
      <w:pPr>
        <w:numPr>
          <w:ilvl w:val="0"/>
          <w:numId w:val="16"/>
        </w:numPr>
        <w:spacing w:line="269" w:lineRule="auto"/>
        <w:ind w:left="312"/>
        <w:rPr>
          <w:rFonts w:eastAsia="Calibri"/>
          <w:rtl/>
        </w:rPr>
      </w:pPr>
      <w:r w:rsidRPr="00AA5065">
        <w:rPr>
          <w:rFonts w:eastAsia="Calibri" w:hint="eastAsia"/>
          <w:rtl/>
        </w:rPr>
        <w:t>בפגישה</w:t>
      </w:r>
      <w:r w:rsidRPr="00AA5065">
        <w:rPr>
          <w:rFonts w:eastAsia="Calibri"/>
          <w:rtl/>
        </w:rPr>
        <w:t xml:space="preserve"> ש</w:t>
      </w:r>
      <w:r w:rsidRPr="00AA5065">
        <w:rPr>
          <w:rFonts w:eastAsia="Calibri" w:hint="cs"/>
          <w:rtl/>
        </w:rPr>
        <w:t>התקיימה</w:t>
      </w:r>
      <w:r w:rsidRPr="00AA5065">
        <w:rPr>
          <w:rFonts w:eastAsia="Calibri"/>
          <w:rtl/>
        </w:rPr>
        <w:t xml:space="preserve"> בינואר 2025 עם נציגי הרשות לפיתוח והתיישבות הבדואים בנגב, מסרו הללו לנציגי משרד מבקר המדינה כי אחת הבעיות המרכזיות היא שאין נתונים סטטיסטיים </w:t>
      </w:r>
      <w:r w:rsidRPr="00AA5065">
        <w:rPr>
          <w:rFonts w:eastAsia="Calibri" w:hint="cs"/>
          <w:rtl/>
        </w:rPr>
        <w:t>מהימנים</w:t>
      </w:r>
      <w:r w:rsidRPr="00AA5065">
        <w:rPr>
          <w:rFonts w:eastAsia="Calibri"/>
          <w:rtl/>
        </w:rPr>
        <w:t xml:space="preserve"> ו</w:t>
      </w:r>
      <w:r w:rsidRPr="00AA5065">
        <w:rPr>
          <w:rFonts w:eastAsia="Calibri" w:hint="cs"/>
          <w:rtl/>
        </w:rPr>
        <w:t xml:space="preserve">אין </w:t>
      </w:r>
      <w:r w:rsidRPr="00AA5065">
        <w:rPr>
          <w:rFonts w:eastAsia="Calibri"/>
          <w:rtl/>
        </w:rPr>
        <w:t xml:space="preserve">מידע </w:t>
      </w:r>
      <w:r w:rsidRPr="00AA5065">
        <w:rPr>
          <w:rFonts w:eastAsia="Calibri" w:hint="cs"/>
          <w:rtl/>
        </w:rPr>
        <w:t>על</w:t>
      </w:r>
      <w:r w:rsidRPr="00AA5065">
        <w:rPr>
          <w:rFonts w:eastAsia="Calibri"/>
          <w:rtl/>
        </w:rPr>
        <w:t xml:space="preserve"> תושבי הפזורה בידי אף רשות ממשלתית. פער המידע הזה משפיע על יכולתן של </w:t>
      </w:r>
      <w:r w:rsidRPr="00AA5065">
        <w:rPr>
          <w:rFonts w:eastAsia="Calibri" w:hint="cs"/>
          <w:rtl/>
        </w:rPr>
        <w:t>ה</w:t>
      </w:r>
      <w:r w:rsidRPr="00AA5065">
        <w:rPr>
          <w:rFonts w:eastAsia="Calibri"/>
          <w:rtl/>
        </w:rPr>
        <w:t>מועצות אל</w:t>
      </w:r>
      <w:r w:rsidRPr="00AA5065">
        <w:rPr>
          <w:rFonts w:eastAsia="Calibri" w:hint="cs"/>
          <w:rtl/>
        </w:rPr>
        <w:t>-</w:t>
      </w:r>
      <w:r w:rsidRPr="00AA5065">
        <w:rPr>
          <w:rFonts w:eastAsia="Calibri"/>
          <w:rtl/>
        </w:rPr>
        <w:t xml:space="preserve">קסום ונווה מדבר </w:t>
      </w:r>
      <w:r w:rsidRPr="00AA5065">
        <w:rPr>
          <w:rFonts w:eastAsia="Calibri" w:hint="cs"/>
          <w:rtl/>
        </w:rPr>
        <w:t>לקבל תקציבים ולהעסיק כוח אדם</w:t>
      </w:r>
      <w:r w:rsidRPr="00AA5065">
        <w:rPr>
          <w:rFonts w:eastAsia="Calibri"/>
          <w:rtl/>
        </w:rPr>
        <w:t xml:space="preserve"> בהלימה לגודל האוכלוסייה </w:t>
      </w:r>
      <w:r w:rsidRPr="00AA5065">
        <w:rPr>
          <w:rFonts w:eastAsia="Calibri" w:hint="cs"/>
          <w:rtl/>
        </w:rPr>
        <w:t>המתגוררת בפועל</w:t>
      </w:r>
      <w:r w:rsidRPr="00AA5065">
        <w:rPr>
          <w:rFonts w:eastAsia="Calibri"/>
          <w:rtl/>
        </w:rPr>
        <w:t xml:space="preserve"> בתחומן</w:t>
      </w:r>
      <w:r w:rsidRPr="00AA5065">
        <w:rPr>
          <w:rFonts w:eastAsia="Calibri" w:hint="cs"/>
          <w:rtl/>
        </w:rPr>
        <w:t>, זאת מכיוון שחלק מהתושבים אינם רשומים והמועצות אינן מקבלות תקציבים עבור צורכיהם.</w:t>
      </w:r>
    </w:p>
    <w:p w:rsidR="00AA5065" w:rsidRPr="00AA5065" w:rsidP="00860D89">
      <w:pPr>
        <w:spacing w:line="269" w:lineRule="auto"/>
        <w:ind w:left="-567"/>
        <w:rPr>
          <w:rFonts w:eastAsia="Calibri"/>
          <w:szCs w:val="20"/>
          <w:rtl/>
        </w:rPr>
      </w:pPr>
    </w:p>
    <w:p w:rsidR="00AA5065" w:rsidRPr="00AA5065" w:rsidP="00860D89">
      <w:pPr>
        <w:numPr>
          <w:ilvl w:val="0"/>
          <w:numId w:val="16"/>
        </w:numPr>
        <w:spacing w:line="269" w:lineRule="auto"/>
        <w:ind w:left="312"/>
        <w:rPr>
          <w:rFonts w:eastAsia="Calibri"/>
          <w:rtl/>
        </w:rPr>
      </w:pPr>
      <w:r w:rsidRPr="00AA5065">
        <w:rPr>
          <w:rFonts w:eastAsia="Calibri" w:hint="eastAsia"/>
          <w:rtl/>
        </w:rPr>
        <w:t>בפגישה</w:t>
      </w:r>
      <w:r w:rsidRPr="00AA5065">
        <w:rPr>
          <w:rFonts w:eastAsia="Calibri"/>
          <w:rtl/>
        </w:rPr>
        <w:t xml:space="preserve"> ש</w:t>
      </w:r>
      <w:r w:rsidRPr="00AA5065">
        <w:rPr>
          <w:rFonts w:eastAsia="Calibri" w:hint="cs"/>
          <w:rtl/>
        </w:rPr>
        <w:t>התקיימה</w:t>
      </w:r>
      <w:r w:rsidRPr="00AA5065">
        <w:rPr>
          <w:rFonts w:eastAsia="Calibri"/>
          <w:rtl/>
        </w:rPr>
        <w:t xml:space="preserve"> בינואר 2025 עם ראש אגף </w:t>
      </w:r>
      <w:r w:rsidRPr="00AA5065">
        <w:rPr>
          <w:rFonts w:eastAsia="Calibri" w:hint="cs"/>
          <w:rtl/>
        </w:rPr>
        <w:t xml:space="preserve">בכיר </w:t>
      </w:r>
      <w:r w:rsidRPr="00AA5065">
        <w:rPr>
          <w:rFonts w:eastAsia="Calibri"/>
          <w:rtl/>
        </w:rPr>
        <w:t>לפיתוח כלכלי</w:t>
      </w:r>
      <w:r w:rsidRPr="00AA5065">
        <w:rPr>
          <w:rFonts w:eastAsia="Calibri" w:hint="cs"/>
          <w:rtl/>
        </w:rPr>
        <w:t>-</w:t>
      </w:r>
      <w:r w:rsidRPr="00AA5065">
        <w:rPr>
          <w:rFonts w:eastAsia="Calibri"/>
          <w:rtl/>
        </w:rPr>
        <w:t xml:space="preserve">חברתי </w:t>
      </w:r>
      <w:r w:rsidRPr="00AA5065">
        <w:rPr>
          <w:rFonts w:eastAsia="Calibri" w:hint="cs"/>
          <w:rtl/>
        </w:rPr>
        <w:t>בחברה</w:t>
      </w:r>
      <w:r w:rsidRPr="00AA5065">
        <w:rPr>
          <w:rFonts w:eastAsia="Calibri"/>
          <w:rtl/>
        </w:rPr>
        <w:t xml:space="preserve"> הבדואי</w:t>
      </w:r>
      <w:r w:rsidRPr="00AA5065">
        <w:rPr>
          <w:rFonts w:eastAsia="Calibri" w:hint="cs"/>
          <w:rtl/>
        </w:rPr>
        <w:t>ת</w:t>
      </w:r>
      <w:r w:rsidRPr="00AA5065">
        <w:rPr>
          <w:rFonts w:eastAsia="Calibri"/>
          <w:rtl/>
        </w:rPr>
        <w:t xml:space="preserve"> </w:t>
      </w:r>
      <w:r w:rsidRPr="00AA5065">
        <w:rPr>
          <w:rFonts w:eastAsia="Calibri" w:hint="cs"/>
          <w:rtl/>
        </w:rPr>
        <w:t>בנגב ש</w:t>
      </w:r>
      <w:r w:rsidRPr="00AA5065">
        <w:rPr>
          <w:rFonts w:eastAsia="Calibri"/>
          <w:rtl/>
        </w:rPr>
        <w:t xml:space="preserve">במשרד התפוצות, מסר הלה לנציגי משרד מבקר המדינה כי האגף </w:t>
      </w:r>
      <w:r w:rsidRPr="00AA5065">
        <w:rPr>
          <w:rFonts w:eastAsia="Calibri" w:hint="cs"/>
          <w:rtl/>
        </w:rPr>
        <w:t xml:space="preserve">זיהה את הצורך בבסיס נתונים מהימן ואף </w:t>
      </w:r>
      <w:r w:rsidRPr="00AA5065">
        <w:rPr>
          <w:rFonts w:eastAsia="Calibri"/>
          <w:rtl/>
        </w:rPr>
        <w:t xml:space="preserve">החל לעבוד בימים אלו על בנייתו של מאגר ידע על </w:t>
      </w:r>
      <w:r w:rsidRPr="00AA5065">
        <w:rPr>
          <w:rFonts w:eastAsia="Calibri" w:hint="eastAsia"/>
          <w:rtl/>
        </w:rPr>
        <w:t>אוכלוס</w:t>
      </w:r>
      <w:r w:rsidRPr="00AA5065">
        <w:rPr>
          <w:rFonts w:eastAsia="Calibri" w:hint="cs"/>
          <w:rtl/>
        </w:rPr>
        <w:t>י</w:t>
      </w:r>
      <w:r w:rsidRPr="00AA5065">
        <w:rPr>
          <w:rFonts w:eastAsia="Calibri" w:hint="eastAsia"/>
          <w:rtl/>
        </w:rPr>
        <w:t>ית</w:t>
      </w:r>
      <w:r w:rsidRPr="00AA5065">
        <w:rPr>
          <w:rFonts w:eastAsia="Calibri"/>
          <w:rtl/>
        </w:rPr>
        <w:t xml:space="preserve"> הבדואים בנגב בשיתוף המדען הראשי שבמשרד המדע, שיכול להיות בעל תועלת רבה לטיוב המידע בהיבטים של דמוגרפיה, חינוך, רווחה ועוד.</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bookmarkStart w:id="169" w:name="_Hlk204860529"/>
      <w:r w:rsidRPr="00AA5065">
        <w:rPr>
          <w:rFonts w:eastAsia="Calibri" w:hint="eastAsia"/>
          <w:b/>
          <w:bCs/>
          <w:rtl/>
        </w:rPr>
        <w:t>בביקורת</w:t>
      </w:r>
      <w:r w:rsidRPr="00AA5065">
        <w:rPr>
          <w:rFonts w:eastAsia="Calibri"/>
          <w:b/>
          <w:bCs/>
          <w:rtl/>
        </w:rPr>
        <w:t xml:space="preserve"> </w:t>
      </w:r>
      <w:r w:rsidRPr="00AA5065">
        <w:rPr>
          <w:rFonts w:eastAsia="Calibri" w:hint="cs"/>
          <w:b/>
          <w:bCs/>
          <w:rtl/>
        </w:rPr>
        <w:t>ה</w:t>
      </w:r>
      <w:r w:rsidRPr="00AA5065">
        <w:rPr>
          <w:rFonts w:eastAsia="Calibri" w:hint="eastAsia"/>
          <w:b/>
          <w:bCs/>
          <w:rtl/>
        </w:rPr>
        <w:t>קודמת</w:t>
      </w:r>
      <w:r w:rsidRPr="00AA5065">
        <w:rPr>
          <w:rFonts w:eastAsia="Calibri"/>
          <w:b/>
          <w:bCs/>
          <w:rtl/>
        </w:rPr>
        <w:t xml:space="preserve"> </w:t>
      </w:r>
      <w:r w:rsidRPr="00AA5065">
        <w:rPr>
          <w:rFonts w:eastAsia="Calibri" w:hint="cs"/>
          <w:b/>
          <w:bCs/>
          <w:rtl/>
        </w:rPr>
        <w:t xml:space="preserve">צוין היעדרו של </w:t>
      </w:r>
      <w:r w:rsidRPr="00AA5065">
        <w:rPr>
          <w:rFonts w:eastAsia="Calibri" w:hint="eastAsia"/>
          <w:b/>
          <w:bCs/>
          <w:rtl/>
        </w:rPr>
        <w:t>בסיס</w:t>
      </w:r>
      <w:r w:rsidRPr="00AA5065">
        <w:rPr>
          <w:rFonts w:eastAsia="Calibri"/>
          <w:b/>
          <w:bCs/>
          <w:rtl/>
        </w:rPr>
        <w:t xml:space="preserve"> </w:t>
      </w:r>
      <w:r w:rsidRPr="00AA5065">
        <w:rPr>
          <w:rFonts w:eastAsia="Calibri" w:hint="eastAsia"/>
          <w:b/>
          <w:bCs/>
          <w:rtl/>
        </w:rPr>
        <w:t>נתונים</w:t>
      </w:r>
      <w:r w:rsidRPr="00AA5065">
        <w:rPr>
          <w:rFonts w:eastAsia="Calibri"/>
          <w:b/>
          <w:bCs/>
          <w:rtl/>
        </w:rPr>
        <w:t xml:space="preserve"> </w:t>
      </w:r>
      <w:r w:rsidRPr="00AA5065">
        <w:rPr>
          <w:rFonts w:eastAsia="Calibri" w:hint="eastAsia"/>
          <w:b/>
          <w:bCs/>
          <w:rtl/>
        </w:rPr>
        <w:t>אחוד</w:t>
      </w:r>
      <w:r w:rsidRPr="00AA5065">
        <w:rPr>
          <w:rFonts w:eastAsia="Calibri"/>
          <w:b/>
          <w:bCs/>
          <w:rtl/>
        </w:rPr>
        <w:t xml:space="preserve"> </w:t>
      </w:r>
      <w:r w:rsidRPr="00AA5065">
        <w:rPr>
          <w:rFonts w:eastAsia="Calibri" w:hint="eastAsia"/>
          <w:b/>
          <w:bCs/>
          <w:rtl/>
        </w:rPr>
        <w:t>ו</w:t>
      </w:r>
      <w:r w:rsidRPr="00AA5065">
        <w:rPr>
          <w:rFonts w:eastAsia="Calibri" w:hint="cs"/>
          <w:b/>
          <w:bCs/>
          <w:rtl/>
        </w:rPr>
        <w:t>מהימן</w:t>
      </w:r>
      <w:r w:rsidRPr="00AA5065">
        <w:rPr>
          <w:rFonts w:eastAsia="Calibri"/>
          <w:b/>
          <w:bCs/>
          <w:rtl/>
        </w:rPr>
        <w:t xml:space="preserve"> </w:t>
      </w:r>
      <w:r w:rsidRPr="00AA5065">
        <w:rPr>
          <w:rFonts w:eastAsia="Calibri" w:hint="cs"/>
          <w:b/>
          <w:bCs/>
          <w:rtl/>
        </w:rPr>
        <w:t>ה</w:t>
      </w:r>
      <w:r w:rsidRPr="00AA5065">
        <w:rPr>
          <w:rFonts w:eastAsia="Calibri" w:hint="eastAsia"/>
          <w:b/>
          <w:bCs/>
          <w:rtl/>
        </w:rPr>
        <w:t>מקובל</w:t>
      </w:r>
      <w:r w:rsidRPr="00AA5065">
        <w:rPr>
          <w:rFonts w:eastAsia="Calibri"/>
          <w:b/>
          <w:bCs/>
          <w:rtl/>
        </w:rPr>
        <w:t xml:space="preserve"> </w:t>
      </w:r>
      <w:r w:rsidRPr="00AA5065">
        <w:rPr>
          <w:rFonts w:eastAsia="Calibri" w:hint="eastAsia"/>
          <w:b/>
          <w:bCs/>
          <w:rtl/>
        </w:rPr>
        <w:t>על</w:t>
      </w:r>
      <w:r w:rsidRPr="00AA5065">
        <w:rPr>
          <w:rFonts w:eastAsia="Calibri"/>
          <w:b/>
          <w:bCs/>
          <w:rtl/>
        </w:rPr>
        <w:t xml:space="preserve"> </w:t>
      </w:r>
      <w:r w:rsidRPr="00AA5065">
        <w:rPr>
          <w:rFonts w:eastAsia="Calibri" w:hint="eastAsia"/>
          <w:b/>
          <w:bCs/>
          <w:rtl/>
        </w:rPr>
        <w:t>כלל</w:t>
      </w:r>
      <w:r w:rsidRPr="00AA5065">
        <w:rPr>
          <w:rFonts w:eastAsia="Calibri"/>
          <w:b/>
          <w:bCs/>
          <w:rtl/>
        </w:rPr>
        <w:t xml:space="preserve"> </w:t>
      </w:r>
      <w:r w:rsidRPr="00AA5065">
        <w:rPr>
          <w:rFonts w:eastAsia="Calibri" w:hint="eastAsia"/>
          <w:b/>
          <w:bCs/>
          <w:rtl/>
        </w:rPr>
        <w:t>משרדי</w:t>
      </w:r>
      <w:r w:rsidRPr="00AA5065">
        <w:rPr>
          <w:rFonts w:eastAsia="Calibri"/>
          <w:b/>
          <w:bCs/>
          <w:rtl/>
        </w:rPr>
        <w:t xml:space="preserve"> </w:t>
      </w:r>
      <w:r w:rsidRPr="00AA5065">
        <w:rPr>
          <w:rFonts w:eastAsia="Calibri" w:hint="eastAsia"/>
          <w:b/>
          <w:bCs/>
          <w:rtl/>
        </w:rPr>
        <w:t>הממשלה</w:t>
      </w:r>
      <w:r w:rsidRPr="00AA5065">
        <w:rPr>
          <w:rFonts w:eastAsia="Calibri"/>
          <w:b/>
          <w:bCs/>
          <w:rtl/>
        </w:rPr>
        <w:t xml:space="preserve"> </w:t>
      </w:r>
      <w:r w:rsidRPr="00AA5065">
        <w:rPr>
          <w:rFonts w:eastAsia="Calibri" w:hint="eastAsia"/>
          <w:b/>
          <w:bCs/>
          <w:rtl/>
        </w:rPr>
        <w:t>הנוגעים</w:t>
      </w:r>
      <w:r w:rsidRPr="00AA5065">
        <w:rPr>
          <w:rFonts w:eastAsia="Calibri"/>
          <w:b/>
          <w:bCs/>
          <w:rtl/>
        </w:rPr>
        <w:t xml:space="preserve"> </w:t>
      </w:r>
      <w:r w:rsidRPr="00AA5065">
        <w:rPr>
          <w:rFonts w:eastAsia="Calibri" w:hint="eastAsia"/>
          <w:b/>
          <w:bCs/>
          <w:rtl/>
        </w:rPr>
        <w:t>בדבר</w:t>
      </w:r>
      <w:r w:rsidRPr="00AA5065">
        <w:rPr>
          <w:rFonts w:eastAsia="Calibri" w:hint="cs"/>
          <w:b/>
          <w:bCs/>
          <w:rtl/>
        </w:rPr>
        <w:t>, והשפעתו על פעולתם מול התושבים.</w:t>
      </w:r>
      <w:r w:rsidRPr="00AA5065">
        <w:rPr>
          <w:rFonts w:eastAsia="Calibri"/>
          <w:b/>
          <w:bCs/>
          <w:rtl/>
        </w:rPr>
        <w:t xml:space="preserve"> </w:t>
      </w:r>
      <w:r w:rsidRPr="00AA5065">
        <w:rPr>
          <w:rFonts w:eastAsia="Calibri" w:hint="cs"/>
          <w:b/>
          <w:bCs/>
          <w:rtl/>
        </w:rPr>
        <w:t xml:space="preserve">בסיס נתונים אחוד שכזה יכול למנוע מניפולציה בנתוני התושבים ולמנוע את העלויות הכספיות הנוספות הנגזרות מכך לקופת המדינה. כך </w:t>
      </w:r>
      <w:r w:rsidRPr="00AA5065">
        <w:rPr>
          <w:rFonts w:eastAsia="Calibri"/>
          <w:b/>
          <w:bCs/>
          <w:rtl/>
        </w:rPr>
        <w:t xml:space="preserve">לדוגמה, </w:t>
      </w:r>
      <w:r w:rsidRPr="00AA5065">
        <w:rPr>
          <w:rFonts w:eastAsia="Calibri" w:hint="cs"/>
          <w:b/>
          <w:bCs/>
          <w:rtl/>
        </w:rPr>
        <w:t>ייתכן מצב שבו אדם ידווח ל</w:t>
      </w:r>
      <w:r w:rsidRPr="00AA5065">
        <w:rPr>
          <w:rFonts w:eastAsia="Calibri"/>
          <w:b/>
          <w:bCs/>
          <w:rtl/>
        </w:rPr>
        <w:t xml:space="preserve">משרד הפנים </w:t>
      </w:r>
      <w:r w:rsidRPr="00AA5065">
        <w:rPr>
          <w:rFonts w:eastAsia="Calibri" w:hint="cs"/>
          <w:b/>
          <w:bCs/>
          <w:rtl/>
        </w:rPr>
        <w:t xml:space="preserve">כי </w:t>
      </w:r>
      <w:r w:rsidRPr="00AA5065">
        <w:rPr>
          <w:rFonts w:eastAsia="Calibri" w:hint="eastAsia"/>
          <w:b/>
          <w:bCs/>
          <w:rtl/>
        </w:rPr>
        <w:t>הוא</w:t>
      </w:r>
      <w:r w:rsidRPr="00AA5065">
        <w:rPr>
          <w:rFonts w:eastAsia="Calibri"/>
          <w:b/>
          <w:bCs/>
          <w:rtl/>
        </w:rPr>
        <w:t xml:space="preserve"> נשוי </w:t>
      </w:r>
      <w:r w:rsidRPr="00AA5065">
        <w:rPr>
          <w:rFonts w:eastAsia="Calibri" w:hint="eastAsia"/>
          <w:b/>
          <w:bCs/>
          <w:rtl/>
        </w:rPr>
        <w:t>כדי</w:t>
      </w:r>
      <w:r w:rsidRPr="00AA5065">
        <w:rPr>
          <w:rFonts w:eastAsia="Calibri"/>
          <w:b/>
          <w:bCs/>
          <w:rtl/>
        </w:rPr>
        <w:t xml:space="preserve"> </w:t>
      </w:r>
      <w:r w:rsidRPr="00AA5065">
        <w:rPr>
          <w:rFonts w:eastAsia="Calibri" w:hint="cs"/>
          <w:b/>
          <w:bCs/>
          <w:rtl/>
        </w:rPr>
        <w:t>שהא</w:t>
      </w:r>
      <w:r w:rsidR="006B75CD">
        <w:rPr>
          <w:rFonts w:eastAsia="Calibri" w:hint="cs"/>
          <w:b/>
          <w:bCs/>
          <w:rtl/>
        </w:rPr>
        <w:t>י</w:t>
      </w:r>
      <w:r w:rsidRPr="00AA5065">
        <w:rPr>
          <w:rFonts w:eastAsia="Calibri" w:hint="cs"/>
          <w:b/>
          <w:bCs/>
          <w:rtl/>
        </w:rPr>
        <w:t>שה תק</w:t>
      </w:r>
      <w:r w:rsidRPr="00AA5065">
        <w:rPr>
          <w:rFonts w:eastAsia="Calibri"/>
          <w:b/>
          <w:bCs/>
          <w:rtl/>
        </w:rPr>
        <w:t xml:space="preserve">בל אזרחות; ואילו </w:t>
      </w:r>
      <w:r w:rsidRPr="00AA5065">
        <w:rPr>
          <w:rFonts w:eastAsia="Calibri" w:hint="cs"/>
          <w:b/>
          <w:bCs/>
          <w:rtl/>
        </w:rPr>
        <w:t>בבט"ל הם</w:t>
      </w:r>
      <w:r w:rsidRPr="00AA5065">
        <w:rPr>
          <w:rFonts w:eastAsia="Calibri"/>
          <w:b/>
          <w:bCs/>
          <w:rtl/>
        </w:rPr>
        <w:t xml:space="preserve"> </w:t>
      </w:r>
      <w:r w:rsidRPr="00AA5065">
        <w:rPr>
          <w:rFonts w:eastAsia="Calibri" w:hint="cs"/>
          <w:b/>
          <w:bCs/>
          <w:rtl/>
        </w:rPr>
        <w:t>ידווחו</w:t>
      </w:r>
      <w:r w:rsidRPr="00AA5065">
        <w:rPr>
          <w:rFonts w:eastAsia="Calibri"/>
          <w:b/>
          <w:bCs/>
          <w:rtl/>
        </w:rPr>
        <w:t xml:space="preserve"> כ</w:t>
      </w:r>
      <w:r w:rsidRPr="00AA5065">
        <w:rPr>
          <w:rFonts w:eastAsia="Calibri" w:hint="cs"/>
          <w:b/>
          <w:bCs/>
          <w:rtl/>
        </w:rPr>
        <w:t xml:space="preserve">י הם </w:t>
      </w:r>
      <w:r w:rsidRPr="00AA5065">
        <w:rPr>
          <w:rFonts w:eastAsia="Calibri"/>
          <w:b/>
          <w:bCs/>
          <w:rtl/>
        </w:rPr>
        <w:t>גרושים</w:t>
      </w:r>
      <w:r w:rsidRPr="00AA5065">
        <w:rPr>
          <w:rFonts w:eastAsia="Calibri" w:hint="cs"/>
          <w:b/>
          <w:bCs/>
          <w:rtl/>
        </w:rPr>
        <w:t>, כדי שכל</w:t>
      </w:r>
      <w:r w:rsidRPr="00AA5065">
        <w:rPr>
          <w:rFonts w:eastAsia="Calibri"/>
          <w:b/>
          <w:bCs/>
          <w:rtl/>
        </w:rPr>
        <w:t xml:space="preserve"> אחד מהם </w:t>
      </w:r>
      <w:r w:rsidRPr="00AA5065">
        <w:rPr>
          <w:rFonts w:eastAsia="Calibri" w:hint="cs"/>
          <w:b/>
          <w:bCs/>
          <w:rtl/>
        </w:rPr>
        <w:t xml:space="preserve">יוכל </w:t>
      </w:r>
      <w:r w:rsidRPr="00AA5065">
        <w:rPr>
          <w:rFonts w:eastAsia="Calibri"/>
          <w:b/>
          <w:bCs/>
          <w:rtl/>
        </w:rPr>
        <w:t>לקבל גמלת הבטחת הכנסה</w:t>
      </w:r>
      <w:r w:rsidRPr="00AA5065">
        <w:rPr>
          <w:rFonts w:eastAsia="Calibri"/>
          <w:rtl/>
        </w:rPr>
        <w:t>.</w:t>
      </w:r>
      <w:r w:rsidRPr="00AA5065">
        <w:rPr>
          <w:rFonts w:eastAsia="Calibri" w:hint="cs"/>
          <w:b/>
          <w:bCs/>
          <w:rtl/>
        </w:rPr>
        <w:t xml:space="preserve"> </w:t>
      </w:r>
      <w:r w:rsidRPr="00AA5065">
        <w:rPr>
          <w:rFonts w:eastAsia="Calibri" w:hint="eastAsia"/>
          <w:b/>
          <w:bCs/>
          <w:rtl/>
        </w:rPr>
        <w:t>בביקורת</w:t>
      </w:r>
      <w:r w:rsidRPr="00AA5065">
        <w:rPr>
          <w:rFonts w:eastAsia="Calibri"/>
          <w:b/>
          <w:bCs/>
          <w:rtl/>
        </w:rPr>
        <w:t xml:space="preserve"> </w:t>
      </w:r>
      <w:r w:rsidRPr="00AA5065">
        <w:rPr>
          <w:rFonts w:eastAsia="Calibri" w:hint="eastAsia"/>
          <w:b/>
          <w:bCs/>
          <w:rtl/>
        </w:rPr>
        <w:t>המעקב</w:t>
      </w:r>
      <w:r w:rsidRPr="00AA5065">
        <w:rPr>
          <w:rFonts w:eastAsia="Calibri"/>
          <w:b/>
          <w:bCs/>
          <w:rtl/>
        </w:rPr>
        <w:t xml:space="preserve"> </w:t>
      </w:r>
      <w:r w:rsidRPr="00AA5065">
        <w:rPr>
          <w:rFonts w:eastAsia="Calibri" w:hint="eastAsia"/>
          <w:b/>
          <w:bCs/>
          <w:rtl/>
        </w:rPr>
        <w:t>נמצא</w:t>
      </w:r>
      <w:r w:rsidRPr="00AA5065">
        <w:rPr>
          <w:rFonts w:eastAsia="Calibri"/>
          <w:b/>
          <w:bCs/>
          <w:rtl/>
        </w:rPr>
        <w:t xml:space="preserve"> </w:t>
      </w:r>
      <w:r w:rsidRPr="00AA5065">
        <w:rPr>
          <w:rFonts w:eastAsia="Calibri" w:hint="eastAsia"/>
          <w:b/>
          <w:bCs/>
          <w:rtl/>
        </w:rPr>
        <w:t>כי</w:t>
      </w:r>
      <w:r w:rsidRPr="00AA5065">
        <w:rPr>
          <w:rFonts w:eastAsia="Calibri"/>
          <w:b/>
          <w:bCs/>
          <w:rtl/>
        </w:rPr>
        <w:t xml:space="preserve"> </w:t>
      </w:r>
      <w:r w:rsidRPr="00AA5065">
        <w:rPr>
          <w:rFonts w:eastAsia="Calibri" w:hint="eastAsia"/>
          <w:b/>
          <w:bCs/>
          <w:rtl/>
        </w:rPr>
        <w:t>הליקוי</w:t>
      </w:r>
      <w:r w:rsidRPr="00AA5065">
        <w:rPr>
          <w:rFonts w:eastAsia="Calibri"/>
          <w:b/>
          <w:bCs/>
          <w:rtl/>
        </w:rPr>
        <w:t xml:space="preserve"> </w:t>
      </w:r>
      <w:r w:rsidRPr="00AA5065">
        <w:rPr>
          <w:rFonts w:eastAsia="Calibri" w:hint="eastAsia"/>
          <w:b/>
          <w:bCs/>
          <w:rtl/>
        </w:rPr>
        <w:t>לא</w:t>
      </w:r>
      <w:r w:rsidRPr="00AA5065">
        <w:rPr>
          <w:rFonts w:eastAsia="Calibri"/>
          <w:b/>
          <w:bCs/>
          <w:rtl/>
        </w:rPr>
        <w:t xml:space="preserve"> </w:t>
      </w:r>
      <w:r w:rsidRPr="00AA5065">
        <w:rPr>
          <w:rFonts w:eastAsia="Calibri" w:hint="eastAsia"/>
          <w:b/>
          <w:bCs/>
          <w:rtl/>
        </w:rPr>
        <w:t>תוקן</w:t>
      </w:r>
      <w:r w:rsidRPr="00AA5065">
        <w:rPr>
          <w:rFonts w:eastAsia="Calibri" w:hint="cs"/>
          <w:b/>
          <w:bCs/>
          <w:rtl/>
        </w:rPr>
        <w:t xml:space="preserve"> וכי</w:t>
      </w:r>
      <w:r w:rsidRPr="00AA5065">
        <w:rPr>
          <w:rFonts w:eastAsia="Calibri"/>
          <w:rtl/>
        </w:rPr>
        <w:t xml:space="preserve"> </w:t>
      </w:r>
      <w:r w:rsidRPr="00AA5065">
        <w:rPr>
          <w:rFonts w:eastAsia="Calibri"/>
          <w:b/>
          <w:bCs/>
          <w:rtl/>
        </w:rPr>
        <w:t xml:space="preserve">כלל משרדי הממשלה והגופים הנוגעים בדבר, </w:t>
      </w:r>
      <w:r w:rsidRPr="00AA5065">
        <w:rPr>
          <w:rFonts w:eastAsia="Calibri" w:hint="eastAsia"/>
          <w:b/>
          <w:bCs/>
          <w:rtl/>
        </w:rPr>
        <w:t>ובכללם</w:t>
      </w:r>
      <w:r w:rsidRPr="00AA5065">
        <w:rPr>
          <w:rFonts w:eastAsia="Calibri"/>
          <w:b/>
          <w:bCs/>
          <w:rtl/>
        </w:rPr>
        <w:t xml:space="preserve"> </w:t>
      </w:r>
      <w:r w:rsidRPr="00AA5065">
        <w:rPr>
          <w:rFonts w:eastAsia="Calibri" w:hint="eastAsia"/>
          <w:b/>
          <w:bCs/>
          <w:rtl/>
        </w:rPr>
        <w:t>רשות</w:t>
      </w:r>
      <w:r w:rsidRPr="00AA5065">
        <w:rPr>
          <w:rFonts w:eastAsia="Calibri"/>
          <w:b/>
          <w:bCs/>
          <w:rtl/>
        </w:rPr>
        <w:t xml:space="preserve"> </w:t>
      </w:r>
      <w:r w:rsidRPr="00AA5065">
        <w:rPr>
          <w:rFonts w:eastAsia="Calibri" w:hint="eastAsia"/>
          <w:b/>
          <w:bCs/>
          <w:rtl/>
        </w:rPr>
        <w:t>האוכלוסין</w:t>
      </w:r>
      <w:r w:rsidRPr="00AA5065">
        <w:rPr>
          <w:rFonts w:eastAsia="Calibri"/>
          <w:b/>
          <w:bCs/>
          <w:rtl/>
        </w:rPr>
        <w:t xml:space="preserve"> </w:t>
      </w:r>
      <w:r w:rsidRPr="00AA5065">
        <w:rPr>
          <w:rFonts w:eastAsia="Calibri" w:hint="cs"/>
          <w:b/>
          <w:bCs/>
          <w:rtl/>
        </w:rPr>
        <w:t>ובט"ל</w:t>
      </w:r>
      <w:r w:rsidRPr="00AA5065">
        <w:rPr>
          <w:rFonts w:eastAsia="Calibri"/>
          <w:b/>
          <w:bCs/>
          <w:rtl/>
        </w:rPr>
        <w:t xml:space="preserve">, </w:t>
      </w:r>
      <w:r w:rsidRPr="00AA5065">
        <w:rPr>
          <w:rFonts w:eastAsia="Calibri" w:hint="eastAsia"/>
          <w:b/>
          <w:bCs/>
          <w:rtl/>
        </w:rPr>
        <w:t>טרם</w:t>
      </w:r>
      <w:r w:rsidRPr="00AA5065">
        <w:rPr>
          <w:rFonts w:eastAsia="Calibri"/>
          <w:b/>
          <w:bCs/>
          <w:rtl/>
        </w:rPr>
        <w:t xml:space="preserve"> </w:t>
      </w:r>
      <w:r w:rsidRPr="00AA5065">
        <w:rPr>
          <w:rFonts w:eastAsia="Calibri" w:hint="cs"/>
          <w:b/>
          <w:bCs/>
          <w:rtl/>
        </w:rPr>
        <w:t>דאגו</w:t>
      </w:r>
      <w:r w:rsidRPr="00AA5065">
        <w:rPr>
          <w:rFonts w:eastAsia="Calibri"/>
          <w:b/>
          <w:bCs/>
          <w:rtl/>
        </w:rPr>
        <w:t xml:space="preserve"> </w:t>
      </w:r>
      <w:r w:rsidRPr="00AA5065">
        <w:rPr>
          <w:rFonts w:eastAsia="Calibri" w:hint="cs"/>
          <w:b/>
          <w:bCs/>
          <w:rtl/>
        </w:rPr>
        <w:t>ל</w:t>
      </w:r>
      <w:r w:rsidRPr="00AA5065">
        <w:rPr>
          <w:rFonts w:eastAsia="Calibri"/>
          <w:b/>
          <w:bCs/>
          <w:rtl/>
        </w:rPr>
        <w:t>זרימת מידע מסודרת ואחודה ביניהם, בכפוף להסדרים החוקיים הנדרשים.</w:t>
      </w:r>
    </w:p>
    <w:bookmarkEnd w:id="169"/>
    <w:p w:rsidR="00AA5065" w:rsidRPr="00AA5065" w:rsidP="00860D89">
      <w:pPr>
        <w:spacing w:line="269" w:lineRule="auto"/>
        <w:ind w:left="-567"/>
        <w:rPr>
          <w:rFonts w:eastAsia="Calibri"/>
          <w:szCs w:val="20"/>
          <w:rtl/>
        </w:rPr>
      </w:pPr>
    </w:p>
    <w:p w:rsidR="00AA5065" w:rsidRPr="00AA5065" w:rsidP="00860D89">
      <w:pPr>
        <w:spacing w:line="269" w:lineRule="auto"/>
        <w:jc w:val="center"/>
        <w:rPr>
          <w:rFonts w:eastAsia="Calibri"/>
          <w:b/>
          <w:bCs/>
          <w:rtl/>
        </w:rPr>
      </w:pPr>
      <w:r w:rsidRPr="00AA5065">
        <w:rPr>
          <w:rFonts w:eastAsia="Calibri" w:hint="cs"/>
          <w:b/>
          <w:bCs/>
          <w:rtl/>
        </w:rPr>
        <w:t>מידת תיקון הליקוי</w:t>
      </w:r>
    </w:p>
    <w:p w:rsidR="00AA5065" w:rsidRPr="00AA5065" w:rsidP="00860D89">
      <w:pPr>
        <w:spacing w:line="269" w:lineRule="auto"/>
        <w:jc w:val="center"/>
        <w:rPr>
          <w:rFonts w:eastAsia="Calibri"/>
          <w:rtl/>
        </w:rPr>
      </w:pPr>
      <w:r w:rsidRPr="00AA5065">
        <w:rPr>
          <w:rFonts w:eastAsia="Calibri"/>
          <w:noProof/>
        </w:rPr>
        <w:drawing>
          <wp:inline distT="0" distB="0" distL="0" distR="0">
            <wp:extent cx="3422650" cy="933450"/>
            <wp:effectExtent l="0" t="0" r="6350" b="0"/>
            <wp:docPr id="39" name="תמונה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2650" cy="933450"/>
                    </a:xfrm>
                    <a:prstGeom prst="rect">
                      <a:avLst/>
                    </a:prstGeom>
                    <a:noFill/>
                    <a:ln>
                      <a:noFill/>
                    </a:ln>
                  </pic:spPr>
                </pic:pic>
              </a:graphicData>
            </a:graphic>
          </wp:inline>
        </w:drawing>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eastAsia"/>
          <w:b/>
          <w:bCs/>
          <w:rtl/>
        </w:rPr>
        <w:t>מומלץ</w:t>
      </w:r>
      <w:r w:rsidRPr="00AA5065">
        <w:rPr>
          <w:rFonts w:eastAsia="Calibri"/>
          <w:b/>
          <w:bCs/>
          <w:rtl/>
        </w:rPr>
        <w:t xml:space="preserve"> </w:t>
      </w:r>
      <w:r w:rsidRPr="00AA5065">
        <w:rPr>
          <w:rFonts w:eastAsia="Calibri" w:hint="eastAsia"/>
          <w:b/>
          <w:bCs/>
          <w:rtl/>
        </w:rPr>
        <w:t>כי</w:t>
      </w:r>
      <w:r w:rsidRPr="00AA5065">
        <w:rPr>
          <w:rFonts w:eastAsia="Calibri"/>
          <w:b/>
          <w:bCs/>
          <w:rtl/>
        </w:rPr>
        <w:t xml:space="preserve"> </w:t>
      </w:r>
      <w:r w:rsidRPr="00AA5065">
        <w:rPr>
          <w:rFonts w:eastAsia="Calibri" w:hint="eastAsia"/>
          <w:b/>
          <w:bCs/>
          <w:rtl/>
        </w:rPr>
        <w:t>כלל</w:t>
      </w:r>
      <w:r w:rsidRPr="00AA5065">
        <w:rPr>
          <w:rFonts w:eastAsia="Calibri" w:hint="eastAsia"/>
          <w:rtl/>
        </w:rPr>
        <w:t xml:space="preserve"> </w:t>
      </w:r>
      <w:r w:rsidRPr="00AA5065">
        <w:rPr>
          <w:rFonts w:eastAsia="Calibri"/>
          <w:b/>
          <w:bCs/>
          <w:rtl/>
        </w:rPr>
        <w:t>משרדי הממשלה והגופים הנוגעים בדבר</w:t>
      </w:r>
      <w:r w:rsidRPr="00AA5065">
        <w:rPr>
          <w:rFonts w:eastAsia="Calibri" w:hint="cs"/>
          <w:b/>
          <w:bCs/>
          <w:rtl/>
        </w:rPr>
        <w:t xml:space="preserve"> </w:t>
      </w:r>
      <w:r w:rsidRPr="00AA5065">
        <w:rPr>
          <w:rFonts w:eastAsia="Calibri"/>
          <w:b/>
          <w:bCs/>
          <w:rtl/>
        </w:rPr>
        <w:t xml:space="preserve">ובכללם רשות האוכלוסין </w:t>
      </w:r>
      <w:r w:rsidRPr="00AA5065">
        <w:rPr>
          <w:rFonts w:eastAsia="Calibri" w:hint="cs"/>
          <w:b/>
          <w:bCs/>
          <w:rtl/>
        </w:rPr>
        <w:t>ובט"ל</w:t>
      </w:r>
      <w:r w:rsidRPr="00AA5065">
        <w:rPr>
          <w:rFonts w:eastAsia="Calibri"/>
          <w:b/>
          <w:bCs/>
          <w:rtl/>
        </w:rPr>
        <w:t xml:space="preserve"> ‏</w:t>
      </w:r>
      <w:r w:rsidRPr="00AA5065">
        <w:rPr>
          <w:rFonts w:eastAsia="Calibri" w:hint="eastAsia"/>
          <w:b/>
          <w:bCs/>
          <w:rtl/>
        </w:rPr>
        <w:t>יפעלו</w:t>
      </w:r>
      <w:r w:rsidRPr="00AA5065">
        <w:rPr>
          <w:rFonts w:eastAsia="Calibri"/>
          <w:b/>
          <w:bCs/>
          <w:rtl/>
        </w:rPr>
        <w:t xml:space="preserve"> </w:t>
      </w:r>
      <w:r w:rsidRPr="00AA5065">
        <w:rPr>
          <w:rFonts w:eastAsia="Calibri" w:hint="eastAsia"/>
          <w:b/>
          <w:bCs/>
          <w:rtl/>
        </w:rPr>
        <w:t>בהקדם</w:t>
      </w:r>
      <w:r w:rsidRPr="00AA5065">
        <w:rPr>
          <w:rFonts w:eastAsia="Calibri"/>
          <w:b/>
          <w:bCs/>
          <w:rtl/>
        </w:rPr>
        <w:t xml:space="preserve"> </w:t>
      </w:r>
      <w:r w:rsidRPr="00AA5065">
        <w:rPr>
          <w:rFonts w:eastAsia="Calibri" w:hint="eastAsia"/>
          <w:b/>
          <w:bCs/>
          <w:rtl/>
        </w:rPr>
        <w:t>ליצירת</w:t>
      </w:r>
      <w:r w:rsidRPr="00AA5065">
        <w:rPr>
          <w:rFonts w:eastAsia="Calibri"/>
          <w:b/>
          <w:bCs/>
          <w:rtl/>
        </w:rPr>
        <w:t xml:space="preserve"> זרימת מידע מסודרת ואחודה יותר ביניהם, בכפוף להסדרים החוקיים הנדרשים.</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הלמ</w:t>
      </w:r>
      <w:r w:rsidRPr="00AA5065">
        <w:rPr>
          <w:rFonts w:eastAsia="Calibri"/>
          <w:rtl/>
        </w:rPr>
        <w:t xml:space="preserve">"ס </w:t>
      </w:r>
      <w:r w:rsidRPr="00AA5065">
        <w:rPr>
          <w:rFonts w:eastAsia="Calibri" w:hint="cs"/>
          <w:rtl/>
        </w:rPr>
        <w:t>מסרה בתשובתה</w:t>
      </w:r>
      <w:r w:rsidRPr="00AA5065">
        <w:rPr>
          <w:rFonts w:eastAsia="Calibri"/>
          <w:rtl/>
        </w:rPr>
        <w:t xml:space="preserve"> כי "בהתאם לפקודת הסטטיסטיקה, </w:t>
      </w:r>
      <w:r w:rsidRPr="00AA5065">
        <w:rPr>
          <w:rFonts w:eastAsia="Calibri" w:hint="eastAsia"/>
          <w:rtl/>
        </w:rPr>
        <w:t>הלמ</w:t>
      </w:r>
      <w:r w:rsidRPr="00AA5065">
        <w:rPr>
          <w:rFonts w:eastAsia="Calibri"/>
          <w:rtl/>
        </w:rPr>
        <w:t>"ס אינה רשאית להעביר מאגרי מידע מזוהים שנמצאים ברשותה למשרדי ממשלה אחרים.</w:t>
      </w:r>
      <w:r w:rsidRPr="00AA5065">
        <w:rPr>
          <w:rFonts w:eastAsia="Calibri" w:hint="cs"/>
          <w:rtl/>
        </w:rPr>
        <w:t>.</w:t>
      </w:r>
      <w:r w:rsidRPr="00AA5065">
        <w:rPr>
          <w:rFonts w:eastAsia="Calibri"/>
          <w:rtl/>
        </w:rPr>
        <w:t xml:space="preserve">. עם זאת, בהתאם להוראות פקודת הסטטיסטיקה, </w:t>
      </w:r>
      <w:r w:rsidRPr="00AA5065">
        <w:rPr>
          <w:rFonts w:eastAsia="Calibri" w:hint="eastAsia"/>
          <w:rtl/>
        </w:rPr>
        <w:t>הלמ</w:t>
      </w:r>
      <w:r w:rsidRPr="00AA5065">
        <w:rPr>
          <w:rFonts w:eastAsia="Calibri"/>
          <w:rtl/>
        </w:rPr>
        <w:t>"ס תוכל לסייע בהעברת נתונים סטטיסטיים שאינם מזוהים, על בסיס הנתונים שהיא מחזיקה כיום או שתגבש בעתיד, אשר יוכלו לסייע לגורמים הרלוונטי</w:t>
      </w:r>
      <w:r w:rsidRPr="00AA5065">
        <w:rPr>
          <w:rFonts w:eastAsia="Calibri" w:hint="cs"/>
          <w:rtl/>
        </w:rPr>
        <w:t>".</w:t>
      </w:r>
    </w:p>
    <w:p w:rsidR="00AA5065" w:rsidRPr="00AA5065" w:rsidP="00860D89">
      <w:pPr>
        <w:spacing w:line="269" w:lineRule="auto"/>
        <w:rPr>
          <w:rFonts w:eastAsia="Calibri"/>
          <w:rtl/>
        </w:rPr>
      </w:pPr>
    </w:p>
    <w:p w:rsidR="0054781A">
      <w:pPr>
        <w:bidi w:val="0"/>
        <w:spacing w:after="200" w:line="276" w:lineRule="auto"/>
        <w:rPr>
          <w:rFonts w:eastAsia="Times New Roman"/>
          <w:bCs/>
          <w:szCs w:val="26"/>
          <w:rtl/>
        </w:rPr>
      </w:pPr>
      <w:bookmarkStart w:id="170" w:name="_Hlk189384566"/>
      <w:r>
        <w:rPr>
          <w:rFonts w:eastAsia="Times New Roman"/>
          <w:bCs/>
          <w:szCs w:val="26"/>
          <w:rtl/>
        </w:rPr>
        <w:br w:type="page"/>
      </w:r>
    </w:p>
    <w:p w:rsidR="00AA5065" w:rsidRPr="00AA5065" w:rsidP="00860D89">
      <w:pPr>
        <w:keepNext/>
        <w:keepLines/>
        <w:spacing w:line="269" w:lineRule="auto"/>
        <w:outlineLvl w:val="3"/>
        <w:rPr>
          <w:rFonts w:eastAsia="Times New Roman"/>
          <w:bCs/>
          <w:szCs w:val="26"/>
          <w:rtl/>
        </w:rPr>
      </w:pPr>
      <w:r w:rsidRPr="00AA5065">
        <w:rPr>
          <w:rFonts w:eastAsia="Times New Roman" w:hint="cs"/>
          <w:bCs/>
          <w:szCs w:val="26"/>
          <w:rtl/>
        </w:rPr>
        <w:t>היעדר גורם מתכלל</w:t>
      </w:r>
    </w:p>
    <w:bookmarkEnd w:id="170"/>
    <w:p w:rsidR="00AA5065" w:rsidRPr="00AA5065" w:rsidP="00860D89">
      <w:pPr>
        <w:spacing w:line="269" w:lineRule="auto"/>
        <w:ind w:left="-567"/>
        <w:rPr>
          <w:rFonts w:eastAsia="Calibri"/>
          <w:szCs w:val="20"/>
          <w:rtl/>
        </w:rPr>
      </w:pPr>
    </w:p>
    <w:p w:rsidR="00AA5065" w:rsidRPr="00AA5065" w:rsidP="00860D89">
      <w:pPr>
        <w:widowControl w:val="0"/>
        <w:spacing w:line="269" w:lineRule="auto"/>
        <w:contextualSpacing/>
        <w:rPr>
          <w:rFonts w:ascii="David" w:eastAsia="Times New Roman" w:hAnsi="David"/>
          <w:sz w:val="24"/>
          <w:rtl/>
          <w:lang w:eastAsia="he-IL"/>
        </w:rPr>
      </w:pPr>
      <w:r w:rsidRPr="00AA5065">
        <w:rPr>
          <w:rFonts w:ascii="David" w:eastAsia="Times New Roman" w:hAnsi="David" w:hint="cs"/>
          <w:sz w:val="24"/>
          <w:rtl/>
          <w:lang w:eastAsia="he-IL"/>
        </w:rPr>
        <w:t xml:space="preserve">גורם מתכלל נחוץ כאשר נדרש לתאם פעילות משמעותית מורכבת, ארוכת טווח, המחייבת תיאום מורכב בין מספר רב של גורמים, אשר לעיתים יש ביניהם אינטרסים מנוגדים, או לא זהים, וזאת במטרה להגיע למטרה משותפת. אורגן מתכלל, תפקידו לגבש אסטרטגיה לטווח הארוך, לאשר את </w:t>
      </w:r>
      <w:r w:rsidRPr="00AA5065">
        <w:rPr>
          <w:rFonts w:ascii="David" w:eastAsia="Times New Roman" w:hAnsi="David"/>
          <w:sz w:val="24"/>
          <w:rtl/>
          <w:lang w:eastAsia="he-IL"/>
        </w:rPr>
        <w:t>ת</w:t>
      </w:r>
      <w:r w:rsidRPr="00AA5065">
        <w:rPr>
          <w:rFonts w:ascii="David" w:eastAsia="Times New Roman" w:hAnsi="David" w:hint="cs"/>
          <w:sz w:val="24"/>
          <w:rtl/>
          <w:lang w:eastAsia="he-IL"/>
        </w:rPr>
        <w:t>ו</w:t>
      </w:r>
      <w:r w:rsidRPr="00AA5065">
        <w:rPr>
          <w:rFonts w:ascii="David" w:eastAsia="Times New Roman" w:hAnsi="David"/>
          <w:sz w:val="24"/>
          <w:rtl/>
          <w:lang w:eastAsia="he-IL"/>
        </w:rPr>
        <w:t>כניות הפעולה</w:t>
      </w:r>
      <w:r w:rsidRPr="00AA5065">
        <w:rPr>
          <w:rFonts w:ascii="David" w:eastAsia="Times New Roman" w:hAnsi="David" w:hint="cs"/>
          <w:sz w:val="24"/>
          <w:rtl/>
          <w:lang w:eastAsia="he-IL"/>
        </w:rPr>
        <w:t xml:space="preserve"> השוטפות</w:t>
      </w:r>
      <w:r w:rsidRPr="00AA5065">
        <w:rPr>
          <w:rFonts w:ascii="David" w:eastAsia="Times New Roman" w:hAnsi="David"/>
          <w:sz w:val="24"/>
          <w:rtl/>
          <w:lang w:eastAsia="he-IL"/>
        </w:rPr>
        <w:t xml:space="preserve">, </w:t>
      </w:r>
      <w:r w:rsidRPr="00AA5065">
        <w:rPr>
          <w:rFonts w:ascii="David" w:eastAsia="Times New Roman" w:hAnsi="David" w:hint="cs"/>
          <w:sz w:val="24"/>
          <w:rtl/>
          <w:lang w:eastAsia="he-IL"/>
        </w:rPr>
        <w:t>למצוא את דרכי המימון ולקבוע את</w:t>
      </w:r>
      <w:r w:rsidRPr="00AA5065">
        <w:rPr>
          <w:rFonts w:ascii="David" w:eastAsia="Times New Roman" w:hAnsi="David"/>
          <w:sz w:val="24"/>
          <w:rtl/>
          <w:lang w:eastAsia="he-IL"/>
        </w:rPr>
        <w:t xml:space="preserve"> סדרי </w:t>
      </w:r>
      <w:r w:rsidRPr="00AA5065">
        <w:rPr>
          <w:rFonts w:ascii="David" w:eastAsia="Times New Roman" w:hAnsi="David" w:hint="cs"/>
          <w:sz w:val="24"/>
          <w:rtl/>
          <w:lang w:eastAsia="he-IL"/>
        </w:rPr>
        <w:t>ה</w:t>
      </w:r>
      <w:r w:rsidRPr="00AA5065">
        <w:rPr>
          <w:rFonts w:ascii="David" w:eastAsia="Times New Roman" w:hAnsi="David"/>
          <w:sz w:val="24"/>
          <w:rtl/>
          <w:lang w:eastAsia="he-IL"/>
        </w:rPr>
        <w:t>עדיפויות ביניהן</w:t>
      </w:r>
      <w:r w:rsidRPr="00AA5065">
        <w:rPr>
          <w:rFonts w:ascii="David" w:eastAsia="Times New Roman" w:hAnsi="David" w:hint="cs"/>
          <w:sz w:val="24"/>
          <w:rtl/>
          <w:lang w:eastAsia="he-IL"/>
        </w:rPr>
        <w:t xml:space="preserve">. אורגן כזה יוכל לגבש </w:t>
      </w:r>
      <w:r w:rsidRPr="00AA5065">
        <w:rPr>
          <w:rFonts w:ascii="David" w:eastAsia="Times New Roman" w:hAnsi="David"/>
          <w:sz w:val="24"/>
          <w:rtl/>
          <w:lang w:eastAsia="he-IL"/>
        </w:rPr>
        <w:t xml:space="preserve">תוכנית אב </w:t>
      </w:r>
      <w:r w:rsidRPr="00AA5065">
        <w:rPr>
          <w:rFonts w:ascii="David" w:eastAsia="Times New Roman" w:hAnsi="David" w:hint="cs"/>
          <w:sz w:val="24"/>
          <w:rtl/>
          <w:lang w:eastAsia="he-IL"/>
        </w:rPr>
        <w:t xml:space="preserve">ארוכת טווח ומתוקצבת, שתכלול </w:t>
      </w:r>
      <w:r w:rsidRPr="00AA5065">
        <w:rPr>
          <w:rFonts w:ascii="David" w:eastAsia="Times New Roman" w:hAnsi="David"/>
          <w:sz w:val="24"/>
          <w:rtl/>
          <w:lang w:eastAsia="he-IL"/>
        </w:rPr>
        <w:t>מנגנון מעקב ובקרה אחר יישומה.</w:t>
      </w:r>
      <w:r w:rsidRPr="00AA5065">
        <w:rPr>
          <w:rFonts w:ascii="David" w:eastAsia="Times New Roman" w:hAnsi="David" w:hint="cs"/>
          <w:sz w:val="24"/>
          <w:rtl/>
          <w:lang w:eastAsia="he-IL"/>
        </w:rPr>
        <w:t xml:space="preserve"> נוסף על כך, גורם כזה אמור לתאם בין הגורמים השונים ולהביא לפתרונן של מחלוקות בין-ארגוניות.</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lang w:eastAsia="he-IL"/>
        </w:rPr>
      </w:pPr>
      <w:r w:rsidRPr="00AA5065">
        <w:rPr>
          <w:rFonts w:eastAsia="Times New Roman" w:hint="cs"/>
          <w:bCs/>
          <w:spacing w:val="40"/>
          <w:rtl/>
          <w:lang w:eastAsia="he-IL"/>
        </w:rPr>
        <w:t>הביקורת הקודמת</w:t>
      </w:r>
    </w:p>
    <w:p w:rsidR="00AA5065" w:rsidRPr="00AA5065" w:rsidP="00860D89">
      <w:pPr>
        <w:spacing w:line="269" w:lineRule="auto"/>
        <w:ind w:left="-567"/>
        <w:rPr>
          <w:rFonts w:eastAsia="Calibri"/>
          <w:szCs w:val="20"/>
          <w:rtl/>
          <w:lang w:eastAsia="he-IL"/>
        </w:rPr>
      </w:pPr>
    </w:p>
    <w:p w:rsidR="00AA5065" w:rsidRPr="00AA5065" w:rsidP="00860D89">
      <w:pPr>
        <w:widowControl w:val="0"/>
        <w:spacing w:line="269" w:lineRule="auto"/>
        <w:contextualSpacing/>
        <w:rPr>
          <w:rFonts w:ascii="David" w:eastAsia="Times New Roman" w:hAnsi="David"/>
          <w:sz w:val="24"/>
          <w:rtl/>
          <w:lang w:eastAsia="he-IL"/>
        </w:rPr>
      </w:pPr>
      <w:r w:rsidRPr="00AA5065">
        <w:rPr>
          <w:rFonts w:ascii="David" w:eastAsia="Times New Roman" w:hAnsi="David" w:hint="cs"/>
          <w:sz w:val="24"/>
          <w:rtl/>
          <w:lang w:eastAsia="he-IL"/>
        </w:rPr>
        <w:t>בביקורת הקודמת</w:t>
      </w:r>
      <w:r w:rsidRPr="00AA5065">
        <w:rPr>
          <w:rFonts w:ascii="David" w:eastAsia="Times New Roman" w:hAnsi="David"/>
          <w:sz w:val="24"/>
          <w:rtl/>
          <w:lang w:eastAsia="he-IL"/>
        </w:rPr>
        <w:t xml:space="preserve"> עלה כי לא קיים אורגן ממשלתי המתווה את המדיניות הממשלתית הכוללת והמפקח על יישומה במטרה לצמצם את הפערים בין האוכלוסייה הבדואית בנגב </w:t>
      </w:r>
      <w:r w:rsidRPr="00AA5065">
        <w:rPr>
          <w:rFonts w:ascii="David" w:eastAsia="Times New Roman" w:hAnsi="David" w:hint="cs"/>
          <w:sz w:val="24"/>
          <w:rtl/>
          <w:lang w:eastAsia="he-IL"/>
        </w:rPr>
        <w:t>ו</w:t>
      </w:r>
      <w:r w:rsidRPr="00AA5065">
        <w:rPr>
          <w:rFonts w:ascii="David" w:eastAsia="Times New Roman" w:hAnsi="David"/>
          <w:sz w:val="24"/>
          <w:rtl/>
          <w:lang w:eastAsia="he-IL"/>
        </w:rPr>
        <w:t>בין כלל האוכלוסייה</w:t>
      </w:r>
      <w:r>
        <w:rPr>
          <w:rFonts w:ascii="David" w:eastAsia="Times New Roman" w:hAnsi="David"/>
          <w:sz w:val="24"/>
          <w:vertAlign w:val="superscript"/>
          <w:rtl/>
          <w:lang w:eastAsia="he-IL"/>
        </w:rPr>
        <w:footnoteReference w:id="170"/>
      </w:r>
      <w:r w:rsidRPr="00AA5065">
        <w:rPr>
          <w:rFonts w:ascii="David" w:eastAsia="Times New Roman" w:hAnsi="David"/>
          <w:sz w:val="24"/>
          <w:rtl/>
          <w:lang w:eastAsia="he-IL"/>
        </w:rPr>
        <w:t>.</w:t>
      </w:r>
    </w:p>
    <w:p w:rsidR="00AA5065" w:rsidRPr="00AA5065" w:rsidP="00860D89">
      <w:pPr>
        <w:spacing w:line="269" w:lineRule="auto"/>
        <w:ind w:left="-567"/>
        <w:rPr>
          <w:rFonts w:eastAsia="Calibri"/>
          <w:szCs w:val="20"/>
          <w:rtl/>
          <w:lang w:eastAsia="he-IL"/>
        </w:rPr>
      </w:pPr>
    </w:p>
    <w:p w:rsidR="00AA5065" w:rsidRPr="00AA5065" w:rsidP="00860D89">
      <w:pPr>
        <w:widowControl w:val="0"/>
        <w:spacing w:line="269" w:lineRule="auto"/>
        <w:contextualSpacing/>
        <w:rPr>
          <w:rFonts w:ascii="David" w:eastAsia="Times New Roman" w:hAnsi="David"/>
          <w:sz w:val="24"/>
          <w:rtl/>
          <w:lang w:eastAsia="he-IL"/>
        </w:rPr>
      </w:pPr>
      <w:r w:rsidRPr="00AA5065">
        <w:rPr>
          <w:rFonts w:ascii="David" w:eastAsia="Times New Roman" w:hAnsi="David" w:hint="cs"/>
          <w:sz w:val="24"/>
          <w:rtl/>
          <w:lang w:eastAsia="he-IL"/>
        </w:rPr>
        <w:t xml:space="preserve">כמו כן, הומלץ </w:t>
      </w:r>
      <w:r w:rsidRPr="00AA5065">
        <w:rPr>
          <w:rFonts w:ascii="David" w:eastAsia="Times New Roman" w:hAnsi="David"/>
          <w:sz w:val="24"/>
          <w:rtl/>
          <w:lang w:eastAsia="he-IL"/>
        </w:rPr>
        <w:t xml:space="preserve">כי </w:t>
      </w:r>
      <w:r w:rsidRPr="00AA5065">
        <w:rPr>
          <w:rFonts w:ascii="David" w:eastAsia="Times New Roman" w:hAnsi="David" w:hint="cs"/>
          <w:sz w:val="24"/>
          <w:rtl/>
          <w:lang w:eastAsia="he-IL"/>
        </w:rPr>
        <w:t>"</w:t>
      </w:r>
      <w:r w:rsidRPr="00AA5065">
        <w:rPr>
          <w:rFonts w:ascii="David" w:eastAsia="Times New Roman" w:hAnsi="David" w:hint="eastAsia"/>
          <w:sz w:val="24"/>
          <w:rtl/>
          <w:lang w:eastAsia="he-IL"/>
        </w:rPr>
        <w:t>המשרדים</w:t>
      </w:r>
      <w:r w:rsidRPr="00AA5065">
        <w:rPr>
          <w:rFonts w:ascii="David" w:eastAsia="Times New Roman" w:hAnsi="David"/>
          <w:sz w:val="24"/>
          <w:rtl/>
          <w:lang w:eastAsia="he-IL"/>
        </w:rPr>
        <w:t xml:space="preserve"> הממשלתיים</w:t>
      </w:r>
      <w:r w:rsidRPr="00AA5065">
        <w:rPr>
          <w:rFonts w:ascii="David" w:eastAsia="Times New Roman" w:hAnsi="David" w:hint="cs"/>
          <w:sz w:val="24"/>
          <w:rtl/>
          <w:lang w:eastAsia="he-IL"/>
        </w:rPr>
        <w:t xml:space="preserve">, ובראשם משרד ראש הממשלה, </w:t>
      </w:r>
      <w:r w:rsidRPr="00AA5065">
        <w:rPr>
          <w:rFonts w:ascii="David" w:eastAsia="Times New Roman" w:hAnsi="David"/>
          <w:sz w:val="24"/>
          <w:rtl/>
          <w:lang w:eastAsia="he-IL"/>
        </w:rPr>
        <w:t>האחרא</w:t>
      </w:r>
      <w:r w:rsidRPr="00AA5065">
        <w:rPr>
          <w:rFonts w:ascii="David" w:eastAsia="Times New Roman" w:hAnsi="David" w:hint="cs"/>
          <w:sz w:val="24"/>
          <w:rtl/>
          <w:lang w:eastAsia="he-IL"/>
        </w:rPr>
        <w:t>י</w:t>
      </w:r>
      <w:r w:rsidRPr="00AA5065">
        <w:rPr>
          <w:rFonts w:ascii="David" w:eastAsia="Times New Roman" w:hAnsi="David"/>
          <w:sz w:val="24"/>
          <w:rtl/>
          <w:lang w:eastAsia="he-IL"/>
        </w:rPr>
        <w:t xml:space="preserve">ים </w:t>
      </w:r>
      <w:r w:rsidRPr="00AA5065">
        <w:rPr>
          <w:rFonts w:ascii="David" w:eastAsia="Times New Roman" w:hAnsi="David" w:hint="cs"/>
          <w:sz w:val="24"/>
          <w:rtl/>
          <w:lang w:eastAsia="he-IL"/>
        </w:rPr>
        <w:t>ל</w:t>
      </w:r>
      <w:r w:rsidRPr="00AA5065">
        <w:rPr>
          <w:rFonts w:ascii="David" w:eastAsia="Times New Roman" w:hAnsi="David"/>
          <w:sz w:val="24"/>
          <w:rtl/>
          <w:lang w:eastAsia="he-IL"/>
        </w:rPr>
        <w:t xml:space="preserve">טיפול באוכלוסייה הלא-יהודית בנגב </w:t>
      </w:r>
      <w:r w:rsidRPr="00AA5065">
        <w:rPr>
          <w:rFonts w:ascii="David" w:eastAsia="Times New Roman" w:hAnsi="David" w:hint="cs"/>
          <w:sz w:val="24"/>
          <w:rtl/>
          <w:lang w:eastAsia="he-IL"/>
        </w:rPr>
        <w:t>יקבעו</w:t>
      </w:r>
      <w:r w:rsidRPr="00AA5065">
        <w:rPr>
          <w:rFonts w:ascii="David" w:eastAsia="Times New Roman" w:hAnsi="David"/>
          <w:sz w:val="24"/>
          <w:rtl/>
          <w:lang w:eastAsia="he-IL"/>
        </w:rPr>
        <w:t xml:space="preserve"> גורם מתכלל, </w:t>
      </w:r>
      <w:r w:rsidRPr="00AA5065">
        <w:rPr>
          <w:rFonts w:ascii="David" w:eastAsia="Times New Roman" w:hAnsi="David" w:hint="cs"/>
          <w:sz w:val="24"/>
          <w:rtl/>
          <w:lang w:eastAsia="he-IL"/>
        </w:rPr>
        <w:t xml:space="preserve">אשר </w:t>
      </w:r>
      <w:r w:rsidRPr="00AA5065">
        <w:rPr>
          <w:rFonts w:ascii="David" w:eastAsia="Times New Roman" w:hAnsi="David" w:hint="eastAsia"/>
          <w:sz w:val="24"/>
          <w:rtl/>
          <w:lang w:eastAsia="he-IL"/>
        </w:rPr>
        <w:t>יהיה</w:t>
      </w:r>
      <w:r w:rsidRPr="00AA5065">
        <w:rPr>
          <w:rFonts w:ascii="David" w:eastAsia="Times New Roman" w:hAnsi="David"/>
          <w:sz w:val="24"/>
          <w:rtl/>
          <w:lang w:eastAsia="he-IL"/>
        </w:rPr>
        <w:t xml:space="preserve"> אחראי </w:t>
      </w:r>
      <w:r w:rsidRPr="00AA5065">
        <w:rPr>
          <w:rFonts w:ascii="David" w:eastAsia="Times New Roman" w:hAnsi="David" w:hint="cs"/>
          <w:sz w:val="24"/>
          <w:rtl/>
          <w:lang w:eastAsia="he-IL"/>
        </w:rPr>
        <w:t xml:space="preserve">גם </w:t>
      </w:r>
      <w:r w:rsidRPr="00AA5065">
        <w:rPr>
          <w:rFonts w:ascii="David" w:eastAsia="Times New Roman" w:hAnsi="David"/>
          <w:sz w:val="24"/>
          <w:rtl/>
          <w:lang w:eastAsia="he-IL"/>
        </w:rPr>
        <w:t xml:space="preserve">לתוכנית </w:t>
      </w:r>
      <w:r w:rsidRPr="00AA5065">
        <w:rPr>
          <w:rFonts w:ascii="David" w:eastAsia="Times New Roman" w:hAnsi="David" w:hint="cs"/>
          <w:sz w:val="24"/>
          <w:rtl/>
          <w:lang w:eastAsia="he-IL"/>
        </w:rPr>
        <w:t>ה</w:t>
      </w:r>
      <w:r w:rsidRPr="00AA5065">
        <w:rPr>
          <w:rFonts w:ascii="David" w:eastAsia="Times New Roman" w:hAnsi="David"/>
          <w:sz w:val="24"/>
          <w:rtl/>
          <w:lang w:eastAsia="he-IL"/>
        </w:rPr>
        <w:t>אסטרטגית</w:t>
      </w:r>
      <w:r w:rsidRPr="00AA5065">
        <w:rPr>
          <w:rFonts w:ascii="David" w:eastAsia="Times New Roman" w:hAnsi="David" w:hint="cs"/>
          <w:sz w:val="24"/>
          <w:rtl/>
          <w:lang w:eastAsia="he-IL"/>
        </w:rPr>
        <w:t>,</w:t>
      </w:r>
      <w:r w:rsidRPr="00AA5065">
        <w:rPr>
          <w:rFonts w:ascii="David" w:eastAsia="Times New Roman" w:hAnsi="David"/>
          <w:sz w:val="24"/>
          <w:rtl/>
          <w:lang w:eastAsia="he-IL"/>
        </w:rPr>
        <w:t xml:space="preserve"> </w:t>
      </w:r>
      <w:r w:rsidRPr="00AA5065">
        <w:rPr>
          <w:rFonts w:ascii="David" w:eastAsia="Times New Roman" w:hAnsi="David" w:hint="cs"/>
          <w:sz w:val="24"/>
          <w:rtl/>
          <w:lang w:eastAsia="he-IL"/>
        </w:rPr>
        <w:t>שתכלול את כל התחומים הרלוונטיים לטיפול באוכלוסייה הלא-יהודית, ויעקבו</w:t>
      </w:r>
      <w:r w:rsidRPr="00AA5065">
        <w:rPr>
          <w:rFonts w:eastAsia="Calibri" w:hint="cs"/>
          <w:b/>
          <w:bCs/>
          <w:rtl/>
        </w:rPr>
        <w:t xml:space="preserve"> </w:t>
      </w:r>
      <w:r w:rsidRPr="00AA5065">
        <w:rPr>
          <w:rFonts w:eastAsia="Calibri" w:hint="cs"/>
          <w:rtl/>
        </w:rPr>
        <w:t xml:space="preserve">אחר </w:t>
      </w:r>
      <w:r w:rsidRPr="00AA5065">
        <w:rPr>
          <w:rFonts w:eastAsia="Calibri"/>
          <w:rtl/>
        </w:rPr>
        <w:t>יישומה</w:t>
      </w:r>
      <w:r w:rsidRPr="00AA5065">
        <w:rPr>
          <w:rFonts w:eastAsia="Calibri" w:hint="cs"/>
          <w:rtl/>
        </w:rPr>
        <w:t>"</w:t>
      </w:r>
      <w:r>
        <w:rPr>
          <w:rFonts w:eastAsia="Calibri"/>
          <w:vertAlign w:val="superscript"/>
          <w:rtl/>
        </w:rPr>
        <w:footnoteReference w:id="171"/>
      </w:r>
      <w:r w:rsidRPr="00AA5065">
        <w:rPr>
          <w:rFonts w:eastAsia="Calibri"/>
          <w:rtl/>
        </w:rPr>
        <w:t>.</w:t>
      </w:r>
    </w:p>
    <w:p w:rsidR="00AA5065" w:rsidRPr="00AA5065" w:rsidP="00860D89">
      <w:pPr>
        <w:spacing w:line="269" w:lineRule="auto"/>
        <w:rPr>
          <w:rFonts w:eastAsia="Calibri"/>
          <w:rtl/>
        </w:rPr>
      </w:pPr>
    </w:p>
    <w:p w:rsidR="00AA5065" w:rsidRPr="00AA5065" w:rsidP="00860D89">
      <w:pPr>
        <w:keepNext/>
        <w:keepLines/>
        <w:spacing w:line="269" w:lineRule="auto"/>
        <w:outlineLvl w:val="4"/>
        <w:rPr>
          <w:rFonts w:eastAsia="Times New Roman"/>
          <w:bCs/>
          <w:spacing w:val="40"/>
          <w:rtl/>
          <w:lang w:eastAsia="he-IL"/>
        </w:rPr>
      </w:pPr>
      <w:r w:rsidRPr="00AA5065">
        <w:rPr>
          <w:rFonts w:eastAsia="Times New Roman" w:hint="cs"/>
          <w:bCs/>
          <w:spacing w:val="40"/>
          <w:rtl/>
          <w:lang w:eastAsia="he-IL"/>
        </w:rPr>
        <w:t>ביקורת המעקב</w:t>
      </w:r>
    </w:p>
    <w:p w:rsidR="00AA5065" w:rsidRPr="00AA5065" w:rsidP="00860D89">
      <w:pPr>
        <w:spacing w:line="269" w:lineRule="auto"/>
        <w:ind w:left="-567"/>
        <w:rPr>
          <w:rFonts w:eastAsia="Calibri"/>
          <w:szCs w:val="20"/>
          <w:lang w:eastAsia="he-IL"/>
        </w:rPr>
      </w:pPr>
    </w:p>
    <w:p w:rsidR="00AA5065" w:rsidRPr="00AA5065" w:rsidP="00860D89">
      <w:pPr>
        <w:spacing w:line="269" w:lineRule="auto"/>
        <w:rPr>
          <w:rFonts w:eastAsia="Calibri"/>
          <w:rtl/>
        </w:rPr>
      </w:pPr>
      <w:r w:rsidRPr="00AA5065">
        <w:rPr>
          <w:rFonts w:eastAsia="Calibri" w:hint="eastAsia"/>
          <w:rtl/>
        </w:rPr>
        <w:t>במהלך</w:t>
      </w:r>
      <w:r w:rsidRPr="00AA5065">
        <w:rPr>
          <w:rFonts w:eastAsia="Calibri"/>
          <w:rtl/>
        </w:rPr>
        <w:t xml:space="preserve"> </w:t>
      </w:r>
      <w:r w:rsidRPr="00AA5065">
        <w:rPr>
          <w:rFonts w:eastAsia="Calibri" w:hint="eastAsia"/>
          <w:rtl/>
        </w:rPr>
        <w:t>ביקורת</w:t>
      </w:r>
      <w:r w:rsidRPr="00AA5065">
        <w:rPr>
          <w:rFonts w:eastAsia="Calibri"/>
          <w:rtl/>
        </w:rPr>
        <w:t xml:space="preserve"> </w:t>
      </w:r>
      <w:r w:rsidRPr="00AA5065">
        <w:rPr>
          <w:rFonts w:eastAsia="Calibri" w:hint="eastAsia"/>
          <w:rtl/>
        </w:rPr>
        <w:t>המעקב</w:t>
      </w:r>
      <w:r w:rsidRPr="00AA5065">
        <w:rPr>
          <w:rFonts w:eastAsia="Calibri"/>
          <w:rtl/>
        </w:rPr>
        <w:t xml:space="preserve"> </w:t>
      </w:r>
      <w:r w:rsidRPr="00AA5065">
        <w:rPr>
          <w:rFonts w:eastAsia="Calibri" w:hint="eastAsia"/>
          <w:rtl/>
        </w:rPr>
        <w:t>נפגשו</w:t>
      </w:r>
      <w:r w:rsidRPr="00AA5065">
        <w:rPr>
          <w:rFonts w:eastAsia="Calibri"/>
          <w:rtl/>
        </w:rPr>
        <w:t xml:space="preserve"> </w:t>
      </w:r>
      <w:r w:rsidRPr="00AA5065">
        <w:rPr>
          <w:rFonts w:eastAsia="Calibri" w:hint="eastAsia"/>
          <w:rtl/>
        </w:rPr>
        <w:t>נציגי</w:t>
      </w:r>
      <w:r w:rsidRPr="00AA5065">
        <w:rPr>
          <w:rFonts w:eastAsia="Calibri"/>
          <w:rtl/>
        </w:rPr>
        <w:t xml:space="preserve"> </w:t>
      </w:r>
      <w:r w:rsidRPr="00AA5065">
        <w:rPr>
          <w:rFonts w:eastAsia="Calibri" w:hint="eastAsia"/>
          <w:rtl/>
        </w:rPr>
        <w:t>משרד</w:t>
      </w:r>
      <w:r w:rsidRPr="00AA5065">
        <w:rPr>
          <w:rFonts w:eastAsia="Calibri"/>
          <w:rtl/>
        </w:rPr>
        <w:t xml:space="preserve"> </w:t>
      </w:r>
      <w:r w:rsidRPr="00AA5065">
        <w:rPr>
          <w:rFonts w:eastAsia="Calibri" w:hint="eastAsia"/>
          <w:rtl/>
        </w:rPr>
        <w:t>מבקר</w:t>
      </w:r>
      <w:r w:rsidRPr="00AA5065">
        <w:rPr>
          <w:rFonts w:eastAsia="Calibri"/>
          <w:rtl/>
        </w:rPr>
        <w:t xml:space="preserve"> </w:t>
      </w:r>
      <w:r w:rsidRPr="00AA5065">
        <w:rPr>
          <w:rFonts w:eastAsia="Calibri" w:hint="eastAsia"/>
          <w:rtl/>
        </w:rPr>
        <w:t>המדינה</w:t>
      </w:r>
      <w:r w:rsidRPr="00AA5065">
        <w:rPr>
          <w:rFonts w:eastAsia="Calibri"/>
          <w:rtl/>
        </w:rPr>
        <w:t xml:space="preserve"> </w:t>
      </w:r>
      <w:r w:rsidRPr="00AA5065">
        <w:rPr>
          <w:rFonts w:eastAsia="Calibri" w:hint="eastAsia"/>
          <w:rtl/>
        </w:rPr>
        <w:t>עם</w:t>
      </w:r>
      <w:r w:rsidRPr="00AA5065">
        <w:rPr>
          <w:rFonts w:eastAsia="Calibri"/>
          <w:rtl/>
        </w:rPr>
        <w:t xml:space="preserve"> </w:t>
      </w:r>
      <w:r w:rsidRPr="00AA5065">
        <w:rPr>
          <w:rFonts w:eastAsia="Calibri" w:hint="eastAsia"/>
          <w:rtl/>
        </w:rPr>
        <w:t>גורמים</w:t>
      </w:r>
      <w:r w:rsidRPr="00AA5065">
        <w:rPr>
          <w:rFonts w:eastAsia="Calibri"/>
          <w:rtl/>
        </w:rPr>
        <w:t xml:space="preserve"> </w:t>
      </w:r>
      <w:r w:rsidRPr="00AA5065">
        <w:rPr>
          <w:rFonts w:eastAsia="Calibri" w:hint="eastAsia"/>
          <w:rtl/>
        </w:rPr>
        <w:t>שונים</w:t>
      </w:r>
      <w:r w:rsidRPr="00AA5065">
        <w:rPr>
          <w:rFonts w:eastAsia="Calibri"/>
          <w:rtl/>
        </w:rPr>
        <w:t xml:space="preserve">, </w:t>
      </w:r>
      <w:r w:rsidRPr="00AA5065">
        <w:rPr>
          <w:rFonts w:eastAsia="Calibri" w:hint="eastAsia"/>
          <w:rtl/>
        </w:rPr>
        <w:t>הן</w:t>
      </w:r>
      <w:r w:rsidRPr="00AA5065">
        <w:rPr>
          <w:rFonts w:eastAsia="Calibri"/>
          <w:rtl/>
        </w:rPr>
        <w:t xml:space="preserve"> </w:t>
      </w:r>
      <w:r w:rsidRPr="00AA5065">
        <w:rPr>
          <w:rFonts w:eastAsia="Calibri" w:hint="eastAsia"/>
          <w:rtl/>
        </w:rPr>
        <w:t>ממשלתיים</w:t>
      </w:r>
      <w:r w:rsidRPr="00AA5065">
        <w:rPr>
          <w:rFonts w:eastAsia="Calibri"/>
          <w:rtl/>
        </w:rPr>
        <w:t xml:space="preserve"> </w:t>
      </w:r>
      <w:r w:rsidRPr="00AA5065">
        <w:rPr>
          <w:rFonts w:eastAsia="Calibri" w:hint="eastAsia"/>
          <w:rtl/>
        </w:rPr>
        <w:t>והן</w:t>
      </w:r>
      <w:r w:rsidRPr="00AA5065">
        <w:rPr>
          <w:rFonts w:eastAsia="Calibri"/>
          <w:rtl/>
        </w:rPr>
        <w:t xml:space="preserve"> </w:t>
      </w:r>
      <w:r w:rsidRPr="00AA5065">
        <w:rPr>
          <w:rFonts w:eastAsia="Calibri" w:hint="eastAsia"/>
          <w:rtl/>
        </w:rPr>
        <w:t>מהמגזר</w:t>
      </w:r>
      <w:r w:rsidRPr="00AA5065">
        <w:rPr>
          <w:rFonts w:eastAsia="Calibri"/>
          <w:rtl/>
        </w:rPr>
        <w:t xml:space="preserve"> </w:t>
      </w:r>
      <w:r w:rsidRPr="00AA5065">
        <w:rPr>
          <w:rFonts w:eastAsia="Calibri" w:hint="eastAsia"/>
          <w:rtl/>
        </w:rPr>
        <w:t>השלישי</w:t>
      </w:r>
      <w:r w:rsidRPr="00AA5065">
        <w:rPr>
          <w:rFonts w:eastAsia="Calibri"/>
          <w:rtl/>
        </w:rPr>
        <w:t xml:space="preserve">, </w:t>
      </w:r>
      <w:r w:rsidRPr="00AA5065">
        <w:rPr>
          <w:rFonts w:eastAsia="Calibri" w:hint="eastAsia"/>
          <w:rtl/>
        </w:rPr>
        <w:t>שלהם</w:t>
      </w:r>
      <w:r w:rsidRPr="00AA5065">
        <w:rPr>
          <w:rFonts w:eastAsia="Calibri"/>
          <w:rtl/>
        </w:rPr>
        <w:t xml:space="preserve"> </w:t>
      </w:r>
      <w:r w:rsidRPr="00AA5065">
        <w:rPr>
          <w:rFonts w:eastAsia="Calibri" w:hint="eastAsia"/>
          <w:rtl/>
        </w:rPr>
        <w:t>ה</w:t>
      </w:r>
      <w:r w:rsidRPr="00AA5065">
        <w:rPr>
          <w:rFonts w:eastAsia="Calibri" w:hint="cs"/>
          <w:rtl/>
        </w:rPr>
        <w:t>י</w:t>
      </w:r>
      <w:r w:rsidRPr="00AA5065">
        <w:rPr>
          <w:rFonts w:eastAsia="Calibri" w:hint="eastAsia"/>
          <w:rtl/>
        </w:rPr>
        <w:t>כרות</w:t>
      </w:r>
      <w:r w:rsidRPr="00AA5065">
        <w:rPr>
          <w:rFonts w:eastAsia="Calibri"/>
          <w:rtl/>
        </w:rPr>
        <w:t xml:space="preserve"> </w:t>
      </w:r>
      <w:r w:rsidRPr="00AA5065">
        <w:rPr>
          <w:rFonts w:eastAsia="Calibri" w:hint="eastAsia"/>
          <w:rtl/>
        </w:rPr>
        <w:t>טובה</w:t>
      </w:r>
      <w:r w:rsidRPr="00AA5065">
        <w:rPr>
          <w:rFonts w:eastAsia="Calibri"/>
          <w:rtl/>
        </w:rPr>
        <w:t xml:space="preserve"> </w:t>
      </w:r>
      <w:r w:rsidRPr="00AA5065">
        <w:rPr>
          <w:rFonts w:eastAsia="Calibri" w:hint="eastAsia"/>
          <w:rtl/>
        </w:rPr>
        <w:t>עם</w:t>
      </w:r>
      <w:r w:rsidRPr="00AA5065">
        <w:rPr>
          <w:rFonts w:eastAsia="Calibri"/>
          <w:rtl/>
        </w:rPr>
        <w:t xml:space="preserve"> </w:t>
      </w:r>
      <w:r w:rsidRPr="00AA5065">
        <w:rPr>
          <w:rFonts w:eastAsia="Calibri" w:hint="eastAsia"/>
          <w:rtl/>
        </w:rPr>
        <w:t>הנעשה</w:t>
      </w:r>
      <w:r w:rsidRPr="00AA5065">
        <w:rPr>
          <w:rFonts w:eastAsia="Calibri"/>
          <w:rtl/>
        </w:rPr>
        <w:t xml:space="preserve"> </w:t>
      </w:r>
      <w:r w:rsidRPr="00AA5065">
        <w:rPr>
          <w:rFonts w:eastAsia="Calibri" w:hint="eastAsia"/>
          <w:rtl/>
        </w:rPr>
        <w:t>במרחבי</w:t>
      </w:r>
      <w:r w:rsidRPr="00AA5065">
        <w:rPr>
          <w:rFonts w:eastAsia="Calibri"/>
          <w:rtl/>
        </w:rPr>
        <w:t xml:space="preserve"> </w:t>
      </w:r>
      <w:r w:rsidRPr="00AA5065">
        <w:rPr>
          <w:rFonts w:eastAsia="Calibri" w:hint="eastAsia"/>
          <w:rtl/>
        </w:rPr>
        <w:t>הנגב</w:t>
      </w:r>
      <w:r w:rsidRPr="00AA5065">
        <w:rPr>
          <w:rFonts w:eastAsia="Calibri" w:hint="cs"/>
          <w:rtl/>
        </w:rPr>
        <w:t>,</w:t>
      </w:r>
      <w:r w:rsidRPr="00AA5065">
        <w:rPr>
          <w:rFonts w:eastAsia="Calibri"/>
          <w:rtl/>
        </w:rPr>
        <w:t xml:space="preserve"> </w:t>
      </w:r>
      <w:r w:rsidRPr="00AA5065">
        <w:rPr>
          <w:rFonts w:eastAsia="Calibri" w:hint="eastAsia"/>
          <w:rtl/>
        </w:rPr>
        <w:t>ו</w:t>
      </w:r>
      <w:r w:rsidRPr="00AA5065">
        <w:rPr>
          <w:rFonts w:eastAsia="Calibri" w:hint="cs"/>
          <w:rtl/>
        </w:rPr>
        <w:t>כולם</w:t>
      </w:r>
      <w:r w:rsidRPr="00AA5065">
        <w:rPr>
          <w:rFonts w:eastAsia="Calibri"/>
          <w:rtl/>
        </w:rPr>
        <w:t xml:space="preserve"> העלו את הצורך הרב </w:t>
      </w:r>
      <w:r w:rsidRPr="00AA5065">
        <w:rPr>
          <w:rFonts w:eastAsia="Calibri" w:hint="cs"/>
          <w:rtl/>
        </w:rPr>
        <w:t>ב</w:t>
      </w:r>
      <w:r w:rsidRPr="00AA5065">
        <w:rPr>
          <w:rFonts w:eastAsia="Calibri"/>
          <w:rtl/>
        </w:rPr>
        <w:t xml:space="preserve">קיומו של אורגן </w:t>
      </w:r>
      <w:r w:rsidRPr="00AA5065">
        <w:rPr>
          <w:rFonts w:eastAsia="Calibri" w:hint="eastAsia"/>
          <w:rtl/>
        </w:rPr>
        <w:t>מתכלל</w:t>
      </w:r>
      <w:r w:rsidRPr="00AA5065">
        <w:rPr>
          <w:rFonts w:eastAsia="Calibri" w:hint="cs"/>
          <w:rtl/>
        </w:rPr>
        <w:t>:</w:t>
      </w:r>
    </w:p>
    <w:p w:rsidR="00AA5065" w:rsidRPr="00AA5065" w:rsidP="00860D89">
      <w:pPr>
        <w:spacing w:line="269" w:lineRule="auto"/>
        <w:ind w:left="-567"/>
        <w:rPr>
          <w:rFonts w:eastAsia="Calibri"/>
          <w:szCs w:val="20"/>
          <w:rtl/>
        </w:rPr>
      </w:pPr>
    </w:p>
    <w:p w:rsidR="00AA5065" w:rsidRPr="00AA5065" w:rsidP="00860D89">
      <w:pPr>
        <w:numPr>
          <w:ilvl w:val="0"/>
          <w:numId w:val="17"/>
        </w:numPr>
        <w:spacing w:line="269" w:lineRule="auto"/>
        <w:ind w:left="312"/>
        <w:rPr>
          <w:rFonts w:eastAsia="Calibri"/>
        </w:rPr>
      </w:pPr>
      <w:r w:rsidRPr="00AA5065">
        <w:rPr>
          <w:rFonts w:eastAsia="Calibri" w:hint="cs"/>
          <w:rtl/>
        </w:rPr>
        <w:t xml:space="preserve">מנהלת מחוז דרום ברשות האוכלוסין מסרה לנציגי משרד מבקר המדינה ב-15.12.24 כי קיימת חשיבות לקיומו של </w:t>
      </w:r>
      <w:r w:rsidRPr="00AA5065">
        <w:rPr>
          <w:rFonts w:eastAsia="Calibri"/>
          <w:rtl/>
        </w:rPr>
        <w:t>גוף מתכלל</w:t>
      </w:r>
      <w:r w:rsidRPr="00AA5065">
        <w:rPr>
          <w:rFonts w:eastAsia="Calibri" w:hint="cs"/>
          <w:rtl/>
        </w:rPr>
        <w:t>, וכי</w:t>
      </w:r>
      <w:r w:rsidRPr="00AA5065">
        <w:rPr>
          <w:rFonts w:eastAsia="Calibri"/>
          <w:rtl/>
        </w:rPr>
        <w:t xml:space="preserve"> הנושא עולה רבות במסגרת הדיונים של הוועדה בנושא תופעת "יבוא" נשים פלסטיניות למגזר הבדואי בנגב והתרחבות דורות ההמשך</w:t>
      </w:r>
      <w:r w:rsidRPr="00AA5065">
        <w:rPr>
          <w:rFonts w:eastAsia="Calibri" w:hint="cs"/>
          <w:rtl/>
        </w:rPr>
        <w:t>,</w:t>
      </w:r>
      <w:r w:rsidRPr="00AA5065">
        <w:rPr>
          <w:rFonts w:eastAsia="Calibri"/>
          <w:rtl/>
        </w:rPr>
        <w:t xml:space="preserve"> </w:t>
      </w:r>
      <w:r w:rsidRPr="00AA5065">
        <w:rPr>
          <w:rFonts w:eastAsia="Calibri" w:hint="cs"/>
          <w:rtl/>
        </w:rPr>
        <w:t>אולם טרם</w:t>
      </w:r>
      <w:r w:rsidRPr="00AA5065">
        <w:rPr>
          <w:rFonts w:eastAsia="Calibri"/>
          <w:rtl/>
        </w:rPr>
        <w:t xml:space="preserve"> נמצא גוף שי</w:t>
      </w:r>
      <w:r w:rsidRPr="00AA5065">
        <w:rPr>
          <w:rFonts w:eastAsia="Calibri" w:hint="cs"/>
          <w:rtl/>
        </w:rPr>
        <w:t xml:space="preserve">קבל </w:t>
      </w:r>
      <w:r w:rsidRPr="00AA5065">
        <w:rPr>
          <w:rFonts w:eastAsia="Calibri"/>
          <w:rtl/>
        </w:rPr>
        <w:t>את האחריות על תכלול המידע הנדון.</w:t>
      </w:r>
    </w:p>
    <w:p w:rsidR="00AA5065" w:rsidRPr="00AA5065" w:rsidP="00860D89">
      <w:pPr>
        <w:spacing w:line="269" w:lineRule="auto"/>
        <w:ind w:left="312"/>
        <w:rPr>
          <w:rFonts w:eastAsia="Calibri"/>
        </w:rPr>
      </w:pPr>
    </w:p>
    <w:p w:rsidR="00AA5065" w:rsidRPr="00AA5065" w:rsidP="00860D89">
      <w:pPr>
        <w:numPr>
          <w:ilvl w:val="0"/>
          <w:numId w:val="17"/>
        </w:numPr>
        <w:spacing w:line="269" w:lineRule="auto"/>
        <w:ind w:left="312"/>
        <w:rPr>
          <w:rFonts w:ascii="Calibri" w:eastAsia="Calibri" w:hAnsi="Calibri" w:cs="Calibri"/>
          <w:sz w:val="22"/>
          <w:szCs w:val="22"/>
        </w:rPr>
      </w:pPr>
      <w:r w:rsidRPr="00AA5065">
        <w:rPr>
          <w:rFonts w:eastAsia="Calibri" w:hint="cs"/>
          <w:rtl/>
        </w:rPr>
        <w:t>במסמך של ה</w:t>
      </w:r>
      <w:r w:rsidRPr="00AA5065">
        <w:rPr>
          <w:rFonts w:eastAsia="Calibri" w:hint="eastAsia"/>
          <w:rtl/>
        </w:rPr>
        <w:t>משטר</w:t>
      </w:r>
      <w:r w:rsidRPr="00AA5065">
        <w:rPr>
          <w:rFonts w:eastAsia="Calibri" w:hint="cs"/>
          <w:rtl/>
        </w:rPr>
        <w:t>ה</w:t>
      </w:r>
      <w:r w:rsidRPr="00AA5065">
        <w:rPr>
          <w:rFonts w:eastAsia="Calibri"/>
          <w:rtl/>
        </w:rPr>
        <w:t xml:space="preserve"> </w:t>
      </w:r>
      <w:r w:rsidRPr="00AA5065">
        <w:rPr>
          <w:rFonts w:eastAsia="Calibri" w:hint="cs"/>
          <w:rtl/>
        </w:rPr>
        <w:t>בנושא "משילות במגזר הערבי מחוז דרום 2024" צוין כי "</w:t>
      </w:r>
      <w:r w:rsidRPr="00AA5065">
        <w:rPr>
          <w:rFonts w:eastAsia="Calibri"/>
          <w:rtl/>
        </w:rPr>
        <w:t xml:space="preserve">אין תכלול משרדי אחוד (הסדרת קרקעות, תחבורה, תשתיות, חינוך, אנרגיה, משרד הפנים, חשמל ומים) </w:t>
      </w:r>
      <w:r w:rsidRPr="00AA5065">
        <w:rPr>
          <w:rFonts w:eastAsia="Calibri" w:hint="eastAsia"/>
          <w:rtl/>
        </w:rPr>
        <w:t>לטיפול</w:t>
      </w:r>
      <w:r w:rsidRPr="00AA5065">
        <w:rPr>
          <w:rFonts w:eastAsia="Calibri"/>
          <w:rtl/>
        </w:rPr>
        <w:t xml:space="preserve"> </w:t>
      </w:r>
      <w:r w:rsidRPr="00AA5065">
        <w:rPr>
          <w:rFonts w:eastAsia="Calibri" w:hint="eastAsia"/>
          <w:rtl/>
        </w:rPr>
        <w:t>בבעיה</w:t>
      </w:r>
      <w:r w:rsidRPr="00AA5065">
        <w:rPr>
          <w:rFonts w:eastAsia="Calibri" w:hint="cs"/>
          <w:rtl/>
        </w:rPr>
        <w:t xml:space="preserve"> של היעדר המשילות"</w:t>
      </w:r>
      <w:r>
        <w:rPr>
          <w:rFonts w:eastAsia="Calibri"/>
          <w:vertAlign w:val="superscript"/>
          <w:rtl/>
        </w:rPr>
        <w:footnoteReference w:id="172"/>
      </w:r>
      <w:r w:rsidRPr="00AA5065">
        <w:rPr>
          <w:rFonts w:eastAsia="Calibri"/>
          <w:rtl/>
        </w:rPr>
        <w:t xml:space="preserve">. </w:t>
      </w:r>
    </w:p>
    <w:p w:rsidR="00AA5065" w:rsidRPr="00AA5065" w:rsidP="00860D89">
      <w:pPr>
        <w:spacing w:line="269" w:lineRule="auto"/>
        <w:ind w:left="312"/>
        <w:rPr>
          <w:rFonts w:ascii="Calibri" w:eastAsia="Calibri" w:hAnsi="Calibri" w:cs="Calibri"/>
          <w:sz w:val="22"/>
          <w:szCs w:val="22"/>
          <w:rtl/>
        </w:rPr>
      </w:pPr>
    </w:p>
    <w:p w:rsidR="00AA5065" w:rsidRPr="00AA5065" w:rsidP="00860D89">
      <w:pPr>
        <w:numPr>
          <w:ilvl w:val="0"/>
          <w:numId w:val="17"/>
        </w:numPr>
        <w:spacing w:line="269" w:lineRule="auto"/>
        <w:ind w:left="312"/>
        <w:rPr>
          <w:rFonts w:eastAsia="Calibri"/>
        </w:rPr>
      </w:pPr>
      <w:r w:rsidRPr="00AA5065">
        <w:rPr>
          <w:rFonts w:eastAsia="Calibri" w:hint="cs"/>
          <w:rtl/>
        </w:rPr>
        <w:t>ראש מועצת נווה מדבר ואנשי צוותו ציינו לפני צוות הביקורת בדצמבר 2024</w:t>
      </w:r>
      <w:r>
        <w:rPr>
          <w:rFonts w:eastAsia="Calibri"/>
          <w:vertAlign w:val="superscript"/>
          <w:rtl/>
        </w:rPr>
        <w:footnoteReference w:id="173"/>
      </w:r>
      <w:r w:rsidRPr="00AA5065">
        <w:rPr>
          <w:rFonts w:eastAsia="Calibri" w:hint="cs"/>
          <w:rtl/>
        </w:rPr>
        <w:t xml:space="preserve"> כי יש צורך בקיומו של גורם מתכלל. בהיעדרו של גורם שכזה קיים כיום חוסר תיאום בין הרשויות המקומיות לבין הגופים הממשלתיים, מה שמוביל לשיבושים במתן השירותים לתושבים ובהסדרת היישובים.</w:t>
      </w:r>
    </w:p>
    <w:p w:rsidR="00AA5065" w:rsidRPr="00AA5065" w:rsidP="00860D89">
      <w:pPr>
        <w:spacing w:line="269" w:lineRule="auto"/>
        <w:rPr>
          <w:rFonts w:eastAsia="Calibri"/>
        </w:rPr>
      </w:pPr>
    </w:p>
    <w:p w:rsidR="00AA5065" w:rsidRPr="00AA5065" w:rsidP="00860D89">
      <w:pPr>
        <w:numPr>
          <w:ilvl w:val="0"/>
          <w:numId w:val="17"/>
        </w:numPr>
        <w:spacing w:line="269" w:lineRule="auto"/>
        <w:ind w:left="312"/>
        <w:rPr>
          <w:rFonts w:eastAsia="Calibri"/>
        </w:rPr>
      </w:pPr>
      <w:r w:rsidRPr="00AA5065">
        <w:rPr>
          <w:rFonts w:eastAsia="Calibri" w:hint="cs"/>
          <w:rtl/>
        </w:rPr>
        <w:t>ראש עיריית באר שבע ציין לפני צוות הביקורת בינואר 2025 כי המצב השורר בשטח וביזור הטיפול בבעיות השונות מעלים את הצורך</w:t>
      </w:r>
      <w:r w:rsidRPr="00AA5065">
        <w:rPr>
          <w:rFonts w:eastAsia="Calibri"/>
          <w:rtl/>
        </w:rPr>
        <w:t xml:space="preserve"> </w:t>
      </w:r>
      <w:r w:rsidRPr="00AA5065">
        <w:rPr>
          <w:rFonts w:eastAsia="Calibri" w:hint="cs"/>
          <w:rtl/>
        </w:rPr>
        <w:t>בהקמתה של רשות מתכללת</w:t>
      </w:r>
      <w:r w:rsidRPr="00AA5065">
        <w:rPr>
          <w:rFonts w:eastAsia="Calibri"/>
          <w:rtl/>
        </w:rPr>
        <w:t xml:space="preserve"> חדשה</w:t>
      </w:r>
      <w:r w:rsidRPr="00AA5065">
        <w:rPr>
          <w:rFonts w:eastAsia="Calibri" w:hint="cs"/>
          <w:rtl/>
        </w:rPr>
        <w:t xml:space="preserve"> בעלת</w:t>
      </w:r>
      <w:r w:rsidRPr="00AA5065">
        <w:rPr>
          <w:rFonts w:eastAsia="Calibri"/>
          <w:rtl/>
        </w:rPr>
        <w:t xml:space="preserve"> כלים, סמכויות</w:t>
      </w:r>
      <w:r w:rsidRPr="00AA5065">
        <w:rPr>
          <w:rFonts w:eastAsia="Calibri" w:hint="cs"/>
          <w:rtl/>
        </w:rPr>
        <w:t>, תקציבים ותקנים ובגיבוי ראש הממשלה וכן ב</w:t>
      </w:r>
      <w:r w:rsidRPr="00AA5065">
        <w:rPr>
          <w:rFonts w:eastAsia="Calibri"/>
          <w:rtl/>
        </w:rPr>
        <w:t>יצירת תכנית</w:t>
      </w:r>
      <w:r w:rsidRPr="00AA5065">
        <w:rPr>
          <w:rFonts w:eastAsia="Calibri" w:hint="cs"/>
          <w:rtl/>
        </w:rPr>
        <w:t xml:space="preserve"> לאומית לאכיפה </w:t>
      </w:r>
      <w:r w:rsidRPr="00AA5065">
        <w:rPr>
          <w:rFonts w:eastAsia="Calibri"/>
          <w:rtl/>
        </w:rPr>
        <w:t>ארוכת טווח (חומש או עשור)</w:t>
      </w:r>
      <w:r w:rsidRPr="00AA5065">
        <w:rPr>
          <w:rFonts w:eastAsia="Calibri" w:hint="cs"/>
          <w:rtl/>
        </w:rPr>
        <w:t xml:space="preserve"> בשיתוף</w:t>
      </w:r>
      <w:r w:rsidRPr="00AA5065">
        <w:rPr>
          <w:rFonts w:eastAsia="Calibri"/>
          <w:rtl/>
        </w:rPr>
        <w:t xml:space="preserve"> משרדי</w:t>
      </w:r>
      <w:r w:rsidRPr="00AA5065">
        <w:rPr>
          <w:rFonts w:eastAsia="Calibri" w:hint="cs"/>
          <w:rtl/>
        </w:rPr>
        <w:t xml:space="preserve"> האוצר, הביטחון הלאומי, </w:t>
      </w:r>
      <w:r w:rsidRPr="00AA5065">
        <w:rPr>
          <w:rFonts w:eastAsia="Calibri"/>
          <w:rtl/>
        </w:rPr>
        <w:t>הכלכלה, החינוך</w:t>
      </w:r>
      <w:r w:rsidRPr="00AA5065">
        <w:rPr>
          <w:rFonts w:eastAsia="Calibri" w:hint="cs"/>
          <w:rtl/>
        </w:rPr>
        <w:t xml:space="preserve">, </w:t>
      </w:r>
      <w:r w:rsidRPr="00AA5065">
        <w:rPr>
          <w:rFonts w:eastAsia="Calibri"/>
          <w:rtl/>
        </w:rPr>
        <w:t>בט"ל</w:t>
      </w:r>
      <w:r w:rsidRPr="00AA5065">
        <w:rPr>
          <w:rFonts w:eastAsia="Calibri" w:hint="cs"/>
          <w:rtl/>
        </w:rPr>
        <w:t>, רמ"י קק"ל ועוד, אשר במסגרתה ייקבעו מדדים (נשירה מבתי ספר, פשיעה, אירועי ירי, אבטלה וכד') מדידים אשר מידת ההתקדמות והעמידה בהם תדווח מדי רבעון לראש הממשלה.</w:t>
      </w:r>
    </w:p>
    <w:p w:rsidR="00AA5065" w:rsidRPr="00AA5065" w:rsidP="00860D89">
      <w:pPr>
        <w:spacing w:line="269" w:lineRule="auto"/>
        <w:rPr>
          <w:rFonts w:eastAsia="Calibri"/>
        </w:rPr>
      </w:pPr>
    </w:p>
    <w:p w:rsidR="00AA5065" w:rsidRPr="00AA5065" w:rsidP="00860D89">
      <w:pPr>
        <w:numPr>
          <w:ilvl w:val="0"/>
          <w:numId w:val="17"/>
        </w:numPr>
        <w:spacing w:line="269" w:lineRule="auto"/>
        <w:ind w:left="312"/>
        <w:rPr>
          <w:rFonts w:eastAsia="Calibri"/>
        </w:rPr>
      </w:pPr>
      <w:r w:rsidRPr="00AA5065">
        <w:rPr>
          <w:rFonts w:eastAsia="Calibri"/>
          <w:rtl/>
        </w:rPr>
        <w:t xml:space="preserve">מנכ"ל </w:t>
      </w:r>
      <w:r w:rsidRPr="00AA5065">
        <w:rPr>
          <w:rFonts w:eastAsia="Calibri" w:hint="cs"/>
          <w:rtl/>
        </w:rPr>
        <w:t>עמותה הפועלת לעידוד ההתיישבות בנגב ובגליל</w:t>
      </w:r>
      <w:r w:rsidRPr="00AA5065">
        <w:rPr>
          <w:rFonts w:eastAsia="Calibri"/>
          <w:rtl/>
        </w:rPr>
        <w:t xml:space="preserve"> </w:t>
      </w:r>
      <w:r w:rsidRPr="00AA5065">
        <w:rPr>
          <w:rFonts w:eastAsia="Calibri" w:hint="cs"/>
          <w:rtl/>
        </w:rPr>
        <w:t xml:space="preserve">ציין לפני צוות הביקורת בינואר 2025 </w:t>
      </w:r>
      <w:r w:rsidRPr="00AA5065">
        <w:rPr>
          <w:rFonts w:eastAsia="Calibri"/>
          <w:rtl/>
        </w:rPr>
        <w:t xml:space="preserve">כי חשוב מאוד שתהיה יחידת מידע </w:t>
      </w:r>
      <w:r w:rsidRPr="00AA5065">
        <w:rPr>
          <w:rFonts w:eastAsia="Calibri" w:hint="eastAsia"/>
          <w:rtl/>
        </w:rPr>
        <w:t>מתכללת</w:t>
      </w:r>
      <w:r w:rsidRPr="00AA5065">
        <w:rPr>
          <w:rFonts w:eastAsia="Calibri"/>
          <w:rtl/>
        </w:rPr>
        <w:t xml:space="preserve"> </w:t>
      </w:r>
      <w:r w:rsidRPr="00AA5065">
        <w:rPr>
          <w:rFonts w:eastAsia="Calibri" w:hint="eastAsia"/>
          <w:rtl/>
        </w:rPr>
        <w:t>שברשותה</w:t>
      </w:r>
      <w:r w:rsidRPr="00AA5065">
        <w:rPr>
          <w:rFonts w:eastAsia="Calibri"/>
          <w:rtl/>
        </w:rPr>
        <w:t xml:space="preserve"> </w:t>
      </w:r>
      <w:r w:rsidRPr="00AA5065">
        <w:rPr>
          <w:rFonts w:eastAsia="Calibri" w:hint="eastAsia"/>
          <w:rtl/>
        </w:rPr>
        <w:t>יהיה</w:t>
      </w:r>
      <w:r w:rsidRPr="00AA5065">
        <w:rPr>
          <w:rFonts w:eastAsia="Calibri"/>
          <w:rtl/>
        </w:rPr>
        <w:t xml:space="preserve"> </w:t>
      </w:r>
      <w:r w:rsidRPr="00AA5065">
        <w:rPr>
          <w:rFonts w:eastAsia="Calibri" w:hint="eastAsia"/>
          <w:rtl/>
        </w:rPr>
        <w:t>מידע</w:t>
      </w:r>
      <w:r w:rsidRPr="00AA5065">
        <w:rPr>
          <w:rFonts w:eastAsia="Calibri"/>
          <w:rtl/>
        </w:rPr>
        <w:t xml:space="preserve"> </w:t>
      </w:r>
      <w:r w:rsidRPr="00AA5065">
        <w:rPr>
          <w:rFonts w:eastAsia="Calibri" w:hint="eastAsia"/>
          <w:rtl/>
        </w:rPr>
        <w:t>חשוב</w:t>
      </w:r>
      <w:r w:rsidRPr="00AA5065">
        <w:rPr>
          <w:rFonts w:eastAsia="Calibri" w:hint="cs"/>
          <w:rtl/>
        </w:rPr>
        <w:t>,</w:t>
      </w:r>
      <w:r w:rsidRPr="00AA5065">
        <w:rPr>
          <w:rFonts w:eastAsia="Calibri"/>
          <w:rtl/>
        </w:rPr>
        <w:t xml:space="preserve"> </w:t>
      </w:r>
      <w:r w:rsidRPr="00AA5065">
        <w:rPr>
          <w:rFonts w:eastAsia="Calibri" w:hint="eastAsia"/>
          <w:rtl/>
        </w:rPr>
        <w:t>כגון</w:t>
      </w:r>
      <w:r w:rsidRPr="00AA5065">
        <w:rPr>
          <w:rFonts w:eastAsia="Calibri"/>
          <w:rtl/>
        </w:rPr>
        <w:t xml:space="preserve"> </w:t>
      </w:r>
      <w:r w:rsidRPr="00AA5065">
        <w:rPr>
          <w:rFonts w:eastAsia="Calibri" w:hint="eastAsia"/>
          <w:rtl/>
        </w:rPr>
        <w:t>מספר</w:t>
      </w:r>
      <w:r w:rsidRPr="00AA5065">
        <w:rPr>
          <w:rFonts w:eastAsia="Calibri"/>
          <w:rtl/>
        </w:rPr>
        <w:t xml:space="preserve"> </w:t>
      </w:r>
      <w:r w:rsidRPr="00AA5065">
        <w:rPr>
          <w:rFonts w:eastAsia="Calibri" w:hint="eastAsia"/>
          <w:rtl/>
        </w:rPr>
        <w:t>ה</w:t>
      </w:r>
      <w:r w:rsidRPr="00AA5065">
        <w:rPr>
          <w:rFonts w:eastAsia="Calibri"/>
          <w:rtl/>
        </w:rPr>
        <w:t xml:space="preserve">נשים </w:t>
      </w:r>
      <w:r w:rsidRPr="00AA5065">
        <w:rPr>
          <w:rFonts w:eastAsia="Calibri" w:hint="cs"/>
          <w:rtl/>
        </w:rPr>
        <w:t>ה</w:t>
      </w:r>
      <w:r w:rsidRPr="00AA5065">
        <w:rPr>
          <w:rFonts w:eastAsia="Calibri"/>
          <w:rtl/>
        </w:rPr>
        <w:t xml:space="preserve">פלסטיניות </w:t>
      </w:r>
      <w:r w:rsidRPr="00AA5065">
        <w:rPr>
          <w:rFonts w:eastAsia="Calibri" w:hint="eastAsia"/>
          <w:rtl/>
        </w:rPr>
        <w:t>בנגב</w:t>
      </w:r>
      <w:r w:rsidRPr="00AA5065">
        <w:rPr>
          <w:rFonts w:eastAsia="Calibri"/>
          <w:rtl/>
        </w:rPr>
        <w:t xml:space="preserve"> </w:t>
      </w:r>
      <w:r w:rsidRPr="00AA5065">
        <w:rPr>
          <w:rFonts w:eastAsia="Calibri" w:hint="eastAsia"/>
          <w:rtl/>
        </w:rPr>
        <w:t>ו</w:t>
      </w:r>
      <w:r w:rsidRPr="00AA5065">
        <w:rPr>
          <w:rFonts w:eastAsia="Calibri"/>
          <w:rtl/>
        </w:rPr>
        <w:t xml:space="preserve">היכן </w:t>
      </w:r>
      <w:r w:rsidRPr="00AA5065">
        <w:rPr>
          <w:rFonts w:eastAsia="Calibri" w:hint="eastAsia"/>
          <w:rtl/>
        </w:rPr>
        <w:t>הן</w:t>
      </w:r>
      <w:r w:rsidRPr="00AA5065">
        <w:rPr>
          <w:rFonts w:eastAsia="Calibri" w:hint="cs"/>
          <w:rtl/>
        </w:rPr>
        <w:t xml:space="preserve"> </w:t>
      </w:r>
      <w:r w:rsidRPr="00AA5065">
        <w:rPr>
          <w:rFonts w:eastAsia="Calibri"/>
          <w:rtl/>
        </w:rPr>
        <w:t xml:space="preserve">מתגוררות בדיוק. </w:t>
      </w:r>
      <w:r w:rsidRPr="00AA5065">
        <w:rPr>
          <w:rFonts w:eastAsia="Calibri" w:hint="eastAsia"/>
          <w:rtl/>
        </w:rPr>
        <w:t>כמו</w:t>
      </w:r>
      <w:r w:rsidRPr="00AA5065">
        <w:rPr>
          <w:rFonts w:eastAsia="Calibri"/>
          <w:rtl/>
        </w:rPr>
        <w:t xml:space="preserve"> כן לדעתו נדרש לשפר את הקשר בין </w:t>
      </w:r>
      <w:r w:rsidRPr="00AA5065">
        <w:rPr>
          <w:rFonts w:eastAsia="Calibri" w:hint="cs"/>
          <w:rtl/>
        </w:rPr>
        <w:t>ה</w:t>
      </w:r>
      <w:r w:rsidRPr="00AA5065">
        <w:rPr>
          <w:rFonts w:eastAsia="Calibri"/>
          <w:rtl/>
        </w:rPr>
        <w:t xml:space="preserve">סיירת </w:t>
      </w:r>
      <w:r w:rsidRPr="00AA5065">
        <w:rPr>
          <w:rFonts w:eastAsia="Calibri" w:hint="cs"/>
          <w:rtl/>
        </w:rPr>
        <w:t>ה</w:t>
      </w:r>
      <w:r w:rsidRPr="00AA5065">
        <w:rPr>
          <w:rFonts w:eastAsia="Calibri"/>
          <w:rtl/>
        </w:rPr>
        <w:t xml:space="preserve">ירוקה, </w:t>
      </w:r>
      <w:r w:rsidRPr="00AA5065">
        <w:rPr>
          <w:rFonts w:eastAsia="Calibri" w:hint="cs"/>
          <w:rtl/>
        </w:rPr>
        <w:t>ה</w:t>
      </w:r>
      <w:r w:rsidRPr="00AA5065">
        <w:rPr>
          <w:rFonts w:eastAsia="Calibri"/>
          <w:rtl/>
        </w:rPr>
        <w:t xml:space="preserve">שב"כ, </w:t>
      </w:r>
      <w:r w:rsidRPr="00AA5065">
        <w:rPr>
          <w:rFonts w:eastAsia="Calibri" w:hint="eastAsia"/>
          <w:rtl/>
        </w:rPr>
        <w:t>רמ</w:t>
      </w:r>
      <w:r w:rsidRPr="00AA5065">
        <w:rPr>
          <w:rFonts w:eastAsia="Calibri"/>
          <w:rtl/>
        </w:rPr>
        <w:t xml:space="preserve">"י </w:t>
      </w:r>
      <w:r w:rsidRPr="00AA5065">
        <w:rPr>
          <w:rFonts w:eastAsia="Calibri" w:hint="cs"/>
          <w:rtl/>
        </w:rPr>
        <w:t>וה</w:t>
      </w:r>
      <w:r w:rsidRPr="00AA5065">
        <w:rPr>
          <w:rFonts w:eastAsia="Calibri" w:hint="eastAsia"/>
          <w:rtl/>
        </w:rPr>
        <w:t>משטרה</w:t>
      </w:r>
      <w:r w:rsidRPr="00AA5065">
        <w:rPr>
          <w:rFonts w:eastAsia="Calibri"/>
          <w:rtl/>
        </w:rPr>
        <w:t xml:space="preserve"> </w:t>
      </w:r>
      <w:r w:rsidRPr="00AA5065">
        <w:rPr>
          <w:rFonts w:eastAsia="Calibri" w:hint="eastAsia"/>
          <w:rtl/>
        </w:rPr>
        <w:t>שכן</w:t>
      </w:r>
      <w:r w:rsidRPr="00AA5065">
        <w:rPr>
          <w:rFonts w:eastAsia="Calibri" w:hint="cs"/>
          <w:rtl/>
        </w:rPr>
        <w:t xml:space="preserve"> </w:t>
      </w:r>
      <w:r w:rsidRPr="00AA5065">
        <w:rPr>
          <w:rFonts w:eastAsia="Calibri"/>
          <w:rtl/>
        </w:rPr>
        <w:t xml:space="preserve">כיום </w:t>
      </w:r>
      <w:r w:rsidRPr="00AA5065">
        <w:rPr>
          <w:rFonts w:eastAsia="Calibri" w:hint="eastAsia"/>
          <w:rtl/>
        </w:rPr>
        <w:t>כל</w:t>
      </w:r>
      <w:r w:rsidRPr="00AA5065">
        <w:rPr>
          <w:rFonts w:eastAsia="Calibri"/>
          <w:rtl/>
        </w:rPr>
        <w:t xml:space="preserve"> </w:t>
      </w:r>
      <w:r w:rsidRPr="00AA5065">
        <w:rPr>
          <w:rFonts w:eastAsia="Calibri" w:hint="eastAsia"/>
          <w:rtl/>
        </w:rPr>
        <w:t>אחד</w:t>
      </w:r>
      <w:r w:rsidRPr="00AA5065">
        <w:rPr>
          <w:rFonts w:eastAsia="Calibri"/>
          <w:rtl/>
        </w:rPr>
        <w:t xml:space="preserve"> </w:t>
      </w:r>
      <w:r w:rsidRPr="00AA5065">
        <w:rPr>
          <w:rFonts w:eastAsia="Calibri" w:hint="eastAsia"/>
          <w:rtl/>
        </w:rPr>
        <w:t>מגופים</w:t>
      </w:r>
      <w:r w:rsidRPr="00AA5065">
        <w:rPr>
          <w:rFonts w:eastAsia="Calibri"/>
          <w:rtl/>
        </w:rPr>
        <w:t xml:space="preserve"> </w:t>
      </w:r>
      <w:r w:rsidRPr="00AA5065">
        <w:rPr>
          <w:rFonts w:eastAsia="Calibri" w:hint="eastAsia"/>
          <w:rtl/>
        </w:rPr>
        <w:t>אלו</w:t>
      </w:r>
      <w:r w:rsidRPr="00AA5065">
        <w:rPr>
          <w:rFonts w:eastAsia="Calibri"/>
          <w:rtl/>
        </w:rPr>
        <w:t xml:space="preserve"> </w:t>
      </w:r>
      <w:r w:rsidRPr="00AA5065">
        <w:rPr>
          <w:rFonts w:eastAsia="Calibri" w:hint="eastAsia"/>
          <w:rtl/>
        </w:rPr>
        <w:t>בונה</w:t>
      </w:r>
      <w:r w:rsidRPr="00AA5065">
        <w:rPr>
          <w:rFonts w:eastAsia="Calibri"/>
          <w:rtl/>
        </w:rPr>
        <w:t xml:space="preserve"> </w:t>
      </w:r>
      <w:r w:rsidRPr="00AA5065">
        <w:rPr>
          <w:rFonts w:eastAsia="Calibri" w:hint="eastAsia"/>
          <w:rtl/>
        </w:rPr>
        <w:t>מע</w:t>
      </w:r>
      <w:r w:rsidRPr="00AA5065">
        <w:rPr>
          <w:rFonts w:eastAsia="Calibri" w:hint="cs"/>
          <w:rtl/>
        </w:rPr>
        <w:t>רכת</w:t>
      </w:r>
      <w:r w:rsidRPr="00AA5065">
        <w:rPr>
          <w:rFonts w:eastAsia="Calibri"/>
          <w:rtl/>
        </w:rPr>
        <w:t xml:space="preserve"> </w:t>
      </w:r>
      <w:r w:rsidRPr="00AA5065">
        <w:rPr>
          <w:rFonts w:eastAsia="Calibri" w:hint="eastAsia"/>
          <w:rtl/>
        </w:rPr>
        <w:t>מידע</w:t>
      </w:r>
      <w:r w:rsidRPr="00AA5065">
        <w:rPr>
          <w:rFonts w:eastAsia="Calibri"/>
          <w:rtl/>
        </w:rPr>
        <w:t xml:space="preserve"> </w:t>
      </w:r>
      <w:r w:rsidRPr="00AA5065">
        <w:rPr>
          <w:rFonts w:eastAsia="Calibri" w:hint="eastAsia"/>
          <w:rtl/>
        </w:rPr>
        <w:t>משלו</w:t>
      </w:r>
      <w:r w:rsidRPr="00AA5065">
        <w:rPr>
          <w:rFonts w:eastAsia="Calibri"/>
          <w:rtl/>
        </w:rPr>
        <w:t xml:space="preserve"> </w:t>
      </w:r>
      <w:r w:rsidRPr="00AA5065">
        <w:rPr>
          <w:rFonts w:eastAsia="Calibri" w:hint="eastAsia"/>
          <w:rtl/>
        </w:rPr>
        <w:t>ואין</w:t>
      </w:r>
      <w:r w:rsidRPr="00AA5065">
        <w:rPr>
          <w:rFonts w:eastAsia="Calibri"/>
          <w:rtl/>
        </w:rPr>
        <w:t xml:space="preserve"> </w:t>
      </w:r>
      <w:r w:rsidRPr="00AA5065">
        <w:rPr>
          <w:rFonts w:eastAsia="Calibri" w:hint="eastAsia"/>
          <w:rtl/>
        </w:rPr>
        <w:t>שיתוף</w:t>
      </w:r>
      <w:r w:rsidRPr="00AA5065">
        <w:rPr>
          <w:rFonts w:eastAsia="Calibri"/>
          <w:rtl/>
        </w:rPr>
        <w:t xml:space="preserve"> </w:t>
      </w:r>
      <w:r w:rsidRPr="00AA5065">
        <w:rPr>
          <w:rFonts w:eastAsia="Calibri" w:hint="eastAsia"/>
          <w:rtl/>
        </w:rPr>
        <w:t>ביניהם</w:t>
      </w:r>
      <w:r w:rsidRPr="00AA5065">
        <w:rPr>
          <w:rFonts w:eastAsia="Calibri"/>
          <w:rtl/>
        </w:rPr>
        <w:t>. נוסף</w:t>
      </w:r>
      <w:r w:rsidRPr="00AA5065">
        <w:rPr>
          <w:rFonts w:eastAsia="Calibri" w:hint="cs"/>
          <w:rtl/>
        </w:rPr>
        <w:t xml:space="preserve"> על כך</w:t>
      </w:r>
      <w:r w:rsidRPr="00AA5065">
        <w:rPr>
          <w:rFonts w:eastAsia="Calibri"/>
          <w:rtl/>
        </w:rPr>
        <w:t xml:space="preserve">, </w:t>
      </w:r>
      <w:r w:rsidRPr="00AA5065">
        <w:rPr>
          <w:rFonts w:eastAsia="Calibri" w:hint="eastAsia"/>
          <w:rtl/>
        </w:rPr>
        <w:t>לדעתו</w:t>
      </w:r>
      <w:r w:rsidRPr="00AA5065">
        <w:rPr>
          <w:rFonts w:eastAsia="Calibri"/>
          <w:rtl/>
        </w:rPr>
        <w:t xml:space="preserve"> </w:t>
      </w:r>
      <w:r w:rsidRPr="00AA5065">
        <w:rPr>
          <w:rFonts w:eastAsia="Calibri" w:hint="eastAsia"/>
          <w:rtl/>
        </w:rPr>
        <w:t>יש</w:t>
      </w:r>
      <w:r w:rsidRPr="00AA5065">
        <w:rPr>
          <w:rFonts w:eastAsia="Calibri"/>
          <w:rtl/>
        </w:rPr>
        <w:t xml:space="preserve"> </w:t>
      </w:r>
      <w:r w:rsidRPr="00AA5065">
        <w:rPr>
          <w:rFonts w:eastAsia="Calibri" w:hint="eastAsia"/>
          <w:rtl/>
        </w:rPr>
        <w:t>לחזק</w:t>
      </w:r>
      <w:r w:rsidRPr="00AA5065">
        <w:rPr>
          <w:rFonts w:eastAsia="Calibri"/>
          <w:rtl/>
        </w:rPr>
        <w:t xml:space="preserve"> </w:t>
      </w:r>
      <w:r w:rsidRPr="00AA5065">
        <w:rPr>
          <w:rFonts w:eastAsia="Calibri" w:hint="eastAsia"/>
          <w:rtl/>
        </w:rPr>
        <w:t>משמעותית</w:t>
      </w:r>
      <w:r w:rsidRPr="00AA5065">
        <w:rPr>
          <w:rFonts w:eastAsia="Calibri"/>
          <w:rtl/>
        </w:rPr>
        <w:t xml:space="preserve"> </w:t>
      </w:r>
      <w:r w:rsidRPr="00AA5065">
        <w:rPr>
          <w:rFonts w:eastAsia="Calibri" w:hint="eastAsia"/>
          <w:rtl/>
        </w:rPr>
        <w:t>את</w:t>
      </w:r>
      <w:r w:rsidRPr="00AA5065">
        <w:rPr>
          <w:rFonts w:eastAsia="Calibri"/>
          <w:rtl/>
        </w:rPr>
        <w:t xml:space="preserve"> </w:t>
      </w:r>
      <w:r w:rsidRPr="00AA5065">
        <w:rPr>
          <w:rFonts w:eastAsia="Calibri" w:hint="eastAsia"/>
          <w:rtl/>
        </w:rPr>
        <w:t>האכיפה</w:t>
      </w:r>
      <w:r w:rsidRPr="00AA5065">
        <w:rPr>
          <w:rFonts w:eastAsia="Calibri"/>
          <w:rtl/>
        </w:rPr>
        <w:t xml:space="preserve"> </w:t>
      </w:r>
      <w:r w:rsidRPr="00AA5065">
        <w:rPr>
          <w:rFonts w:eastAsia="Calibri" w:hint="eastAsia"/>
          <w:rtl/>
        </w:rPr>
        <w:t>וליצור</w:t>
      </w:r>
      <w:r w:rsidRPr="00AA5065">
        <w:rPr>
          <w:rFonts w:eastAsia="Calibri"/>
          <w:rtl/>
        </w:rPr>
        <w:t xml:space="preserve"> </w:t>
      </w:r>
      <w:r w:rsidRPr="00AA5065">
        <w:rPr>
          <w:rFonts w:eastAsia="Calibri" w:hint="eastAsia"/>
          <w:rtl/>
        </w:rPr>
        <w:t>תכנית</w:t>
      </w:r>
      <w:r w:rsidRPr="00AA5065">
        <w:rPr>
          <w:rFonts w:eastAsia="Calibri"/>
          <w:rtl/>
        </w:rPr>
        <w:t xml:space="preserve"> </w:t>
      </w:r>
      <w:r w:rsidRPr="00AA5065">
        <w:rPr>
          <w:rFonts w:eastAsia="Calibri" w:hint="eastAsia"/>
          <w:rtl/>
        </w:rPr>
        <w:t>למניעת</w:t>
      </w:r>
      <w:r w:rsidRPr="00AA5065">
        <w:rPr>
          <w:rFonts w:eastAsia="Calibri"/>
          <w:rtl/>
        </w:rPr>
        <w:t xml:space="preserve"> </w:t>
      </w:r>
      <w:r w:rsidRPr="00AA5065">
        <w:rPr>
          <w:rFonts w:eastAsia="Calibri" w:hint="eastAsia"/>
          <w:rtl/>
        </w:rPr>
        <w:t>הפשע</w:t>
      </w:r>
      <w:r w:rsidRPr="00AA5065">
        <w:rPr>
          <w:rFonts w:eastAsia="Calibri"/>
          <w:rtl/>
        </w:rPr>
        <w:t xml:space="preserve"> ברחבי הנגב.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eastAsia"/>
          <w:b/>
          <w:bCs/>
          <w:rtl/>
        </w:rPr>
        <w:t>חלק</w:t>
      </w:r>
      <w:r w:rsidRPr="00AA5065">
        <w:rPr>
          <w:rFonts w:eastAsia="Calibri"/>
          <w:b/>
          <w:bCs/>
          <w:rtl/>
        </w:rPr>
        <w:t xml:space="preserve"> </w:t>
      </w:r>
      <w:r w:rsidRPr="00AA5065">
        <w:rPr>
          <w:rFonts w:eastAsia="Calibri" w:hint="eastAsia"/>
          <w:b/>
          <w:bCs/>
          <w:rtl/>
        </w:rPr>
        <w:t>ניכר</w:t>
      </w:r>
      <w:r w:rsidRPr="00AA5065">
        <w:rPr>
          <w:rFonts w:eastAsia="Calibri"/>
          <w:b/>
          <w:bCs/>
          <w:rtl/>
        </w:rPr>
        <w:t xml:space="preserve"> </w:t>
      </w:r>
      <w:r w:rsidRPr="00AA5065">
        <w:rPr>
          <w:rFonts w:eastAsia="Calibri" w:hint="eastAsia"/>
          <w:b/>
          <w:bCs/>
          <w:rtl/>
        </w:rPr>
        <w:t>מהליקויים</w:t>
      </w:r>
      <w:r w:rsidRPr="00AA5065">
        <w:rPr>
          <w:rFonts w:eastAsia="Calibri"/>
          <w:b/>
          <w:bCs/>
          <w:rtl/>
        </w:rPr>
        <w:t xml:space="preserve"> </w:t>
      </w:r>
      <w:r w:rsidRPr="00AA5065">
        <w:rPr>
          <w:rFonts w:eastAsia="Calibri" w:hint="eastAsia"/>
          <w:b/>
          <w:bCs/>
          <w:rtl/>
        </w:rPr>
        <w:t>אשר</w:t>
      </w:r>
      <w:r w:rsidRPr="00AA5065">
        <w:rPr>
          <w:rFonts w:eastAsia="Calibri"/>
          <w:b/>
          <w:bCs/>
          <w:rtl/>
        </w:rPr>
        <w:t xml:space="preserve"> </w:t>
      </w:r>
      <w:r w:rsidRPr="00AA5065">
        <w:rPr>
          <w:rFonts w:eastAsia="Calibri" w:hint="eastAsia"/>
          <w:b/>
          <w:bCs/>
          <w:rtl/>
        </w:rPr>
        <w:t>תוארו</w:t>
      </w:r>
      <w:r w:rsidRPr="00AA5065">
        <w:rPr>
          <w:rFonts w:eastAsia="Calibri"/>
          <w:b/>
          <w:bCs/>
          <w:rtl/>
        </w:rPr>
        <w:t xml:space="preserve"> </w:t>
      </w:r>
      <w:r w:rsidRPr="00AA5065">
        <w:rPr>
          <w:rFonts w:eastAsia="Calibri" w:hint="eastAsia"/>
          <w:b/>
          <w:bCs/>
          <w:rtl/>
        </w:rPr>
        <w:t>בדוח</w:t>
      </w:r>
      <w:r w:rsidRPr="00AA5065">
        <w:rPr>
          <w:rFonts w:eastAsia="Calibri"/>
          <w:b/>
          <w:bCs/>
          <w:rtl/>
        </w:rPr>
        <w:t xml:space="preserve"> </w:t>
      </w:r>
      <w:r w:rsidRPr="00AA5065">
        <w:rPr>
          <w:rFonts w:eastAsia="Calibri" w:hint="eastAsia"/>
          <w:b/>
          <w:bCs/>
          <w:rtl/>
        </w:rPr>
        <w:t>הקודם</w:t>
      </w:r>
      <w:r w:rsidRPr="00AA5065">
        <w:rPr>
          <w:rFonts w:eastAsia="Calibri"/>
          <w:b/>
          <w:bCs/>
          <w:rtl/>
        </w:rPr>
        <w:t xml:space="preserve"> </w:t>
      </w:r>
      <w:r w:rsidRPr="00AA5065">
        <w:rPr>
          <w:rFonts w:eastAsia="Calibri" w:hint="eastAsia"/>
          <w:b/>
          <w:bCs/>
          <w:rtl/>
        </w:rPr>
        <w:t>עדיין</w:t>
      </w:r>
      <w:r w:rsidRPr="00AA5065">
        <w:rPr>
          <w:rFonts w:eastAsia="Calibri"/>
          <w:b/>
          <w:bCs/>
          <w:rtl/>
        </w:rPr>
        <w:t xml:space="preserve"> </w:t>
      </w:r>
      <w:r w:rsidRPr="00AA5065">
        <w:rPr>
          <w:rFonts w:eastAsia="Calibri" w:hint="eastAsia"/>
          <w:b/>
          <w:bCs/>
          <w:rtl/>
        </w:rPr>
        <w:t>נמשכים</w:t>
      </w:r>
      <w:r w:rsidRPr="00AA5065">
        <w:rPr>
          <w:rFonts w:eastAsia="Calibri"/>
          <w:b/>
          <w:bCs/>
          <w:rtl/>
        </w:rPr>
        <w:t xml:space="preserve"> </w:t>
      </w:r>
      <w:r w:rsidRPr="00AA5065">
        <w:rPr>
          <w:rFonts w:eastAsia="Calibri" w:hint="eastAsia"/>
          <w:b/>
          <w:bCs/>
          <w:rtl/>
        </w:rPr>
        <w:t>גם</w:t>
      </w:r>
      <w:r w:rsidRPr="00AA5065">
        <w:rPr>
          <w:rFonts w:eastAsia="Calibri"/>
          <w:b/>
          <w:bCs/>
          <w:rtl/>
        </w:rPr>
        <w:t xml:space="preserve"> </w:t>
      </w:r>
      <w:r w:rsidRPr="00AA5065">
        <w:rPr>
          <w:rFonts w:eastAsia="Calibri" w:hint="eastAsia"/>
          <w:b/>
          <w:bCs/>
          <w:rtl/>
        </w:rPr>
        <w:t>כיום</w:t>
      </w:r>
      <w:r w:rsidRPr="00AA5065">
        <w:rPr>
          <w:rFonts w:eastAsia="Calibri"/>
          <w:b/>
          <w:bCs/>
          <w:rtl/>
        </w:rPr>
        <w:t xml:space="preserve">, </w:t>
      </w:r>
      <w:r w:rsidRPr="00AA5065">
        <w:rPr>
          <w:rFonts w:eastAsia="Calibri" w:hint="eastAsia"/>
          <w:b/>
          <w:bCs/>
          <w:rtl/>
        </w:rPr>
        <w:t>וזאת</w:t>
      </w:r>
      <w:r w:rsidRPr="00AA5065">
        <w:rPr>
          <w:rFonts w:eastAsia="Calibri"/>
          <w:b/>
          <w:bCs/>
          <w:rtl/>
        </w:rPr>
        <w:t xml:space="preserve"> </w:t>
      </w:r>
      <w:r w:rsidRPr="00AA5065">
        <w:rPr>
          <w:rFonts w:eastAsia="Calibri" w:hint="eastAsia"/>
          <w:b/>
          <w:bCs/>
          <w:rtl/>
        </w:rPr>
        <w:t>בתחומים</w:t>
      </w:r>
      <w:r w:rsidRPr="00AA5065">
        <w:rPr>
          <w:rFonts w:eastAsia="Calibri"/>
          <w:b/>
          <w:bCs/>
          <w:rtl/>
        </w:rPr>
        <w:t xml:space="preserve"> </w:t>
      </w:r>
      <w:r w:rsidRPr="00AA5065">
        <w:rPr>
          <w:rFonts w:eastAsia="Calibri" w:hint="eastAsia"/>
          <w:b/>
          <w:bCs/>
          <w:rtl/>
        </w:rPr>
        <w:t>השונים</w:t>
      </w:r>
      <w:r w:rsidRPr="00AA5065">
        <w:rPr>
          <w:rFonts w:eastAsia="Calibri"/>
          <w:b/>
          <w:bCs/>
          <w:rtl/>
        </w:rPr>
        <w:t xml:space="preserve"> </w:t>
      </w:r>
      <w:r w:rsidRPr="00AA5065">
        <w:rPr>
          <w:rFonts w:eastAsia="Calibri" w:hint="eastAsia"/>
          <w:b/>
          <w:bCs/>
          <w:rtl/>
        </w:rPr>
        <w:t>שנבדקו</w:t>
      </w:r>
      <w:r w:rsidRPr="00AA5065">
        <w:rPr>
          <w:rFonts w:eastAsia="Calibri"/>
          <w:b/>
          <w:bCs/>
          <w:rtl/>
        </w:rPr>
        <w:t xml:space="preserve">, </w:t>
      </w:r>
      <w:r w:rsidRPr="00AA5065">
        <w:rPr>
          <w:rFonts w:eastAsia="Calibri" w:hint="eastAsia"/>
          <w:b/>
          <w:bCs/>
          <w:rtl/>
        </w:rPr>
        <w:t>כגון</w:t>
      </w:r>
      <w:r w:rsidRPr="00AA5065">
        <w:rPr>
          <w:rFonts w:eastAsia="Calibri"/>
          <w:b/>
          <w:bCs/>
          <w:rtl/>
        </w:rPr>
        <w:t xml:space="preserve"> בנושאים של בדיקת תושבות על ידי רשות האוכלוסין, הטיפול בעבירת</w:t>
      </w:r>
      <w:r w:rsidRPr="00AA5065">
        <w:rPr>
          <w:rFonts w:eastAsia="Calibri" w:hint="cs"/>
          <w:b/>
          <w:bCs/>
          <w:rtl/>
        </w:rPr>
        <w:t xml:space="preserve"> ריבוי נישואין - </w:t>
      </w:r>
      <w:r w:rsidRPr="00AA5065">
        <w:rPr>
          <w:rFonts w:eastAsia="Calibri"/>
          <w:b/>
          <w:bCs/>
          <w:rtl/>
        </w:rPr>
        <w:t xml:space="preserve">פוליגמיה, תשלומי קצבאות על ידי </w:t>
      </w:r>
      <w:r w:rsidRPr="00AA5065">
        <w:rPr>
          <w:rFonts w:eastAsia="Calibri" w:hint="eastAsia"/>
          <w:b/>
          <w:bCs/>
          <w:rtl/>
        </w:rPr>
        <w:t>בט</w:t>
      </w:r>
      <w:r w:rsidRPr="00AA5065">
        <w:rPr>
          <w:rFonts w:eastAsia="Calibri"/>
          <w:b/>
          <w:bCs/>
          <w:rtl/>
        </w:rPr>
        <w:t xml:space="preserve">"ל, </w:t>
      </w:r>
      <w:r w:rsidRPr="00AA5065">
        <w:rPr>
          <w:rFonts w:eastAsia="Calibri" w:hint="eastAsia"/>
          <w:b/>
          <w:bCs/>
          <w:rtl/>
        </w:rPr>
        <w:t>הליכי</w:t>
      </w:r>
      <w:r w:rsidRPr="00AA5065">
        <w:rPr>
          <w:rFonts w:eastAsia="Calibri"/>
          <w:b/>
          <w:bCs/>
          <w:rtl/>
        </w:rPr>
        <w:t xml:space="preserve"> </w:t>
      </w:r>
      <w:r w:rsidRPr="00AA5065">
        <w:rPr>
          <w:rFonts w:eastAsia="Calibri" w:hint="eastAsia"/>
          <w:b/>
          <w:bCs/>
          <w:rtl/>
        </w:rPr>
        <w:t>אכיפה</w:t>
      </w:r>
      <w:r w:rsidRPr="00AA5065">
        <w:rPr>
          <w:rFonts w:eastAsia="Calibri"/>
          <w:b/>
          <w:bCs/>
          <w:rtl/>
        </w:rPr>
        <w:t xml:space="preserve"> </w:t>
      </w:r>
      <w:r w:rsidRPr="00AA5065">
        <w:rPr>
          <w:rFonts w:eastAsia="Calibri" w:hint="eastAsia"/>
          <w:b/>
          <w:bCs/>
          <w:rtl/>
        </w:rPr>
        <w:t>וגבייה</w:t>
      </w:r>
      <w:r w:rsidRPr="00AA5065">
        <w:rPr>
          <w:rFonts w:eastAsia="Calibri"/>
          <w:b/>
          <w:bCs/>
          <w:rtl/>
        </w:rPr>
        <w:t xml:space="preserve"> </w:t>
      </w:r>
      <w:r w:rsidRPr="00AA5065">
        <w:rPr>
          <w:rFonts w:eastAsia="Calibri" w:hint="eastAsia"/>
          <w:b/>
          <w:bCs/>
          <w:rtl/>
        </w:rPr>
        <w:t>של</w:t>
      </w:r>
      <w:r w:rsidRPr="00AA5065">
        <w:rPr>
          <w:rFonts w:eastAsia="Calibri"/>
          <w:b/>
          <w:bCs/>
          <w:rtl/>
        </w:rPr>
        <w:t xml:space="preserve"> </w:t>
      </w:r>
      <w:r w:rsidRPr="00AA5065">
        <w:rPr>
          <w:rFonts w:eastAsia="Calibri" w:hint="eastAsia"/>
          <w:b/>
          <w:bCs/>
          <w:rtl/>
        </w:rPr>
        <w:t>חובות</w:t>
      </w:r>
      <w:r w:rsidRPr="00AA5065">
        <w:rPr>
          <w:rFonts w:eastAsia="Calibri"/>
          <w:b/>
          <w:bCs/>
          <w:rtl/>
        </w:rPr>
        <w:t xml:space="preserve"> </w:t>
      </w:r>
      <w:r w:rsidRPr="00AA5065">
        <w:rPr>
          <w:rFonts w:eastAsia="Calibri" w:hint="eastAsia"/>
          <w:b/>
          <w:bCs/>
          <w:rtl/>
        </w:rPr>
        <w:t>מס</w:t>
      </w:r>
      <w:r w:rsidRPr="00AA5065">
        <w:rPr>
          <w:rFonts w:eastAsia="Calibri"/>
          <w:b/>
          <w:bCs/>
          <w:rtl/>
        </w:rPr>
        <w:t xml:space="preserve">, </w:t>
      </w:r>
      <w:r w:rsidRPr="00AA5065">
        <w:rPr>
          <w:rFonts w:eastAsia="Calibri" w:hint="eastAsia"/>
          <w:b/>
          <w:bCs/>
          <w:rtl/>
        </w:rPr>
        <w:t>פגיעה</w:t>
      </w:r>
      <w:r w:rsidRPr="00AA5065">
        <w:rPr>
          <w:rFonts w:eastAsia="Calibri"/>
          <w:b/>
          <w:bCs/>
          <w:rtl/>
        </w:rPr>
        <w:t xml:space="preserve"> </w:t>
      </w:r>
      <w:r w:rsidRPr="00AA5065">
        <w:rPr>
          <w:rFonts w:eastAsia="Calibri" w:hint="eastAsia"/>
          <w:b/>
          <w:bCs/>
          <w:rtl/>
        </w:rPr>
        <w:t>באיכות</w:t>
      </w:r>
      <w:r w:rsidRPr="00AA5065">
        <w:rPr>
          <w:rFonts w:eastAsia="Calibri"/>
          <w:b/>
          <w:bCs/>
          <w:rtl/>
        </w:rPr>
        <w:t xml:space="preserve"> </w:t>
      </w:r>
      <w:r w:rsidRPr="00AA5065">
        <w:rPr>
          <w:rFonts w:eastAsia="Calibri" w:hint="eastAsia"/>
          <w:b/>
          <w:bCs/>
          <w:rtl/>
        </w:rPr>
        <w:t>הסביבה</w:t>
      </w:r>
      <w:r w:rsidRPr="00AA5065">
        <w:rPr>
          <w:rFonts w:eastAsia="Calibri"/>
          <w:b/>
          <w:bCs/>
          <w:rtl/>
        </w:rPr>
        <w:t xml:space="preserve">, </w:t>
      </w:r>
      <w:r w:rsidRPr="00AA5065">
        <w:rPr>
          <w:rFonts w:eastAsia="Calibri" w:hint="eastAsia"/>
          <w:b/>
          <w:bCs/>
          <w:rtl/>
        </w:rPr>
        <w:t>פגיעה</w:t>
      </w:r>
      <w:r w:rsidRPr="00AA5065">
        <w:rPr>
          <w:rFonts w:eastAsia="Calibri"/>
          <w:b/>
          <w:bCs/>
          <w:rtl/>
        </w:rPr>
        <w:t xml:space="preserve"> </w:t>
      </w:r>
      <w:r w:rsidRPr="00AA5065">
        <w:rPr>
          <w:rFonts w:eastAsia="Calibri" w:hint="eastAsia"/>
          <w:b/>
          <w:bCs/>
          <w:rtl/>
        </w:rPr>
        <w:t>בתשתיות</w:t>
      </w:r>
      <w:r w:rsidRPr="00AA5065">
        <w:rPr>
          <w:rFonts w:eastAsia="Calibri"/>
          <w:b/>
          <w:bCs/>
          <w:rtl/>
        </w:rPr>
        <w:t xml:space="preserve"> </w:t>
      </w:r>
      <w:r w:rsidRPr="00AA5065">
        <w:rPr>
          <w:rFonts w:eastAsia="Calibri" w:hint="eastAsia"/>
          <w:b/>
          <w:bCs/>
          <w:rtl/>
        </w:rPr>
        <w:t>של</w:t>
      </w:r>
      <w:r w:rsidRPr="00AA5065">
        <w:rPr>
          <w:rFonts w:eastAsia="Calibri"/>
          <w:b/>
          <w:bCs/>
          <w:rtl/>
        </w:rPr>
        <w:t xml:space="preserve"> </w:t>
      </w:r>
      <w:r w:rsidRPr="00AA5065">
        <w:rPr>
          <w:rFonts w:eastAsia="Calibri" w:hint="eastAsia"/>
          <w:b/>
          <w:bCs/>
          <w:rtl/>
        </w:rPr>
        <w:t>חברות</w:t>
      </w:r>
      <w:r w:rsidRPr="00AA5065">
        <w:rPr>
          <w:rFonts w:eastAsia="Calibri"/>
          <w:b/>
          <w:bCs/>
          <w:rtl/>
        </w:rPr>
        <w:t xml:space="preserve"> </w:t>
      </w:r>
      <w:r w:rsidRPr="00AA5065">
        <w:rPr>
          <w:rFonts w:eastAsia="Calibri" w:hint="eastAsia"/>
          <w:b/>
          <w:bCs/>
          <w:rtl/>
        </w:rPr>
        <w:t>ממשלתיות</w:t>
      </w:r>
      <w:r w:rsidRPr="00AA5065">
        <w:rPr>
          <w:rFonts w:eastAsia="Calibri"/>
          <w:b/>
          <w:bCs/>
          <w:rtl/>
        </w:rPr>
        <w:t xml:space="preserve"> </w:t>
      </w:r>
      <w:r w:rsidRPr="00AA5065">
        <w:rPr>
          <w:rFonts w:eastAsia="Calibri" w:hint="eastAsia"/>
          <w:b/>
          <w:bCs/>
          <w:rtl/>
        </w:rPr>
        <w:t>ופרטיות</w:t>
      </w:r>
      <w:r w:rsidRPr="00AA5065">
        <w:rPr>
          <w:rFonts w:eastAsia="Calibri"/>
          <w:b/>
          <w:bCs/>
          <w:rtl/>
        </w:rPr>
        <w:t xml:space="preserve">, </w:t>
      </w:r>
      <w:r w:rsidRPr="00AA5065">
        <w:rPr>
          <w:rFonts w:eastAsia="Calibri" w:hint="eastAsia"/>
          <w:b/>
          <w:bCs/>
          <w:rtl/>
        </w:rPr>
        <w:t>שמירה</w:t>
      </w:r>
      <w:r w:rsidRPr="00AA5065">
        <w:rPr>
          <w:rFonts w:eastAsia="Calibri"/>
          <w:b/>
          <w:bCs/>
          <w:rtl/>
        </w:rPr>
        <w:t xml:space="preserve"> </w:t>
      </w:r>
      <w:r w:rsidRPr="00AA5065">
        <w:rPr>
          <w:rFonts w:eastAsia="Calibri" w:hint="eastAsia"/>
          <w:b/>
          <w:bCs/>
          <w:rtl/>
        </w:rPr>
        <w:t>על</w:t>
      </w:r>
      <w:r w:rsidRPr="00AA5065">
        <w:rPr>
          <w:rFonts w:eastAsia="Calibri"/>
          <w:b/>
          <w:bCs/>
          <w:rtl/>
        </w:rPr>
        <w:t xml:space="preserve"> </w:t>
      </w:r>
      <w:r w:rsidRPr="00AA5065">
        <w:rPr>
          <w:rFonts w:eastAsia="Calibri" w:hint="eastAsia"/>
          <w:b/>
          <w:bCs/>
          <w:rtl/>
        </w:rPr>
        <w:t>ביטחון</w:t>
      </w:r>
      <w:r w:rsidRPr="00AA5065">
        <w:rPr>
          <w:rFonts w:eastAsia="Calibri"/>
          <w:b/>
          <w:bCs/>
          <w:rtl/>
        </w:rPr>
        <w:t xml:space="preserve"> הנפש והרכוש, פיקוח </w:t>
      </w:r>
      <w:r w:rsidRPr="00AA5065">
        <w:rPr>
          <w:rFonts w:eastAsia="Calibri" w:hint="eastAsia"/>
          <w:b/>
          <w:bCs/>
          <w:rtl/>
        </w:rPr>
        <w:t>על</w:t>
      </w:r>
      <w:r w:rsidRPr="00AA5065">
        <w:rPr>
          <w:rFonts w:eastAsia="Calibri"/>
          <w:b/>
          <w:bCs/>
          <w:rtl/>
        </w:rPr>
        <w:t xml:space="preserve"> </w:t>
      </w:r>
      <w:r w:rsidRPr="00AA5065">
        <w:rPr>
          <w:rFonts w:eastAsia="Calibri" w:hint="eastAsia"/>
          <w:b/>
          <w:bCs/>
          <w:rtl/>
        </w:rPr>
        <w:t>חוקי</w:t>
      </w:r>
      <w:r w:rsidRPr="00AA5065">
        <w:rPr>
          <w:rFonts w:eastAsia="Calibri"/>
          <w:b/>
          <w:bCs/>
          <w:rtl/>
        </w:rPr>
        <w:t xml:space="preserve"> </w:t>
      </w:r>
      <w:r w:rsidRPr="00AA5065">
        <w:rPr>
          <w:rFonts w:eastAsia="Calibri" w:hint="eastAsia"/>
          <w:b/>
          <w:bCs/>
          <w:rtl/>
        </w:rPr>
        <w:t>תנועה</w:t>
      </w:r>
      <w:r w:rsidRPr="00AA5065">
        <w:rPr>
          <w:rFonts w:eastAsia="Calibri"/>
          <w:b/>
          <w:bCs/>
          <w:rtl/>
        </w:rPr>
        <w:t xml:space="preserve"> ואכיפתם, </w:t>
      </w:r>
      <w:r w:rsidRPr="00AA5065">
        <w:rPr>
          <w:rFonts w:eastAsia="Calibri" w:hint="eastAsia"/>
          <w:b/>
          <w:bCs/>
          <w:rtl/>
        </w:rPr>
        <w:t>פלישה</w:t>
      </w:r>
      <w:r w:rsidRPr="00AA5065">
        <w:rPr>
          <w:rFonts w:eastAsia="Calibri"/>
          <w:b/>
          <w:bCs/>
          <w:rtl/>
        </w:rPr>
        <w:t xml:space="preserve"> </w:t>
      </w:r>
      <w:r w:rsidRPr="00AA5065">
        <w:rPr>
          <w:rFonts w:eastAsia="Calibri" w:hint="eastAsia"/>
          <w:b/>
          <w:bCs/>
          <w:rtl/>
        </w:rPr>
        <w:t>לשטחי</w:t>
      </w:r>
      <w:r w:rsidRPr="00AA5065">
        <w:rPr>
          <w:rFonts w:eastAsia="Calibri"/>
          <w:b/>
          <w:bCs/>
          <w:rtl/>
        </w:rPr>
        <w:t xml:space="preserve"> </w:t>
      </w:r>
      <w:r w:rsidRPr="00AA5065">
        <w:rPr>
          <w:rFonts w:eastAsia="Calibri" w:hint="eastAsia"/>
          <w:b/>
          <w:bCs/>
          <w:rtl/>
        </w:rPr>
        <w:t>אש</w:t>
      </w:r>
      <w:r w:rsidRPr="00AA5065">
        <w:rPr>
          <w:rFonts w:eastAsia="Calibri"/>
          <w:b/>
          <w:bCs/>
          <w:rtl/>
        </w:rPr>
        <w:t xml:space="preserve"> </w:t>
      </w:r>
      <w:r w:rsidRPr="00AA5065">
        <w:rPr>
          <w:rFonts w:eastAsia="Calibri" w:hint="eastAsia"/>
          <w:b/>
          <w:bCs/>
          <w:rtl/>
        </w:rPr>
        <w:t>צה</w:t>
      </w:r>
      <w:r w:rsidRPr="00AA5065">
        <w:rPr>
          <w:rFonts w:eastAsia="Calibri"/>
          <w:b/>
          <w:bCs/>
          <w:rtl/>
        </w:rPr>
        <w:t xml:space="preserve">"ליים </w:t>
      </w:r>
      <w:r w:rsidRPr="00AA5065">
        <w:rPr>
          <w:rFonts w:eastAsia="Calibri" w:hint="eastAsia"/>
          <w:b/>
          <w:bCs/>
          <w:rtl/>
        </w:rPr>
        <w:t>והצורך</w:t>
      </w:r>
      <w:r w:rsidRPr="00AA5065">
        <w:rPr>
          <w:rFonts w:eastAsia="Calibri"/>
          <w:b/>
          <w:bCs/>
          <w:rtl/>
        </w:rPr>
        <w:t xml:space="preserve"> </w:t>
      </w:r>
      <w:r w:rsidRPr="00AA5065">
        <w:rPr>
          <w:rFonts w:eastAsia="Calibri" w:hint="eastAsia"/>
          <w:b/>
          <w:bCs/>
          <w:rtl/>
        </w:rPr>
        <w:t>במידע</w:t>
      </w:r>
      <w:r w:rsidRPr="00AA5065">
        <w:rPr>
          <w:rFonts w:eastAsia="Calibri"/>
          <w:b/>
          <w:bCs/>
          <w:rtl/>
        </w:rPr>
        <w:t xml:space="preserve"> </w:t>
      </w:r>
      <w:r w:rsidRPr="00AA5065">
        <w:rPr>
          <w:rFonts w:eastAsia="Calibri" w:hint="eastAsia"/>
          <w:b/>
          <w:bCs/>
          <w:rtl/>
        </w:rPr>
        <w:t>מרוכז</w:t>
      </w:r>
      <w:r w:rsidRPr="00AA5065">
        <w:rPr>
          <w:rFonts w:eastAsia="Calibri"/>
          <w:b/>
          <w:bCs/>
          <w:rtl/>
        </w:rPr>
        <w:t xml:space="preserve"> </w:t>
      </w:r>
      <w:r w:rsidRPr="00AA5065">
        <w:rPr>
          <w:rFonts w:eastAsia="Calibri" w:hint="eastAsia"/>
          <w:b/>
          <w:bCs/>
          <w:rtl/>
        </w:rPr>
        <w:t>ומהימן</w:t>
      </w:r>
      <w:r w:rsidRPr="00AA5065">
        <w:rPr>
          <w:rFonts w:eastAsia="Calibri"/>
          <w:b/>
          <w:bCs/>
          <w:rtl/>
        </w:rPr>
        <w:t xml:space="preserve"> ובגורם </w:t>
      </w:r>
      <w:r w:rsidRPr="00AA5065">
        <w:rPr>
          <w:rFonts w:eastAsia="Calibri" w:hint="eastAsia"/>
          <w:b/>
          <w:bCs/>
          <w:rtl/>
        </w:rPr>
        <w:t>מתכלל</w:t>
      </w:r>
      <w:r w:rsidRPr="00AA5065">
        <w:rPr>
          <w:rFonts w:eastAsia="Calibri"/>
          <w:b/>
          <w:bCs/>
          <w:rtl/>
        </w:rPr>
        <w:t xml:space="preserve">. </w:t>
      </w:r>
      <w:r w:rsidRPr="00AA5065">
        <w:rPr>
          <w:rFonts w:eastAsia="Calibri" w:hint="eastAsia"/>
          <w:b/>
          <w:bCs/>
          <w:rtl/>
        </w:rPr>
        <w:t>חלק</w:t>
      </w:r>
      <w:r w:rsidRPr="00AA5065">
        <w:rPr>
          <w:rFonts w:eastAsia="Calibri"/>
          <w:b/>
          <w:bCs/>
          <w:rtl/>
        </w:rPr>
        <w:t xml:space="preserve"> </w:t>
      </w:r>
      <w:r w:rsidRPr="00AA5065">
        <w:rPr>
          <w:rFonts w:eastAsia="Calibri" w:hint="eastAsia"/>
          <w:b/>
          <w:bCs/>
          <w:rtl/>
        </w:rPr>
        <w:t>מהתמשכות</w:t>
      </w:r>
      <w:r w:rsidRPr="00AA5065">
        <w:rPr>
          <w:rFonts w:eastAsia="Calibri"/>
          <w:b/>
          <w:bCs/>
          <w:rtl/>
        </w:rPr>
        <w:t xml:space="preserve"> </w:t>
      </w:r>
      <w:r w:rsidRPr="00AA5065">
        <w:rPr>
          <w:rFonts w:eastAsia="Calibri" w:hint="eastAsia"/>
          <w:b/>
          <w:bCs/>
          <w:rtl/>
        </w:rPr>
        <w:t>הליקויים</w:t>
      </w:r>
      <w:r w:rsidRPr="00AA5065">
        <w:rPr>
          <w:rFonts w:eastAsia="Calibri" w:hint="cs"/>
          <w:b/>
          <w:bCs/>
          <w:rtl/>
        </w:rPr>
        <w:t xml:space="preserve"> ואף החמרתם</w:t>
      </w:r>
      <w:r w:rsidRPr="00AA5065">
        <w:rPr>
          <w:rFonts w:eastAsia="Calibri"/>
          <w:b/>
          <w:bCs/>
          <w:rtl/>
        </w:rPr>
        <w:t xml:space="preserve"> נובע</w:t>
      </w:r>
      <w:r w:rsidRPr="00AA5065">
        <w:rPr>
          <w:rFonts w:eastAsia="Calibri" w:hint="cs"/>
          <w:b/>
          <w:bCs/>
          <w:rtl/>
        </w:rPr>
        <w:t>ים</w:t>
      </w:r>
      <w:r w:rsidRPr="00AA5065">
        <w:rPr>
          <w:rFonts w:eastAsia="Calibri"/>
          <w:b/>
          <w:bCs/>
          <w:rtl/>
        </w:rPr>
        <w:t xml:space="preserve"> מבעיות </w:t>
      </w:r>
      <w:r w:rsidRPr="00AA5065">
        <w:rPr>
          <w:rFonts w:eastAsia="Calibri" w:hint="eastAsia"/>
          <w:b/>
          <w:bCs/>
          <w:rtl/>
        </w:rPr>
        <w:t>בתיאום</w:t>
      </w:r>
      <w:r w:rsidRPr="00AA5065">
        <w:rPr>
          <w:rFonts w:eastAsia="Calibri"/>
          <w:b/>
          <w:bCs/>
          <w:rtl/>
        </w:rPr>
        <w:t xml:space="preserve"> בין </w:t>
      </w:r>
      <w:r w:rsidRPr="00AA5065">
        <w:rPr>
          <w:rFonts w:eastAsia="Calibri" w:hint="eastAsia"/>
          <w:b/>
          <w:bCs/>
          <w:rtl/>
        </w:rPr>
        <w:t>הגופים</w:t>
      </w:r>
      <w:r w:rsidRPr="00AA5065">
        <w:rPr>
          <w:rFonts w:eastAsia="Calibri"/>
          <w:b/>
          <w:bCs/>
          <w:rtl/>
        </w:rPr>
        <w:t xml:space="preserve"> </w:t>
      </w:r>
      <w:r w:rsidRPr="00AA5065">
        <w:rPr>
          <w:rFonts w:eastAsia="Calibri" w:hint="eastAsia"/>
          <w:b/>
          <w:bCs/>
          <w:rtl/>
        </w:rPr>
        <w:t>השונים</w:t>
      </w:r>
      <w:r w:rsidRPr="00AA5065">
        <w:rPr>
          <w:rFonts w:eastAsia="Calibri"/>
          <w:b/>
          <w:bCs/>
          <w:rtl/>
        </w:rPr>
        <w:t xml:space="preserve">, </w:t>
      </w:r>
      <w:r w:rsidRPr="00AA5065">
        <w:rPr>
          <w:rFonts w:eastAsia="Calibri" w:hint="eastAsia"/>
          <w:b/>
          <w:bCs/>
          <w:rtl/>
        </w:rPr>
        <w:t>בהסדרת</w:t>
      </w:r>
      <w:r w:rsidRPr="00AA5065">
        <w:rPr>
          <w:rFonts w:eastAsia="Calibri"/>
          <w:b/>
          <w:bCs/>
          <w:rtl/>
        </w:rPr>
        <w:t xml:space="preserve"> </w:t>
      </w:r>
      <w:r w:rsidRPr="00AA5065">
        <w:rPr>
          <w:rFonts w:eastAsia="Calibri" w:hint="eastAsia"/>
          <w:b/>
          <w:bCs/>
          <w:rtl/>
        </w:rPr>
        <w:t>הסמכויות</w:t>
      </w:r>
      <w:r w:rsidRPr="00AA5065">
        <w:rPr>
          <w:rFonts w:eastAsia="Calibri"/>
          <w:b/>
          <w:bCs/>
          <w:rtl/>
        </w:rPr>
        <w:t xml:space="preserve"> </w:t>
      </w:r>
      <w:r w:rsidRPr="00AA5065">
        <w:rPr>
          <w:rFonts w:eastAsia="Calibri" w:hint="eastAsia"/>
          <w:b/>
          <w:bCs/>
          <w:rtl/>
        </w:rPr>
        <w:t>וברתימת</w:t>
      </w:r>
      <w:r w:rsidRPr="00AA5065">
        <w:rPr>
          <w:rFonts w:eastAsia="Calibri"/>
          <w:b/>
          <w:bCs/>
          <w:rtl/>
        </w:rPr>
        <w:t xml:space="preserve"> </w:t>
      </w:r>
      <w:r w:rsidRPr="00AA5065">
        <w:rPr>
          <w:rFonts w:eastAsia="Calibri" w:hint="eastAsia"/>
          <w:b/>
          <w:bCs/>
          <w:rtl/>
        </w:rPr>
        <w:t>הגופים</w:t>
      </w:r>
      <w:r w:rsidRPr="00AA5065">
        <w:rPr>
          <w:rFonts w:eastAsia="Calibri"/>
          <w:b/>
          <w:bCs/>
          <w:rtl/>
        </w:rPr>
        <w:t xml:space="preserve"> </w:t>
      </w:r>
      <w:r w:rsidRPr="00AA5065">
        <w:rPr>
          <w:rFonts w:eastAsia="Calibri" w:hint="eastAsia"/>
          <w:b/>
          <w:bCs/>
          <w:rtl/>
        </w:rPr>
        <w:t>לסיוע</w:t>
      </w:r>
      <w:r w:rsidRPr="00AA5065">
        <w:rPr>
          <w:rFonts w:eastAsia="Calibri"/>
          <w:b/>
          <w:bCs/>
          <w:rtl/>
        </w:rPr>
        <w:t xml:space="preserve"> </w:t>
      </w:r>
      <w:r w:rsidRPr="00AA5065">
        <w:rPr>
          <w:rFonts w:eastAsia="Calibri" w:hint="eastAsia"/>
          <w:b/>
          <w:bCs/>
          <w:rtl/>
        </w:rPr>
        <w:t>לגופים</w:t>
      </w:r>
      <w:r w:rsidRPr="00AA5065">
        <w:rPr>
          <w:rFonts w:eastAsia="Calibri"/>
          <w:b/>
          <w:bCs/>
          <w:rtl/>
        </w:rPr>
        <w:t xml:space="preserve"> </w:t>
      </w:r>
      <w:r w:rsidRPr="00AA5065">
        <w:rPr>
          <w:rFonts w:eastAsia="Calibri" w:hint="eastAsia"/>
          <w:b/>
          <w:bCs/>
          <w:rtl/>
        </w:rPr>
        <w:t>אחרים</w:t>
      </w:r>
      <w:r w:rsidRPr="00AA5065">
        <w:rPr>
          <w:rFonts w:eastAsia="Calibri"/>
          <w:b/>
          <w:bCs/>
          <w:rtl/>
        </w:rPr>
        <w:t>. גם הקמתן של הוועדות הבי</w:t>
      </w:r>
      <w:r w:rsidRPr="00AA5065">
        <w:rPr>
          <w:rFonts w:eastAsia="Calibri" w:hint="eastAsia"/>
          <w:b/>
          <w:bCs/>
          <w:rtl/>
        </w:rPr>
        <w:t>ן</w:t>
      </w:r>
      <w:r w:rsidRPr="00AA5065">
        <w:rPr>
          <w:rFonts w:eastAsia="Calibri"/>
          <w:b/>
          <w:bCs/>
          <w:rtl/>
        </w:rPr>
        <w:t>-</w:t>
      </w:r>
      <w:r w:rsidRPr="00AA5065">
        <w:rPr>
          <w:rFonts w:eastAsia="Calibri" w:hint="eastAsia"/>
          <w:b/>
          <w:bCs/>
          <w:rtl/>
        </w:rPr>
        <w:t>משרדיות</w:t>
      </w:r>
      <w:r w:rsidRPr="00AA5065">
        <w:rPr>
          <w:rFonts w:eastAsia="Calibri"/>
          <w:b/>
          <w:bCs/>
          <w:rtl/>
        </w:rPr>
        <w:t xml:space="preserve"> </w:t>
      </w:r>
      <w:r w:rsidRPr="00AA5065">
        <w:rPr>
          <w:rFonts w:eastAsia="Calibri" w:hint="eastAsia"/>
          <w:b/>
          <w:bCs/>
          <w:rtl/>
        </w:rPr>
        <w:t>שהוקמו</w:t>
      </w:r>
      <w:r w:rsidRPr="00AA5065">
        <w:rPr>
          <w:rFonts w:eastAsia="Calibri"/>
          <w:b/>
          <w:bCs/>
          <w:rtl/>
        </w:rPr>
        <w:t xml:space="preserve"> </w:t>
      </w:r>
      <w:r w:rsidRPr="00AA5065">
        <w:rPr>
          <w:rFonts w:eastAsia="Calibri" w:hint="eastAsia"/>
          <w:b/>
          <w:bCs/>
          <w:rtl/>
        </w:rPr>
        <w:t>ברשות</w:t>
      </w:r>
      <w:r w:rsidRPr="00AA5065">
        <w:rPr>
          <w:rFonts w:eastAsia="Calibri"/>
          <w:b/>
          <w:bCs/>
          <w:rtl/>
        </w:rPr>
        <w:t xml:space="preserve"> </w:t>
      </w:r>
      <w:r w:rsidRPr="00AA5065">
        <w:rPr>
          <w:rFonts w:eastAsia="Calibri" w:hint="eastAsia"/>
          <w:b/>
          <w:bCs/>
          <w:rtl/>
        </w:rPr>
        <w:t>האוכלוסין</w:t>
      </w:r>
      <w:r w:rsidRPr="00AA5065">
        <w:rPr>
          <w:rFonts w:eastAsia="Calibri"/>
          <w:b/>
          <w:bCs/>
          <w:rtl/>
        </w:rPr>
        <w:t xml:space="preserve"> (</w:t>
      </w:r>
      <w:r w:rsidRPr="00AA5065">
        <w:rPr>
          <w:rFonts w:eastAsia="Calibri" w:hint="eastAsia"/>
          <w:b/>
          <w:bCs/>
          <w:rtl/>
        </w:rPr>
        <w:t>הוועדה</w:t>
      </w:r>
      <w:r w:rsidRPr="00AA5065">
        <w:rPr>
          <w:rFonts w:eastAsia="Calibri"/>
          <w:b/>
          <w:bCs/>
          <w:rtl/>
        </w:rPr>
        <w:t xml:space="preserve"> </w:t>
      </w:r>
      <w:r w:rsidRPr="00AA5065">
        <w:rPr>
          <w:rFonts w:eastAsia="Calibri" w:hint="eastAsia"/>
          <w:b/>
          <w:bCs/>
          <w:rtl/>
        </w:rPr>
        <w:t>הבין</w:t>
      </w:r>
      <w:r w:rsidRPr="00AA5065">
        <w:rPr>
          <w:rFonts w:eastAsia="Calibri"/>
          <w:b/>
          <w:bCs/>
          <w:rtl/>
        </w:rPr>
        <w:t>-</w:t>
      </w:r>
      <w:r w:rsidRPr="00AA5065">
        <w:rPr>
          <w:rFonts w:eastAsia="Calibri" w:hint="eastAsia"/>
          <w:b/>
          <w:bCs/>
          <w:rtl/>
        </w:rPr>
        <w:t>משרדית</w:t>
      </w:r>
      <w:r w:rsidRPr="00AA5065">
        <w:rPr>
          <w:rFonts w:eastAsia="Calibri"/>
          <w:b/>
          <w:bCs/>
          <w:rtl/>
        </w:rPr>
        <w:t xml:space="preserve"> - </w:t>
      </w:r>
      <w:r w:rsidRPr="00AA5065">
        <w:rPr>
          <w:rFonts w:eastAsia="Calibri" w:hint="eastAsia"/>
          <w:b/>
          <w:bCs/>
          <w:rtl/>
        </w:rPr>
        <w:t>יבוא</w:t>
      </w:r>
      <w:r w:rsidRPr="00AA5065">
        <w:rPr>
          <w:rFonts w:eastAsia="Calibri"/>
          <w:b/>
          <w:bCs/>
          <w:rtl/>
        </w:rPr>
        <w:t xml:space="preserve"> </w:t>
      </w:r>
      <w:r w:rsidRPr="00AA5065">
        <w:rPr>
          <w:rFonts w:eastAsia="Calibri" w:hint="eastAsia"/>
          <w:b/>
          <w:bCs/>
          <w:rtl/>
        </w:rPr>
        <w:t>נשים</w:t>
      </w:r>
      <w:r w:rsidRPr="00AA5065">
        <w:rPr>
          <w:rFonts w:eastAsia="Calibri"/>
          <w:b/>
          <w:bCs/>
          <w:rtl/>
        </w:rPr>
        <w:t>) ובב</w:t>
      </w:r>
      <w:r w:rsidRPr="00AA5065">
        <w:rPr>
          <w:rFonts w:eastAsia="Calibri" w:hint="eastAsia"/>
          <w:b/>
          <w:bCs/>
          <w:rtl/>
        </w:rPr>
        <w:t>ט</w:t>
      </w:r>
      <w:r w:rsidRPr="00AA5065">
        <w:rPr>
          <w:rFonts w:eastAsia="Calibri"/>
          <w:b/>
          <w:bCs/>
          <w:rtl/>
        </w:rPr>
        <w:t>"ל (הו</w:t>
      </w:r>
      <w:r w:rsidRPr="00AA5065">
        <w:rPr>
          <w:rFonts w:eastAsia="Calibri" w:hint="eastAsia"/>
          <w:b/>
          <w:bCs/>
          <w:rtl/>
        </w:rPr>
        <w:t>ועדה</w:t>
      </w:r>
      <w:r w:rsidRPr="00AA5065">
        <w:rPr>
          <w:rFonts w:eastAsia="Calibri"/>
          <w:b/>
          <w:bCs/>
          <w:rtl/>
        </w:rPr>
        <w:t xml:space="preserve"> לבחינת נושא גמלאות </w:t>
      </w:r>
      <w:r w:rsidRPr="00AA5065">
        <w:rPr>
          <w:rFonts w:eastAsia="Calibri" w:hint="eastAsia"/>
          <w:b/>
          <w:bCs/>
          <w:rtl/>
        </w:rPr>
        <w:t>בט</w:t>
      </w:r>
      <w:r w:rsidRPr="00AA5065">
        <w:rPr>
          <w:rFonts w:eastAsia="Calibri"/>
          <w:b/>
          <w:bCs/>
          <w:rtl/>
        </w:rPr>
        <w:t xml:space="preserve">"ל המשולמות למשפחות פוליגמיות והשלכותיהן) </w:t>
      </w:r>
      <w:r w:rsidRPr="00AA5065">
        <w:rPr>
          <w:rFonts w:eastAsia="Calibri" w:hint="eastAsia"/>
          <w:b/>
          <w:bCs/>
          <w:rtl/>
        </w:rPr>
        <w:t>לא</w:t>
      </w:r>
      <w:r w:rsidRPr="00AA5065">
        <w:rPr>
          <w:rFonts w:eastAsia="Calibri"/>
          <w:b/>
          <w:bCs/>
          <w:rtl/>
        </w:rPr>
        <w:t xml:space="preserve"> </w:t>
      </w:r>
      <w:r w:rsidRPr="00AA5065">
        <w:rPr>
          <w:rFonts w:eastAsia="Calibri" w:hint="eastAsia"/>
          <w:b/>
          <w:bCs/>
          <w:rtl/>
        </w:rPr>
        <w:t>הביאו</w:t>
      </w:r>
      <w:r w:rsidRPr="00AA5065">
        <w:rPr>
          <w:rFonts w:eastAsia="Calibri"/>
          <w:b/>
          <w:bCs/>
          <w:rtl/>
        </w:rPr>
        <w:t xml:space="preserve"> </w:t>
      </w:r>
      <w:r w:rsidRPr="00AA5065">
        <w:rPr>
          <w:rFonts w:eastAsia="Calibri" w:hint="eastAsia"/>
          <w:b/>
          <w:bCs/>
          <w:rtl/>
        </w:rPr>
        <w:t>לפתרון</w:t>
      </w:r>
      <w:r w:rsidRPr="00AA5065">
        <w:rPr>
          <w:rFonts w:eastAsia="Calibri"/>
          <w:b/>
          <w:bCs/>
          <w:rtl/>
        </w:rPr>
        <w:t xml:space="preserve"> </w:t>
      </w:r>
      <w:r w:rsidRPr="00AA5065">
        <w:rPr>
          <w:rFonts w:eastAsia="Calibri" w:hint="eastAsia"/>
          <w:b/>
          <w:bCs/>
          <w:rtl/>
        </w:rPr>
        <w:t>המיוחל</w:t>
      </w:r>
      <w:r w:rsidRPr="00AA5065">
        <w:rPr>
          <w:rFonts w:eastAsia="Calibri"/>
          <w:b/>
          <w:bCs/>
          <w:rtl/>
        </w:rPr>
        <w:t xml:space="preserve"> </w:t>
      </w:r>
      <w:r w:rsidRPr="00AA5065">
        <w:rPr>
          <w:rFonts w:eastAsia="Calibri" w:hint="eastAsia"/>
          <w:b/>
          <w:bCs/>
          <w:rtl/>
        </w:rPr>
        <w:t>בתחומן</w:t>
      </w:r>
      <w:r w:rsidRPr="00AA5065">
        <w:rPr>
          <w:rFonts w:eastAsia="Calibri"/>
          <w:b/>
          <w:bCs/>
          <w:rtl/>
        </w:rPr>
        <w:t xml:space="preserve">. </w:t>
      </w:r>
      <w:r w:rsidRPr="00AA5065">
        <w:rPr>
          <w:rFonts w:eastAsia="Calibri" w:hint="eastAsia"/>
          <w:b/>
          <w:bCs/>
          <w:rtl/>
        </w:rPr>
        <w:t>נוסף</w:t>
      </w:r>
      <w:r w:rsidRPr="00AA5065">
        <w:rPr>
          <w:rFonts w:eastAsia="Calibri"/>
          <w:b/>
          <w:bCs/>
          <w:rtl/>
        </w:rPr>
        <w:t xml:space="preserve"> על כך, </w:t>
      </w:r>
      <w:r w:rsidRPr="00AA5065">
        <w:rPr>
          <w:rFonts w:eastAsia="Calibri" w:hint="eastAsia"/>
          <w:b/>
          <w:bCs/>
          <w:rtl/>
        </w:rPr>
        <w:t>על</w:t>
      </w:r>
      <w:r w:rsidRPr="00AA5065">
        <w:rPr>
          <w:rFonts w:eastAsia="Calibri"/>
          <w:b/>
          <w:bCs/>
          <w:rtl/>
        </w:rPr>
        <w:t xml:space="preserve"> </w:t>
      </w:r>
      <w:r w:rsidRPr="00AA5065">
        <w:rPr>
          <w:rFonts w:eastAsia="Calibri" w:hint="eastAsia"/>
          <w:b/>
          <w:bCs/>
          <w:rtl/>
        </w:rPr>
        <w:t>אף</w:t>
      </w:r>
      <w:r w:rsidRPr="00AA5065">
        <w:rPr>
          <w:rFonts w:eastAsia="Calibri"/>
          <w:b/>
          <w:bCs/>
          <w:rtl/>
        </w:rPr>
        <w:t xml:space="preserve"> </w:t>
      </w:r>
      <w:r w:rsidRPr="00AA5065">
        <w:rPr>
          <w:rFonts w:eastAsia="Calibri" w:hint="eastAsia"/>
          <w:b/>
          <w:bCs/>
          <w:rtl/>
        </w:rPr>
        <w:t>הקמת</w:t>
      </w:r>
      <w:r w:rsidRPr="00AA5065">
        <w:rPr>
          <w:rFonts w:eastAsia="Calibri"/>
          <w:b/>
          <w:bCs/>
          <w:rtl/>
        </w:rPr>
        <w:t xml:space="preserve"> </w:t>
      </w:r>
      <w:r w:rsidRPr="00AA5065">
        <w:rPr>
          <w:rFonts w:eastAsia="Calibri" w:hint="eastAsia"/>
          <w:b/>
          <w:bCs/>
          <w:rtl/>
        </w:rPr>
        <w:t>ועדת</w:t>
      </w:r>
      <w:r w:rsidRPr="00AA5065">
        <w:rPr>
          <w:rFonts w:eastAsia="Calibri"/>
          <w:b/>
          <w:bCs/>
          <w:rtl/>
        </w:rPr>
        <w:t xml:space="preserve"> </w:t>
      </w:r>
      <w:r w:rsidRPr="00AA5065">
        <w:rPr>
          <w:rFonts w:eastAsia="Calibri" w:hint="eastAsia"/>
          <w:b/>
          <w:bCs/>
          <w:rtl/>
        </w:rPr>
        <w:t>השרים</w:t>
      </w:r>
      <w:r w:rsidRPr="00AA5065">
        <w:rPr>
          <w:rFonts w:eastAsia="Calibri"/>
          <w:b/>
          <w:bCs/>
          <w:rtl/>
        </w:rPr>
        <w:t xml:space="preserve"> </w:t>
      </w:r>
      <w:r w:rsidRPr="00AA5065">
        <w:rPr>
          <w:rFonts w:eastAsia="Calibri" w:hint="eastAsia"/>
          <w:b/>
          <w:bCs/>
          <w:rtl/>
        </w:rPr>
        <w:t>לפיתוח</w:t>
      </w:r>
      <w:r w:rsidRPr="00AA5065">
        <w:rPr>
          <w:rFonts w:eastAsia="Calibri"/>
          <w:b/>
          <w:bCs/>
          <w:rtl/>
        </w:rPr>
        <w:t xml:space="preserve"> </w:t>
      </w:r>
      <w:r w:rsidRPr="00AA5065">
        <w:rPr>
          <w:rFonts w:eastAsia="Calibri" w:hint="eastAsia"/>
          <w:b/>
          <w:bCs/>
          <w:rtl/>
        </w:rPr>
        <w:t>הנגב</w:t>
      </w:r>
      <w:r w:rsidRPr="00AA5065">
        <w:rPr>
          <w:rFonts w:eastAsia="Calibri"/>
          <w:b/>
          <w:bCs/>
          <w:rtl/>
        </w:rPr>
        <w:t xml:space="preserve">, </w:t>
      </w:r>
      <w:r w:rsidRPr="00AA5065">
        <w:rPr>
          <w:rFonts w:eastAsia="Calibri" w:hint="eastAsia"/>
          <w:b/>
          <w:bCs/>
          <w:rtl/>
        </w:rPr>
        <w:t>הגליל</w:t>
      </w:r>
      <w:r w:rsidRPr="00AA5065">
        <w:rPr>
          <w:rFonts w:eastAsia="Calibri"/>
          <w:b/>
          <w:bCs/>
          <w:rtl/>
        </w:rPr>
        <w:t xml:space="preserve"> </w:t>
      </w:r>
      <w:r w:rsidRPr="00AA5065">
        <w:rPr>
          <w:rFonts w:eastAsia="Calibri" w:hint="eastAsia"/>
          <w:b/>
          <w:bCs/>
          <w:rtl/>
        </w:rPr>
        <w:t>והחוסן</w:t>
      </w:r>
      <w:r w:rsidRPr="00AA5065">
        <w:rPr>
          <w:rFonts w:eastAsia="Calibri"/>
          <w:b/>
          <w:bCs/>
          <w:rtl/>
        </w:rPr>
        <w:t xml:space="preserve"> </w:t>
      </w:r>
      <w:r w:rsidRPr="00AA5065">
        <w:rPr>
          <w:rFonts w:eastAsia="Calibri" w:hint="eastAsia"/>
          <w:b/>
          <w:bCs/>
          <w:rtl/>
        </w:rPr>
        <w:t>הלאומי</w:t>
      </w:r>
      <w:r w:rsidRPr="00AA5065">
        <w:rPr>
          <w:rFonts w:eastAsia="Calibri"/>
          <w:b/>
          <w:bCs/>
          <w:rtl/>
        </w:rPr>
        <w:t xml:space="preserve"> </w:t>
      </w:r>
      <w:r w:rsidRPr="00AA5065">
        <w:rPr>
          <w:rFonts w:eastAsia="Calibri" w:hint="eastAsia"/>
          <w:b/>
          <w:bCs/>
          <w:rtl/>
        </w:rPr>
        <w:t>בראשות</w:t>
      </w:r>
      <w:r w:rsidRPr="00AA5065">
        <w:rPr>
          <w:rFonts w:eastAsia="Calibri"/>
          <w:b/>
          <w:bCs/>
          <w:rtl/>
        </w:rPr>
        <w:t xml:space="preserve"> </w:t>
      </w:r>
      <w:r w:rsidRPr="00AA5065">
        <w:rPr>
          <w:rFonts w:eastAsia="Calibri" w:hint="eastAsia"/>
          <w:b/>
          <w:bCs/>
          <w:rtl/>
        </w:rPr>
        <w:t>שר</w:t>
      </w:r>
      <w:r w:rsidRPr="00AA5065">
        <w:rPr>
          <w:rFonts w:eastAsia="Calibri"/>
          <w:b/>
          <w:bCs/>
          <w:rtl/>
        </w:rPr>
        <w:t xml:space="preserve"> </w:t>
      </w:r>
      <w:r w:rsidRPr="00AA5065">
        <w:rPr>
          <w:rFonts w:eastAsia="Calibri" w:hint="eastAsia"/>
          <w:b/>
          <w:bCs/>
          <w:rtl/>
        </w:rPr>
        <w:t>הנגב</w:t>
      </w:r>
      <w:r w:rsidRPr="00AA5065">
        <w:rPr>
          <w:rFonts w:eastAsia="Calibri"/>
          <w:b/>
          <w:bCs/>
          <w:rtl/>
        </w:rPr>
        <w:t xml:space="preserve">, </w:t>
      </w:r>
      <w:r w:rsidRPr="00AA5065">
        <w:rPr>
          <w:rFonts w:eastAsia="Calibri" w:hint="eastAsia"/>
          <w:b/>
          <w:bCs/>
          <w:rtl/>
        </w:rPr>
        <w:t>כאמור</w:t>
      </w:r>
      <w:r w:rsidRPr="00AA5065">
        <w:rPr>
          <w:rFonts w:eastAsia="Calibri"/>
          <w:b/>
          <w:bCs/>
          <w:rtl/>
        </w:rPr>
        <w:t xml:space="preserve"> </w:t>
      </w:r>
      <w:r w:rsidRPr="00AA5065">
        <w:rPr>
          <w:rFonts w:eastAsia="Calibri" w:hint="eastAsia"/>
          <w:b/>
          <w:bCs/>
          <w:rtl/>
        </w:rPr>
        <w:t>בהחלטת</w:t>
      </w:r>
      <w:r w:rsidRPr="00AA5065">
        <w:rPr>
          <w:rFonts w:eastAsia="Calibri"/>
          <w:b/>
          <w:bCs/>
          <w:rtl/>
        </w:rPr>
        <w:t xml:space="preserve"> </w:t>
      </w:r>
      <w:r w:rsidRPr="00AA5065">
        <w:rPr>
          <w:rFonts w:eastAsia="Calibri" w:hint="eastAsia"/>
          <w:b/>
          <w:bCs/>
          <w:rtl/>
        </w:rPr>
        <w:t>הממשלה</w:t>
      </w:r>
      <w:r w:rsidRPr="00AA5065">
        <w:rPr>
          <w:rFonts w:eastAsia="Calibri" w:hint="cs"/>
          <w:b/>
          <w:bCs/>
          <w:rtl/>
        </w:rPr>
        <w:t xml:space="preserve"> ממרץ 2023</w:t>
      </w:r>
      <w:r w:rsidRPr="00AA5065">
        <w:rPr>
          <w:rFonts w:eastAsia="Calibri"/>
          <w:b/>
          <w:bCs/>
          <w:rtl/>
        </w:rPr>
        <w:t xml:space="preserve"> - </w:t>
      </w:r>
      <w:r w:rsidRPr="00AA5065">
        <w:rPr>
          <w:rFonts w:eastAsia="Calibri" w:hint="eastAsia"/>
          <w:b/>
          <w:bCs/>
          <w:rtl/>
        </w:rPr>
        <w:t>ועדה</w:t>
      </w:r>
      <w:r w:rsidRPr="00AA5065">
        <w:rPr>
          <w:rFonts w:eastAsia="Calibri"/>
          <w:b/>
          <w:bCs/>
          <w:rtl/>
        </w:rPr>
        <w:t xml:space="preserve"> </w:t>
      </w:r>
      <w:r w:rsidRPr="00AA5065">
        <w:rPr>
          <w:rFonts w:eastAsia="Calibri" w:hint="eastAsia"/>
          <w:b/>
          <w:bCs/>
          <w:rtl/>
        </w:rPr>
        <w:t>זו</w:t>
      </w:r>
      <w:r w:rsidRPr="00AA5065">
        <w:rPr>
          <w:rFonts w:eastAsia="Calibri"/>
          <w:b/>
          <w:bCs/>
          <w:rtl/>
        </w:rPr>
        <w:t xml:space="preserve"> </w:t>
      </w:r>
      <w:r w:rsidRPr="00AA5065">
        <w:rPr>
          <w:rFonts w:eastAsia="Calibri" w:hint="eastAsia"/>
          <w:b/>
          <w:bCs/>
          <w:rtl/>
        </w:rPr>
        <w:t>לא</w:t>
      </w:r>
      <w:r w:rsidRPr="00AA5065">
        <w:rPr>
          <w:rFonts w:eastAsia="Calibri"/>
          <w:b/>
          <w:bCs/>
          <w:rtl/>
        </w:rPr>
        <w:t xml:space="preserve"> </w:t>
      </w:r>
      <w:r w:rsidRPr="00AA5065">
        <w:rPr>
          <w:rFonts w:eastAsia="Calibri" w:hint="eastAsia"/>
          <w:b/>
          <w:bCs/>
          <w:rtl/>
        </w:rPr>
        <w:t>התכנסה</w:t>
      </w:r>
      <w:r w:rsidRPr="00AA5065">
        <w:rPr>
          <w:rFonts w:eastAsia="Calibri"/>
          <w:b/>
          <w:bCs/>
          <w:rtl/>
        </w:rPr>
        <w:t xml:space="preserve"> </w:t>
      </w:r>
      <w:r w:rsidRPr="00AA5065">
        <w:rPr>
          <w:rFonts w:eastAsia="Calibri" w:hint="eastAsia"/>
          <w:b/>
          <w:bCs/>
          <w:rtl/>
        </w:rPr>
        <w:t>כלל</w:t>
      </w:r>
      <w:r w:rsidRPr="00AA5065">
        <w:rPr>
          <w:rFonts w:eastAsia="Calibri"/>
          <w:b/>
          <w:bCs/>
          <w:rtl/>
        </w:rPr>
        <w:t xml:space="preserve"> </w:t>
      </w:r>
      <w:r w:rsidRPr="00AA5065">
        <w:rPr>
          <w:rFonts w:eastAsia="Calibri" w:hint="eastAsia"/>
          <w:b/>
          <w:bCs/>
          <w:rtl/>
        </w:rPr>
        <w:t>במשך</w:t>
      </w:r>
      <w:r w:rsidRPr="00AA5065">
        <w:rPr>
          <w:rFonts w:eastAsia="Calibri"/>
          <w:b/>
          <w:bCs/>
          <w:rtl/>
        </w:rPr>
        <w:t xml:space="preserve"> </w:t>
      </w:r>
      <w:r w:rsidRPr="00AA5065">
        <w:rPr>
          <w:rFonts w:eastAsia="Calibri" w:hint="eastAsia"/>
          <w:b/>
          <w:bCs/>
          <w:rtl/>
        </w:rPr>
        <w:t>השנתיים</w:t>
      </w:r>
      <w:r w:rsidRPr="00AA5065">
        <w:rPr>
          <w:rFonts w:eastAsia="Calibri"/>
          <w:b/>
          <w:bCs/>
          <w:rtl/>
        </w:rPr>
        <w:t xml:space="preserve"> </w:t>
      </w:r>
      <w:r w:rsidRPr="00AA5065">
        <w:rPr>
          <w:rFonts w:eastAsia="Calibri" w:hint="eastAsia"/>
          <w:b/>
          <w:bCs/>
          <w:rtl/>
        </w:rPr>
        <w:t>שחלפו</w:t>
      </w:r>
      <w:r w:rsidRPr="00AA5065">
        <w:rPr>
          <w:rFonts w:eastAsia="Calibri"/>
          <w:b/>
          <w:bCs/>
          <w:rtl/>
        </w:rPr>
        <w:t xml:space="preserve"> </w:t>
      </w:r>
      <w:r w:rsidRPr="00AA5065">
        <w:rPr>
          <w:rFonts w:eastAsia="Calibri" w:hint="eastAsia"/>
          <w:b/>
          <w:bCs/>
          <w:rtl/>
        </w:rPr>
        <w:t>מאז</w:t>
      </w:r>
      <w:r w:rsidRPr="00AA5065">
        <w:rPr>
          <w:rFonts w:eastAsia="Calibri"/>
          <w:b/>
          <w:bCs/>
          <w:rtl/>
        </w:rPr>
        <w:t xml:space="preserve"> </w:t>
      </w:r>
      <w:r w:rsidRPr="00AA5065">
        <w:rPr>
          <w:rFonts w:eastAsia="Calibri" w:hint="eastAsia"/>
          <w:b/>
          <w:bCs/>
          <w:rtl/>
        </w:rPr>
        <w:t>הקמתה</w:t>
      </w:r>
      <w:r w:rsidRPr="00AA5065">
        <w:rPr>
          <w:rFonts w:eastAsia="Calibri"/>
          <w:b/>
          <w:bCs/>
          <w:rtl/>
        </w:rPr>
        <w:t>.</w:t>
      </w:r>
      <w:r w:rsidRPr="00AA5065">
        <w:rPr>
          <w:rFonts w:eastAsia="Calibri" w:hint="cs"/>
          <w:b/>
          <w:bCs/>
          <w:rtl/>
        </w:rPr>
        <w:t xml:space="preserve"> בתצורת הטיפול המבוזרת הנוכחית לא חלה התקדמות משמעותית בטיפול בבעיית המשילות בנגב ואף חלה החמרה אשר מתאפיינת, בין היתר, גם בהתפשטותן של חלק מהתופעות לאזורים אחרים בארץ, עולה בבירור הצורך בטיפול מערכתי מצד הממשלה. למרות ממצאי דוח זה וכן התייחסויות הגורמים השונים, ראש עיריית באר שבע, ראש מועצת נווה מדבר, משטרת ישראל ומנהלת מחוז דרום ברשות האוכלוסין - אין גורם ממשלתי מתכלל </w:t>
      </w:r>
      <w:r w:rsidRPr="00AA5065">
        <w:rPr>
          <w:rFonts w:eastAsia="Calibri" w:hint="eastAsia"/>
          <w:b/>
          <w:bCs/>
          <w:rtl/>
        </w:rPr>
        <w:t>אשר</w:t>
      </w:r>
      <w:r w:rsidRPr="00AA5065">
        <w:rPr>
          <w:rFonts w:eastAsia="Calibri"/>
          <w:b/>
          <w:bCs/>
          <w:rtl/>
        </w:rPr>
        <w:t xml:space="preserve"> </w:t>
      </w:r>
      <w:r w:rsidRPr="00AA5065">
        <w:rPr>
          <w:rFonts w:eastAsia="Calibri" w:hint="eastAsia"/>
          <w:b/>
          <w:bCs/>
          <w:rtl/>
        </w:rPr>
        <w:t>מרכז</w:t>
      </w:r>
      <w:r w:rsidRPr="00AA5065">
        <w:rPr>
          <w:rFonts w:eastAsia="Calibri"/>
          <w:b/>
          <w:bCs/>
          <w:rtl/>
        </w:rPr>
        <w:t xml:space="preserve"> </w:t>
      </w:r>
      <w:r w:rsidRPr="00AA5065">
        <w:rPr>
          <w:rFonts w:eastAsia="Calibri" w:hint="eastAsia"/>
          <w:b/>
          <w:bCs/>
          <w:rtl/>
        </w:rPr>
        <w:t>את</w:t>
      </w:r>
      <w:r w:rsidRPr="00AA5065">
        <w:rPr>
          <w:rFonts w:eastAsia="Calibri"/>
          <w:b/>
          <w:bCs/>
          <w:rtl/>
        </w:rPr>
        <w:t xml:space="preserve"> </w:t>
      </w:r>
      <w:r w:rsidRPr="00AA5065">
        <w:rPr>
          <w:rFonts w:eastAsia="Calibri" w:hint="eastAsia"/>
          <w:b/>
          <w:bCs/>
          <w:rtl/>
        </w:rPr>
        <w:t>המידע</w:t>
      </w:r>
      <w:r w:rsidRPr="00AA5065">
        <w:rPr>
          <w:rFonts w:eastAsia="Calibri"/>
          <w:b/>
          <w:bCs/>
          <w:rtl/>
        </w:rPr>
        <w:t xml:space="preserve"> </w:t>
      </w:r>
      <w:r w:rsidRPr="00AA5065">
        <w:rPr>
          <w:rFonts w:eastAsia="Calibri" w:hint="eastAsia"/>
          <w:b/>
          <w:bCs/>
          <w:rtl/>
        </w:rPr>
        <w:t>ומתכלל</w:t>
      </w:r>
      <w:r w:rsidRPr="00AA5065">
        <w:rPr>
          <w:rFonts w:eastAsia="Calibri"/>
          <w:b/>
          <w:bCs/>
          <w:rtl/>
        </w:rPr>
        <w:t xml:space="preserve"> את הטיפול בכלל הבעיות והמאפיינים של היעדר המשילות בנגב.</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ascii="David" w:eastAsia="Times New Roman" w:hAnsi="David" w:hint="eastAsia"/>
          <w:b/>
          <w:bCs/>
          <w:sz w:val="24"/>
          <w:rtl/>
          <w:lang w:eastAsia="he-IL"/>
        </w:rPr>
        <w:t>בביקורת</w:t>
      </w:r>
      <w:r w:rsidRPr="00AA5065">
        <w:rPr>
          <w:rFonts w:ascii="David" w:eastAsia="Times New Roman" w:hAnsi="David"/>
          <w:b/>
          <w:bCs/>
          <w:sz w:val="24"/>
          <w:rtl/>
          <w:lang w:eastAsia="he-IL"/>
        </w:rPr>
        <w:t xml:space="preserve"> </w:t>
      </w:r>
      <w:r w:rsidRPr="00AA5065">
        <w:rPr>
          <w:rFonts w:ascii="David" w:eastAsia="Times New Roman" w:hAnsi="David" w:hint="eastAsia"/>
          <w:b/>
          <w:bCs/>
          <w:sz w:val="24"/>
          <w:rtl/>
          <w:lang w:eastAsia="he-IL"/>
        </w:rPr>
        <w:t>המעקב</w:t>
      </w:r>
      <w:r w:rsidRPr="00AA5065">
        <w:rPr>
          <w:rFonts w:ascii="David" w:eastAsia="Times New Roman" w:hAnsi="David"/>
          <w:b/>
          <w:bCs/>
          <w:sz w:val="24"/>
          <w:rtl/>
          <w:lang w:eastAsia="he-IL"/>
        </w:rPr>
        <w:t xml:space="preserve"> </w:t>
      </w:r>
      <w:r w:rsidRPr="00AA5065">
        <w:rPr>
          <w:rFonts w:ascii="David" w:eastAsia="Times New Roman" w:hAnsi="David" w:hint="eastAsia"/>
          <w:b/>
          <w:bCs/>
          <w:sz w:val="24"/>
          <w:rtl/>
          <w:lang w:eastAsia="he-IL"/>
        </w:rPr>
        <w:t>נמצא</w:t>
      </w:r>
      <w:r w:rsidRPr="00AA5065">
        <w:rPr>
          <w:rFonts w:ascii="David" w:eastAsia="Times New Roman" w:hAnsi="David"/>
          <w:b/>
          <w:bCs/>
          <w:sz w:val="24"/>
          <w:rtl/>
          <w:lang w:eastAsia="he-IL"/>
        </w:rPr>
        <w:t xml:space="preserve"> </w:t>
      </w:r>
      <w:r w:rsidRPr="00AA5065">
        <w:rPr>
          <w:rFonts w:ascii="David" w:eastAsia="Times New Roman" w:hAnsi="David" w:hint="eastAsia"/>
          <w:b/>
          <w:bCs/>
          <w:sz w:val="24"/>
          <w:rtl/>
          <w:lang w:eastAsia="he-IL"/>
        </w:rPr>
        <w:t>כי</w:t>
      </w:r>
      <w:r w:rsidRPr="00AA5065">
        <w:rPr>
          <w:rFonts w:ascii="David" w:eastAsia="Times New Roman" w:hAnsi="David"/>
          <w:b/>
          <w:bCs/>
          <w:sz w:val="24"/>
          <w:rtl/>
          <w:lang w:eastAsia="he-IL"/>
        </w:rPr>
        <w:t xml:space="preserve"> </w:t>
      </w:r>
      <w:r w:rsidRPr="00AA5065">
        <w:rPr>
          <w:rFonts w:ascii="David" w:eastAsia="Times New Roman" w:hAnsi="David" w:hint="eastAsia"/>
          <w:b/>
          <w:bCs/>
          <w:sz w:val="24"/>
          <w:rtl/>
          <w:lang w:eastAsia="he-IL"/>
        </w:rPr>
        <w:t>למרות</w:t>
      </w:r>
      <w:r w:rsidRPr="00AA5065">
        <w:rPr>
          <w:rFonts w:ascii="David" w:eastAsia="Times New Roman" w:hAnsi="David"/>
          <w:b/>
          <w:bCs/>
          <w:sz w:val="24"/>
          <w:rtl/>
          <w:lang w:eastAsia="he-IL"/>
        </w:rPr>
        <w:t xml:space="preserve"> </w:t>
      </w:r>
      <w:r w:rsidRPr="00AA5065">
        <w:rPr>
          <w:rFonts w:ascii="David" w:eastAsia="Times New Roman" w:hAnsi="David" w:hint="eastAsia"/>
          <w:b/>
          <w:bCs/>
          <w:sz w:val="24"/>
          <w:rtl/>
          <w:lang w:eastAsia="he-IL"/>
        </w:rPr>
        <w:t>הצורך</w:t>
      </w:r>
      <w:r w:rsidRPr="00AA5065">
        <w:rPr>
          <w:rFonts w:ascii="David" w:eastAsia="Times New Roman" w:hAnsi="David"/>
          <w:b/>
          <w:bCs/>
          <w:sz w:val="24"/>
          <w:rtl/>
          <w:lang w:eastAsia="he-IL"/>
        </w:rPr>
        <w:t xml:space="preserve"> </w:t>
      </w:r>
      <w:r w:rsidRPr="00AA5065">
        <w:rPr>
          <w:rFonts w:ascii="David" w:eastAsia="Times New Roman" w:hAnsi="David" w:hint="eastAsia"/>
          <w:b/>
          <w:bCs/>
          <w:sz w:val="24"/>
          <w:rtl/>
          <w:lang w:eastAsia="he-IL"/>
        </w:rPr>
        <w:t>העולה</w:t>
      </w:r>
      <w:r w:rsidRPr="00AA5065">
        <w:rPr>
          <w:rFonts w:ascii="David" w:eastAsia="Times New Roman" w:hAnsi="David"/>
          <w:b/>
          <w:bCs/>
          <w:sz w:val="24"/>
          <w:rtl/>
          <w:lang w:eastAsia="he-IL"/>
        </w:rPr>
        <w:t xml:space="preserve"> </w:t>
      </w:r>
      <w:r w:rsidRPr="00AA5065">
        <w:rPr>
          <w:rFonts w:ascii="David" w:eastAsia="Times New Roman" w:hAnsi="David" w:hint="eastAsia"/>
          <w:b/>
          <w:bCs/>
          <w:sz w:val="24"/>
          <w:rtl/>
          <w:lang w:eastAsia="he-IL"/>
        </w:rPr>
        <w:t>מתמונת</w:t>
      </w:r>
      <w:r w:rsidRPr="00AA5065">
        <w:rPr>
          <w:rFonts w:ascii="David" w:eastAsia="Times New Roman" w:hAnsi="David"/>
          <w:b/>
          <w:bCs/>
          <w:sz w:val="24"/>
          <w:rtl/>
          <w:lang w:eastAsia="he-IL"/>
        </w:rPr>
        <w:t xml:space="preserve"> </w:t>
      </w:r>
      <w:r w:rsidRPr="00AA5065">
        <w:rPr>
          <w:rFonts w:ascii="David" w:eastAsia="Times New Roman" w:hAnsi="David" w:hint="eastAsia"/>
          <w:b/>
          <w:bCs/>
          <w:sz w:val="24"/>
          <w:rtl/>
          <w:lang w:eastAsia="he-IL"/>
        </w:rPr>
        <w:t>המצב</w:t>
      </w:r>
      <w:r w:rsidRPr="00AA5065">
        <w:rPr>
          <w:rFonts w:ascii="David" w:eastAsia="Times New Roman" w:hAnsi="David"/>
          <w:b/>
          <w:bCs/>
          <w:sz w:val="24"/>
          <w:rtl/>
          <w:lang w:eastAsia="he-IL"/>
        </w:rPr>
        <w:t xml:space="preserve"> </w:t>
      </w:r>
      <w:r w:rsidRPr="00AA5065">
        <w:rPr>
          <w:rFonts w:ascii="David" w:eastAsia="Times New Roman" w:hAnsi="David" w:hint="eastAsia"/>
          <w:b/>
          <w:bCs/>
          <w:sz w:val="24"/>
          <w:rtl/>
          <w:lang w:eastAsia="he-IL"/>
        </w:rPr>
        <w:t>בשטח</w:t>
      </w:r>
      <w:r w:rsidRPr="00AA5065">
        <w:rPr>
          <w:rFonts w:ascii="David" w:eastAsia="Times New Roman" w:hAnsi="David" w:hint="cs"/>
          <w:b/>
          <w:bCs/>
          <w:sz w:val="24"/>
          <w:rtl/>
          <w:lang w:eastAsia="he-IL"/>
        </w:rPr>
        <w:t>,</w:t>
      </w:r>
      <w:r w:rsidRPr="00AA5065">
        <w:rPr>
          <w:rFonts w:ascii="David" w:eastAsia="Times New Roman" w:hAnsi="David"/>
          <w:b/>
          <w:bCs/>
          <w:sz w:val="24"/>
          <w:rtl/>
          <w:lang w:eastAsia="he-IL"/>
        </w:rPr>
        <w:t xml:space="preserve"> כפי שתוארה בדוח זה, לא קיים אורגן ממשלתי המתווה את המדיניות הממשלתית הכוללת והמפקח על יישומה במטרה לצמצם את הפערים בין האוכלוסייה הבדואית בנגב לבין כלל האוכלוסייה</w:t>
      </w:r>
      <w:r w:rsidRPr="00AA5065">
        <w:rPr>
          <w:rFonts w:eastAsia="Calibri" w:hint="cs"/>
          <w:b/>
          <w:bCs/>
          <w:rtl/>
        </w:rPr>
        <w:t>.</w:t>
      </w:r>
    </w:p>
    <w:p w:rsidR="00AA5065" w:rsidRPr="00AA5065" w:rsidP="00860D89">
      <w:pPr>
        <w:spacing w:line="269" w:lineRule="auto"/>
        <w:rPr>
          <w:rFonts w:eastAsia="Calibri"/>
        </w:rPr>
      </w:pPr>
    </w:p>
    <w:p w:rsidR="00AA5065" w:rsidRPr="00AA5065" w:rsidP="0054781A">
      <w:pPr>
        <w:keepNext/>
        <w:keepLines/>
        <w:spacing w:before="120" w:line="269" w:lineRule="auto"/>
        <w:ind w:left="397"/>
        <w:jc w:val="center"/>
        <w:rPr>
          <w:rFonts w:ascii="David" w:eastAsia="Calibri" w:hAnsi="David"/>
          <w:b/>
          <w:bCs/>
          <w:rtl/>
        </w:rPr>
      </w:pPr>
      <w:r w:rsidRPr="00AA5065">
        <w:rPr>
          <w:rFonts w:ascii="David" w:eastAsia="Calibri" w:hAnsi="David"/>
          <w:b/>
          <w:bCs/>
          <w:rtl/>
        </w:rPr>
        <w:t xml:space="preserve">מידת </w:t>
      </w:r>
      <w:r w:rsidRPr="00AA5065">
        <w:rPr>
          <w:rFonts w:ascii="David" w:eastAsia="Calibri" w:hAnsi="David"/>
          <w:b/>
          <w:bCs/>
          <w:color w:val="0D0D0D"/>
          <w:sz w:val="24"/>
          <w:rtl/>
        </w:rPr>
        <w:t>תיקון</w:t>
      </w:r>
      <w:r w:rsidRPr="00AA5065">
        <w:rPr>
          <w:rFonts w:ascii="David" w:eastAsia="Calibri" w:hAnsi="David"/>
          <w:b/>
          <w:bCs/>
          <w:rtl/>
        </w:rPr>
        <w:t xml:space="preserve"> הליקוי</w:t>
      </w:r>
    </w:p>
    <w:p w:rsidR="00AA5065" w:rsidRPr="00AA5065" w:rsidP="00860D89">
      <w:pPr>
        <w:spacing w:line="269" w:lineRule="auto"/>
        <w:ind w:left="397"/>
        <w:jc w:val="center"/>
        <w:rPr>
          <w:rFonts w:ascii="David" w:eastAsia="Calibri" w:hAnsi="David"/>
          <w:b/>
          <w:rtl/>
        </w:rPr>
      </w:pPr>
      <w:r w:rsidRPr="00AA5065">
        <w:rPr>
          <w:rFonts w:eastAsia="Calibri"/>
          <w:noProof/>
        </w:rPr>
        <w:drawing>
          <wp:inline distT="0" distB="0" distL="0" distR="0">
            <wp:extent cx="3422650" cy="933450"/>
            <wp:effectExtent l="0" t="0" r="6350" b="0"/>
            <wp:docPr id="63" name="תמונה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2"/>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2650" cy="933450"/>
                    </a:xfrm>
                    <a:prstGeom prst="rect">
                      <a:avLst/>
                    </a:prstGeom>
                    <a:noFill/>
                    <a:ln>
                      <a:noFill/>
                    </a:ln>
                  </pic:spPr>
                </pic:pic>
              </a:graphicData>
            </a:graphic>
          </wp:inline>
        </w:drawing>
      </w:r>
    </w:p>
    <w:p w:rsidR="00AA5065" w:rsidRPr="00AA5065" w:rsidP="00860D89">
      <w:pPr>
        <w:spacing w:line="269" w:lineRule="auto"/>
        <w:rPr>
          <w:rFonts w:eastAsia="Calibri"/>
          <w:szCs w:val="20"/>
          <w:rtl/>
        </w:rPr>
      </w:pPr>
    </w:p>
    <w:p w:rsidR="00AA5065" w:rsidRPr="00AA5065" w:rsidP="00860D89">
      <w:pPr>
        <w:spacing w:line="269" w:lineRule="auto"/>
        <w:rPr>
          <w:rFonts w:eastAsia="Calibri"/>
          <w:b/>
          <w:bCs/>
          <w:color w:val="FF0000"/>
          <w:rtl/>
        </w:rPr>
      </w:pPr>
      <w:bookmarkStart w:id="171" w:name="_Hlk204860649"/>
      <w:r w:rsidRPr="00AA5065">
        <w:rPr>
          <w:rFonts w:eastAsia="Calibri"/>
          <w:b/>
          <w:bCs/>
          <w:rtl/>
        </w:rPr>
        <w:t xml:space="preserve">ממצאי דוח זה העלו </w:t>
      </w:r>
      <w:r w:rsidRPr="00AA5065">
        <w:rPr>
          <w:rFonts w:eastAsia="Calibri" w:hint="cs"/>
          <w:b/>
          <w:bCs/>
          <w:rtl/>
        </w:rPr>
        <w:t>כי קיימת פגיעה</w:t>
      </w:r>
      <w:r w:rsidRPr="00AA5065">
        <w:rPr>
          <w:rFonts w:eastAsia="Calibri"/>
          <w:b/>
          <w:bCs/>
          <w:rtl/>
        </w:rPr>
        <w:t xml:space="preserve"> </w:t>
      </w:r>
      <w:r w:rsidRPr="00AA5065">
        <w:rPr>
          <w:rFonts w:eastAsia="Calibri" w:hint="cs"/>
          <w:b/>
          <w:bCs/>
          <w:rtl/>
        </w:rPr>
        <w:t>ב</w:t>
      </w:r>
      <w:r w:rsidRPr="00AA5065">
        <w:rPr>
          <w:rFonts w:eastAsia="Calibri"/>
          <w:b/>
          <w:bCs/>
          <w:rtl/>
        </w:rPr>
        <w:t>משילות ב</w:t>
      </w:r>
      <w:r w:rsidRPr="00AA5065">
        <w:rPr>
          <w:rFonts w:eastAsia="Calibri" w:hint="cs"/>
          <w:b/>
          <w:bCs/>
          <w:rtl/>
        </w:rPr>
        <w:t>מ</w:t>
      </w:r>
      <w:r w:rsidRPr="00AA5065">
        <w:rPr>
          <w:rFonts w:eastAsia="Calibri"/>
          <w:b/>
          <w:bCs/>
          <w:rtl/>
        </w:rPr>
        <w:t xml:space="preserve">גוון תחומי החיים </w:t>
      </w:r>
      <w:r w:rsidRPr="00AA5065">
        <w:rPr>
          <w:rFonts w:eastAsia="Calibri" w:hint="cs"/>
          <w:b/>
          <w:bCs/>
          <w:rtl/>
        </w:rPr>
        <w:t>ב</w:t>
      </w:r>
      <w:r w:rsidRPr="00AA5065">
        <w:rPr>
          <w:rFonts w:eastAsia="Calibri"/>
          <w:b/>
          <w:bCs/>
          <w:rtl/>
        </w:rPr>
        <w:t>נגב, קשיי אכיפה והסדרה, ה</w:t>
      </w:r>
      <w:r w:rsidRPr="00AA5065">
        <w:rPr>
          <w:rFonts w:eastAsia="Calibri" w:hint="cs"/>
          <w:b/>
          <w:bCs/>
          <w:rtl/>
        </w:rPr>
        <w:t>י</w:t>
      </w:r>
      <w:r w:rsidRPr="00AA5065">
        <w:rPr>
          <w:rFonts w:eastAsia="Calibri"/>
          <w:b/>
          <w:bCs/>
          <w:rtl/>
        </w:rPr>
        <w:t>עדר תיאום</w:t>
      </w:r>
      <w:r w:rsidRPr="00AA5065">
        <w:rPr>
          <w:rFonts w:eastAsia="Calibri" w:hint="cs"/>
          <w:b/>
          <w:bCs/>
          <w:rtl/>
        </w:rPr>
        <w:t xml:space="preserve"> בין משרדי הממשלה</w:t>
      </w:r>
      <w:r w:rsidRPr="00AA5065">
        <w:rPr>
          <w:rFonts w:eastAsia="Calibri"/>
          <w:b/>
          <w:bCs/>
          <w:rtl/>
        </w:rPr>
        <w:t xml:space="preserve"> ואף ה</w:t>
      </w:r>
      <w:r w:rsidRPr="00AA5065">
        <w:rPr>
          <w:rFonts w:eastAsia="Calibri" w:hint="cs"/>
          <w:b/>
          <w:bCs/>
          <w:rtl/>
        </w:rPr>
        <w:t>י</w:t>
      </w:r>
      <w:r w:rsidRPr="00AA5065">
        <w:rPr>
          <w:rFonts w:eastAsia="Calibri"/>
          <w:b/>
          <w:bCs/>
          <w:rtl/>
        </w:rPr>
        <w:t xml:space="preserve">עדר בסיס נתונים אחוד ומהימן. מהדוח עולה כי </w:t>
      </w:r>
      <w:r w:rsidRPr="00AA5065">
        <w:rPr>
          <w:rFonts w:eastAsia="Calibri" w:hint="cs"/>
          <w:b/>
          <w:bCs/>
          <w:rtl/>
        </w:rPr>
        <w:t>כמה</w:t>
      </w:r>
      <w:r w:rsidRPr="00AA5065">
        <w:rPr>
          <w:rFonts w:eastAsia="Calibri"/>
          <w:b/>
          <w:bCs/>
          <w:rtl/>
        </w:rPr>
        <w:t xml:space="preserve"> משרדי</w:t>
      </w:r>
      <w:r w:rsidRPr="00AA5065">
        <w:rPr>
          <w:rFonts w:eastAsia="Calibri" w:hint="cs"/>
          <w:b/>
          <w:bCs/>
          <w:rtl/>
        </w:rPr>
        <w:t xml:space="preserve"> </w:t>
      </w:r>
      <w:r w:rsidRPr="00AA5065">
        <w:rPr>
          <w:rFonts w:eastAsia="Calibri"/>
          <w:b/>
          <w:bCs/>
          <w:rtl/>
        </w:rPr>
        <w:t>ממשלה</w:t>
      </w:r>
      <w:r w:rsidRPr="00AA5065">
        <w:rPr>
          <w:rFonts w:eastAsia="Calibri" w:hint="cs"/>
          <w:b/>
          <w:bCs/>
          <w:rtl/>
        </w:rPr>
        <w:t xml:space="preserve"> וכן גורמים ממשלתיים נוספים</w:t>
      </w:r>
      <w:r w:rsidRPr="00AA5065">
        <w:rPr>
          <w:rFonts w:eastAsia="Calibri"/>
          <w:b/>
          <w:bCs/>
          <w:rtl/>
        </w:rPr>
        <w:t xml:space="preserve"> פועלים במטרה לסייע בפתרון בעיית המשילות בנגב, א</w:t>
      </w:r>
      <w:r w:rsidRPr="00AA5065">
        <w:rPr>
          <w:rFonts w:eastAsia="Calibri" w:hint="cs"/>
          <w:b/>
          <w:bCs/>
          <w:rtl/>
        </w:rPr>
        <w:t>ך</w:t>
      </w:r>
      <w:r w:rsidRPr="00AA5065">
        <w:rPr>
          <w:rFonts w:eastAsia="Calibri"/>
          <w:b/>
          <w:bCs/>
          <w:rtl/>
        </w:rPr>
        <w:t xml:space="preserve"> </w:t>
      </w:r>
      <w:r w:rsidRPr="00AA5065">
        <w:rPr>
          <w:rFonts w:eastAsia="Calibri" w:hint="cs"/>
          <w:b/>
          <w:bCs/>
          <w:rtl/>
        </w:rPr>
        <w:t xml:space="preserve">הם </w:t>
      </w:r>
      <w:r w:rsidRPr="00AA5065">
        <w:rPr>
          <w:rFonts w:eastAsia="Calibri"/>
          <w:b/>
          <w:bCs/>
          <w:rtl/>
        </w:rPr>
        <w:t>מתקשים בכך. עוד עלה כי קיים חוסר תיאום ותכלול של פעולות הממשלה</w:t>
      </w:r>
      <w:r w:rsidRPr="00AA5065">
        <w:rPr>
          <w:rFonts w:eastAsia="Calibri" w:hint="cs"/>
          <w:b/>
          <w:bCs/>
          <w:rtl/>
        </w:rPr>
        <w:t>,</w:t>
      </w:r>
      <w:r w:rsidRPr="00AA5065">
        <w:rPr>
          <w:rFonts w:eastAsia="Calibri"/>
          <w:b/>
          <w:bCs/>
          <w:rtl/>
        </w:rPr>
        <w:t xml:space="preserve"> ונדרש לשפר את התיאום בין ה</w:t>
      </w:r>
      <w:r w:rsidRPr="00AA5065">
        <w:rPr>
          <w:rFonts w:eastAsia="Calibri" w:hint="eastAsia"/>
          <w:b/>
          <w:bCs/>
          <w:rtl/>
        </w:rPr>
        <w:t>גופים</w:t>
      </w:r>
      <w:r w:rsidRPr="00AA5065">
        <w:rPr>
          <w:rFonts w:eastAsia="Calibri"/>
          <w:b/>
          <w:bCs/>
          <w:rtl/>
        </w:rPr>
        <w:t>. תיאום כאמור, יכול להתבצע באמצעות אורגן ממשלתי אשר יתכלל את פעילות הממשלה בנגב.</w:t>
      </w:r>
      <w:r w:rsidRPr="00AA5065">
        <w:rPr>
          <w:rFonts w:eastAsia="Calibri" w:hint="cs"/>
          <w:b/>
          <w:bCs/>
          <w:rtl/>
        </w:rPr>
        <w:t xml:space="preserve"> </w:t>
      </w:r>
      <w:r w:rsidRPr="00AA5065">
        <w:rPr>
          <w:rFonts w:eastAsia="Calibri" w:hint="eastAsia"/>
          <w:b/>
          <w:bCs/>
          <w:rtl/>
        </w:rPr>
        <w:t>הצורך</w:t>
      </w:r>
      <w:r w:rsidRPr="00AA5065">
        <w:rPr>
          <w:rFonts w:eastAsia="Calibri"/>
          <w:b/>
          <w:bCs/>
          <w:rtl/>
        </w:rPr>
        <w:t xml:space="preserve"> בקיומו של אורגן </w:t>
      </w:r>
      <w:r w:rsidRPr="00AA5065">
        <w:rPr>
          <w:rFonts w:eastAsia="Calibri" w:hint="eastAsia"/>
          <w:b/>
          <w:bCs/>
          <w:rtl/>
        </w:rPr>
        <w:t>מתכלל</w:t>
      </w:r>
      <w:r w:rsidRPr="00AA5065">
        <w:rPr>
          <w:rFonts w:eastAsia="Calibri"/>
          <w:b/>
          <w:bCs/>
          <w:rtl/>
        </w:rPr>
        <w:t xml:space="preserve"> </w:t>
      </w:r>
      <w:r w:rsidRPr="00AA5065">
        <w:rPr>
          <w:rFonts w:eastAsia="Calibri" w:hint="eastAsia"/>
          <w:b/>
          <w:bCs/>
          <w:rtl/>
        </w:rPr>
        <w:t>אשר</w:t>
      </w:r>
      <w:r w:rsidRPr="00AA5065">
        <w:rPr>
          <w:rFonts w:eastAsia="Calibri"/>
          <w:b/>
          <w:bCs/>
          <w:rtl/>
        </w:rPr>
        <w:t xml:space="preserve"> </w:t>
      </w:r>
      <w:r w:rsidRPr="00AA5065">
        <w:rPr>
          <w:rFonts w:eastAsia="Calibri" w:hint="eastAsia"/>
          <w:b/>
          <w:bCs/>
          <w:rtl/>
        </w:rPr>
        <w:t>יוטל</w:t>
      </w:r>
      <w:r w:rsidRPr="00AA5065">
        <w:rPr>
          <w:rFonts w:eastAsia="Calibri"/>
          <w:b/>
          <w:bCs/>
          <w:rtl/>
        </w:rPr>
        <w:t xml:space="preserve"> </w:t>
      </w:r>
      <w:r w:rsidRPr="00AA5065">
        <w:rPr>
          <w:rFonts w:eastAsia="Calibri" w:hint="eastAsia"/>
          <w:b/>
          <w:bCs/>
          <w:rtl/>
        </w:rPr>
        <w:t>עליו</w:t>
      </w:r>
      <w:r w:rsidRPr="00AA5065">
        <w:rPr>
          <w:rFonts w:eastAsia="Calibri"/>
          <w:b/>
          <w:bCs/>
          <w:rtl/>
        </w:rPr>
        <w:t xml:space="preserve"> </w:t>
      </w:r>
      <w:r w:rsidRPr="00AA5065">
        <w:rPr>
          <w:rFonts w:eastAsia="Calibri" w:hint="eastAsia"/>
          <w:b/>
          <w:bCs/>
          <w:rtl/>
        </w:rPr>
        <w:t>לרכז</w:t>
      </w:r>
      <w:r w:rsidRPr="00AA5065">
        <w:rPr>
          <w:rFonts w:eastAsia="Calibri"/>
          <w:b/>
          <w:bCs/>
          <w:rtl/>
        </w:rPr>
        <w:t xml:space="preserve"> </w:t>
      </w:r>
      <w:r w:rsidRPr="00AA5065">
        <w:rPr>
          <w:rFonts w:eastAsia="Calibri" w:hint="cs"/>
          <w:b/>
          <w:bCs/>
          <w:rtl/>
        </w:rPr>
        <w:t>ו</w:t>
      </w:r>
      <w:r w:rsidRPr="00AA5065">
        <w:rPr>
          <w:rFonts w:eastAsia="Calibri" w:hint="eastAsia"/>
          <w:b/>
          <w:bCs/>
          <w:rtl/>
        </w:rPr>
        <w:t>לתאם</w:t>
      </w:r>
      <w:r w:rsidRPr="00AA5065">
        <w:rPr>
          <w:rFonts w:eastAsia="Calibri"/>
          <w:b/>
          <w:bCs/>
          <w:rtl/>
        </w:rPr>
        <w:t xml:space="preserve"> </w:t>
      </w:r>
      <w:r w:rsidRPr="00AA5065">
        <w:rPr>
          <w:rFonts w:eastAsia="Calibri" w:hint="cs"/>
          <w:b/>
          <w:bCs/>
          <w:rtl/>
        </w:rPr>
        <w:t xml:space="preserve">את </w:t>
      </w:r>
      <w:r w:rsidRPr="00AA5065">
        <w:rPr>
          <w:rFonts w:eastAsia="Calibri" w:hint="eastAsia"/>
          <w:b/>
          <w:bCs/>
          <w:rtl/>
        </w:rPr>
        <w:t>כלל</w:t>
      </w:r>
      <w:r w:rsidRPr="00AA5065">
        <w:rPr>
          <w:rFonts w:eastAsia="Calibri"/>
          <w:b/>
          <w:bCs/>
          <w:rtl/>
        </w:rPr>
        <w:t xml:space="preserve"> </w:t>
      </w:r>
      <w:r w:rsidRPr="00AA5065">
        <w:rPr>
          <w:rFonts w:eastAsia="Calibri" w:hint="eastAsia"/>
          <w:b/>
          <w:bCs/>
          <w:rtl/>
        </w:rPr>
        <w:t>תופעות</w:t>
      </w:r>
      <w:r w:rsidRPr="00AA5065">
        <w:rPr>
          <w:rFonts w:eastAsia="Calibri"/>
          <w:b/>
          <w:bCs/>
          <w:rtl/>
        </w:rPr>
        <w:t xml:space="preserve"> </w:t>
      </w:r>
      <w:r w:rsidRPr="00AA5065">
        <w:rPr>
          <w:rFonts w:eastAsia="Calibri" w:hint="eastAsia"/>
          <w:b/>
          <w:bCs/>
          <w:rtl/>
        </w:rPr>
        <w:t>היעדר</w:t>
      </w:r>
      <w:r w:rsidRPr="00AA5065">
        <w:rPr>
          <w:rFonts w:eastAsia="Calibri"/>
          <w:b/>
          <w:bCs/>
          <w:rtl/>
        </w:rPr>
        <w:t xml:space="preserve"> </w:t>
      </w:r>
      <w:r w:rsidRPr="00AA5065">
        <w:rPr>
          <w:rFonts w:eastAsia="Calibri" w:hint="eastAsia"/>
          <w:b/>
          <w:bCs/>
          <w:rtl/>
        </w:rPr>
        <w:t>המשילות</w:t>
      </w:r>
      <w:r w:rsidRPr="00AA5065">
        <w:rPr>
          <w:rFonts w:eastAsia="Calibri"/>
          <w:b/>
          <w:bCs/>
          <w:rtl/>
        </w:rPr>
        <w:t xml:space="preserve"> </w:t>
      </w:r>
      <w:r w:rsidRPr="00AA5065">
        <w:rPr>
          <w:rFonts w:eastAsia="Calibri" w:hint="eastAsia"/>
          <w:b/>
          <w:bCs/>
          <w:rtl/>
        </w:rPr>
        <w:t>בנגב</w:t>
      </w:r>
      <w:r w:rsidRPr="00AA5065">
        <w:rPr>
          <w:rFonts w:eastAsia="Calibri"/>
          <w:b/>
          <w:bCs/>
          <w:rtl/>
        </w:rPr>
        <w:t xml:space="preserve"> </w:t>
      </w:r>
      <w:r w:rsidRPr="00AA5065">
        <w:rPr>
          <w:rFonts w:eastAsia="Calibri" w:hint="eastAsia"/>
          <w:b/>
          <w:bCs/>
          <w:rtl/>
        </w:rPr>
        <w:t>כפי</w:t>
      </w:r>
      <w:r w:rsidRPr="00AA5065">
        <w:rPr>
          <w:rFonts w:eastAsia="Calibri"/>
          <w:b/>
          <w:bCs/>
          <w:rtl/>
        </w:rPr>
        <w:t xml:space="preserve"> שתוארו לעיל</w:t>
      </w:r>
      <w:r w:rsidRPr="00AA5065">
        <w:rPr>
          <w:rFonts w:eastAsia="Calibri" w:hint="cs"/>
          <w:b/>
          <w:bCs/>
          <w:rtl/>
        </w:rPr>
        <w:t xml:space="preserve"> ולטפל בהן</w:t>
      </w:r>
      <w:r w:rsidRPr="00AA5065">
        <w:rPr>
          <w:rFonts w:eastAsia="Calibri"/>
          <w:b/>
          <w:bCs/>
          <w:rtl/>
        </w:rPr>
        <w:t>, מתחזק באופן משמעותי נוכח האמור בדוח זה ונוכח הפגיעה החמורה בתחושת הביטחון</w:t>
      </w:r>
      <w:r w:rsidRPr="00AA5065">
        <w:rPr>
          <w:rFonts w:eastAsia="Calibri" w:hint="cs"/>
          <w:b/>
          <w:bCs/>
          <w:rtl/>
        </w:rPr>
        <w:t xml:space="preserve"> האישי ובאמון שרוחשים תושבי הנגב למדינה ולגופי האכיפה. נמצא כי בעיית המשילות בנגב נמשכת ואף החמירה בשנים שחלפו מאז פרסומו של הדוח הקודם ובמצב הדברים הנוכחי מתקשים גופי הממשלה להתמודד עימה כל אחד בעצמו. מכאן שנדרשת התערבותו של משרד ראש הממשלה לקביעת גורם ממשלתי מתכלל לסוגיה זו. על משרד ראש הממשלה לפעול שיהיו בידי הגורם המתכלל</w:t>
      </w:r>
      <w:r w:rsidRPr="00AA5065">
        <w:rPr>
          <w:rFonts w:eastAsia="Calibri" w:hint="cs"/>
          <w:b/>
          <w:bCs/>
          <w:color w:val="FF0000"/>
          <w:rtl/>
        </w:rPr>
        <w:t xml:space="preserve"> </w:t>
      </w:r>
      <w:r w:rsidRPr="00AA5065">
        <w:rPr>
          <w:rFonts w:eastAsia="Calibri" w:hint="eastAsia"/>
          <w:b/>
          <w:bCs/>
          <w:rtl/>
        </w:rPr>
        <w:t>הסמכויות</w:t>
      </w:r>
      <w:r w:rsidRPr="00AA5065">
        <w:rPr>
          <w:rFonts w:eastAsia="Calibri"/>
          <w:b/>
          <w:bCs/>
          <w:rtl/>
        </w:rPr>
        <w:t xml:space="preserve"> </w:t>
      </w:r>
      <w:r w:rsidRPr="00AA5065">
        <w:rPr>
          <w:rFonts w:eastAsia="Calibri" w:hint="eastAsia"/>
          <w:b/>
          <w:bCs/>
          <w:rtl/>
        </w:rPr>
        <w:t>המתאימות</w:t>
      </w:r>
      <w:r w:rsidRPr="00AA5065">
        <w:rPr>
          <w:rFonts w:eastAsia="Calibri"/>
          <w:b/>
          <w:bCs/>
          <w:rtl/>
        </w:rPr>
        <w:t xml:space="preserve">, </w:t>
      </w:r>
      <w:r w:rsidRPr="00AA5065">
        <w:rPr>
          <w:rFonts w:eastAsia="Calibri" w:hint="eastAsia"/>
          <w:b/>
          <w:bCs/>
          <w:rtl/>
        </w:rPr>
        <w:t>לדאוג</w:t>
      </w:r>
      <w:r w:rsidRPr="00AA5065">
        <w:rPr>
          <w:rFonts w:eastAsia="Calibri"/>
          <w:b/>
          <w:bCs/>
          <w:rtl/>
        </w:rPr>
        <w:t xml:space="preserve"> להכנתה של ת</w:t>
      </w:r>
      <w:r w:rsidRPr="00AA5065">
        <w:rPr>
          <w:rFonts w:eastAsia="Calibri" w:hint="cs"/>
          <w:b/>
          <w:bCs/>
          <w:rtl/>
        </w:rPr>
        <w:t>ו</w:t>
      </w:r>
      <w:r w:rsidRPr="00AA5065">
        <w:rPr>
          <w:rFonts w:eastAsia="Calibri"/>
          <w:b/>
          <w:bCs/>
          <w:rtl/>
        </w:rPr>
        <w:t xml:space="preserve">כנית לאומית </w:t>
      </w:r>
      <w:r w:rsidRPr="00AA5065">
        <w:rPr>
          <w:rFonts w:eastAsia="Calibri" w:hint="eastAsia"/>
          <w:b/>
          <w:bCs/>
          <w:rtl/>
        </w:rPr>
        <w:t>רב</w:t>
      </w:r>
      <w:r w:rsidRPr="00AA5065">
        <w:rPr>
          <w:rFonts w:eastAsia="Calibri" w:hint="cs"/>
          <w:b/>
          <w:bCs/>
          <w:rtl/>
        </w:rPr>
        <w:t>-</w:t>
      </w:r>
      <w:r w:rsidRPr="00AA5065">
        <w:rPr>
          <w:rFonts w:eastAsia="Calibri"/>
          <w:b/>
          <w:bCs/>
          <w:rtl/>
        </w:rPr>
        <w:t xml:space="preserve">שנתית ובעלת יעדים מדידים למעקב </w:t>
      </w:r>
      <w:r w:rsidRPr="00AA5065">
        <w:rPr>
          <w:rFonts w:eastAsia="Calibri" w:hint="cs"/>
          <w:b/>
          <w:bCs/>
          <w:rtl/>
        </w:rPr>
        <w:t>אחר</w:t>
      </w:r>
      <w:r w:rsidRPr="00AA5065">
        <w:rPr>
          <w:rFonts w:eastAsia="Calibri"/>
          <w:b/>
          <w:bCs/>
          <w:rtl/>
        </w:rPr>
        <w:t xml:space="preserve"> תופעת </w:t>
      </w:r>
      <w:r w:rsidRPr="00AA5065">
        <w:rPr>
          <w:rFonts w:eastAsia="Calibri" w:hint="cs"/>
          <w:b/>
          <w:bCs/>
          <w:rtl/>
        </w:rPr>
        <w:t>בעיית</w:t>
      </w:r>
      <w:r w:rsidRPr="00AA5065">
        <w:rPr>
          <w:rFonts w:eastAsia="Calibri"/>
          <w:b/>
          <w:bCs/>
          <w:rtl/>
        </w:rPr>
        <w:t xml:space="preserve"> המשילות בנגב </w:t>
      </w:r>
      <w:r w:rsidRPr="00AA5065">
        <w:rPr>
          <w:rFonts w:eastAsia="Calibri" w:hint="cs"/>
          <w:b/>
          <w:bCs/>
          <w:rtl/>
        </w:rPr>
        <w:t xml:space="preserve">ולטיפול בה </w:t>
      </w:r>
      <w:r w:rsidRPr="00AA5065">
        <w:rPr>
          <w:rFonts w:eastAsia="Calibri" w:hint="eastAsia"/>
          <w:b/>
          <w:bCs/>
          <w:rtl/>
        </w:rPr>
        <w:t>וכן</w:t>
      </w:r>
      <w:r w:rsidRPr="00AA5065">
        <w:rPr>
          <w:rFonts w:eastAsia="Calibri"/>
          <w:b/>
          <w:bCs/>
          <w:rtl/>
        </w:rPr>
        <w:t xml:space="preserve"> </w:t>
      </w:r>
      <w:r w:rsidRPr="00AA5065">
        <w:rPr>
          <w:rFonts w:eastAsia="Calibri" w:hint="eastAsia"/>
          <w:b/>
          <w:bCs/>
          <w:rtl/>
        </w:rPr>
        <w:t>לדאוג</w:t>
      </w:r>
      <w:r w:rsidRPr="00AA5065">
        <w:rPr>
          <w:rFonts w:eastAsia="Calibri"/>
          <w:b/>
          <w:bCs/>
          <w:rtl/>
        </w:rPr>
        <w:t xml:space="preserve"> </w:t>
      </w:r>
      <w:r w:rsidRPr="00AA5065">
        <w:rPr>
          <w:rFonts w:eastAsia="Calibri" w:hint="eastAsia"/>
          <w:b/>
          <w:bCs/>
          <w:rtl/>
        </w:rPr>
        <w:t>להגברת</w:t>
      </w:r>
      <w:r w:rsidRPr="00AA5065">
        <w:rPr>
          <w:rFonts w:eastAsia="Calibri"/>
          <w:b/>
          <w:bCs/>
          <w:rtl/>
        </w:rPr>
        <w:t xml:space="preserve"> </w:t>
      </w:r>
      <w:r w:rsidRPr="00AA5065">
        <w:rPr>
          <w:rFonts w:eastAsia="Calibri" w:hint="eastAsia"/>
          <w:b/>
          <w:bCs/>
          <w:rtl/>
        </w:rPr>
        <w:t>הקשב</w:t>
      </w:r>
      <w:r w:rsidRPr="00AA5065">
        <w:rPr>
          <w:rFonts w:eastAsia="Calibri"/>
          <w:b/>
          <w:bCs/>
          <w:rtl/>
        </w:rPr>
        <w:t xml:space="preserve"> </w:t>
      </w:r>
      <w:r w:rsidRPr="00AA5065">
        <w:rPr>
          <w:rFonts w:eastAsia="Calibri" w:hint="eastAsia"/>
          <w:b/>
          <w:bCs/>
          <w:rtl/>
        </w:rPr>
        <w:t>הלאומי</w:t>
      </w:r>
      <w:r w:rsidRPr="00AA5065">
        <w:rPr>
          <w:rFonts w:eastAsia="Calibri"/>
          <w:b/>
          <w:bCs/>
          <w:rtl/>
        </w:rPr>
        <w:t xml:space="preserve"> ותשומת הלב של כלל הגופים הרלוונטיים לתופעה חמורה </w:t>
      </w:r>
      <w:r w:rsidRPr="00AA5065">
        <w:rPr>
          <w:rFonts w:eastAsia="Calibri" w:hint="eastAsia"/>
          <w:b/>
          <w:bCs/>
          <w:rtl/>
        </w:rPr>
        <w:t>זו</w:t>
      </w:r>
      <w:r w:rsidRPr="00AA5065">
        <w:rPr>
          <w:rFonts w:eastAsia="Calibri"/>
          <w:b/>
          <w:bCs/>
          <w:rtl/>
        </w:rPr>
        <w:t>.</w:t>
      </w:r>
      <w:r w:rsidRPr="00AA5065">
        <w:rPr>
          <w:rFonts w:eastAsia="Calibri" w:hint="cs"/>
          <w:b/>
          <w:bCs/>
          <w:rtl/>
        </w:rPr>
        <w:t xml:space="preserve"> נוסף על כך, הגורם המתכלל צריך להגביר את התיאום בין הגופים השונים, להכריע בסוגיות בין-ארגוניות ולרתום גופים שונים לסיוע בפעילותם של גופים אחרים, מתוך ראייה כוללת של טיפול הוליסטי בכל ההיבטים של בעיית המשילות בנגב כפי שהועלו בדוח זה.</w:t>
      </w:r>
      <w:r w:rsidRPr="00AA5065">
        <w:rPr>
          <w:rFonts w:eastAsia="Calibri"/>
          <w:sz w:val="16"/>
          <w:szCs w:val="16"/>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rtl/>
        </w:rPr>
      </w:pPr>
      <w:r w:rsidRPr="00AA5065">
        <w:rPr>
          <w:rFonts w:eastAsia="Calibri" w:hint="eastAsia"/>
          <w:rtl/>
        </w:rPr>
        <w:t>המשטרה</w:t>
      </w:r>
      <w:r w:rsidRPr="00AA5065">
        <w:rPr>
          <w:rFonts w:eastAsia="Calibri"/>
          <w:rtl/>
        </w:rPr>
        <w:t xml:space="preserve"> מסרה בתשובתה כי </w:t>
      </w:r>
      <w:r w:rsidRPr="00AA5065">
        <w:rPr>
          <w:rFonts w:eastAsia="Calibri" w:hint="eastAsia"/>
          <w:rtl/>
        </w:rPr>
        <w:t>אכן</w:t>
      </w:r>
      <w:r w:rsidRPr="00AA5065">
        <w:rPr>
          <w:rFonts w:eastAsia="Calibri"/>
          <w:rtl/>
        </w:rPr>
        <w:t xml:space="preserve"> יש לפעול </w:t>
      </w:r>
      <w:r w:rsidRPr="00AA5065">
        <w:rPr>
          <w:rFonts w:eastAsia="Calibri" w:hint="eastAsia"/>
          <w:rtl/>
        </w:rPr>
        <w:t>לשיפור</w:t>
      </w:r>
      <w:r w:rsidRPr="00AA5065">
        <w:rPr>
          <w:rFonts w:eastAsia="Calibri"/>
          <w:rtl/>
        </w:rPr>
        <w:t xml:space="preserve"> </w:t>
      </w:r>
      <w:r w:rsidRPr="00AA5065">
        <w:rPr>
          <w:rFonts w:eastAsia="Calibri" w:hint="eastAsia"/>
          <w:rtl/>
        </w:rPr>
        <w:t>הקשר</w:t>
      </w:r>
      <w:r w:rsidRPr="00AA5065">
        <w:rPr>
          <w:rFonts w:eastAsia="Calibri"/>
          <w:rtl/>
        </w:rPr>
        <w:t xml:space="preserve"> </w:t>
      </w:r>
      <w:r w:rsidRPr="00AA5065">
        <w:rPr>
          <w:rFonts w:eastAsia="Calibri" w:hint="eastAsia"/>
          <w:rtl/>
        </w:rPr>
        <w:t>בין</w:t>
      </w:r>
      <w:r w:rsidRPr="00AA5065">
        <w:rPr>
          <w:rFonts w:eastAsia="Calibri"/>
          <w:rtl/>
        </w:rPr>
        <w:t xml:space="preserve"> </w:t>
      </w:r>
      <w:r w:rsidRPr="00AA5065">
        <w:rPr>
          <w:rFonts w:eastAsia="Calibri" w:hint="eastAsia"/>
          <w:rtl/>
        </w:rPr>
        <w:t>גופי</w:t>
      </w:r>
      <w:r w:rsidRPr="00AA5065">
        <w:rPr>
          <w:rFonts w:eastAsia="Calibri"/>
          <w:rtl/>
        </w:rPr>
        <w:t xml:space="preserve"> </w:t>
      </w:r>
      <w:r w:rsidRPr="00AA5065">
        <w:rPr>
          <w:rFonts w:eastAsia="Calibri" w:hint="eastAsia"/>
          <w:rtl/>
        </w:rPr>
        <w:t>האכיפה</w:t>
      </w:r>
      <w:r w:rsidRPr="00AA5065">
        <w:rPr>
          <w:rFonts w:eastAsia="Calibri"/>
          <w:rtl/>
        </w:rPr>
        <w:t xml:space="preserve"> כאמור.</w:t>
      </w:r>
    </w:p>
    <w:p w:rsidR="00AA5065" w:rsidRPr="00AA5065" w:rsidP="00860D89">
      <w:pPr>
        <w:spacing w:line="269" w:lineRule="auto"/>
        <w:ind w:left="-567"/>
        <w:rPr>
          <w:rFonts w:eastAsia="Calibri"/>
          <w:szCs w:val="20"/>
          <w:rtl/>
        </w:rPr>
      </w:pPr>
    </w:p>
    <w:p w:rsidR="00AA5065" w:rsidRPr="00AA5065" w:rsidP="00860D89">
      <w:pPr>
        <w:spacing w:line="269" w:lineRule="auto"/>
        <w:rPr>
          <w:rFonts w:ascii="David" w:eastAsia="Calibri" w:hAnsi="David"/>
        </w:rPr>
      </w:pPr>
      <w:r w:rsidRPr="00AA5065">
        <w:rPr>
          <w:rFonts w:ascii="David" w:eastAsia="Calibri" w:hAnsi="David" w:hint="eastAsia"/>
          <w:rtl/>
        </w:rPr>
        <w:t>הרשות</w:t>
      </w:r>
      <w:r w:rsidRPr="00AA5065">
        <w:rPr>
          <w:rFonts w:ascii="David" w:eastAsia="Calibri" w:hAnsi="David"/>
          <w:rtl/>
        </w:rPr>
        <w:t xml:space="preserve"> </w:t>
      </w:r>
      <w:r w:rsidRPr="00AA5065">
        <w:rPr>
          <w:rFonts w:ascii="David" w:eastAsia="Calibri" w:hAnsi="David" w:hint="eastAsia"/>
          <w:rtl/>
        </w:rPr>
        <w:t>לפיתוח</w:t>
      </w:r>
      <w:r w:rsidRPr="00AA5065">
        <w:rPr>
          <w:rFonts w:ascii="David" w:eastAsia="Calibri" w:hAnsi="David"/>
          <w:rtl/>
        </w:rPr>
        <w:t xml:space="preserve"> </w:t>
      </w:r>
      <w:r w:rsidRPr="00AA5065">
        <w:rPr>
          <w:rFonts w:ascii="David" w:eastAsia="Calibri" w:hAnsi="David" w:hint="eastAsia"/>
          <w:rtl/>
        </w:rPr>
        <w:t>והתיישבות</w:t>
      </w:r>
      <w:r w:rsidRPr="00AA5065">
        <w:rPr>
          <w:rFonts w:ascii="David" w:eastAsia="Calibri" w:hAnsi="David"/>
          <w:rtl/>
        </w:rPr>
        <w:t xml:space="preserve"> </w:t>
      </w:r>
      <w:r w:rsidRPr="00AA5065">
        <w:rPr>
          <w:rFonts w:ascii="David" w:eastAsia="Calibri" w:hAnsi="David" w:hint="eastAsia"/>
          <w:rtl/>
        </w:rPr>
        <w:t>הבדואים</w:t>
      </w:r>
      <w:r w:rsidRPr="00AA5065">
        <w:rPr>
          <w:rFonts w:ascii="David" w:eastAsia="Calibri" w:hAnsi="David"/>
          <w:rtl/>
        </w:rPr>
        <w:t xml:space="preserve"> </w:t>
      </w:r>
      <w:r w:rsidRPr="00AA5065">
        <w:rPr>
          <w:rFonts w:ascii="David" w:eastAsia="Calibri" w:hAnsi="David" w:hint="eastAsia"/>
          <w:rtl/>
        </w:rPr>
        <w:t>בנגב</w:t>
      </w:r>
      <w:r w:rsidRPr="00AA5065">
        <w:rPr>
          <w:rFonts w:ascii="David" w:eastAsia="Calibri" w:hAnsi="David"/>
          <w:rtl/>
        </w:rPr>
        <w:t xml:space="preserve"> </w:t>
      </w:r>
      <w:r w:rsidRPr="00AA5065">
        <w:rPr>
          <w:rFonts w:ascii="David" w:eastAsia="Calibri" w:hAnsi="David" w:hint="eastAsia"/>
          <w:rtl/>
        </w:rPr>
        <w:t>מסרה</w:t>
      </w:r>
      <w:r w:rsidRPr="00AA5065">
        <w:rPr>
          <w:rFonts w:ascii="David" w:eastAsia="Calibri" w:hAnsi="David"/>
          <w:rtl/>
        </w:rPr>
        <w:t xml:space="preserve"> </w:t>
      </w:r>
      <w:r w:rsidRPr="00AA5065">
        <w:rPr>
          <w:rFonts w:ascii="David" w:eastAsia="Calibri" w:hAnsi="David" w:hint="eastAsia"/>
          <w:rtl/>
        </w:rPr>
        <w:t>בתשובתה</w:t>
      </w:r>
      <w:r w:rsidRPr="00AA5065">
        <w:rPr>
          <w:rFonts w:ascii="David" w:eastAsia="Calibri" w:hAnsi="David"/>
          <w:rtl/>
        </w:rPr>
        <w:t xml:space="preserve"> </w:t>
      </w:r>
      <w:r w:rsidRPr="00AA5065">
        <w:rPr>
          <w:rFonts w:ascii="David" w:eastAsia="Calibri" w:hAnsi="David" w:hint="eastAsia"/>
          <w:rtl/>
        </w:rPr>
        <w:t>כי</w:t>
      </w:r>
      <w:r w:rsidRPr="00AA5065">
        <w:rPr>
          <w:rFonts w:ascii="David" w:eastAsia="Calibri" w:hAnsi="David"/>
          <w:rtl/>
        </w:rPr>
        <w:t xml:space="preserve"> "רשות הבדואים יחד עם משרד התפוצות שתחתיו היא חוסה בעת הזאת, מזהים את הצורך האקוטי בשיפור התיאום ובאיגום משאבים בין מגוון הגופים האמונים על הסוגיות המוזכרות בדו"ח ויצירת מנגנונים מוסדרים ומחייבים לטיפול סדור בסוגיות אלו. הרשות והמשרד פועלים בימים אלו לקידום החלטת ממשלה ל</w:t>
      </w:r>
      <w:r w:rsidRPr="00AA5065">
        <w:rPr>
          <w:rFonts w:ascii="David" w:eastAsia="Calibri" w:hAnsi="David" w:hint="cs"/>
          <w:b/>
          <w:bCs/>
          <w:rtl/>
        </w:rPr>
        <w:t>'</w:t>
      </w:r>
      <w:r w:rsidRPr="00AA5065">
        <w:rPr>
          <w:rFonts w:ascii="David" w:eastAsia="Calibri" w:hAnsi="David" w:hint="eastAsia"/>
          <w:b/>
          <w:bCs/>
          <w:rtl/>
        </w:rPr>
        <w:t>הקמת</w:t>
      </w:r>
      <w:r w:rsidRPr="00AA5065">
        <w:rPr>
          <w:rFonts w:ascii="David" w:eastAsia="Calibri" w:hAnsi="David"/>
          <w:b/>
          <w:bCs/>
          <w:rtl/>
        </w:rPr>
        <w:t xml:space="preserve"> </w:t>
      </w:r>
      <w:r w:rsidRPr="00AA5065">
        <w:rPr>
          <w:rFonts w:ascii="David" w:eastAsia="Calibri" w:hAnsi="David" w:hint="eastAsia"/>
          <w:b/>
          <w:bCs/>
          <w:rtl/>
        </w:rPr>
        <w:t>צוותים</w:t>
      </w:r>
      <w:r w:rsidRPr="00AA5065">
        <w:rPr>
          <w:rFonts w:ascii="David" w:eastAsia="Calibri" w:hAnsi="David"/>
          <w:b/>
          <w:bCs/>
          <w:rtl/>
        </w:rPr>
        <w:t xml:space="preserve"> </w:t>
      </w:r>
      <w:r w:rsidRPr="00AA5065">
        <w:rPr>
          <w:rFonts w:ascii="David" w:eastAsia="Calibri" w:hAnsi="David" w:hint="eastAsia"/>
          <w:b/>
          <w:bCs/>
          <w:rtl/>
        </w:rPr>
        <w:t>בין</w:t>
      </w:r>
      <w:r w:rsidRPr="00AA5065">
        <w:rPr>
          <w:rFonts w:ascii="David" w:eastAsia="Calibri" w:hAnsi="David"/>
          <w:b/>
          <w:bCs/>
          <w:rtl/>
        </w:rPr>
        <w:t>-</w:t>
      </w:r>
      <w:r w:rsidRPr="00AA5065">
        <w:rPr>
          <w:rFonts w:ascii="David" w:eastAsia="Calibri" w:hAnsi="David" w:hint="eastAsia"/>
          <w:b/>
          <w:bCs/>
          <w:rtl/>
        </w:rPr>
        <w:t>משרדיים</w:t>
      </w:r>
      <w:r w:rsidRPr="00AA5065">
        <w:rPr>
          <w:rFonts w:ascii="David" w:eastAsia="Calibri" w:hAnsi="David"/>
          <w:rtl/>
        </w:rPr>
        <w:t xml:space="preserve"> </w:t>
      </w:r>
      <w:r w:rsidRPr="00AA5065">
        <w:rPr>
          <w:rFonts w:ascii="David" w:eastAsia="Calibri" w:hAnsi="David" w:hint="eastAsia"/>
          <w:b/>
          <w:bCs/>
          <w:rtl/>
        </w:rPr>
        <w:t>להתמודדות</w:t>
      </w:r>
      <w:r w:rsidRPr="00AA5065">
        <w:rPr>
          <w:rFonts w:ascii="David" w:eastAsia="Calibri" w:hAnsi="David"/>
          <w:b/>
          <w:bCs/>
          <w:rtl/>
        </w:rPr>
        <w:t xml:space="preserve"> </w:t>
      </w:r>
      <w:r w:rsidRPr="00AA5065">
        <w:rPr>
          <w:rFonts w:ascii="David" w:eastAsia="Calibri" w:hAnsi="David" w:hint="eastAsia"/>
          <w:b/>
          <w:bCs/>
          <w:rtl/>
        </w:rPr>
        <w:t>עם</w:t>
      </w:r>
      <w:r w:rsidRPr="00AA5065">
        <w:rPr>
          <w:rFonts w:ascii="David" w:eastAsia="Calibri" w:hAnsi="David"/>
          <w:b/>
          <w:bCs/>
          <w:rtl/>
        </w:rPr>
        <w:t xml:space="preserve"> </w:t>
      </w:r>
      <w:r w:rsidRPr="00AA5065">
        <w:rPr>
          <w:rFonts w:ascii="David" w:eastAsia="Calibri" w:hAnsi="David" w:hint="eastAsia"/>
          <w:b/>
          <w:bCs/>
          <w:rtl/>
        </w:rPr>
        <w:t>תהליכים</w:t>
      </w:r>
      <w:r w:rsidRPr="00AA5065">
        <w:rPr>
          <w:rFonts w:ascii="David" w:eastAsia="Calibri" w:hAnsi="David"/>
          <w:b/>
          <w:bCs/>
          <w:rtl/>
        </w:rPr>
        <w:t xml:space="preserve"> </w:t>
      </w:r>
      <w:r w:rsidRPr="00AA5065">
        <w:rPr>
          <w:rFonts w:ascii="David" w:eastAsia="Calibri" w:hAnsi="David" w:hint="eastAsia"/>
          <w:b/>
          <w:bCs/>
          <w:rtl/>
        </w:rPr>
        <w:t>בחברה</w:t>
      </w:r>
      <w:r w:rsidRPr="00AA5065">
        <w:rPr>
          <w:rFonts w:ascii="David" w:eastAsia="Calibri" w:hAnsi="David"/>
          <w:b/>
          <w:bCs/>
          <w:rtl/>
        </w:rPr>
        <w:t xml:space="preserve"> </w:t>
      </w:r>
      <w:r w:rsidRPr="00AA5065">
        <w:rPr>
          <w:rFonts w:ascii="David" w:eastAsia="Calibri" w:hAnsi="David" w:hint="eastAsia"/>
          <w:b/>
          <w:bCs/>
          <w:rtl/>
        </w:rPr>
        <w:t>הבדואית</w:t>
      </w:r>
      <w:r w:rsidRPr="00AA5065">
        <w:rPr>
          <w:rFonts w:ascii="David" w:eastAsia="Calibri" w:hAnsi="David"/>
          <w:b/>
          <w:bCs/>
          <w:rtl/>
        </w:rPr>
        <w:t xml:space="preserve"> </w:t>
      </w:r>
      <w:r w:rsidRPr="00AA5065">
        <w:rPr>
          <w:rFonts w:ascii="David" w:eastAsia="Calibri" w:hAnsi="David" w:hint="eastAsia"/>
          <w:b/>
          <w:bCs/>
          <w:rtl/>
        </w:rPr>
        <w:t>בנגב</w:t>
      </w:r>
      <w:r w:rsidRPr="00AA5065">
        <w:rPr>
          <w:rFonts w:ascii="David" w:eastAsia="Calibri" w:hAnsi="David" w:hint="cs"/>
          <w:b/>
          <w:bCs/>
          <w:rtl/>
        </w:rPr>
        <w:t xml:space="preserve">' </w:t>
      </w:r>
      <w:r w:rsidRPr="00AA5065">
        <w:rPr>
          <w:rFonts w:ascii="David" w:eastAsia="Calibri" w:hAnsi="David"/>
          <w:rtl/>
        </w:rPr>
        <w:t xml:space="preserve">[ההדגשה </w:t>
      </w:r>
      <w:r w:rsidRPr="00AA5065">
        <w:rPr>
          <w:rFonts w:ascii="David" w:eastAsia="Calibri" w:hAnsi="David" w:hint="eastAsia"/>
          <w:rtl/>
        </w:rPr>
        <w:t>במקור</w:t>
      </w:r>
      <w:r w:rsidRPr="00AA5065">
        <w:rPr>
          <w:rFonts w:ascii="David" w:eastAsia="Calibri" w:hAnsi="David"/>
          <w:rtl/>
        </w:rPr>
        <w:t>]...</w:t>
      </w:r>
      <w:r w:rsidRPr="00AA5065">
        <w:rPr>
          <w:rFonts w:ascii="David" w:eastAsia="Calibri" w:hAnsi="David"/>
          <w:sz w:val="24"/>
          <w:rtl/>
        </w:rPr>
        <w:t xml:space="preserve"> </w:t>
      </w:r>
      <w:r w:rsidRPr="00AA5065">
        <w:rPr>
          <w:rFonts w:ascii="David" w:eastAsia="Calibri" w:hAnsi="David"/>
          <w:rtl/>
        </w:rPr>
        <w:t>בצוותים אלו יהיו שותפים נציגים בכירים מכלל משרדי הממשלה הרלוונטיים שיגבשו תכניות פעולה בכל אחד מהתחומים לאישורה של וועדת השרים. יישום התכניות והמעקב אחר ביצוען יהיה באחריות וועדת השרים לענייני בדואים בראשות ראש הממשלה. אנו סבורים כי מודל זה... מהווה איזון נכון בין הצורך בתיאום וסנכרון פעולות הממשלה ביחס לאוכלוסייה הבדואית בנגב לבין החשיבות בשמירת האחריות המקצועית של כל משרד ממשלתי בתחומו למול האוכלוסייה..."</w:t>
      </w:r>
      <w:r w:rsidRPr="00AA5065">
        <w:rPr>
          <w:rFonts w:ascii="David" w:eastAsia="Calibri" w:hAnsi="David"/>
        </w:rPr>
        <w:t>.</w:t>
      </w:r>
      <w:r w:rsidRPr="00AA5065">
        <w:rPr>
          <w:rFonts w:ascii="David" w:eastAsia="Calibri" w:hAnsi="David"/>
          <w:b/>
          <w:bCs/>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color w:val="FF0000"/>
          <w:rtl/>
        </w:rPr>
      </w:pPr>
      <w:r w:rsidRPr="00AA5065">
        <w:rPr>
          <w:rFonts w:ascii="David" w:eastAsia="Calibri" w:hAnsi="David" w:hint="eastAsia"/>
          <w:rtl/>
        </w:rPr>
        <w:t>משרד</w:t>
      </w:r>
      <w:r w:rsidRPr="00AA5065">
        <w:rPr>
          <w:rFonts w:ascii="David" w:eastAsia="Calibri" w:hAnsi="David"/>
          <w:rtl/>
        </w:rPr>
        <w:t xml:space="preserve"> </w:t>
      </w:r>
      <w:r w:rsidRPr="00AA5065">
        <w:rPr>
          <w:rFonts w:ascii="David" w:eastAsia="Calibri" w:hAnsi="David" w:hint="eastAsia"/>
          <w:rtl/>
        </w:rPr>
        <w:t>העבודה</w:t>
      </w:r>
      <w:r w:rsidRPr="00AA5065">
        <w:rPr>
          <w:rFonts w:ascii="David" w:eastAsia="Calibri" w:hAnsi="David"/>
          <w:rtl/>
        </w:rPr>
        <w:t xml:space="preserve"> </w:t>
      </w:r>
      <w:r w:rsidRPr="00AA5065">
        <w:rPr>
          <w:rFonts w:ascii="David" w:eastAsia="Calibri" w:hAnsi="David" w:hint="eastAsia"/>
          <w:rtl/>
        </w:rPr>
        <w:t>מסר</w:t>
      </w:r>
      <w:r w:rsidRPr="00AA5065">
        <w:rPr>
          <w:rFonts w:ascii="David" w:eastAsia="Calibri" w:hAnsi="David"/>
          <w:rtl/>
        </w:rPr>
        <w:t xml:space="preserve"> </w:t>
      </w:r>
      <w:r w:rsidRPr="00AA5065">
        <w:rPr>
          <w:rFonts w:ascii="David" w:eastAsia="Calibri" w:hAnsi="David" w:hint="eastAsia"/>
          <w:rtl/>
        </w:rPr>
        <w:t>בתשובתו</w:t>
      </w:r>
      <w:r w:rsidRPr="00AA5065">
        <w:rPr>
          <w:rFonts w:ascii="David" w:eastAsia="Calibri" w:hAnsi="David"/>
          <w:rtl/>
        </w:rPr>
        <w:t xml:space="preserve"> </w:t>
      </w:r>
      <w:r w:rsidRPr="00AA5065">
        <w:rPr>
          <w:rFonts w:ascii="David" w:eastAsia="Calibri" w:hAnsi="David" w:hint="eastAsia"/>
          <w:rtl/>
        </w:rPr>
        <w:t>כי</w:t>
      </w:r>
      <w:r w:rsidRPr="00AA5065">
        <w:rPr>
          <w:rFonts w:ascii="David" w:eastAsia="Calibri" w:hAnsi="David"/>
          <w:rtl/>
        </w:rPr>
        <w:t xml:space="preserve"> "על </w:t>
      </w:r>
      <w:r w:rsidRPr="00AA5065">
        <w:rPr>
          <w:rFonts w:ascii="David" w:eastAsia="Calibri" w:hAnsi="David" w:hint="eastAsia"/>
          <w:rtl/>
        </w:rPr>
        <w:t>מנת</w:t>
      </w:r>
      <w:r w:rsidRPr="00AA5065">
        <w:rPr>
          <w:rFonts w:ascii="David" w:eastAsia="Calibri" w:hAnsi="David"/>
          <w:rtl/>
        </w:rPr>
        <w:t xml:space="preserve"> </w:t>
      </w:r>
      <w:r w:rsidRPr="00AA5065">
        <w:rPr>
          <w:rFonts w:ascii="David" w:eastAsia="Calibri" w:hAnsi="David" w:hint="eastAsia"/>
          <w:rtl/>
        </w:rPr>
        <w:t>לממש</w:t>
      </w:r>
      <w:r w:rsidRPr="00AA5065">
        <w:rPr>
          <w:rFonts w:ascii="David" w:eastAsia="Calibri" w:hAnsi="David"/>
          <w:rtl/>
        </w:rPr>
        <w:t xml:space="preserve"> </w:t>
      </w:r>
      <w:r w:rsidRPr="00AA5065">
        <w:rPr>
          <w:rFonts w:ascii="David" w:eastAsia="Calibri" w:hAnsi="David" w:hint="eastAsia"/>
          <w:rtl/>
        </w:rPr>
        <w:t>את</w:t>
      </w:r>
      <w:r w:rsidRPr="00AA5065">
        <w:rPr>
          <w:rFonts w:ascii="David" w:eastAsia="Calibri" w:hAnsi="David"/>
          <w:rtl/>
        </w:rPr>
        <w:t xml:space="preserve"> </w:t>
      </w:r>
      <w:r w:rsidRPr="00AA5065">
        <w:rPr>
          <w:rFonts w:ascii="David" w:eastAsia="Calibri" w:hAnsi="David" w:hint="eastAsia"/>
          <w:rtl/>
        </w:rPr>
        <w:t>המשילות</w:t>
      </w:r>
      <w:r w:rsidRPr="00AA5065">
        <w:rPr>
          <w:rFonts w:ascii="David" w:eastAsia="Calibri" w:hAnsi="David"/>
          <w:rtl/>
        </w:rPr>
        <w:t xml:space="preserve"> </w:t>
      </w:r>
      <w:r w:rsidRPr="00AA5065">
        <w:rPr>
          <w:rFonts w:ascii="David" w:eastAsia="Calibri" w:hAnsi="David" w:hint="eastAsia"/>
          <w:rtl/>
        </w:rPr>
        <w:t>בנגב</w:t>
      </w:r>
      <w:r w:rsidRPr="00AA5065">
        <w:rPr>
          <w:rFonts w:ascii="David" w:eastAsia="Calibri" w:hAnsi="David"/>
          <w:rtl/>
        </w:rPr>
        <w:t xml:space="preserve"> </w:t>
      </w:r>
      <w:r w:rsidRPr="00AA5065">
        <w:rPr>
          <w:rFonts w:ascii="David" w:eastAsia="Calibri" w:hAnsi="David" w:hint="eastAsia"/>
          <w:rtl/>
        </w:rPr>
        <w:t>נדרש</w:t>
      </w:r>
      <w:r w:rsidRPr="00AA5065">
        <w:rPr>
          <w:rFonts w:ascii="David" w:eastAsia="Calibri" w:hAnsi="David"/>
          <w:rtl/>
        </w:rPr>
        <w:t xml:space="preserve"> </w:t>
      </w:r>
      <w:r w:rsidRPr="00AA5065">
        <w:rPr>
          <w:rFonts w:ascii="David" w:eastAsia="Calibri" w:hAnsi="David" w:hint="eastAsia"/>
          <w:rtl/>
        </w:rPr>
        <w:t>ריכוז</w:t>
      </w:r>
      <w:r w:rsidRPr="00AA5065">
        <w:rPr>
          <w:rFonts w:ascii="David" w:eastAsia="Calibri" w:hAnsi="David"/>
          <w:rtl/>
        </w:rPr>
        <w:t xml:space="preserve"> </w:t>
      </w:r>
      <w:r w:rsidRPr="00AA5065">
        <w:rPr>
          <w:rFonts w:ascii="David" w:eastAsia="Calibri" w:hAnsi="David" w:hint="eastAsia"/>
          <w:rtl/>
        </w:rPr>
        <w:t>מאמץ</w:t>
      </w:r>
      <w:r w:rsidRPr="00AA5065">
        <w:rPr>
          <w:rFonts w:ascii="David" w:eastAsia="Calibri" w:hAnsi="David"/>
          <w:rtl/>
        </w:rPr>
        <w:t xml:space="preserve"> </w:t>
      </w:r>
      <w:r w:rsidRPr="00AA5065">
        <w:rPr>
          <w:rFonts w:ascii="David" w:eastAsia="Calibri" w:hAnsi="David" w:hint="eastAsia"/>
          <w:rtl/>
        </w:rPr>
        <w:t>של</w:t>
      </w:r>
      <w:r w:rsidRPr="00AA5065">
        <w:rPr>
          <w:rFonts w:ascii="David" w:eastAsia="Calibri" w:hAnsi="David"/>
          <w:rtl/>
        </w:rPr>
        <w:t xml:space="preserve"> </w:t>
      </w:r>
      <w:r w:rsidRPr="00AA5065">
        <w:rPr>
          <w:rFonts w:ascii="David" w:eastAsia="Calibri" w:hAnsi="David" w:hint="eastAsia"/>
          <w:rtl/>
        </w:rPr>
        <w:t>כלל</w:t>
      </w:r>
      <w:r w:rsidRPr="00AA5065">
        <w:rPr>
          <w:rFonts w:ascii="David" w:eastAsia="Calibri" w:hAnsi="David"/>
          <w:rtl/>
        </w:rPr>
        <w:t xml:space="preserve"> </w:t>
      </w:r>
      <w:r w:rsidRPr="00AA5065">
        <w:rPr>
          <w:rFonts w:ascii="David" w:eastAsia="Calibri" w:hAnsi="David" w:hint="eastAsia"/>
          <w:rtl/>
        </w:rPr>
        <w:t>גופי</w:t>
      </w:r>
      <w:r w:rsidRPr="00AA5065">
        <w:rPr>
          <w:rFonts w:ascii="David" w:eastAsia="Calibri" w:hAnsi="David"/>
          <w:rtl/>
        </w:rPr>
        <w:t xml:space="preserve"> </w:t>
      </w:r>
      <w:r w:rsidRPr="00AA5065">
        <w:rPr>
          <w:rFonts w:ascii="David" w:eastAsia="Calibri" w:hAnsi="David" w:hint="eastAsia"/>
          <w:rtl/>
        </w:rPr>
        <w:t>האכיפה</w:t>
      </w:r>
      <w:r w:rsidRPr="00AA5065">
        <w:rPr>
          <w:rFonts w:ascii="David" w:eastAsia="Calibri" w:hAnsi="David"/>
          <w:rtl/>
        </w:rPr>
        <w:t xml:space="preserve"> </w:t>
      </w:r>
      <w:r w:rsidRPr="00AA5065">
        <w:rPr>
          <w:rFonts w:ascii="David" w:eastAsia="Calibri" w:hAnsi="David" w:hint="eastAsia"/>
          <w:rtl/>
        </w:rPr>
        <w:t>של</w:t>
      </w:r>
      <w:r w:rsidRPr="00AA5065">
        <w:rPr>
          <w:rFonts w:ascii="David" w:eastAsia="Calibri" w:hAnsi="David"/>
          <w:rtl/>
        </w:rPr>
        <w:t xml:space="preserve"> </w:t>
      </w:r>
      <w:r w:rsidRPr="00AA5065">
        <w:rPr>
          <w:rFonts w:ascii="David" w:eastAsia="Calibri" w:hAnsi="David" w:hint="eastAsia"/>
          <w:rtl/>
        </w:rPr>
        <w:t>כלל</w:t>
      </w:r>
      <w:r w:rsidRPr="00AA5065">
        <w:rPr>
          <w:rFonts w:ascii="David" w:eastAsia="Calibri" w:hAnsi="David"/>
          <w:rtl/>
        </w:rPr>
        <w:t xml:space="preserve"> </w:t>
      </w:r>
      <w:r w:rsidRPr="00AA5065">
        <w:rPr>
          <w:rFonts w:ascii="David" w:eastAsia="Calibri" w:hAnsi="David" w:hint="eastAsia"/>
          <w:rtl/>
        </w:rPr>
        <w:t>הרשויות</w:t>
      </w:r>
      <w:r w:rsidRPr="00AA5065">
        <w:rPr>
          <w:rFonts w:ascii="David" w:eastAsia="Calibri" w:hAnsi="David"/>
          <w:rtl/>
        </w:rPr>
        <w:t xml:space="preserve"> </w:t>
      </w:r>
      <w:r w:rsidRPr="00AA5065">
        <w:rPr>
          <w:rFonts w:ascii="David" w:eastAsia="Calibri" w:hAnsi="David" w:hint="eastAsia"/>
          <w:rtl/>
        </w:rPr>
        <w:t>במדינה</w:t>
      </w:r>
      <w:r w:rsidRPr="00AA5065">
        <w:rPr>
          <w:rFonts w:ascii="David" w:eastAsia="Calibri" w:hAnsi="David"/>
          <w:rtl/>
        </w:rPr>
        <w:t xml:space="preserve">, </w:t>
      </w:r>
      <w:r w:rsidRPr="00AA5065">
        <w:rPr>
          <w:rFonts w:ascii="David" w:eastAsia="Calibri" w:hAnsi="David" w:hint="eastAsia"/>
          <w:rtl/>
        </w:rPr>
        <w:t>והקמת</w:t>
      </w:r>
      <w:r w:rsidRPr="00AA5065">
        <w:rPr>
          <w:rFonts w:ascii="David" w:eastAsia="Calibri" w:hAnsi="David"/>
          <w:rtl/>
        </w:rPr>
        <w:t xml:space="preserve"> </w:t>
      </w:r>
      <w:r w:rsidRPr="00AA5065">
        <w:rPr>
          <w:rFonts w:ascii="David" w:eastAsia="Calibri" w:hAnsi="David" w:hint="eastAsia"/>
          <w:rtl/>
        </w:rPr>
        <w:t>מינהלת</w:t>
      </w:r>
      <w:r w:rsidRPr="00AA5065">
        <w:rPr>
          <w:rFonts w:ascii="David" w:eastAsia="Calibri" w:hAnsi="David"/>
          <w:rtl/>
        </w:rPr>
        <w:t xml:space="preserve"> </w:t>
      </w:r>
      <w:r w:rsidRPr="00AA5065">
        <w:rPr>
          <w:rFonts w:ascii="David" w:eastAsia="Calibri" w:hAnsi="David" w:hint="eastAsia"/>
          <w:rtl/>
        </w:rPr>
        <w:t>ייעודית</w:t>
      </w:r>
      <w:r w:rsidRPr="00AA5065">
        <w:rPr>
          <w:rFonts w:ascii="David" w:eastAsia="Calibri" w:hAnsi="David"/>
          <w:rtl/>
        </w:rPr>
        <w:t xml:space="preserve"> </w:t>
      </w:r>
      <w:r w:rsidRPr="00AA5065">
        <w:rPr>
          <w:rFonts w:ascii="David" w:eastAsia="Calibri" w:hAnsi="David" w:hint="eastAsia"/>
          <w:rtl/>
        </w:rPr>
        <w:t>לנושא</w:t>
      </w:r>
      <w:r w:rsidRPr="00AA5065">
        <w:rPr>
          <w:rFonts w:ascii="David" w:eastAsia="Calibri" w:hAnsi="David"/>
          <w:rtl/>
        </w:rPr>
        <w:t>".</w:t>
      </w:r>
    </w:p>
    <w:p w:rsidR="00AA5065" w:rsidRPr="00AA5065" w:rsidP="00860D89">
      <w:pPr>
        <w:spacing w:line="269" w:lineRule="auto"/>
        <w:rPr>
          <w:rFonts w:eastAsia="Calibri"/>
          <w:rtl/>
        </w:rPr>
      </w:pPr>
      <w:bookmarkStart w:id="172" w:name="_Toc60063359"/>
      <w:bookmarkStart w:id="173" w:name="_Toc60125429"/>
      <w:bookmarkStart w:id="174" w:name="_Toc78120312"/>
      <w:bookmarkEnd w:id="171"/>
    </w:p>
    <w:p w:rsidR="003B0BF5">
      <w:pPr>
        <w:bidi w:val="0"/>
        <w:spacing w:after="200" w:line="276" w:lineRule="auto"/>
        <w:rPr>
          <w:rFonts w:eastAsia="Times New Roman"/>
          <w:bCs/>
          <w:szCs w:val="28"/>
          <w:rtl/>
        </w:rPr>
      </w:pPr>
      <w:r>
        <w:rPr>
          <w:rFonts w:eastAsia="Times New Roman"/>
          <w:bCs/>
          <w:szCs w:val="28"/>
          <w:rtl/>
        </w:rPr>
        <w:br w:type="page"/>
      </w:r>
    </w:p>
    <w:p w:rsidR="00AA5065" w:rsidRPr="003B0BF5" w:rsidP="00860D89">
      <w:pPr>
        <w:keepNext/>
        <w:keepLines/>
        <w:spacing w:line="269" w:lineRule="auto"/>
        <w:outlineLvl w:val="2"/>
        <w:rPr>
          <w:rFonts w:eastAsia="Times New Roman"/>
          <w:bCs/>
          <w:szCs w:val="28"/>
          <w:u w:val="single"/>
          <w:rtl/>
        </w:rPr>
      </w:pPr>
      <w:r w:rsidRPr="003B0BF5">
        <w:rPr>
          <w:rFonts w:eastAsia="Times New Roman" w:hint="cs"/>
          <w:bCs/>
          <w:szCs w:val="28"/>
          <w:u w:val="single"/>
          <w:rtl/>
        </w:rPr>
        <w:t>סיכום</w:t>
      </w:r>
      <w:bookmarkEnd w:id="172"/>
      <w:bookmarkEnd w:id="173"/>
      <w:bookmarkEnd w:id="174"/>
    </w:p>
    <w:p w:rsidR="00AA5065" w:rsidRPr="00AA5065" w:rsidP="00860D89">
      <w:pPr>
        <w:spacing w:line="269" w:lineRule="auto"/>
        <w:ind w:left="-567"/>
        <w:rPr>
          <w:rFonts w:eastAsia="Calibri"/>
          <w:szCs w:val="20"/>
          <w:rtl/>
        </w:rPr>
      </w:pPr>
    </w:p>
    <w:p w:rsidR="00AA5065" w:rsidRPr="00AA5065" w:rsidP="00860D89">
      <w:pPr>
        <w:spacing w:line="269" w:lineRule="auto"/>
        <w:rPr>
          <w:rFonts w:ascii="Arial" w:eastAsia="Calibri" w:hAnsi="Arial"/>
          <w:b/>
          <w:bCs/>
          <w:rtl/>
        </w:rPr>
      </w:pPr>
      <w:bookmarkStart w:id="175" w:name="_Hlk204860672"/>
      <w:r w:rsidRPr="00AA5065">
        <w:rPr>
          <w:rFonts w:eastAsia="Calibri"/>
          <w:b/>
          <w:bCs/>
          <w:rtl/>
        </w:rPr>
        <w:t>המשילות של המדינה</w:t>
      </w:r>
      <w:r w:rsidRPr="00AA5065">
        <w:rPr>
          <w:rFonts w:eastAsia="Calibri" w:hint="cs"/>
          <w:b/>
          <w:bCs/>
          <w:rtl/>
        </w:rPr>
        <w:t xml:space="preserve"> בנגב</w:t>
      </w:r>
      <w:r w:rsidRPr="00AA5065">
        <w:rPr>
          <w:rFonts w:eastAsia="Calibri"/>
          <w:b/>
          <w:bCs/>
          <w:rtl/>
        </w:rPr>
        <w:t xml:space="preserve"> </w:t>
      </w:r>
      <w:r w:rsidRPr="00AA5065">
        <w:rPr>
          <w:rFonts w:eastAsia="Calibri" w:hint="cs"/>
          <w:b/>
          <w:bCs/>
          <w:rtl/>
        </w:rPr>
        <w:t>ו</w:t>
      </w:r>
      <w:r w:rsidRPr="00AA5065">
        <w:rPr>
          <w:rFonts w:eastAsia="Calibri"/>
          <w:b/>
          <w:bCs/>
          <w:rtl/>
        </w:rPr>
        <w:t xml:space="preserve">בכל </w:t>
      </w:r>
      <w:r w:rsidRPr="00AA5065">
        <w:rPr>
          <w:rFonts w:eastAsia="Calibri" w:hint="cs"/>
          <w:b/>
          <w:bCs/>
          <w:rtl/>
        </w:rPr>
        <w:t>רחבי</w:t>
      </w:r>
      <w:r w:rsidRPr="00AA5065">
        <w:rPr>
          <w:rFonts w:eastAsia="Calibri"/>
          <w:b/>
          <w:bCs/>
          <w:rtl/>
        </w:rPr>
        <w:t xml:space="preserve"> הארץ </w:t>
      </w:r>
      <w:r w:rsidRPr="00AA5065">
        <w:rPr>
          <w:rFonts w:eastAsia="Calibri" w:hint="cs"/>
          <w:b/>
          <w:bCs/>
          <w:rtl/>
        </w:rPr>
        <w:t>הכרחית לקיום חיים סדירים ויחסים נאותים בין כל רובדי האוכלוסייה, והיא נדרשת</w:t>
      </w:r>
      <w:r w:rsidRPr="00AA5065">
        <w:rPr>
          <w:rFonts w:eastAsia="Calibri"/>
          <w:b/>
          <w:bCs/>
          <w:rtl/>
        </w:rPr>
        <w:t xml:space="preserve"> </w:t>
      </w:r>
      <w:r w:rsidRPr="00AA5065">
        <w:rPr>
          <w:rFonts w:eastAsia="Calibri" w:hint="cs"/>
          <w:b/>
          <w:bCs/>
          <w:rtl/>
        </w:rPr>
        <w:t>כדי להבטיח</w:t>
      </w:r>
      <w:r w:rsidRPr="00AA5065">
        <w:rPr>
          <w:rFonts w:eastAsia="Calibri"/>
          <w:b/>
          <w:bCs/>
          <w:rtl/>
        </w:rPr>
        <w:t xml:space="preserve"> מתן שירותים תקינים וסדירים לכ</w:t>
      </w:r>
      <w:r w:rsidRPr="00AA5065">
        <w:rPr>
          <w:rFonts w:eastAsia="Calibri" w:hint="cs"/>
          <w:b/>
          <w:bCs/>
          <w:rtl/>
        </w:rPr>
        <w:t>ל</w:t>
      </w:r>
      <w:r w:rsidRPr="00AA5065">
        <w:rPr>
          <w:rFonts w:eastAsia="Calibri"/>
          <w:b/>
          <w:bCs/>
          <w:rtl/>
        </w:rPr>
        <w:t xml:space="preserve">ל </w:t>
      </w:r>
      <w:r w:rsidRPr="00AA5065">
        <w:rPr>
          <w:rFonts w:eastAsia="Calibri" w:hint="cs"/>
          <w:b/>
          <w:bCs/>
          <w:rtl/>
        </w:rPr>
        <w:t>ה</w:t>
      </w:r>
      <w:r w:rsidRPr="00AA5065">
        <w:rPr>
          <w:rFonts w:eastAsia="Calibri"/>
          <w:b/>
          <w:bCs/>
          <w:rtl/>
        </w:rPr>
        <w:t>תושבי</w:t>
      </w:r>
      <w:r w:rsidRPr="00AA5065">
        <w:rPr>
          <w:rFonts w:eastAsia="Calibri" w:hint="cs"/>
          <w:b/>
          <w:bCs/>
          <w:rtl/>
        </w:rPr>
        <w:t>ם</w:t>
      </w:r>
      <w:r w:rsidRPr="00AA5065">
        <w:rPr>
          <w:rFonts w:eastAsia="Calibri"/>
          <w:b/>
          <w:bCs/>
          <w:rtl/>
        </w:rPr>
        <w:t xml:space="preserve"> </w:t>
      </w:r>
      <w:r w:rsidRPr="00AA5065">
        <w:rPr>
          <w:rFonts w:eastAsia="Calibri" w:hint="cs"/>
          <w:b/>
          <w:bCs/>
          <w:rtl/>
        </w:rPr>
        <w:t>מכל המינים והדתות</w:t>
      </w:r>
      <w:r w:rsidRPr="00AA5065">
        <w:rPr>
          <w:rFonts w:eastAsia="Calibri"/>
          <w:b/>
          <w:bCs/>
          <w:rtl/>
        </w:rPr>
        <w:t xml:space="preserve">. </w:t>
      </w:r>
      <w:r w:rsidRPr="00AA5065">
        <w:rPr>
          <w:rFonts w:ascii="Arial" w:eastAsia="Calibri" w:hAnsi="Arial" w:hint="cs"/>
          <w:b/>
          <w:bCs/>
          <w:rtl/>
        </w:rPr>
        <w:t>היעדר המשילות פוגע ביכולת ההרתעה של גורמי האכיפה השונים כלפי פורעי החוק למיניהם, משפיע על תחושת הביטחון האישי ועל מידת האמון של אזרחי המדינה ותושביה במוסדות המדינה, ויש לו השלכות כלכליות כבדות משקל בדמות תשלומי קצבאות שלא לצורך, תשלומי מס בחסר, איומים על בתי עסק נורמטיביים ופגיעות כלכליות בהם, גידולי סמים וכלכלת סמים וכד'.</w:t>
      </w:r>
    </w:p>
    <w:bookmarkEnd w:id="175"/>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בסוף שנת 2023 מנתה האוכלוסייה הבדואית בנגב לפי נתוני הלמ"ס כ-325,000 איש - כ-20% מכלל האוכלוסייה המתגוררת בו. עם זאת, לפי הנתונים העולים בדוח, שיעור מעורבותה באירועים הקשורים לפגיעה במשילות גבוה משמעותית מחלקה באוכלוסייה.</w:t>
      </w:r>
      <w:r w:rsidRPr="00AA5065">
        <w:rPr>
          <w:rFonts w:eastAsia="Calibri"/>
          <w:b/>
          <w:bCs/>
          <w:rtl/>
        </w:rPr>
        <w:t xml:space="preserve"> זאת, בין היתר </w:t>
      </w:r>
      <w:r w:rsidRPr="00AA5065">
        <w:rPr>
          <w:rFonts w:eastAsia="Calibri" w:hint="eastAsia"/>
          <w:b/>
          <w:bCs/>
          <w:rtl/>
        </w:rPr>
        <w:t>בתחום</w:t>
      </w:r>
      <w:r w:rsidRPr="00AA5065">
        <w:rPr>
          <w:rFonts w:eastAsia="Calibri"/>
          <w:b/>
          <w:bCs/>
          <w:rtl/>
        </w:rPr>
        <w:t xml:space="preserve"> </w:t>
      </w:r>
      <w:r w:rsidRPr="00AA5065">
        <w:rPr>
          <w:rFonts w:eastAsia="Calibri" w:hint="eastAsia"/>
          <w:b/>
          <w:bCs/>
          <w:rtl/>
        </w:rPr>
        <w:t>עבירות</w:t>
      </w:r>
      <w:r w:rsidRPr="00AA5065">
        <w:rPr>
          <w:rFonts w:eastAsia="Calibri"/>
          <w:b/>
          <w:bCs/>
          <w:rtl/>
        </w:rPr>
        <w:t xml:space="preserve"> </w:t>
      </w:r>
      <w:r w:rsidRPr="00AA5065">
        <w:rPr>
          <w:rFonts w:eastAsia="Calibri" w:hint="eastAsia"/>
          <w:b/>
          <w:bCs/>
          <w:rtl/>
        </w:rPr>
        <w:t>ת</w:t>
      </w:r>
      <w:r w:rsidRPr="00AA5065">
        <w:rPr>
          <w:rFonts w:eastAsia="Calibri" w:hint="cs"/>
          <w:b/>
          <w:bCs/>
          <w:rtl/>
        </w:rPr>
        <w:t>ע</w:t>
      </w:r>
      <w:r w:rsidRPr="00AA5065">
        <w:rPr>
          <w:rFonts w:eastAsia="Calibri" w:hint="eastAsia"/>
          <w:b/>
          <w:bCs/>
          <w:rtl/>
        </w:rPr>
        <w:t>בורה</w:t>
      </w:r>
      <w:r w:rsidRPr="00AA5065">
        <w:rPr>
          <w:rFonts w:eastAsia="Calibri"/>
          <w:b/>
          <w:bCs/>
          <w:rtl/>
        </w:rPr>
        <w:t xml:space="preserve">, </w:t>
      </w:r>
      <w:r w:rsidRPr="00AA5065">
        <w:rPr>
          <w:rFonts w:eastAsia="Calibri" w:hint="eastAsia"/>
          <w:b/>
          <w:bCs/>
          <w:rtl/>
        </w:rPr>
        <w:t>פגיעה</w:t>
      </w:r>
      <w:r w:rsidRPr="00AA5065">
        <w:rPr>
          <w:rFonts w:eastAsia="Calibri"/>
          <w:b/>
          <w:bCs/>
          <w:rtl/>
        </w:rPr>
        <w:t xml:space="preserve"> </w:t>
      </w:r>
      <w:r w:rsidRPr="00AA5065">
        <w:rPr>
          <w:rFonts w:eastAsia="Calibri" w:hint="eastAsia"/>
          <w:b/>
          <w:bCs/>
          <w:rtl/>
        </w:rPr>
        <w:t>ב</w:t>
      </w:r>
      <w:r w:rsidRPr="00AA5065">
        <w:rPr>
          <w:rFonts w:eastAsia="Calibri"/>
          <w:b/>
          <w:bCs/>
          <w:rtl/>
        </w:rPr>
        <w:t xml:space="preserve">איכות </w:t>
      </w:r>
      <w:r w:rsidRPr="00AA5065">
        <w:rPr>
          <w:rFonts w:eastAsia="Calibri" w:hint="eastAsia"/>
          <w:b/>
          <w:bCs/>
          <w:rtl/>
        </w:rPr>
        <w:t>ה</w:t>
      </w:r>
      <w:r w:rsidRPr="00AA5065">
        <w:rPr>
          <w:rFonts w:eastAsia="Calibri"/>
          <w:b/>
          <w:bCs/>
          <w:rtl/>
        </w:rPr>
        <w:t xml:space="preserve">סביבה, </w:t>
      </w:r>
      <w:r w:rsidRPr="00AA5065">
        <w:rPr>
          <w:rFonts w:eastAsia="Calibri" w:hint="eastAsia"/>
          <w:b/>
          <w:bCs/>
          <w:rtl/>
        </w:rPr>
        <w:t>אי</w:t>
      </w:r>
      <w:r w:rsidRPr="00AA5065">
        <w:rPr>
          <w:rFonts w:eastAsia="Calibri"/>
          <w:b/>
          <w:bCs/>
          <w:rtl/>
        </w:rPr>
        <w:t xml:space="preserve"> תשלום</w:t>
      </w:r>
      <w:r w:rsidRPr="00AA5065">
        <w:rPr>
          <w:rFonts w:eastAsia="Calibri" w:hint="cs"/>
          <w:b/>
          <w:bCs/>
          <w:rtl/>
        </w:rPr>
        <w:t xml:space="preserve"> </w:t>
      </w:r>
      <w:r w:rsidRPr="00AA5065">
        <w:rPr>
          <w:rFonts w:eastAsia="Calibri"/>
          <w:b/>
          <w:bCs/>
          <w:rtl/>
        </w:rPr>
        <w:t>מיסים, פוליגמיה,</w:t>
      </w:r>
      <w:r w:rsidRPr="00AA5065">
        <w:rPr>
          <w:rFonts w:eastAsia="Calibri" w:hint="cs"/>
          <w:b/>
          <w:bCs/>
          <w:rtl/>
        </w:rPr>
        <w:t xml:space="preserve"> העסקת קטינים,</w:t>
      </w:r>
      <w:r w:rsidRPr="00AA5065">
        <w:rPr>
          <w:rFonts w:eastAsia="Calibri"/>
          <w:b/>
          <w:bCs/>
          <w:rtl/>
        </w:rPr>
        <w:t xml:space="preserve"> </w:t>
      </w:r>
      <w:r w:rsidRPr="00AA5065">
        <w:rPr>
          <w:rFonts w:eastAsia="Calibri" w:hint="cs"/>
          <w:b/>
          <w:bCs/>
          <w:rtl/>
        </w:rPr>
        <w:t>סחיטת דמי חסות</w:t>
      </w:r>
      <w:r w:rsidRPr="00AA5065">
        <w:rPr>
          <w:rFonts w:eastAsia="Calibri"/>
          <w:b/>
          <w:bCs/>
          <w:rtl/>
        </w:rPr>
        <w:t xml:space="preserve"> ופגיעה בתשתיות אזרחיות וצבאיות.</w:t>
      </w:r>
      <w:r w:rsidRPr="00AA5065">
        <w:rPr>
          <w:rFonts w:eastAsia="Calibri" w:hint="cs"/>
          <w:b/>
          <w:bCs/>
          <w:rtl/>
        </w:rPr>
        <w:t xml:space="preserve"> </w:t>
      </w:r>
      <w:r w:rsidRPr="00AA5065">
        <w:rPr>
          <w:rFonts w:eastAsia="Calibri"/>
          <w:b/>
          <w:bCs/>
          <w:rtl/>
        </w:rPr>
        <w:t>ככל שחולפות השנים אוכלוסיית הפזורה</w:t>
      </w:r>
      <w:r w:rsidRPr="00AA5065">
        <w:rPr>
          <w:rFonts w:eastAsia="Calibri" w:hint="cs"/>
          <w:b/>
          <w:bCs/>
          <w:rtl/>
        </w:rPr>
        <w:t>,</w:t>
      </w:r>
      <w:r w:rsidRPr="00AA5065">
        <w:rPr>
          <w:rFonts w:eastAsia="Calibri"/>
          <w:b/>
          <w:bCs/>
          <w:rtl/>
        </w:rPr>
        <w:t xml:space="preserve"> המונה כ-70,000 </w:t>
      </w:r>
      <w:r w:rsidRPr="00AA5065">
        <w:rPr>
          <w:rFonts w:eastAsia="Calibri" w:hint="cs"/>
          <w:b/>
          <w:bCs/>
          <w:rtl/>
        </w:rPr>
        <w:t>עד</w:t>
      </w:r>
      <w:r w:rsidRPr="00AA5065">
        <w:rPr>
          <w:rFonts w:eastAsia="Calibri"/>
          <w:b/>
          <w:bCs/>
          <w:rtl/>
        </w:rPr>
        <w:t xml:space="preserve"> 90,000 נפש, גדלה ומתבססת מחוץ לתחומי יישובים מוכרים</w:t>
      </w:r>
      <w:r w:rsidRPr="00AA5065">
        <w:rPr>
          <w:rFonts w:eastAsia="Calibri" w:hint="cs"/>
          <w:b/>
          <w:bCs/>
          <w:rtl/>
        </w:rPr>
        <w:t xml:space="preserve"> </w:t>
      </w:r>
      <w:r w:rsidRPr="00AA5065">
        <w:rPr>
          <w:rFonts w:eastAsia="Calibri"/>
          <w:b/>
          <w:bCs/>
          <w:rtl/>
        </w:rPr>
        <w:t>ובמגורים במבנים בלתי חוקיים הפזורים ברחבי הנגב. כמו כן, ככל שחולפות השנים הולך ונסגר חלון ההזדמנויות להסדיר את התיישבותה של הפזורה ו</w:t>
      </w:r>
      <w:r w:rsidRPr="00AA5065">
        <w:rPr>
          <w:rFonts w:eastAsia="Calibri" w:hint="cs"/>
          <w:b/>
          <w:bCs/>
          <w:rtl/>
        </w:rPr>
        <w:t xml:space="preserve">בד בבד הולך ומעמיק </w:t>
      </w:r>
      <w:r w:rsidRPr="00AA5065">
        <w:rPr>
          <w:rFonts w:eastAsia="Calibri"/>
          <w:b/>
          <w:bCs/>
          <w:rtl/>
        </w:rPr>
        <w:t>הקונפליקט בין אוכלוסייה זו לבין המדינה</w:t>
      </w:r>
      <w:r w:rsidRPr="00AA5065">
        <w:rPr>
          <w:rFonts w:eastAsia="Calibri" w:hint="cs"/>
          <w:b/>
          <w:bCs/>
          <w:rtl/>
        </w:rPr>
        <w:t xml:space="preserve"> כתוצאה מתופעת הפלסטיניזציה.</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ascii="Arial" w:eastAsia="Calibri" w:hAnsi="Arial" w:hint="cs"/>
          <w:b/>
          <w:bCs/>
          <w:rtl/>
        </w:rPr>
        <w:t xml:space="preserve">בדוח מעקב זה הועלו ליקויים הנוגעים למערכות שנבדקו: המאבק בפוליגמיה, התמודדות עם ניצול לרעה של </w:t>
      </w:r>
      <w:r w:rsidRPr="00AA5065">
        <w:rPr>
          <w:rFonts w:ascii="Arial" w:eastAsia="Calibri" w:hAnsi="Arial" w:hint="eastAsia"/>
          <w:b/>
          <w:bCs/>
          <w:rtl/>
        </w:rPr>
        <w:t>זכויות</w:t>
      </w:r>
      <w:r w:rsidRPr="00AA5065">
        <w:rPr>
          <w:rFonts w:ascii="Arial" w:eastAsia="Calibri" w:hAnsi="Arial"/>
          <w:b/>
          <w:bCs/>
          <w:rtl/>
        </w:rPr>
        <w:t>,</w:t>
      </w:r>
      <w:r w:rsidRPr="00AA5065">
        <w:rPr>
          <w:rFonts w:ascii="Arial" w:eastAsia="Calibri" w:hAnsi="Arial" w:hint="cs"/>
          <w:b/>
          <w:bCs/>
          <w:rtl/>
        </w:rPr>
        <w:t xml:space="preserve"> עבירות </w:t>
      </w:r>
      <w:r w:rsidRPr="00AA5065">
        <w:rPr>
          <w:rFonts w:ascii="Arial" w:eastAsia="Calibri" w:hAnsi="Arial" w:hint="eastAsia"/>
          <w:b/>
          <w:bCs/>
          <w:rtl/>
        </w:rPr>
        <w:t>ת</w:t>
      </w:r>
      <w:r w:rsidRPr="00AA5065">
        <w:rPr>
          <w:rFonts w:ascii="Arial" w:eastAsia="Calibri" w:hAnsi="Arial" w:hint="cs"/>
          <w:b/>
          <w:bCs/>
          <w:rtl/>
        </w:rPr>
        <w:t>ע</w:t>
      </w:r>
      <w:r w:rsidRPr="00AA5065">
        <w:rPr>
          <w:rFonts w:ascii="Arial" w:eastAsia="Calibri" w:hAnsi="Arial" w:hint="eastAsia"/>
          <w:b/>
          <w:bCs/>
          <w:rtl/>
        </w:rPr>
        <w:t>בורה</w:t>
      </w:r>
      <w:r w:rsidRPr="00AA5065">
        <w:rPr>
          <w:rFonts w:ascii="Arial" w:eastAsia="Calibri" w:hAnsi="Arial"/>
          <w:b/>
          <w:bCs/>
          <w:rtl/>
        </w:rPr>
        <w:t xml:space="preserve">, </w:t>
      </w:r>
      <w:r w:rsidRPr="00AA5065">
        <w:rPr>
          <w:rFonts w:ascii="Arial" w:eastAsia="Calibri" w:hAnsi="Arial" w:hint="eastAsia"/>
          <w:b/>
          <w:bCs/>
          <w:rtl/>
        </w:rPr>
        <w:t>קבלת</w:t>
      </w:r>
      <w:r w:rsidRPr="00AA5065">
        <w:rPr>
          <w:rFonts w:ascii="Arial" w:eastAsia="Calibri" w:hAnsi="Arial" w:hint="cs"/>
          <w:b/>
          <w:bCs/>
          <w:rtl/>
        </w:rPr>
        <w:t xml:space="preserve"> נתונים מהאוכלוסייה לצורכי הלמ"ס, אי גביית מיסים, היבטי פגיעה באיכות הסביבה, ועוד</w:t>
      </w:r>
      <w:r w:rsidRPr="00AA5065">
        <w:rPr>
          <w:rFonts w:ascii="Arial" w:eastAsia="Calibri" w:hAnsi="Arial"/>
          <w:b/>
          <w:bCs/>
          <w:rtl/>
        </w:rPr>
        <w:t xml:space="preserve">. </w:t>
      </w:r>
      <w:r w:rsidRPr="00AA5065">
        <w:rPr>
          <w:rFonts w:eastAsia="Calibri"/>
          <w:b/>
          <w:bCs/>
          <w:rtl/>
        </w:rPr>
        <w:t>עוד הועלה כי</w:t>
      </w:r>
      <w:r w:rsidRPr="00AA5065">
        <w:rPr>
          <w:rFonts w:eastAsia="Calibri" w:hint="cs"/>
          <w:b/>
          <w:bCs/>
          <w:rtl/>
        </w:rPr>
        <w:t xml:space="preserve"> </w:t>
      </w:r>
      <w:r w:rsidRPr="00AA5065">
        <w:rPr>
          <w:rFonts w:eastAsia="Calibri"/>
          <w:b/>
          <w:bCs/>
          <w:rtl/>
        </w:rPr>
        <w:t>המדינה אינה פועלת די</w:t>
      </w:r>
      <w:r w:rsidRPr="00AA5065">
        <w:rPr>
          <w:rFonts w:eastAsia="Calibri" w:hint="cs"/>
          <w:b/>
          <w:bCs/>
          <w:rtl/>
        </w:rPr>
        <w:t>י</w:t>
      </w:r>
      <w:r w:rsidRPr="00AA5065">
        <w:rPr>
          <w:rFonts w:eastAsia="Calibri"/>
          <w:b/>
          <w:bCs/>
          <w:rtl/>
        </w:rPr>
        <w:t xml:space="preserve">ה </w:t>
      </w:r>
      <w:r w:rsidRPr="00AA5065">
        <w:rPr>
          <w:rFonts w:eastAsia="Calibri" w:hint="cs"/>
          <w:b/>
          <w:bCs/>
          <w:rtl/>
        </w:rPr>
        <w:t>לאכיפת חוקיה</w:t>
      </w:r>
      <w:r w:rsidRPr="00AA5065">
        <w:rPr>
          <w:rFonts w:eastAsia="Calibri"/>
          <w:b/>
          <w:bCs/>
          <w:rtl/>
        </w:rPr>
        <w:t xml:space="preserve"> </w:t>
      </w:r>
      <w:r w:rsidRPr="00AA5065">
        <w:rPr>
          <w:rFonts w:eastAsia="Calibri" w:hint="cs"/>
          <w:b/>
          <w:bCs/>
          <w:rtl/>
        </w:rPr>
        <w:t>ו</w:t>
      </w:r>
      <w:r w:rsidRPr="00AA5065">
        <w:rPr>
          <w:rFonts w:eastAsia="Calibri"/>
          <w:b/>
          <w:bCs/>
          <w:rtl/>
        </w:rPr>
        <w:t>מדיניותה ו</w:t>
      </w:r>
      <w:r w:rsidRPr="00AA5065">
        <w:rPr>
          <w:rFonts w:eastAsia="Calibri" w:hint="cs"/>
          <w:b/>
          <w:bCs/>
          <w:rtl/>
        </w:rPr>
        <w:t>ממעטת בנקיטת</w:t>
      </w:r>
      <w:r w:rsidRPr="00AA5065">
        <w:rPr>
          <w:rFonts w:eastAsia="Calibri"/>
          <w:b/>
          <w:bCs/>
          <w:rtl/>
        </w:rPr>
        <w:t xml:space="preserve"> פעולות נגד המפירים את החוק</w:t>
      </w:r>
      <w:r w:rsidRPr="00AA5065">
        <w:rPr>
          <w:rFonts w:eastAsia="Calibri" w:hint="cs"/>
          <w:b/>
          <w:bCs/>
          <w:rtl/>
        </w:rPr>
        <w:t>.</w:t>
      </w:r>
    </w:p>
    <w:p w:rsidR="00AA5065" w:rsidRPr="00AA5065" w:rsidP="00860D89">
      <w:pPr>
        <w:spacing w:line="269" w:lineRule="auto"/>
        <w:ind w:left="-567"/>
        <w:rPr>
          <w:rFonts w:eastAsia="Calibri"/>
          <w:szCs w:val="20"/>
          <w:rtl/>
        </w:rPr>
      </w:pPr>
    </w:p>
    <w:p w:rsidR="00AA5065" w:rsidRPr="00AA5065" w:rsidP="00860D89">
      <w:pPr>
        <w:spacing w:line="269" w:lineRule="auto"/>
        <w:rPr>
          <w:rFonts w:ascii="Arial" w:eastAsia="Calibri" w:hAnsi="Arial"/>
          <w:b/>
          <w:bCs/>
          <w:rtl/>
        </w:rPr>
      </w:pPr>
      <w:bookmarkStart w:id="176" w:name="_Hlk204860714"/>
      <w:r w:rsidRPr="00AA5065">
        <w:rPr>
          <w:rFonts w:ascii="Arial" w:eastAsia="Calibri" w:hAnsi="Arial" w:hint="cs"/>
          <w:b/>
          <w:bCs/>
          <w:rtl/>
        </w:rPr>
        <w:t xml:space="preserve">דוח המעקב המקיף מגלה תמונת מצב מדאיגה ביותר. מרבית הליקויים אשר הועלו בדוח הקודם לא תוקנו כלל או לא תוקנו במלואם. </w:t>
      </w:r>
    </w:p>
    <w:p w:rsidR="00AA5065" w:rsidRPr="00AA5065" w:rsidP="00860D89">
      <w:pPr>
        <w:spacing w:line="269" w:lineRule="auto"/>
        <w:ind w:left="-567"/>
        <w:rPr>
          <w:rFonts w:eastAsia="Calibri"/>
          <w:szCs w:val="20"/>
          <w:rtl/>
        </w:rPr>
      </w:pPr>
    </w:p>
    <w:p w:rsidR="00AA5065" w:rsidRPr="00AA5065" w:rsidP="00860D89">
      <w:pPr>
        <w:spacing w:line="269" w:lineRule="auto"/>
        <w:rPr>
          <w:rFonts w:eastAsia="Calibri"/>
          <w:b/>
          <w:bCs/>
          <w:rtl/>
        </w:rPr>
      </w:pPr>
      <w:r w:rsidRPr="00AA5065">
        <w:rPr>
          <w:rFonts w:eastAsia="Calibri" w:hint="cs"/>
          <w:b/>
          <w:bCs/>
          <w:rtl/>
        </w:rPr>
        <w:t xml:space="preserve">הביזור בתחומי הפעילות והיעדר שיתוף הפעולה בין הגופים הרלוונטיים מביאים לפגיעה מתמשכת במשילות המדינה ובאמון הציבור החי באזור הנגב. הועלה כי שיתוף הפעולה בין הגופים הממשלתיים לוקה בחסר: בסיס הנתונים על אודות חלק ניכר מהתושבים איננו מהימן; יכולות האכיפה מוגבלות; ופעולות האכיפה באזורים מסוימים כמעט שאינן מתקיימות. </w:t>
      </w:r>
      <w:r w:rsidRPr="00AA5065">
        <w:rPr>
          <w:rFonts w:eastAsia="Calibri" w:hint="cs"/>
          <w:b/>
          <w:bCs/>
          <w:sz w:val="24"/>
          <w:rtl/>
        </w:rPr>
        <w:t>התמשכותן של תופעות חמורות אלו ומידת האינטנסיביות שלהן מעידות</w:t>
      </w:r>
      <w:r w:rsidRPr="00AA5065">
        <w:rPr>
          <w:rFonts w:eastAsia="Calibri"/>
          <w:b/>
          <w:bCs/>
          <w:sz w:val="24"/>
          <w:rtl/>
        </w:rPr>
        <w:t xml:space="preserve"> </w:t>
      </w:r>
      <w:r w:rsidRPr="00AA5065">
        <w:rPr>
          <w:rFonts w:eastAsia="Calibri" w:hint="eastAsia"/>
          <w:b/>
          <w:bCs/>
          <w:sz w:val="24"/>
          <w:rtl/>
        </w:rPr>
        <w:t>באורח</w:t>
      </w:r>
      <w:r w:rsidRPr="00AA5065">
        <w:rPr>
          <w:rFonts w:eastAsia="Calibri"/>
          <w:b/>
          <w:bCs/>
          <w:sz w:val="24"/>
          <w:rtl/>
        </w:rPr>
        <w:t xml:space="preserve"> מובהק </w:t>
      </w:r>
      <w:r w:rsidRPr="00AA5065">
        <w:rPr>
          <w:rFonts w:eastAsia="Calibri" w:hint="cs"/>
          <w:b/>
          <w:bCs/>
          <w:sz w:val="24"/>
          <w:rtl/>
        </w:rPr>
        <w:t xml:space="preserve">על </w:t>
      </w:r>
      <w:r w:rsidRPr="00AA5065">
        <w:rPr>
          <w:rFonts w:eastAsia="Calibri" w:hint="eastAsia"/>
          <w:b/>
          <w:bCs/>
          <w:sz w:val="24"/>
          <w:rtl/>
        </w:rPr>
        <w:t>פגיעה</w:t>
      </w:r>
      <w:r w:rsidRPr="00AA5065">
        <w:rPr>
          <w:rFonts w:eastAsia="Calibri" w:hint="cs"/>
          <w:b/>
          <w:bCs/>
          <w:sz w:val="24"/>
          <w:rtl/>
        </w:rPr>
        <w:t xml:space="preserve"> במשילות של המדינה בחבל הדרומי של הארץ ומביאות לפגיעה ממשית בתושבים </w:t>
      </w:r>
      <w:r w:rsidRPr="00AA5065">
        <w:rPr>
          <w:rFonts w:eastAsia="Calibri" w:hint="eastAsia"/>
          <w:b/>
          <w:bCs/>
          <w:sz w:val="24"/>
          <w:rtl/>
        </w:rPr>
        <w:t>ש</w:t>
      </w:r>
      <w:r w:rsidRPr="00AA5065">
        <w:rPr>
          <w:rFonts w:eastAsia="Calibri" w:hint="cs"/>
          <w:b/>
          <w:bCs/>
          <w:sz w:val="24"/>
          <w:rtl/>
        </w:rPr>
        <w:t>ומרי החוק ואף לאובדן האמון שלהם במוסדות המדינה</w:t>
      </w:r>
      <w:bookmarkEnd w:id="176"/>
      <w:r w:rsidRPr="00AA5065">
        <w:rPr>
          <w:rFonts w:eastAsia="Calibri" w:hint="cs"/>
          <w:b/>
          <w:bCs/>
          <w:sz w:val="24"/>
          <w:rtl/>
        </w:rPr>
        <w:t xml:space="preserve">. </w:t>
      </w:r>
    </w:p>
    <w:p w:rsidR="00AA5065" w:rsidRPr="00AA5065" w:rsidP="00860D89">
      <w:pPr>
        <w:spacing w:line="269" w:lineRule="auto"/>
        <w:ind w:left="-567"/>
        <w:rPr>
          <w:rFonts w:eastAsia="Calibri"/>
          <w:szCs w:val="20"/>
          <w:rtl/>
        </w:rPr>
      </w:pPr>
    </w:p>
    <w:p w:rsidR="00AA5065" w:rsidRPr="00AA5065" w:rsidP="00860D89">
      <w:pPr>
        <w:spacing w:line="269" w:lineRule="auto"/>
        <w:rPr>
          <w:rFonts w:ascii="Arial" w:eastAsia="Times New Roman" w:hAnsi="Arial"/>
          <w:b/>
          <w:bCs/>
          <w:sz w:val="24"/>
          <w:rtl/>
        </w:rPr>
      </w:pPr>
      <w:r w:rsidRPr="00AA5065">
        <w:rPr>
          <w:rFonts w:ascii="Arial" w:eastAsia="Times New Roman" w:hAnsi="Arial" w:hint="cs"/>
          <w:b/>
          <w:bCs/>
          <w:sz w:val="24"/>
          <w:rtl/>
        </w:rPr>
        <w:t>הועלה כי חסרה יד מכוונת ומארגנת אשר תרכז את המידע, תוך ראייה צופה פני עתיד ותוך הגדרת יעדים ברורים ומדידים ומעקב אחר ביצועם. נדרש שילוב רב-מערכתי של גופים רבים כדי להצליח להתגבר על תופעת אי-המשילות בנגב. לפי</w:t>
      </w:r>
      <w:r w:rsidRPr="00AA5065">
        <w:rPr>
          <w:rFonts w:ascii="Arial" w:eastAsia="Times New Roman" w:hAnsi="Arial" w:hint="eastAsia"/>
          <w:b/>
          <w:bCs/>
          <w:sz w:val="24"/>
          <w:rtl/>
        </w:rPr>
        <w:t>כך</w:t>
      </w:r>
      <w:r w:rsidRPr="00AA5065">
        <w:rPr>
          <w:rFonts w:ascii="Arial" w:eastAsia="Times New Roman" w:hAnsi="Arial"/>
          <w:b/>
          <w:bCs/>
          <w:sz w:val="24"/>
          <w:rtl/>
        </w:rPr>
        <w:t xml:space="preserve">, מומלץ למנות </w:t>
      </w:r>
      <w:r w:rsidRPr="00AA5065">
        <w:rPr>
          <w:rFonts w:ascii="Arial" w:eastAsia="Times New Roman" w:hAnsi="Arial" w:hint="eastAsia"/>
          <w:b/>
          <w:bCs/>
          <w:sz w:val="24"/>
          <w:rtl/>
        </w:rPr>
        <w:t>גורם</w:t>
      </w:r>
      <w:r w:rsidRPr="00AA5065">
        <w:rPr>
          <w:rFonts w:ascii="Arial" w:eastAsia="Times New Roman" w:hAnsi="Arial"/>
          <w:b/>
          <w:bCs/>
          <w:sz w:val="24"/>
          <w:rtl/>
        </w:rPr>
        <w:t xml:space="preserve"> </w:t>
      </w:r>
      <w:r w:rsidRPr="00AA5065">
        <w:rPr>
          <w:rFonts w:ascii="Arial" w:eastAsia="Times New Roman" w:hAnsi="Arial" w:hint="cs"/>
          <w:b/>
          <w:bCs/>
          <w:sz w:val="24"/>
          <w:rtl/>
        </w:rPr>
        <w:t>מדינתי</w:t>
      </w:r>
      <w:r w:rsidRPr="00AA5065">
        <w:rPr>
          <w:rFonts w:ascii="Arial" w:eastAsia="Times New Roman" w:hAnsi="Arial"/>
          <w:b/>
          <w:bCs/>
          <w:sz w:val="24"/>
          <w:rtl/>
        </w:rPr>
        <w:t xml:space="preserve"> שעליו תוטל האחריות לתכלל ולתאם את פעילותם של אותם גופים </w:t>
      </w:r>
      <w:r w:rsidRPr="00AA5065">
        <w:rPr>
          <w:rFonts w:ascii="Arial" w:eastAsia="Times New Roman" w:hAnsi="Arial" w:hint="eastAsia"/>
          <w:b/>
          <w:bCs/>
          <w:sz w:val="24"/>
          <w:rtl/>
        </w:rPr>
        <w:t>ולרכז</w:t>
      </w:r>
      <w:r w:rsidRPr="00AA5065">
        <w:rPr>
          <w:rFonts w:ascii="Arial" w:eastAsia="Times New Roman" w:hAnsi="Arial"/>
          <w:b/>
          <w:bCs/>
          <w:sz w:val="24"/>
          <w:rtl/>
        </w:rPr>
        <w:t xml:space="preserve"> </w:t>
      </w:r>
      <w:r w:rsidRPr="00AA5065">
        <w:rPr>
          <w:rFonts w:ascii="Arial" w:eastAsia="Times New Roman" w:hAnsi="Arial" w:hint="eastAsia"/>
          <w:b/>
          <w:bCs/>
          <w:sz w:val="24"/>
          <w:rtl/>
        </w:rPr>
        <w:t>את</w:t>
      </w:r>
      <w:r w:rsidRPr="00AA5065">
        <w:rPr>
          <w:rFonts w:ascii="Arial" w:eastAsia="Times New Roman" w:hAnsi="Arial"/>
          <w:b/>
          <w:bCs/>
          <w:sz w:val="24"/>
          <w:rtl/>
        </w:rPr>
        <w:t xml:space="preserve"> </w:t>
      </w:r>
      <w:r w:rsidRPr="00AA5065">
        <w:rPr>
          <w:rFonts w:ascii="Arial" w:eastAsia="Times New Roman" w:hAnsi="Arial" w:hint="eastAsia"/>
          <w:b/>
          <w:bCs/>
          <w:sz w:val="24"/>
          <w:rtl/>
        </w:rPr>
        <w:t>הפעילות</w:t>
      </w:r>
      <w:r w:rsidRPr="00AA5065">
        <w:rPr>
          <w:rFonts w:ascii="Arial" w:eastAsia="Times New Roman" w:hAnsi="Arial"/>
          <w:b/>
          <w:bCs/>
          <w:sz w:val="24"/>
          <w:rtl/>
        </w:rPr>
        <w:t xml:space="preserve"> של כלל הגופים </w:t>
      </w:r>
      <w:r w:rsidRPr="00AA5065">
        <w:rPr>
          <w:rFonts w:ascii="Arial" w:eastAsia="Times New Roman" w:hAnsi="Arial" w:hint="eastAsia"/>
          <w:b/>
          <w:bCs/>
          <w:sz w:val="24"/>
          <w:rtl/>
        </w:rPr>
        <w:t>הרלוונטיים</w:t>
      </w:r>
      <w:r w:rsidRPr="00AA5065">
        <w:rPr>
          <w:rFonts w:ascii="Arial" w:eastAsia="Times New Roman" w:hAnsi="Arial"/>
          <w:b/>
          <w:bCs/>
          <w:sz w:val="24"/>
          <w:rtl/>
        </w:rPr>
        <w:t xml:space="preserve"> כפי שפורטו בדוח </w:t>
      </w:r>
      <w:r w:rsidRPr="00AA5065">
        <w:rPr>
          <w:rFonts w:ascii="Arial" w:eastAsia="Times New Roman" w:hAnsi="Arial" w:hint="eastAsia"/>
          <w:b/>
          <w:bCs/>
          <w:sz w:val="24"/>
          <w:rtl/>
        </w:rPr>
        <w:t>על</w:t>
      </w:r>
      <w:r w:rsidRPr="00AA5065">
        <w:rPr>
          <w:rFonts w:ascii="Arial" w:eastAsia="Times New Roman" w:hAnsi="Arial"/>
          <w:b/>
          <w:bCs/>
          <w:sz w:val="24"/>
          <w:rtl/>
        </w:rPr>
        <w:t xml:space="preserve"> </w:t>
      </w:r>
      <w:r w:rsidRPr="00AA5065">
        <w:rPr>
          <w:rFonts w:ascii="Arial" w:eastAsia="Times New Roman" w:hAnsi="Arial" w:hint="eastAsia"/>
          <w:b/>
          <w:bCs/>
          <w:sz w:val="24"/>
          <w:rtl/>
        </w:rPr>
        <w:t>בסיס</w:t>
      </w:r>
      <w:r w:rsidRPr="00AA5065">
        <w:rPr>
          <w:rFonts w:ascii="Arial" w:eastAsia="Times New Roman" w:hAnsi="Arial" w:hint="cs"/>
          <w:b/>
          <w:bCs/>
          <w:sz w:val="24"/>
          <w:rtl/>
        </w:rPr>
        <w:t xml:space="preserve"> </w:t>
      </w:r>
      <w:r w:rsidRPr="00AA5065">
        <w:rPr>
          <w:rFonts w:ascii="Arial" w:eastAsia="Times New Roman" w:hAnsi="Arial"/>
          <w:b/>
          <w:bCs/>
          <w:sz w:val="24"/>
          <w:rtl/>
        </w:rPr>
        <w:t>תוכנית</w:t>
      </w:r>
      <w:r w:rsidRPr="00AA5065">
        <w:rPr>
          <w:rFonts w:ascii="Arial" w:eastAsia="Times New Roman" w:hAnsi="Arial" w:hint="cs"/>
          <w:b/>
          <w:bCs/>
          <w:sz w:val="24"/>
          <w:rtl/>
        </w:rPr>
        <w:t xml:space="preserve"> לאומית רב-שנתית</w:t>
      </w:r>
      <w:r w:rsidRPr="00AA5065">
        <w:rPr>
          <w:rFonts w:ascii="Arial" w:eastAsia="Times New Roman" w:hAnsi="Arial"/>
          <w:b/>
          <w:bCs/>
          <w:sz w:val="24"/>
          <w:rtl/>
        </w:rPr>
        <w:t xml:space="preserve"> </w:t>
      </w:r>
      <w:r w:rsidRPr="00AA5065">
        <w:rPr>
          <w:rFonts w:ascii="Arial" w:eastAsia="Times New Roman" w:hAnsi="Arial" w:hint="cs"/>
          <w:b/>
          <w:bCs/>
          <w:sz w:val="24"/>
          <w:rtl/>
        </w:rPr>
        <w:t xml:space="preserve">לטיפול בנושא חיזוק המשילות בנגב. </w:t>
      </w:r>
      <w:r w:rsidRPr="00AA5065">
        <w:rPr>
          <w:rFonts w:ascii="Arial" w:eastAsia="Times New Roman" w:hAnsi="Arial" w:hint="eastAsia"/>
          <w:b/>
          <w:bCs/>
          <w:sz w:val="24"/>
          <w:rtl/>
        </w:rPr>
        <w:t>תמונת</w:t>
      </w:r>
      <w:r w:rsidRPr="00AA5065">
        <w:rPr>
          <w:rFonts w:ascii="Arial" w:eastAsia="Times New Roman" w:hAnsi="Arial"/>
          <w:b/>
          <w:bCs/>
          <w:sz w:val="24"/>
          <w:rtl/>
        </w:rPr>
        <w:t xml:space="preserve"> המצב </w:t>
      </w:r>
      <w:r w:rsidRPr="00AA5065">
        <w:rPr>
          <w:rFonts w:ascii="Arial" w:eastAsia="Times New Roman" w:hAnsi="Arial" w:hint="eastAsia"/>
          <w:b/>
          <w:bCs/>
          <w:sz w:val="24"/>
          <w:rtl/>
        </w:rPr>
        <w:t>המראה</w:t>
      </w:r>
      <w:r w:rsidRPr="00AA5065">
        <w:rPr>
          <w:rFonts w:ascii="Arial" w:eastAsia="Times New Roman" w:hAnsi="Arial"/>
          <w:b/>
          <w:bCs/>
          <w:sz w:val="24"/>
          <w:rtl/>
        </w:rPr>
        <w:t xml:space="preserve"> על דלות האכיפה מחייבת את </w:t>
      </w:r>
      <w:r w:rsidRPr="00AA5065">
        <w:rPr>
          <w:rFonts w:ascii="Arial" w:eastAsia="Times New Roman" w:hAnsi="Arial" w:hint="eastAsia"/>
          <w:b/>
          <w:bCs/>
          <w:sz w:val="24"/>
          <w:rtl/>
        </w:rPr>
        <w:t>היועמ</w:t>
      </w:r>
      <w:r w:rsidRPr="00AA5065">
        <w:rPr>
          <w:rFonts w:ascii="Arial" w:eastAsia="Times New Roman" w:hAnsi="Arial"/>
          <w:b/>
          <w:bCs/>
          <w:sz w:val="24"/>
          <w:rtl/>
        </w:rPr>
        <w:t xml:space="preserve">"ש </w:t>
      </w:r>
      <w:r w:rsidRPr="00AA5065">
        <w:rPr>
          <w:rFonts w:ascii="Arial" w:eastAsia="Times New Roman" w:hAnsi="Arial" w:hint="eastAsia"/>
          <w:b/>
          <w:bCs/>
          <w:sz w:val="24"/>
          <w:rtl/>
        </w:rPr>
        <w:t>לממשלה</w:t>
      </w:r>
      <w:r w:rsidRPr="00AA5065">
        <w:rPr>
          <w:rFonts w:ascii="Arial" w:eastAsia="Times New Roman" w:hAnsi="Arial"/>
          <w:b/>
          <w:bCs/>
          <w:sz w:val="24"/>
          <w:rtl/>
        </w:rPr>
        <w:t xml:space="preserve"> </w:t>
      </w:r>
      <w:r w:rsidRPr="00AA5065">
        <w:rPr>
          <w:rFonts w:ascii="Arial" w:eastAsia="Times New Roman" w:hAnsi="Arial" w:hint="eastAsia"/>
          <w:b/>
          <w:bCs/>
          <w:sz w:val="24"/>
          <w:rtl/>
        </w:rPr>
        <w:t>וצוות</w:t>
      </w:r>
      <w:r w:rsidRPr="00AA5065">
        <w:rPr>
          <w:rFonts w:ascii="Arial" w:eastAsia="Times New Roman" w:hAnsi="Arial"/>
          <w:b/>
          <w:bCs/>
          <w:sz w:val="24"/>
          <w:rtl/>
        </w:rPr>
        <w:t xml:space="preserve"> </w:t>
      </w:r>
      <w:r w:rsidRPr="00AA5065">
        <w:rPr>
          <w:rFonts w:ascii="Arial" w:eastAsia="Times New Roman" w:hAnsi="Arial" w:hint="eastAsia"/>
          <w:b/>
          <w:bCs/>
          <w:sz w:val="24"/>
          <w:rtl/>
        </w:rPr>
        <w:t>האב</w:t>
      </w:r>
      <w:r w:rsidRPr="00AA5065">
        <w:rPr>
          <w:rFonts w:ascii="Arial" w:eastAsia="Times New Roman" w:hAnsi="Arial"/>
          <w:b/>
          <w:bCs/>
          <w:sz w:val="24"/>
          <w:rtl/>
        </w:rPr>
        <w:t xml:space="preserve"> </w:t>
      </w:r>
      <w:r w:rsidRPr="00AA5065">
        <w:rPr>
          <w:rFonts w:ascii="Arial" w:eastAsia="Times New Roman" w:hAnsi="Arial" w:hint="eastAsia"/>
          <w:b/>
          <w:bCs/>
          <w:sz w:val="24"/>
          <w:rtl/>
        </w:rPr>
        <w:t>למקד</w:t>
      </w:r>
      <w:r w:rsidRPr="00AA5065">
        <w:rPr>
          <w:rFonts w:ascii="Arial" w:eastAsia="Times New Roman" w:hAnsi="Arial"/>
          <w:b/>
          <w:bCs/>
          <w:sz w:val="24"/>
          <w:rtl/>
        </w:rPr>
        <w:t xml:space="preserve"> המאמצים של כלל </w:t>
      </w:r>
      <w:r w:rsidRPr="00AA5065">
        <w:rPr>
          <w:rFonts w:ascii="Arial" w:eastAsia="Times New Roman" w:hAnsi="Arial" w:hint="eastAsia"/>
          <w:b/>
          <w:bCs/>
          <w:sz w:val="24"/>
          <w:rtl/>
        </w:rPr>
        <w:t>גורמי</w:t>
      </w:r>
      <w:r w:rsidRPr="00AA5065">
        <w:rPr>
          <w:rFonts w:ascii="Arial" w:eastAsia="Times New Roman" w:hAnsi="Arial"/>
          <w:b/>
          <w:bCs/>
          <w:sz w:val="24"/>
          <w:rtl/>
        </w:rPr>
        <w:t xml:space="preserve"> </w:t>
      </w:r>
      <w:r w:rsidRPr="00AA5065">
        <w:rPr>
          <w:rFonts w:ascii="Arial" w:eastAsia="Times New Roman" w:hAnsi="Arial" w:hint="eastAsia"/>
          <w:b/>
          <w:bCs/>
          <w:sz w:val="24"/>
          <w:rtl/>
        </w:rPr>
        <w:t>אכיפת</w:t>
      </w:r>
      <w:r w:rsidRPr="00AA5065">
        <w:rPr>
          <w:rFonts w:ascii="Arial" w:eastAsia="Times New Roman" w:hAnsi="Arial"/>
          <w:b/>
          <w:bCs/>
          <w:sz w:val="24"/>
          <w:rtl/>
        </w:rPr>
        <w:t xml:space="preserve"> </w:t>
      </w:r>
      <w:r w:rsidRPr="00AA5065">
        <w:rPr>
          <w:rFonts w:ascii="Arial" w:eastAsia="Times New Roman" w:hAnsi="Arial" w:hint="eastAsia"/>
          <w:b/>
          <w:bCs/>
          <w:sz w:val="24"/>
          <w:rtl/>
        </w:rPr>
        <w:t>החוק</w:t>
      </w:r>
      <w:r w:rsidRPr="00AA5065">
        <w:rPr>
          <w:rFonts w:ascii="Arial" w:eastAsia="Times New Roman" w:hAnsi="Arial"/>
          <w:b/>
          <w:bCs/>
          <w:sz w:val="24"/>
          <w:rtl/>
        </w:rPr>
        <w:t xml:space="preserve"> </w:t>
      </w:r>
      <w:r w:rsidRPr="00AA5065">
        <w:rPr>
          <w:rFonts w:ascii="Arial" w:eastAsia="Times New Roman" w:hAnsi="Arial" w:hint="eastAsia"/>
          <w:b/>
          <w:bCs/>
          <w:sz w:val="24"/>
          <w:rtl/>
        </w:rPr>
        <w:t>בנגב</w:t>
      </w:r>
      <w:r w:rsidRPr="00AA5065">
        <w:rPr>
          <w:rFonts w:ascii="Arial" w:eastAsia="Times New Roman" w:hAnsi="Arial"/>
          <w:b/>
          <w:bCs/>
          <w:sz w:val="24"/>
          <w:rtl/>
        </w:rPr>
        <w:t>.</w:t>
      </w:r>
    </w:p>
    <w:p w:rsidR="00AA5065" w:rsidRPr="00AA5065" w:rsidP="00860D89">
      <w:pPr>
        <w:spacing w:line="269" w:lineRule="auto"/>
        <w:ind w:left="-567"/>
        <w:rPr>
          <w:rFonts w:eastAsia="Calibri"/>
          <w:szCs w:val="20"/>
          <w:rtl/>
        </w:rPr>
      </w:pPr>
    </w:p>
    <w:p w:rsidR="00FA7500" w:rsidP="003B0BF5">
      <w:pPr>
        <w:spacing w:line="269" w:lineRule="auto"/>
        <w:rPr>
          <w:rFonts w:ascii="Calibri" w:hAnsi="Calibri" w:cstheme="minorBidi"/>
          <w:color w:val="002060"/>
          <w:sz w:val="22"/>
          <w:szCs w:val="22"/>
        </w:rPr>
      </w:pPr>
      <w:r w:rsidRPr="00AA5065">
        <w:rPr>
          <w:rFonts w:ascii="Arial" w:eastAsia="Times New Roman" w:hAnsi="Arial" w:hint="cs"/>
          <w:b/>
          <w:bCs/>
          <w:sz w:val="24"/>
          <w:rtl/>
        </w:rPr>
        <w:t xml:space="preserve">על ראש הממשלה להידרש לנושא היעדר המשילות בנגב - נושא אסטרטגי ובעל השלכות כבדות משקל על </w:t>
      </w:r>
      <w:r w:rsidRPr="00AA5065">
        <w:rPr>
          <w:rFonts w:ascii="Arial" w:eastAsia="Times New Roman" w:hAnsi="Arial" w:hint="eastAsia"/>
          <w:b/>
          <w:bCs/>
          <w:sz w:val="24"/>
          <w:rtl/>
        </w:rPr>
        <w:t>מ</w:t>
      </w:r>
      <w:r w:rsidRPr="00AA5065">
        <w:rPr>
          <w:rFonts w:ascii="Arial" w:eastAsia="Times New Roman" w:hAnsi="Arial" w:hint="cs"/>
          <w:b/>
          <w:bCs/>
          <w:sz w:val="24"/>
          <w:rtl/>
        </w:rPr>
        <w:t>ד</w:t>
      </w:r>
      <w:r w:rsidRPr="00AA5065">
        <w:rPr>
          <w:rFonts w:ascii="Arial" w:eastAsia="Times New Roman" w:hAnsi="Arial" w:hint="eastAsia"/>
          <w:b/>
          <w:bCs/>
          <w:sz w:val="24"/>
          <w:rtl/>
        </w:rPr>
        <w:t>ינת</w:t>
      </w:r>
      <w:r w:rsidRPr="00AA5065">
        <w:rPr>
          <w:rFonts w:ascii="Arial" w:eastAsia="Times New Roman" w:hAnsi="Arial"/>
          <w:b/>
          <w:bCs/>
          <w:sz w:val="24"/>
          <w:rtl/>
        </w:rPr>
        <w:t xml:space="preserve"> </w:t>
      </w:r>
      <w:r w:rsidRPr="00AA5065">
        <w:rPr>
          <w:rFonts w:ascii="Arial" w:eastAsia="Times New Roman" w:hAnsi="Arial" w:hint="eastAsia"/>
          <w:b/>
          <w:bCs/>
          <w:sz w:val="24"/>
          <w:rtl/>
        </w:rPr>
        <w:t>ישראל</w:t>
      </w:r>
      <w:r w:rsidRPr="00AA5065">
        <w:rPr>
          <w:rFonts w:ascii="Arial" w:eastAsia="Times New Roman" w:hAnsi="Arial" w:hint="cs"/>
          <w:b/>
          <w:bCs/>
          <w:sz w:val="24"/>
          <w:rtl/>
        </w:rPr>
        <w:t xml:space="preserve">, על כלל מאפייניו והכשלים החמורים אשר עומדים בבסיסו כפי שתוארו בדוח ביקורת זה, ולפעול לשיפור תמונת המצב בנושא, בין השאר, באמצעות הובלת טיפול רב-מערכתי של גופים רבים ומינויו של גורם </w:t>
      </w:r>
      <w:r w:rsidRPr="00AA5065">
        <w:rPr>
          <w:rFonts w:ascii="Arial" w:eastAsia="Times New Roman" w:hAnsi="Arial" w:hint="eastAsia"/>
          <w:b/>
          <w:bCs/>
          <w:sz w:val="24"/>
          <w:rtl/>
        </w:rPr>
        <w:t>מדינתי</w:t>
      </w:r>
      <w:r w:rsidRPr="00AA5065">
        <w:rPr>
          <w:rFonts w:ascii="Arial" w:eastAsia="Times New Roman" w:hAnsi="Arial" w:hint="cs"/>
          <w:b/>
          <w:bCs/>
          <w:sz w:val="24"/>
          <w:rtl/>
        </w:rPr>
        <w:t xml:space="preserve"> שעליו יוטל לתכלל ולרכז את פעילותם של גופים אלו בצורה יעילה </w:t>
      </w:r>
      <w:r w:rsidRPr="00AA5065">
        <w:rPr>
          <w:rFonts w:ascii="Arial" w:eastAsia="Times New Roman" w:hAnsi="Arial" w:hint="eastAsia"/>
          <w:b/>
          <w:bCs/>
          <w:sz w:val="24"/>
          <w:rtl/>
        </w:rPr>
        <w:t>ואפקטיבית</w:t>
      </w:r>
      <w:r w:rsidRPr="00AA5065">
        <w:rPr>
          <w:rFonts w:ascii="Arial" w:eastAsia="Times New Roman" w:hAnsi="Arial"/>
          <w:b/>
          <w:bCs/>
          <w:sz w:val="24"/>
          <w:rtl/>
        </w:rPr>
        <w:t xml:space="preserve"> על בסיס ג</w:t>
      </w:r>
      <w:r w:rsidRPr="00AA5065">
        <w:rPr>
          <w:rFonts w:ascii="Arial" w:eastAsia="Times New Roman" w:hAnsi="Arial" w:hint="eastAsia"/>
          <w:b/>
          <w:bCs/>
          <w:sz w:val="24"/>
          <w:rtl/>
        </w:rPr>
        <w:t>יבוש</w:t>
      </w:r>
      <w:r w:rsidRPr="00AA5065">
        <w:rPr>
          <w:rFonts w:ascii="Arial" w:eastAsia="Times New Roman" w:hAnsi="Arial"/>
          <w:b/>
          <w:bCs/>
          <w:sz w:val="24"/>
          <w:rtl/>
        </w:rPr>
        <w:t xml:space="preserve"> </w:t>
      </w:r>
      <w:r w:rsidRPr="00AA5065">
        <w:rPr>
          <w:rFonts w:ascii="Arial" w:eastAsia="Times New Roman" w:hAnsi="Arial" w:hint="eastAsia"/>
          <w:b/>
          <w:bCs/>
          <w:sz w:val="24"/>
          <w:rtl/>
        </w:rPr>
        <w:t>יעדים</w:t>
      </w:r>
      <w:r w:rsidRPr="00AA5065">
        <w:rPr>
          <w:rFonts w:ascii="Arial" w:eastAsia="Times New Roman" w:hAnsi="Arial"/>
          <w:b/>
          <w:bCs/>
          <w:sz w:val="24"/>
          <w:rtl/>
        </w:rPr>
        <w:t xml:space="preserve"> </w:t>
      </w:r>
      <w:r w:rsidRPr="00AA5065">
        <w:rPr>
          <w:rFonts w:ascii="Arial" w:eastAsia="Times New Roman" w:hAnsi="Arial" w:hint="eastAsia"/>
          <w:b/>
          <w:bCs/>
          <w:sz w:val="24"/>
          <w:rtl/>
        </w:rPr>
        <w:t>ברורים</w:t>
      </w:r>
      <w:r w:rsidRPr="00AA5065">
        <w:rPr>
          <w:rFonts w:ascii="Arial" w:eastAsia="Times New Roman" w:hAnsi="Arial"/>
          <w:b/>
          <w:bCs/>
          <w:sz w:val="24"/>
          <w:rtl/>
        </w:rPr>
        <w:t xml:space="preserve"> </w:t>
      </w:r>
      <w:r w:rsidRPr="00AA5065">
        <w:rPr>
          <w:rFonts w:ascii="Arial" w:eastAsia="Times New Roman" w:hAnsi="Arial" w:hint="eastAsia"/>
          <w:b/>
          <w:bCs/>
          <w:sz w:val="24"/>
          <w:rtl/>
        </w:rPr>
        <w:t>וב</w:t>
      </w:r>
      <w:r w:rsidRPr="00AA5065">
        <w:rPr>
          <w:rFonts w:ascii="Arial" w:eastAsia="Times New Roman" w:hAnsi="Arial" w:hint="cs"/>
          <w:b/>
          <w:bCs/>
          <w:sz w:val="24"/>
          <w:rtl/>
        </w:rPr>
        <w:t>נ</w:t>
      </w:r>
      <w:r w:rsidRPr="00AA5065">
        <w:rPr>
          <w:rFonts w:ascii="Arial" w:eastAsia="Times New Roman" w:hAnsi="Arial" w:hint="eastAsia"/>
          <w:b/>
          <w:bCs/>
          <w:sz w:val="24"/>
          <w:rtl/>
        </w:rPr>
        <w:t>י</w:t>
      </w:r>
      <w:r w:rsidRPr="00AA5065">
        <w:rPr>
          <w:rFonts w:ascii="Arial" w:eastAsia="Times New Roman" w:hAnsi="Arial"/>
          <w:b/>
          <w:bCs/>
          <w:sz w:val="24"/>
          <w:rtl/>
        </w:rPr>
        <w:t xml:space="preserve"> </w:t>
      </w:r>
      <w:r w:rsidRPr="00AA5065">
        <w:rPr>
          <w:rFonts w:ascii="Arial" w:eastAsia="Times New Roman" w:hAnsi="Arial" w:hint="eastAsia"/>
          <w:b/>
          <w:bCs/>
          <w:sz w:val="24"/>
          <w:rtl/>
        </w:rPr>
        <w:t>ביצוע</w:t>
      </w:r>
      <w:r w:rsidRPr="00AA5065">
        <w:rPr>
          <w:rFonts w:ascii="Arial" w:eastAsia="Times New Roman" w:hAnsi="Arial"/>
          <w:b/>
          <w:bCs/>
          <w:sz w:val="24"/>
          <w:rtl/>
        </w:rPr>
        <w:t xml:space="preserve"> ומעקב אחר י</w:t>
      </w:r>
      <w:r w:rsidRPr="00AA5065">
        <w:rPr>
          <w:rFonts w:ascii="Arial" w:eastAsia="Times New Roman" w:hAnsi="Arial" w:hint="cs"/>
          <w:b/>
          <w:bCs/>
          <w:sz w:val="24"/>
          <w:rtl/>
        </w:rPr>
        <w:t>י</w:t>
      </w:r>
      <w:r w:rsidRPr="00AA5065">
        <w:rPr>
          <w:rFonts w:ascii="Arial" w:eastAsia="Times New Roman" w:hAnsi="Arial" w:hint="eastAsia"/>
          <w:b/>
          <w:bCs/>
          <w:sz w:val="24"/>
          <w:rtl/>
        </w:rPr>
        <w:t>שומם</w:t>
      </w:r>
      <w:r w:rsidRPr="00AA5065">
        <w:rPr>
          <w:rFonts w:ascii="Arial" w:eastAsia="Times New Roman" w:hAnsi="Arial"/>
          <w:b/>
          <w:bCs/>
          <w:sz w:val="24"/>
          <w:rtl/>
        </w:rPr>
        <w:t>.</w:t>
      </w:r>
      <w:bookmarkStart w:id="177" w:name="tempMark"/>
      <w:bookmarkEnd w:id="0"/>
      <w:bookmarkEnd w:id="177"/>
    </w:p>
    <w:sectPr w:rsidSect="0099692E">
      <w:headerReference w:type="default" r:id="rId39"/>
      <w:headerReference w:type="first" r:id="rId40"/>
      <w:pgSz w:w="11906" w:h="16838"/>
      <w:pgMar w:top="1701" w:right="1985" w:bottom="1588" w:left="1701" w:header="709" w:footer="709" w:gutter="0"/>
      <w:cols w:space="708"/>
      <w:titlePg/>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David">
    <w:altName w:val="Malgun Gothic Semilight"/>
    <w:panose1 w:val="020E0502060401010101"/>
    <w:charset w:val="00"/>
    <w:family w:val="swiss"/>
    <w:pitch w:val="variable"/>
    <w:sig w:usb0="00000803" w:usb1="00000000" w:usb2="00000000" w:usb3="00000000" w:csb0="0000002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Narkisim">
    <w:charset w:val="B1"/>
    <w:family w:val="swiss"/>
    <w:pitch w:val="variable"/>
    <w:sig w:usb0="00000801" w:usb1="00000000" w:usb2="00000000" w:usb3="00000000" w:csb0="00000020" w:csb1="00000000"/>
  </w:font>
  <w:font w:name="Consolas">
    <w:panose1 w:val="020B0609020204030204"/>
    <w:charset w:val="00"/>
    <w:family w:val="modern"/>
    <w:pitch w:val="fixed"/>
    <w:sig w:usb0="E00006FF" w:usb1="0000FCFF" w:usb2="00000001" w:usb3="00000000" w:csb0="0000019F" w:csb1="00000000"/>
  </w:font>
  <w:font w:name="FrankRuehl">
    <w:altName w:val="Arial"/>
    <w:charset w:val="B1"/>
    <w:family w:val="swiss"/>
    <w:pitch w:val="variable"/>
    <w:sig w:usb0="00000803" w:usb1="00000000" w:usb2="00000000" w:usb3="00000000" w:csb0="0000002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Rubik">
    <w:altName w:val="Calibri"/>
    <w:panose1 w:val="00000000000000000000"/>
    <w:charset w:val="00"/>
    <w:family w:val="roman"/>
    <w:notTrueType/>
    <w:pitch w:val="default"/>
  </w:font>
  <w:font w:name="Tw Cen MT">
    <w:charset w:val="00"/>
    <w:family w:val="swiss"/>
    <w:pitch w:val="variable"/>
    <w:sig w:usb0="00000007" w:usb1="00000000" w:usb2="00000000" w:usb3="00000000" w:csb0="00000003" w:csb1="00000000"/>
  </w:font>
  <w:font w:name="Times New (W1)">
    <w:altName w:val="Times New Roman"/>
    <w:charset w:val="00"/>
    <w:family w:val="roman"/>
    <w:pitch w:val="variable"/>
    <w:sig w:usb0="00000000" w:usb1="80000000" w:usb2="00000008" w:usb3="00000000" w:csb0="000001FF" w:csb1="00000000"/>
  </w:font>
  <w:font w:name="Segoe UI Symbol">
    <w:panose1 w:val="020B0502040204020203"/>
    <w:charset w:val="00"/>
    <w:family w:val="swiss"/>
    <w:pitch w:val="variable"/>
    <w:sig w:usb0="800001E3" w:usb1="1200FFEF" w:usb2="0004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footnote w:type="separator" w:id="0">
    <w:p w:rsidR="009D7A4B" w:rsidP="00C23CC9">
      <w:pPr>
        <w:spacing w:line="240" w:lineRule="auto"/>
      </w:pPr>
      <w:r>
        <w:separator/>
      </w:r>
    </w:p>
  </w:footnote>
  <w:footnote w:type="continuationSeparator" w:id="1">
    <w:p w:rsidR="009D7A4B" w:rsidP="00C23CC9">
      <w:pPr>
        <w:spacing w:line="240" w:lineRule="auto"/>
      </w:pPr>
      <w:r>
        <w:continuationSeparator/>
      </w:r>
    </w:p>
  </w:footnote>
  <w:footnote w:id="2">
    <w:p w:rsidR="00F8025B" w:rsidP="00AA5065">
      <w:pPr>
        <w:pStyle w:val="FootnoteText"/>
      </w:pPr>
      <w:r>
        <w:rPr>
          <w:rStyle w:val="FootnoteReference1"/>
        </w:rPr>
        <w:footnoteRef/>
      </w:r>
      <w:r>
        <w:rPr>
          <w:rtl/>
        </w:rPr>
        <w:t xml:space="preserve"> </w:t>
      </w:r>
      <w:r>
        <w:rPr>
          <w:rtl/>
        </w:rPr>
        <w:tab/>
      </w:r>
      <w:r>
        <w:rPr>
          <w:rFonts w:hint="cs"/>
          <w:rtl/>
        </w:rPr>
        <w:t>לדיון על אודות הפער בין נתוני הלמ"ס לנתוני רשות האוכלוסין ראו את הפרק העוסק בנושא זה.</w:t>
      </w:r>
    </w:p>
  </w:footnote>
  <w:footnote w:id="3">
    <w:p w:rsidR="00F8025B" w:rsidP="00AA5065">
      <w:pPr>
        <w:pStyle w:val="FootnoteText"/>
        <w:rPr>
          <w:rtl/>
        </w:rPr>
      </w:pPr>
      <w:r>
        <w:rPr>
          <w:rStyle w:val="FootnoteReference1"/>
        </w:rPr>
        <w:footnoteRef/>
      </w:r>
      <w:r>
        <w:rPr>
          <w:rtl/>
        </w:rPr>
        <w:t xml:space="preserve"> </w:t>
      </w:r>
      <w:r>
        <w:rPr>
          <w:rtl/>
        </w:rPr>
        <w:tab/>
      </w:r>
      <w:r>
        <w:rPr>
          <w:rFonts w:hint="cs"/>
          <w:rtl/>
        </w:rPr>
        <w:t xml:space="preserve">על פי נתוני רשות האוכלוסין וההגירה, </w:t>
      </w:r>
      <w:r w:rsidRPr="00094FF6">
        <w:rPr>
          <w:rFonts w:hint="cs"/>
          <w:rtl/>
        </w:rPr>
        <w:t>"תושבים בישראל לפי ישובים וקבוצות גיל"</w:t>
      </w:r>
      <w:r>
        <w:rPr>
          <w:rFonts w:hint="cs"/>
          <w:rtl/>
        </w:rPr>
        <w:t xml:space="preserve"> (מעודכן לאוקטובר 2024).</w:t>
      </w:r>
    </w:p>
  </w:footnote>
  <w:footnote w:id="4">
    <w:p w:rsidR="00F8025B" w:rsidP="00AA5065">
      <w:pPr>
        <w:pStyle w:val="FootnoteText"/>
      </w:pPr>
      <w:r>
        <w:rPr>
          <w:rStyle w:val="FootnoteReference1"/>
        </w:rPr>
        <w:footnoteRef/>
      </w:r>
      <w:r>
        <w:rPr>
          <w:rtl/>
        </w:rPr>
        <w:t xml:space="preserve"> </w:t>
      </w:r>
      <w:r>
        <w:rPr>
          <w:rtl/>
        </w:rPr>
        <w:tab/>
      </w:r>
      <w:r>
        <w:rPr>
          <w:rFonts w:hint="cs"/>
          <w:rtl/>
        </w:rPr>
        <w:t xml:space="preserve">רהט, לקייה, תל שבע, כסיפה, ערערה בנגב, שגב שלום, חורה, אבו קרינאת, אבו תלול, ביר הדאג', קס'ר </w:t>
      </w:r>
      <w:r>
        <w:rPr>
          <w:rtl/>
        </w:rPr>
        <w:br/>
      </w:r>
      <w:r>
        <w:rPr>
          <w:rFonts w:hint="cs"/>
          <w:rtl/>
        </w:rPr>
        <w:t>א-סיר, אום בטין, א-סייד, דוריג'את, כחלה, מכחול, סעווה ותראבין א-ס'אנע.</w:t>
      </w:r>
    </w:p>
  </w:footnote>
  <w:footnote w:id="5">
    <w:p w:rsidR="00F8025B" w:rsidP="00AA5065">
      <w:pPr>
        <w:pStyle w:val="FootnoteText"/>
      </w:pPr>
      <w:r>
        <w:rPr>
          <w:rStyle w:val="FootnoteReference1"/>
        </w:rPr>
        <w:footnoteRef/>
      </w:r>
      <w:r>
        <w:rPr>
          <w:rtl/>
        </w:rPr>
        <w:t xml:space="preserve"> </w:t>
      </w:r>
      <w:r>
        <w:rPr>
          <w:rtl/>
        </w:rPr>
        <w:tab/>
      </w:r>
      <w:r>
        <w:rPr>
          <w:rFonts w:hint="cs"/>
          <w:rtl/>
        </w:rPr>
        <w:t>תהליך של אימוץ הנרטיב הפלסטיני והתרחקות מהשיוך למדינת ישראל ומהשפה העברית.</w:t>
      </w:r>
    </w:p>
  </w:footnote>
  <w:footnote w:id="6">
    <w:p w:rsidR="00F8025B" w:rsidP="00AA5065">
      <w:pPr>
        <w:pStyle w:val="FootnoteText"/>
        <w:rPr>
          <w:rtl/>
        </w:rPr>
      </w:pPr>
      <w:r>
        <w:rPr>
          <w:rStyle w:val="FootnoteReference1"/>
        </w:rPr>
        <w:footnoteRef/>
      </w:r>
      <w:r>
        <w:rPr>
          <w:rtl/>
        </w:rPr>
        <w:t xml:space="preserve"> </w:t>
      </w:r>
      <w:r>
        <w:rPr>
          <w:rtl/>
        </w:rPr>
        <w:tab/>
      </w:r>
      <w:r>
        <w:rPr>
          <w:rFonts w:hint="cs"/>
          <w:rtl/>
        </w:rPr>
        <w:t xml:space="preserve">מבקר המדינה, </w:t>
      </w:r>
      <w:r w:rsidRPr="00555EFA">
        <w:rPr>
          <w:rFonts w:hint="cs"/>
          <w:b/>
          <w:bCs/>
          <w:rtl/>
        </w:rPr>
        <w:t>דוח שנתי 72א</w:t>
      </w:r>
      <w:r>
        <w:rPr>
          <w:rFonts w:hint="cs"/>
          <w:rtl/>
        </w:rPr>
        <w:t xml:space="preserve"> </w:t>
      </w:r>
      <w:r w:rsidRPr="00F445EA">
        <w:rPr>
          <w:b/>
          <w:bCs/>
          <w:rtl/>
        </w:rPr>
        <w:t xml:space="preserve">- </w:t>
      </w:r>
      <w:r w:rsidRPr="00F445EA">
        <w:rPr>
          <w:rFonts w:hint="eastAsia"/>
          <w:b/>
          <w:bCs/>
          <w:rtl/>
        </w:rPr>
        <w:t>חלק</w:t>
      </w:r>
      <w:r w:rsidRPr="00F445EA">
        <w:rPr>
          <w:b/>
          <w:bCs/>
          <w:rtl/>
        </w:rPr>
        <w:t xml:space="preserve"> </w:t>
      </w:r>
      <w:r w:rsidRPr="00F445EA">
        <w:rPr>
          <w:rFonts w:hint="eastAsia"/>
          <w:b/>
          <w:bCs/>
          <w:rtl/>
        </w:rPr>
        <w:t>ראשון</w:t>
      </w:r>
      <w:r>
        <w:rPr>
          <w:rFonts w:hint="cs"/>
          <w:rtl/>
        </w:rPr>
        <w:t xml:space="preserve"> (2021), "</w:t>
      </w:r>
      <w:r w:rsidRPr="00094FF6">
        <w:rPr>
          <w:rFonts w:hint="cs"/>
          <w:rtl/>
        </w:rPr>
        <w:t>היבטי משילות בנגב</w:t>
      </w:r>
      <w:r>
        <w:rPr>
          <w:rFonts w:hint="cs"/>
          <w:rtl/>
        </w:rPr>
        <w:t xml:space="preserve">", עמ' 21 - 288. </w:t>
      </w:r>
    </w:p>
  </w:footnote>
  <w:footnote w:id="7">
    <w:p w:rsidR="00F8025B" w:rsidRPr="000B6878" w:rsidP="00AA5065">
      <w:pPr>
        <w:pStyle w:val="FootnoteText"/>
        <w:rPr>
          <w:rtl/>
        </w:rPr>
      </w:pPr>
      <w:r w:rsidRPr="000B6878">
        <w:rPr>
          <w:rStyle w:val="FootnoteReference1"/>
        </w:rPr>
        <w:footnoteRef/>
      </w:r>
      <w:r w:rsidRPr="000B6878">
        <w:rPr>
          <w:rtl/>
        </w:rPr>
        <w:t xml:space="preserve"> </w:t>
      </w:r>
      <w:r w:rsidRPr="000B6878">
        <w:rPr>
          <w:rtl/>
        </w:rPr>
        <w:tab/>
      </w:r>
      <w:r>
        <w:rPr>
          <w:rFonts w:hint="cs"/>
          <w:rtl/>
        </w:rPr>
        <w:t xml:space="preserve">מרכז המחקר והמידע של הכנסת, </w:t>
      </w:r>
      <w:r w:rsidRPr="00D40196">
        <w:rPr>
          <w:rFonts w:hint="eastAsia"/>
          <w:b/>
          <w:bCs/>
          <w:rtl/>
        </w:rPr>
        <w:t>פוליגמיה</w:t>
      </w:r>
      <w:r w:rsidRPr="00D40196">
        <w:rPr>
          <w:b/>
          <w:bCs/>
          <w:rtl/>
        </w:rPr>
        <w:t xml:space="preserve"> </w:t>
      </w:r>
      <w:r w:rsidRPr="00D40196">
        <w:rPr>
          <w:rFonts w:hint="eastAsia"/>
          <w:b/>
          <w:bCs/>
          <w:rtl/>
        </w:rPr>
        <w:t>בחברה</w:t>
      </w:r>
      <w:r w:rsidRPr="00D40196">
        <w:rPr>
          <w:b/>
          <w:bCs/>
          <w:rtl/>
        </w:rPr>
        <w:t xml:space="preserve"> </w:t>
      </w:r>
      <w:r w:rsidRPr="00D40196">
        <w:rPr>
          <w:rFonts w:hint="eastAsia"/>
          <w:b/>
          <w:bCs/>
          <w:rtl/>
        </w:rPr>
        <w:t>הבדואית</w:t>
      </w:r>
      <w:r w:rsidRPr="00D40196">
        <w:rPr>
          <w:b/>
          <w:bCs/>
          <w:rtl/>
        </w:rPr>
        <w:t xml:space="preserve"> </w:t>
      </w:r>
      <w:r w:rsidRPr="00D40196">
        <w:rPr>
          <w:rFonts w:hint="eastAsia"/>
          <w:b/>
          <w:bCs/>
          <w:rtl/>
        </w:rPr>
        <w:t>טרם</w:t>
      </w:r>
      <w:r w:rsidRPr="00D40196">
        <w:rPr>
          <w:b/>
          <w:bCs/>
          <w:rtl/>
        </w:rPr>
        <w:t xml:space="preserve"> </w:t>
      </w:r>
      <w:r w:rsidRPr="00D40196">
        <w:rPr>
          <w:rFonts w:hint="eastAsia"/>
          <w:b/>
          <w:bCs/>
          <w:rtl/>
        </w:rPr>
        <w:t>החלטת</w:t>
      </w:r>
      <w:r w:rsidRPr="00D40196">
        <w:rPr>
          <w:b/>
          <w:bCs/>
          <w:rtl/>
        </w:rPr>
        <w:t xml:space="preserve"> </w:t>
      </w:r>
      <w:r w:rsidRPr="00D40196">
        <w:rPr>
          <w:rFonts w:hint="eastAsia"/>
          <w:b/>
          <w:bCs/>
          <w:rtl/>
        </w:rPr>
        <w:t>ממשלה</w:t>
      </w:r>
      <w:r w:rsidRPr="00D40196">
        <w:rPr>
          <w:b/>
          <w:bCs/>
          <w:rtl/>
        </w:rPr>
        <w:t xml:space="preserve"> 4211 </w:t>
      </w:r>
      <w:r w:rsidRPr="00D40196">
        <w:rPr>
          <w:rFonts w:hint="eastAsia"/>
          <w:b/>
          <w:bCs/>
          <w:rtl/>
        </w:rPr>
        <w:t>וכעבור</w:t>
      </w:r>
      <w:r w:rsidRPr="00D40196">
        <w:rPr>
          <w:b/>
          <w:bCs/>
          <w:rtl/>
        </w:rPr>
        <w:t xml:space="preserve"> </w:t>
      </w:r>
      <w:r w:rsidRPr="00D40196">
        <w:rPr>
          <w:rFonts w:hint="eastAsia"/>
          <w:b/>
          <w:bCs/>
          <w:rtl/>
        </w:rPr>
        <w:t>חמש</w:t>
      </w:r>
      <w:r w:rsidRPr="00D40196">
        <w:rPr>
          <w:b/>
          <w:bCs/>
          <w:rtl/>
        </w:rPr>
        <w:t xml:space="preserve"> </w:t>
      </w:r>
      <w:r w:rsidRPr="00D40196">
        <w:rPr>
          <w:rFonts w:hint="eastAsia"/>
          <w:b/>
          <w:bCs/>
          <w:rtl/>
        </w:rPr>
        <w:t>שנים</w:t>
      </w:r>
      <w:r>
        <w:rPr>
          <w:rFonts w:hint="cs"/>
          <w:rtl/>
        </w:rPr>
        <w:t xml:space="preserve"> (21.3.24).</w:t>
      </w:r>
    </w:p>
  </w:footnote>
  <w:footnote w:id="8">
    <w:p w:rsidR="00F8025B" w:rsidRPr="00983CA4" w:rsidP="00AA5065">
      <w:pPr>
        <w:pStyle w:val="FootnoteText"/>
        <w:spacing w:after="60" w:line="220" w:lineRule="exact"/>
      </w:pPr>
      <w:r w:rsidRPr="00983CA4">
        <w:rPr>
          <w:rStyle w:val="FootnoteReference1"/>
        </w:rPr>
        <w:footnoteRef/>
      </w:r>
      <w:r w:rsidRPr="00983CA4">
        <w:rPr>
          <w:rtl/>
        </w:rPr>
        <w:t xml:space="preserve"> </w:t>
      </w:r>
      <w:r w:rsidRPr="00983CA4">
        <w:rPr>
          <w:rtl/>
        </w:rPr>
        <w:tab/>
      </w:r>
      <w:r>
        <w:rPr>
          <w:rFonts w:hint="cs"/>
          <w:rtl/>
        </w:rPr>
        <w:t>ב</w:t>
      </w:r>
      <w:r w:rsidRPr="00983CA4">
        <w:rPr>
          <w:rtl/>
        </w:rPr>
        <w:t xml:space="preserve">סעיף 176 לחוק העונשין, התשל"ז-1977, </w:t>
      </w:r>
      <w:r>
        <w:rPr>
          <w:rFonts w:hint="cs"/>
          <w:rtl/>
        </w:rPr>
        <w:t>נקבע</w:t>
      </w:r>
      <w:r w:rsidRPr="00983CA4">
        <w:rPr>
          <w:rtl/>
        </w:rPr>
        <w:t xml:space="preserve"> כי "נשוי הנושא אשה אחרת, ונשואה הנישאת לאיש אחר, דינם - מאסר חמש שנים".</w:t>
      </w:r>
    </w:p>
  </w:footnote>
  <w:footnote w:id="9">
    <w:p w:rsidR="00F8025B" w:rsidRPr="00AA5065" w:rsidP="00AA5065">
      <w:pPr>
        <w:pStyle w:val="FootnoteText"/>
        <w:spacing w:after="60" w:line="220" w:lineRule="exact"/>
        <w:rPr>
          <w:color w:val="000000"/>
          <w:rtl/>
        </w:rPr>
      </w:pPr>
      <w:r w:rsidRPr="00983CA4">
        <w:rPr>
          <w:rStyle w:val="FootnoteReference1"/>
        </w:rPr>
        <w:footnoteRef/>
      </w:r>
      <w:r w:rsidRPr="00983CA4">
        <w:rPr>
          <w:rtl/>
        </w:rPr>
        <w:t xml:space="preserve"> </w:t>
      </w:r>
      <w:r w:rsidRPr="00983CA4">
        <w:rPr>
          <w:rtl/>
        </w:rPr>
        <w:tab/>
      </w:r>
      <w:r w:rsidRPr="00983CA4">
        <w:rPr>
          <w:rtl/>
        </w:rPr>
        <w:t>החלטת הממשלה 2345, "התמודדות עם תופעת הפוליגמיה" (29.1.17).</w:t>
      </w:r>
      <w:r>
        <w:rPr>
          <w:rFonts w:hint="cs"/>
          <w:rtl/>
        </w:rPr>
        <w:t xml:space="preserve"> בהחלטת הממשלה 4211, "</w:t>
      </w:r>
      <w:r w:rsidRPr="00817E97">
        <w:rPr>
          <w:rtl/>
        </w:rPr>
        <w:t xml:space="preserve">מדיניות ממשלתית </w:t>
      </w:r>
      <w:r w:rsidRPr="00AA5065">
        <w:rPr>
          <w:color w:val="000000"/>
          <w:rtl/>
        </w:rPr>
        <w:t>להתמודדות עם הפוליגמיה - יישום ומעקב אחר עקרונות דו"ח הצוות הבין-משרדי להתמודדות עם השלכותיה השליליות של הפוליגמיה</w:t>
      </w:r>
      <w:r w:rsidRPr="00AA5065">
        <w:rPr>
          <w:rFonts w:hint="cs"/>
          <w:color w:val="000000"/>
          <w:rtl/>
        </w:rPr>
        <w:t>" (25.10.18)</w:t>
      </w:r>
      <w:r w:rsidRPr="00AA5065">
        <w:rPr>
          <w:rFonts w:ascii="Rubik" w:hAnsi="Rubik" w:hint="cs"/>
          <w:color w:val="000000"/>
          <w:shd w:val="clear" w:color="auto" w:fill="FFFFFF"/>
          <w:rtl/>
        </w:rPr>
        <w:t xml:space="preserve">, הוחלט </w:t>
      </w:r>
      <w:r w:rsidRPr="00AA5065">
        <w:rPr>
          <w:rFonts w:ascii="Rubik" w:hAnsi="Rubik"/>
          <w:color w:val="000000"/>
          <w:shd w:val="clear" w:color="auto" w:fill="FFFFFF"/>
          <w:rtl/>
        </w:rPr>
        <w:t>להטיל על מנכ"לית משרד המשפטים להקים צוות יישום ומעקב באמצעות תוכנית מדורגת ורב</w:t>
      </w:r>
      <w:r w:rsidRPr="00AA5065">
        <w:rPr>
          <w:rFonts w:ascii="Rubik" w:hAnsi="Rubik" w:hint="cs"/>
          <w:color w:val="000000"/>
          <w:shd w:val="clear" w:color="auto" w:fill="FFFFFF"/>
          <w:rtl/>
        </w:rPr>
        <w:t>-</w:t>
      </w:r>
      <w:r w:rsidRPr="00AA5065">
        <w:rPr>
          <w:rFonts w:ascii="Rubik" w:hAnsi="Rubik"/>
          <w:color w:val="000000"/>
          <w:shd w:val="clear" w:color="auto" w:fill="FFFFFF"/>
          <w:rtl/>
        </w:rPr>
        <w:t>שלבית אחר עקרונות הדוח ובכפוף למציאת המקורות למימונם על ידי כל אחד מהמשרדים הרלוונטיים</w:t>
      </w:r>
      <w:r w:rsidRPr="00AA5065">
        <w:rPr>
          <w:rFonts w:ascii="Rubik" w:hAnsi="Rubik" w:hint="cs"/>
          <w:color w:val="000000"/>
          <w:shd w:val="clear" w:color="auto" w:fill="FFFFFF"/>
          <w:rtl/>
        </w:rPr>
        <w:t>. בהחלטה פורטו 74 המלצות.</w:t>
      </w:r>
    </w:p>
  </w:footnote>
  <w:footnote w:id="10">
    <w:p w:rsidR="00F8025B" w:rsidRPr="00983CA4" w:rsidP="00AA5065">
      <w:pPr>
        <w:pStyle w:val="FootnoteText"/>
        <w:spacing w:after="60" w:line="220" w:lineRule="exact"/>
      </w:pPr>
      <w:r w:rsidRPr="00983CA4">
        <w:rPr>
          <w:rStyle w:val="FootnoteReference1"/>
        </w:rPr>
        <w:footnoteRef/>
      </w:r>
      <w:r w:rsidRPr="00983CA4">
        <w:rPr>
          <w:rtl/>
        </w:rPr>
        <w:t xml:space="preserve"> </w:t>
      </w:r>
      <w:r w:rsidRPr="00983CA4">
        <w:rPr>
          <w:rtl/>
        </w:rPr>
        <w:tab/>
      </w:r>
      <w:bookmarkStart w:id="6" w:name="_Hlk220846240"/>
      <w:r w:rsidRPr="0068648E">
        <w:rPr>
          <w:b/>
          <w:bCs/>
          <w:rtl/>
        </w:rPr>
        <w:t>דו"ח מסכם</w:t>
      </w:r>
      <w:r w:rsidRPr="0068648E">
        <w:rPr>
          <w:rFonts w:hint="cs"/>
          <w:b/>
          <w:bCs/>
          <w:rtl/>
        </w:rPr>
        <w:t xml:space="preserve"> -</w:t>
      </w:r>
      <w:r w:rsidRPr="0068648E">
        <w:rPr>
          <w:b/>
          <w:bCs/>
          <w:rtl/>
        </w:rPr>
        <w:t xml:space="preserve"> הצוות הבין-משרדי להתמודדות עם השלכותיה השליליות של הפוליגמיה</w:t>
      </w:r>
      <w:r w:rsidRPr="0068648E">
        <w:rPr>
          <w:rtl/>
        </w:rPr>
        <w:t xml:space="preserve"> (2018).</w:t>
      </w:r>
      <w:bookmarkEnd w:id="6"/>
    </w:p>
  </w:footnote>
  <w:footnote w:id="11">
    <w:p w:rsidR="00F8025B" w:rsidP="00AA5065">
      <w:pPr>
        <w:pStyle w:val="FootnoteText"/>
        <w:spacing w:after="60" w:line="220" w:lineRule="exact"/>
      </w:pPr>
      <w:r w:rsidRPr="0013413F">
        <w:rPr>
          <w:rStyle w:val="FootnoteReference1"/>
        </w:rPr>
        <w:footnoteRef/>
      </w:r>
      <w:r w:rsidRPr="0013413F">
        <w:rPr>
          <w:rStyle w:val="FootnoteReference1"/>
          <w:rtl/>
        </w:rPr>
        <w:t xml:space="preserve"> </w:t>
      </w:r>
      <w:r>
        <w:rPr>
          <w:rtl/>
        </w:rPr>
        <w:tab/>
      </w:r>
      <w:r>
        <w:rPr>
          <w:rFonts w:hint="cs"/>
          <w:rtl/>
        </w:rPr>
        <w:t xml:space="preserve">נתוני הלמ"ס בדוח הקודם היו מעודכנים לשנת 2016 ולפיהם היו 14,000 נשים </w:t>
      </w:r>
      <w:r w:rsidRPr="006F326F">
        <w:rPr>
          <w:rtl/>
        </w:rPr>
        <w:t>בתאים משפחתיים פוליגמיים</w:t>
      </w:r>
      <w:r>
        <w:rPr>
          <w:rFonts w:hint="cs"/>
          <w:rtl/>
        </w:rPr>
        <w:t xml:space="preserve">. לפי הנתונים המעודכנים לשנת 2021 יש </w:t>
      </w:r>
      <w:r w:rsidRPr="004D46CE">
        <w:rPr>
          <w:rtl/>
        </w:rPr>
        <w:t xml:space="preserve">16,080 נשים </w:t>
      </w:r>
      <w:r>
        <w:rPr>
          <w:rFonts w:hint="cs"/>
          <w:rtl/>
        </w:rPr>
        <w:t>ה</w:t>
      </w:r>
      <w:r w:rsidRPr="004D46CE">
        <w:rPr>
          <w:rtl/>
        </w:rPr>
        <w:t>נשואות לגברים פוליגמיים</w:t>
      </w:r>
      <w:r>
        <w:rPr>
          <w:rFonts w:hint="cs"/>
          <w:rtl/>
        </w:rPr>
        <w:t>.</w:t>
      </w:r>
    </w:p>
  </w:footnote>
  <w:footnote w:id="12">
    <w:p w:rsidR="00F8025B" w:rsidP="00AA5065">
      <w:pPr>
        <w:pStyle w:val="FootnoteText"/>
      </w:pPr>
      <w:r>
        <w:rPr>
          <w:rStyle w:val="FootnoteReference1"/>
        </w:rPr>
        <w:footnoteRef/>
      </w:r>
      <w:r>
        <w:rPr>
          <w:rtl/>
        </w:rPr>
        <w:t xml:space="preserve"> </w:t>
      </w:r>
      <w:r>
        <w:rPr>
          <w:rtl/>
        </w:rPr>
        <w:tab/>
      </w:r>
      <w:r>
        <w:rPr>
          <w:rFonts w:ascii="David" w:hAnsi="David" w:hint="cs"/>
          <w:rtl/>
        </w:rPr>
        <w:t xml:space="preserve">הלמ"ס התבססה על הנתון </w:t>
      </w:r>
      <w:r w:rsidRPr="004D23A4">
        <w:rPr>
          <w:rFonts w:ascii="David" w:hAnsi="David"/>
          <w:rtl/>
        </w:rPr>
        <w:t xml:space="preserve">- גבר עם ילדים </w:t>
      </w:r>
      <w:r>
        <w:rPr>
          <w:rFonts w:ascii="David" w:hAnsi="David" w:hint="cs"/>
          <w:rtl/>
        </w:rPr>
        <w:t>מיותר מאשה אחת.</w:t>
      </w:r>
    </w:p>
  </w:footnote>
  <w:footnote w:id="13">
    <w:p w:rsidR="00F8025B" w:rsidP="00AA5065">
      <w:pPr>
        <w:pStyle w:val="FootnoteText"/>
        <w:rPr>
          <w:rtl/>
        </w:rPr>
      </w:pPr>
      <w:r>
        <w:rPr>
          <w:rStyle w:val="FootnoteReference1"/>
        </w:rPr>
        <w:footnoteRef/>
      </w:r>
      <w:r>
        <w:rPr>
          <w:rtl/>
        </w:rPr>
        <w:t xml:space="preserve"> </w:t>
      </w:r>
      <w:r>
        <w:rPr>
          <w:rtl/>
        </w:rPr>
        <w:tab/>
      </w:r>
      <w:r>
        <w:rPr>
          <w:rFonts w:hint="cs"/>
          <w:rtl/>
        </w:rPr>
        <w:t xml:space="preserve">מתוך מצגת של הלמ"ס. מדובר בגברים שיש להם ילדים מיותר מאישה אחת. עוד צוין כי נוספו 1,576 מקרים של גברים כאלה, אך בו-זמנית 576 מקרים נעלמו מהעיבוד של שנת 2016 (בעיקר גברים שנפטרו, שעברו למחוז אחר, שהם חסרי יישוב, שהם נעדרים או שהם ירדו מהארץ). </w:t>
      </w:r>
    </w:p>
  </w:footnote>
  <w:footnote w:id="14">
    <w:p w:rsidR="00F8025B" w:rsidP="00AA5065">
      <w:pPr>
        <w:pStyle w:val="FootnoteText"/>
      </w:pPr>
      <w:r>
        <w:rPr>
          <w:rStyle w:val="FootnoteReference1"/>
        </w:rPr>
        <w:footnoteRef/>
      </w:r>
      <w:r>
        <w:rPr>
          <w:rtl/>
        </w:rPr>
        <w:t xml:space="preserve"> </w:t>
      </w:r>
      <w:r>
        <w:rPr>
          <w:rtl/>
        </w:rPr>
        <w:tab/>
      </w:r>
      <w:r>
        <w:rPr>
          <w:rFonts w:hint="cs"/>
          <w:rtl/>
        </w:rPr>
        <w:t xml:space="preserve">דוח מסכם, </w:t>
      </w:r>
      <w:r w:rsidRPr="00983CA4">
        <w:rPr>
          <w:rtl/>
        </w:rPr>
        <w:t>הצוות הבין-משרדי להתמודדות עם השלכותיה השליליות של הפוליגמיה (2018)</w:t>
      </w:r>
      <w:r>
        <w:rPr>
          <w:rFonts w:hint="cs"/>
          <w:rtl/>
        </w:rPr>
        <w:t xml:space="preserve"> </w:t>
      </w:r>
      <w:r w:rsidRPr="00697FB2">
        <w:rPr>
          <w:rtl/>
        </w:rPr>
        <w:t>עמ</w:t>
      </w:r>
      <w:r>
        <w:rPr>
          <w:rFonts w:hint="cs"/>
          <w:rtl/>
        </w:rPr>
        <w:t>'</w:t>
      </w:r>
      <w:r w:rsidRPr="00697FB2">
        <w:rPr>
          <w:rtl/>
        </w:rPr>
        <w:t xml:space="preserve"> 116‏</w:t>
      </w:r>
      <w:r>
        <w:rPr>
          <w:rFonts w:hint="cs"/>
          <w:rtl/>
        </w:rPr>
        <w:t>.</w:t>
      </w:r>
    </w:p>
  </w:footnote>
  <w:footnote w:id="15">
    <w:p w:rsidR="00F8025B" w:rsidP="00AA5065">
      <w:pPr>
        <w:pStyle w:val="FootnoteText"/>
      </w:pPr>
      <w:r>
        <w:rPr>
          <w:rStyle w:val="FootnoteReference1"/>
        </w:rPr>
        <w:footnoteRef/>
      </w:r>
      <w:r>
        <w:rPr>
          <w:rtl/>
        </w:rPr>
        <w:t xml:space="preserve"> </w:t>
      </w:r>
      <w:r>
        <w:rPr>
          <w:rtl/>
        </w:rPr>
        <w:tab/>
      </w:r>
      <w:r>
        <w:rPr>
          <w:rFonts w:hint="cs"/>
          <w:rtl/>
        </w:rPr>
        <w:t xml:space="preserve">דוח מסכם, </w:t>
      </w:r>
      <w:r w:rsidRPr="00983CA4">
        <w:rPr>
          <w:rtl/>
        </w:rPr>
        <w:t>הצוות הבין-משרדי להתמודדות עם השלכותיה השליליות של הפוליגמיה (2018)</w:t>
      </w:r>
      <w:r>
        <w:rPr>
          <w:rFonts w:hint="cs"/>
          <w:rtl/>
        </w:rPr>
        <w:t xml:space="preserve"> </w:t>
      </w:r>
      <w:r w:rsidRPr="00697FB2">
        <w:rPr>
          <w:rtl/>
        </w:rPr>
        <w:t>עמ</w:t>
      </w:r>
      <w:r>
        <w:rPr>
          <w:rFonts w:hint="cs"/>
          <w:rtl/>
        </w:rPr>
        <w:t>'</w:t>
      </w:r>
      <w:r w:rsidRPr="00697FB2">
        <w:rPr>
          <w:rtl/>
        </w:rPr>
        <w:t xml:space="preserve"> 114</w:t>
      </w:r>
      <w:r>
        <w:rPr>
          <w:rFonts w:hint="cs"/>
          <w:rtl/>
        </w:rPr>
        <w:t>.</w:t>
      </w:r>
    </w:p>
  </w:footnote>
  <w:footnote w:id="16">
    <w:p w:rsidR="00F8025B" w:rsidP="00AA5065">
      <w:pPr>
        <w:pStyle w:val="FootnoteText"/>
      </w:pPr>
      <w:r>
        <w:rPr>
          <w:rStyle w:val="FootnoteReference1"/>
        </w:rPr>
        <w:footnoteRef/>
      </w:r>
      <w:r>
        <w:rPr>
          <w:rtl/>
        </w:rPr>
        <w:t xml:space="preserve"> </w:t>
      </w:r>
      <w:r>
        <w:rPr>
          <w:rtl/>
        </w:rPr>
        <w:tab/>
      </w:r>
      <w:r w:rsidRPr="00697FB2">
        <w:rPr>
          <w:rtl/>
        </w:rPr>
        <w:t>הנחיית היועץ המשפטי לממשלה 4.1112 "מדיניות התביעה - סוגי עבירות ומבצעי עבירות - עבירת ריבוי ‏נישואין", הנחיות היועץ המשפטי לממשלה 4.1112 (התשע"ז</w:t>
      </w:r>
      <w:r>
        <w:rPr>
          <w:rFonts w:hint="cs"/>
          <w:rtl/>
        </w:rPr>
        <w:t xml:space="preserve"> </w:t>
      </w:r>
      <w:r w:rsidRPr="00697FB2">
        <w:rPr>
          <w:rtl/>
        </w:rPr>
        <w:t>יולי 2021).‏</w:t>
      </w:r>
    </w:p>
  </w:footnote>
  <w:footnote w:id="17">
    <w:p w:rsidR="00F8025B" w:rsidP="00AA5065">
      <w:pPr>
        <w:pStyle w:val="FootnoteText"/>
        <w:rPr>
          <w:rtl/>
        </w:rPr>
      </w:pPr>
      <w:r>
        <w:rPr>
          <w:rStyle w:val="FootnoteReference1"/>
        </w:rPr>
        <w:footnoteRef/>
      </w:r>
      <w:r>
        <w:rPr>
          <w:rtl/>
        </w:rPr>
        <w:t xml:space="preserve"> </w:t>
      </w:r>
      <w:r>
        <w:rPr>
          <w:rtl/>
        </w:rPr>
        <w:tab/>
      </w:r>
      <w:r w:rsidRPr="00E51DAB">
        <w:rPr>
          <w:rtl/>
        </w:rPr>
        <w:t xml:space="preserve">רעפ 6413/19 </w:t>
      </w:r>
      <w:r w:rsidRPr="009261DD">
        <w:rPr>
          <w:b/>
          <w:bCs/>
          <w:rtl/>
        </w:rPr>
        <w:t>אמין אבו סקיק נ' מדינת ישראל</w:t>
      </w:r>
      <w:r w:rsidRPr="00E51DAB">
        <w:rPr>
          <w:rtl/>
        </w:rPr>
        <w:t xml:space="preserve"> (פורסם במאגר ממוחשב, 23.10.19).‏</w:t>
      </w:r>
    </w:p>
  </w:footnote>
  <w:footnote w:id="18">
    <w:p w:rsidR="00F8025B" w:rsidP="00AA5065">
      <w:pPr>
        <w:pStyle w:val="FootnoteText"/>
        <w:rPr>
          <w:rtl/>
        </w:rPr>
      </w:pPr>
      <w:r>
        <w:rPr>
          <w:rStyle w:val="FootnoteReference1"/>
        </w:rPr>
        <w:footnoteRef/>
      </w:r>
      <w:r>
        <w:rPr>
          <w:rtl/>
        </w:rPr>
        <w:t xml:space="preserve"> </w:t>
      </w:r>
      <w:r>
        <w:rPr>
          <w:rtl/>
        </w:rPr>
        <w:tab/>
      </w:r>
      <w:r>
        <w:rPr>
          <w:rFonts w:hint="cs"/>
          <w:rtl/>
        </w:rPr>
        <w:t>יחידה מרכזית.</w:t>
      </w:r>
    </w:p>
  </w:footnote>
  <w:footnote w:id="19">
    <w:p w:rsidR="00F8025B" w:rsidP="00AA5065">
      <w:pPr>
        <w:pStyle w:val="FootnoteText"/>
      </w:pPr>
      <w:r>
        <w:rPr>
          <w:rStyle w:val="FootnoteReference1"/>
        </w:rPr>
        <w:footnoteRef/>
      </w:r>
      <w:r>
        <w:rPr>
          <w:rtl/>
        </w:rPr>
        <w:t xml:space="preserve"> </w:t>
      </w:r>
      <w:r>
        <w:rPr>
          <w:rtl/>
        </w:rPr>
        <w:tab/>
      </w:r>
      <w:r>
        <w:rPr>
          <w:rFonts w:hint="cs"/>
          <w:rtl/>
        </w:rPr>
        <w:t>תיק שנפתח בפרקליטות יכול להכיל מספר תיקי חקירה שבמשטרה הומלץ להגיש בגינם כתב אישום.</w:t>
      </w:r>
    </w:p>
  </w:footnote>
  <w:footnote w:id="20">
    <w:p w:rsidR="00F8025B" w:rsidP="00AA5065">
      <w:pPr>
        <w:pStyle w:val="FootnoteText"/>
      </w:pPr>
      <w:r>
        <w:rPr>
          <w:rStyle w:val="FootnoteReference1"/>
        </w:rPr>
        <w:footnoteRef/>
      </w:r>
      <w:r>
        <w:rPr>
          <w:rtl/>
        </w:rPr>
        <w:t xml:space="preserve"> </w:t>
      </w:r>
      <w:r>
        <w:rPr>
          <w:rtl/>
        </w:rPr>
        <w:tab/>
      </w:r>
      <w:r w:rsidRPr="00645795">
        <w:rPr>
          <w:rtl/>
        </w:rPr>
        <w:t xml:space="preserve">תיקים שלאחר הליך החקירה הפרקליט </w:t>
      </w:r>
      <w:r>
        <w:rPr>
          <w:rFonts w:hint="cs"/>
          <w:rtl/>
        </w:rPr>
        <w:t>החליט</w:t>
      </w:r>
      <w:r w:rsidRPr="00645795">
        <w:rPr>
          <w:rtl/>
        </w:rPr>
        <w:t xml:space="preserve"> שלא להגיש כתב אישום, ויש לגנוז.‏</w:t>
      </w:r>
    </w:p>
  </w:footnote>
  <w:footnote w:id="21">
    <w:p w:rsidR="00F8025B" w:rsidP="00AA5065">
      <w:pPr>
        <w:pStyle w:val="FootnoteText"/>
      </w:pPr>
      <w:r>
        <w:rPr>
          <w:rStyle w:val="FootnoteReference1"/>
        </w:rPr>
        <w:footnoteRef/>
      </w:r>
      <w:r>
        <w:rPr>
          <w:rtl/>
        </w:rPr>
        <w:t xml:space="preserve"> </w:t>
      </w:r>
      <w:r>
        <w:rPr>
          <w:rtl/>
        </w:rPr>
        <w:tab/>
      </w:r>
      <w:r>
        <w:rPr>
          <w:rFonts w:hint="cs"/>
          <w:rtl/>
        </w:rPr>
        <w:t>תיק מתנהל זהו תיק שהוגש בו כתב אישום ומתנהל בבית המשפט.</w:t>
      </w:r>
    </w:p>
  </w:footnote>
  <w:footnote w:id="22">
    <w:p w:rsidR="00F8025B" w:rsidP="00AA5065">
      <w:pPr>
        <w:pStyle w:val="FootnoteText"/>
      </w:pPr>
      <w:r>
        <w:rPr>
          <w:rStyle w:val="FootnoteReference1"/>
        </w:rPr>
        <w:footnoteRef/>
      </w:r>
      <w:r>
        <w:rPr>
          <w:rtl/>
        </w:rPr>
        <w:t xml:space="preserve"> </w:t>
      </w:r>
      <w:r>
        <w:rPr>
          <w:rtl/>
        </w:rPr>
        <w:tab/>
      </w:r>
      <w:r>
        <w:rPr>
          <w:rFonts w:hint="cs"/>
          <w:rtl/>
        </w:rPr>
        <w:t xml:space="preserve">"שלב הכנה" - </w:t>
      </w:r>
      <w:r w:rsidRPr="008C2A65">
        <w:rPr>
          <w:rtl/>
        </w:rPr>
        <w:t xml:space="preserve">תיק שהגיע מהמשטרה וממתין לעיון והחלטה </w:t>
      </w:r>
      <w:r>
        <w:rPr>
          <w:rFonts w:hint="cs"/>
          <w:rtl/>
        </w:rPr>
        <w:t xml:space="preserve">על הגשת </w:t>
      </w:r>
      <w:r w:rsidRPr="008C2A65">
        <w:rPr>
          <w:rtl/>
        </w:rPr>
        <w:t>כתב אישום</w:t>
      </w:r>
      <w:r>
        <w:rPr>
          <w:rFonts w:hint="cs"/>
          <w:rtl/>
        </w:rPr>
        <w:t xml:space="preserve"> או</w:t>
      </w:r>
      <w:r w:rsidRPr="008C2A65">
        <w:rPr>
          <w:rtl/>
        </w:rPr>
        <w:t xml:space="preserve"> </w:t>
      </w:r>
      <w:r>
        <w:rPr>
          <w:rFonts w:hint="cs"/>
          <w:rtl/>
        </w:rPr>
        <w:t>השלמות חקירה. יש מסלול נוסף לתיקים שמגיעים מהיחידה החוקרת וכוללים המלצה לגניזה.</w:t>
      </w:r>
    </w:p>
  </w:footnote>
  <w:footnote w:id="23">
    <w:p w:rsidR="00F8025B" w:rsidP="00AA5065">
      <w:pPr>
        <w:pStyle w:val="FootnoteText"/>
      </w:pPr>
      <w:r>
        <w:rPr>
          <w:rStyle w:val="FootnoteReference1"/>
        </w:rPr>
        <w:footnoteRef/>
      </w:r>
      <w:r>
        <w:rPr>
          <w:rtl/>
        </w:rPr>
        <w:t xml:space="preserve"> </w:t>
      </w:r>
      <w:r>
        <w:rPr>
          <w:rtl/>
        </w:rPr>
        <w:tab/>
      </w:r>
      <w:r>
        <w:rPr>
          <w:rFonts w:hint="cs"/>
          <w:rtl/>
        </w:rPr>
        <w:t xml:space="preserve">תיק שנסגר לאחר הליך שיפוטי זהו תיק </w:t>
      </w:r>
      <w:r w:rsidRPr="00E8005C">
        <w:rPr>
          <w:rtl/>
        </w:rPr>
        <w:t>שניתנה בעניינו הכרעת דין (הרשעה או בזיכוי) ‏</w:t>
      </w:r>
      <w:r>
        <w:rPr>
          <w:rFonts w:hint="cs"/>
          <w:rtl/>
        </w:rPr>
        <w:t>וההליך בגינו הסתיים בבית המשפט.</w:t>
      </w:r>
    </w:p>
  </w:footnote>
  <w:footnote w:id="24">
    <w:p w:rsidR="00F8025B" w:rsidP="00AA5065">
      <w:pPr>
        <w:pStyle w:val="FootnoteText"/>
        <w:rPr>
          <w:rtl/>
        </w:rPr>
      </w:pPr>
      <w:r>
        <w:rPr>
          <w:rStyle w:val="FootnoteReference1"/>
        </w:rPr>
        <w:footnoteRef/>
      </w:r>
      <w:r>
        <w:rPr>
          <w:rtl/>
        </w:rPr>
        <w:t xml:space="preserve"> </w:t>
      </w:r>
      <w:r>
        <w:rPr>
          <w:rtl/>
        </w:rPr>
        <w:tab/>
      </w:r>
      <w:r>
        <w:rPr>
          <w:rFonts w:hint="cs"/>
          <w:rtl/>
        </w:rPr>
        <w:t xml:space="preserve">דוח מסכם, </w:t>
      </w:r>
      <w:r w:rsidRPr="00983CA4">
        <w:rPr>
          <w:rtl/>
        </w:rPr>
        <w:t>הצוות הבין-משרדי להתמודדות עם השלכותיה השליליות של הפוליגמיה (2018)</w:t>
      </w:r>
      <w:r>
        <w:rPr>
          <w:rFonts w:hint="cs"/>
          <w:rtl/>
        </w:rPr>
        <w:t>, עמ' 216.</w:t>
      </w:r>
    </w:p>
  </w:footnote>
  <w:footnote w:id="25">
    <w:p w:rsidR="00F8025B" w:rsidP="00AA5065">
      <w:pPr>
        <w:pStyle w:val="FootnoteText"/>
      </w:pPr>
      <w:r>
        <w:rPr>
          <w:rStyle w:val="FootnoteReference1"/>
        </w:rPr>
        <w:footnoteRef/>
      </w:r>
      <w:r>
        <w:rPr>
          <w:rtl/>
        </w:rPr>
        <w:t xml:space="preserve"> </w:t>
      </w:r>
      <w:r>
        <w:rPr>
          <w:rtl/>
        </w:rPr>
        <w:tab/>
      </w:r>
      <w:r>
        <w:rPr>
          <w:rFonts w:hint="cs"/>
          <w:rtl/>
        </w:rPr>
        <w:t>המחלק הוקם ביום 6.10.24.</w:t>
      </w:r>
    </w:p>
  </w:footnote>
  <w:footnote w:id="26">
    <w:p w:rsidR="00F8025B" w:rsidP="00AA5065">
      <w:pPr>
        <w:pStyle w:val="FootnoteText"/>
        <w:rPr>
          <w:rtl/>
        </w:rPr>
      </w:pPr>
      <w:r>
        <w:rPr>
          <w:rStyle w:val="FootnoteReference1"/>
        </w:rPr>
        <w:footnoteRef/>
      </w:r>
      <w:r>
        <w:rPr>
          <w:rtl/>
        </w:rPr>
        <w:t xml:space="preserve"> </w:t>
      </w:r>
      <w:r>
        <w:rPr>
          <w:rtl/>
        </w:rPr>
        <w:tab/>
      </w:r>
      <w:r w:rsidRPr="00983CA4">
        <w:rPr>
          <w:rtl/>
        </w:rPr>
        <w:t>דוח מסכם</w:t>
      </w:r>
      <w:r>
        <w:rPr>
          <w:rFonts w:hint="cs"/>
          <w:rtl/>
        </w:rPr>
        <w:t>,</w:t>
      </w:r>
      <w:r w:rsidRPr="00983CA4">
        <w:rPr>
          <w:rtl/>
        </w:rPr>
        <w:t xml:space="preserve"> הצוות הבין-משרדי להתמודדות עם השלכותיה השליליות של הפוליגמיה (2018)</w:t>
      </w:r>
      <w:r>
        <w:rPr>
          <w:rFonts w:hint="cs"/>
          <w:rtl/>
        </w:rPr>
        <w:t>, עמ' 78.</w:t>
      </w:r>
    </w:p>
  </w:footnote>
  <w:footnote w:id="27">
    <w:p w:rsidR="00F8025B" w:rsidP="00AA5065">
      <w:pPr>
        <w:pStyle w:val="FootnoteText"/>
        <w:rPr>
          <w:rtl/>
        </w:rPr>
      </w:pPr>
      <w:r>
        <w:rPr>
          <w:rStyle w:val="FootnoteReference1"/>
        </w:rPr>
        <w:footnoteRef/>
      </w:r>
      <w:r>
        <w:rPr>
          <w:rtl/>
        </w:rPr>
        <w:t xml:space="preserve"> </w:t>
      </w:r>
      <w:r>
        <w:rPr>
          <w:rtl/>
        </w:rPr>
        <w:tab/>
      </w:r>
      <w:r w:rsidRPr="00983CA4">
        <w:rPr>
          <w:rtl/>
        </w:rPr>
        <w:t>דוח מסכם</w:t>
      </w:r>
      <w:r>
        <w:rPr>
          <w:rFonts w:hint="cs"/>
          <w:rtl/>
        </w:rPr>
        <w:t>,</w:t>
      </w:r>
      <w:r w:rsidRPr="00983CA4">
        <w:rPr>
          <w:rtl/>
        </w:rPr>
        <w:t xml:space="preserve"> הצוות הבין-משרדי להתמודדות עם השלכותיה השליליות של הפוליגמיה (2018)</w:t>
      </w:r>
      <w:r>
        <w:rPr>
          <w:rFonts w:hint="cs"/>
          <w:rtl/>
        </w:rPr>
        <w:t>, עמ' 106.</w:t>
      </w:r>
    </w:p>
  </w:footnote>
  <w:footnote w:id="28">
    <w:p w:rsidR="00F8025B" w:rsidRPr="00F26995" w:rsidP="00AA5065">
      <w:pPr>
        <w:pStyle w:val="FootnoteText"/>
        <w:spacing w:after="60" w:line="220" w:lineRule="exact"/>
        <w:rPr>
          <w:rtl/>
        </w:rPr>
      </w:pPr>
      <w:r>
        <w:rPr>
          <w:rStyle w:val="FootnoteReference1"/>
        </w:rPr>
        <w:footnoteRef/>
      </w:r>
      <w:r>
        <w:rPr>
          <w:rtl/>
        </w:rPr>
        <w:t xml:space="preserve"> </w:t>
      </w:r>
      <w:r>
        <w:rPr>
          <w:rtl/>
        </w:rPr>
        <w:tab/>
      </w:r>
      <w:r w:rsidRPr="00746E66">
        <w:rPr>
          <w:rtl/>
        </w:rPr>
        <w:t>הנחי</w:t>
      </w:r>
      <w:r>
        <w:rPr>
          <w:rFonts w:hint="cs"/>
          <w:rtl/>
        </w:rPr>
        <w:t>י</w:t>
      </w:r>
      <w:r w:rsidRPr="00746E66">
        <w:rPr>
          <w:rtl/>
        </w:rPr>
        <w:t>ת היועץ המשפטי לממשלה</w:t>
      </w:r>
      <w:r w:rsidRPr="0074641D">
        <w:rPr>
          <w:rtl/>
        </w:rPr>
        <w:t xml:space="preserve"> 4.1112</w:t>
      </w:r>
      <w:r w:rsidRPr="00983CA4">
        <w:rPr>
          <w:rtl/>
        </w:rPr>
        <w:t xml:space="preserve"> "מדיניות התביעה - סוגי עבירות ומבצעי עבירות - עבירת ריבוי נישואין", (</w:t>
      </w:r>
      <w:r>
        <w:rPr>
          <w:rFonts w:hint="cs"/>
          <w:rtl/>
        </w:rPr>
        <w:t>יולי 2021</w:t>
      </w:r>
      <w:r w:rsidRPr="00983CA4">
        <w:rPr>
          <w:rtl/>
        </w:rPr>
        <w:t>).</w:t>
      </w:r>
    </w:p>
  </w:footnote>
  <w:footnote w:id="29">
    <w:p w:rsidR="00F8025B" w:rsidRPr="001D5724" w:rsidP="00AA5065">
      <w:pPr>
        <w:pStyle w:val="FootnoteText"/>
      </w:pPr>
      <w:r w:rsidRPr="001D5724">
        <w:rPr>
          <w:rStyle w:val="FootnoteReference1"/>
        </w:rPr>
        <w:footnoteRef/>
      </w:r>
      <w:r w:rsidRPr="001D5724">
        <w:rPr>
          <w:rtl/>
        </w:rPr>
        <w:t xml:space="preserve"> </w:t>
      </w:r>
      <w:r w:rsidRPr="001D5724">
        <w:rPr>
          <w:rtl/>
        </w:rPr>
        <w:tab/>
      </w:r>
      <w:r w:rsidRPr="001D5724">
        <w:rPr>
          <w:rFonts w:hint="cs"/>
          <w:b/>
          <w:bCs/>
          <w:rtl/>
        </w:rPr>
        <w:t>דין וחשבון הצוות הבין משרדי להתמודדות עם השלכותיה השליליות של הפוליגמיה</w:t>
      </w:r>
      <w:r w:rsidRPr="001D5724">
        <w:rPr>
          <w:rFonts w:hint="cs"/>
          <w:rtl/>
        </w:rPr>
        <w:t xml:space="preserve"> (2018), עמ' 102.</w:t>
      </w:r>
    </w:p>
  </w:footnote>
  <w:footnote w:id="30">
    <w:p w:rsidR="00F8025B" w:rsidRPr="001D5724" w:rsidP="00AA5065">
      <w:pPr>
        <w:pStyle w:val="FootnoteText"/>
        <w:rPr>
          <w:rtl/>
        </w:rPr>
      </w:pPr>
      <w:r w:rsidRPr="001D5724">
        <w:rPr>
          <w:rStyle w:val="FootnoteReference1"/>
        </w:rPr>
        <w:footnoteRef/>
      </w:r>
      <w:r w:rsidRPr="001D5724">
        <w:rPr>
          <w:rtl/>
        </w:rPr>
        <w:t xml:space="preserve"> </w:t>
      </w:r>
      <w:r w:rsidRPr="001D5724">
        <w:rPr>
          <w:rtl/>
        </w:rPr>
        <w:tab/>
      </w:r>
      <w:r w:rsidRPr="001D5724">
        <w:rPr>
          <w:rFonts w:hint="cs"/>
          <w:rtl/>
        </w:rPr>
        <w:t>3,283 משפחות עצמאיות עם הורה יחיד מתוך 11,000 משפחות בדואיות הזכאיות להבטחת הכנסה.</w:t>
      </w:r>
    </w:p>
  </w:footnote>
  <w:footnote w:id="31">
    <w:p w:rsidR="00F8025B" w:rsidRPr="001D5724" w:rsidP="00AA5065">
      <w:pPr>
        <w:pStyle w:val="FootnoteText"/>
      </w:pPr>
      <w:r w:rsidRPr="001D5724">
        <w:rPr>
          <w:rStyle w:val="FootnoteReference1"/>
        </w:rPr>
        <w:footnoteRef/>
      </w:r>
      <w:r w:rsidRPr="001D5724">
        <w:rPr>
          <w:rtl/>
        </w:rPr>
        <w:t xml:space="preserve"> </w:t>
      </w:r>
      <w:r w:rsidRPr="001D5724">
        <w:rPr>
          <w:rtl/>
        </w:rPr>
        <w:tab/>
      </w:r>
      <w:r w:rsidRPr="001D5724">
        <w:rPr>
          <w:rFonts w:hint="cs"/>
          <w:b/>
          <w:bCs/>
          <w:rtl/>
        </w:rPr>
        <w:t>דין וחשבון הצוות הבין משרדי להתמודדות עם השלכותיה השליליות של הפוליגמיה</w:t>
      </w:r>
      <w:r w:rsidRPr="001D5724">
        <w:rPr>
          <w:rFonts w:hint="cs"/>
          <w:rtl/>
        </w:rPr>
        <w:t xml:space="preserve"> (2018), עמ' 58.</w:t>
      </w:r>
    </w:p>
  </w:footnote>
  <w:footnote w:id="32">
    <w:p w:rsidR="00F8025B" w:rsidP="00AA5065">
      <w:pPr>
        <w:pStyle w:val="FootnoteText"/>
      </w:pPr>
      <w:r>
        <w:rPr>
          <w:rStyle w:val="FootnoteReference1"/>
        </w:rPr>
        <w:footnoteRef/>
      </w:r>
      <w:r>
        <w:rPr>
          <w:rtl/>
        </w:rPr>
        <w:t xml:space="preserve"> </w:t>
      </w:r>
      <w:r>
        <w:rPr>
          <w:rtl/>
        </w:rPr>
        <w:tab/>
      </w:r>
      <w:r w:rsidRPr="00217F3E">
        <w:rPr>
          <w:rFonts w:hint="cs"/>
          <w:rtl/>
        </w:rPr>
        <w:t xml:space="preserve">סיכום דיון </w:t>
      </w:r>
      <w:r w:rsidRPr="00E84878">
        <w:rPr>
          <w:rFonts w:hint="cs"/>
          <w:rtl/>
        </w:rPr>
        <w:t>מיום 7.2.22</w:t>
      </w:r>
      <w:r>
        <w:rPr>
          <w:rFonts w:hint="cs"/>
          <w:rtl/>
        </w:rPr>
        <w:t>.</w:t>
      </w:r>
    </w:p>
  </w:footnote>
  <w:footnote w:id="33">
    <w:p w:rsidR="00F8025B" w:rsidP="00AA5065">
      <w:pPr>
        <w:pStyle w:val="FootnoteText"/>
      </w:pPr>
      <w:r>
        <w:rPr>
          <w:rStyle w:val="FootnoteReference1"/>
        </w:rPr>
        <w:footnoteRef/>
      </w:r>
      <w:r>
        <w:rPr>
          <w:rtl/>
        </w:rPr>
        <w:t xml:space="preserve"> </w:t>
      </w:r>
      <w:r>
        <w:rPr>
          <w:rtl/>
        </w:rPr>
        <w:tab/>
      </w:r>
      <w:r w:rsidRPr="00217F3E">
        <w:rPr>
          <w:rFonts w:hint="cs"/>
          <w:rtl/>
        </w:rPr>
        <w:t>סיכום דיון</w:t>
      </w:r>
      <w:r w:rsidRPr="00906131">
        <w:rPr>
          <w:rtl/>
        </w:rPr>
        <w:t xml:space="preserve"> מיום 1.3.23</w:t>
      </w:r>
      <w:r>
        <w:rPr>
          <w:rFonts w:hint="cs"/>
          <w:rtl/>
        </w:rPr>
        <w:t xml:space="preserve"> אשר עסק </w:t>
      </w:r>
      <w:r w:rsidRPr="00906131">
        <w:rPr>
          <w:rtl/>
        </w:rPr>
        <w:t>גם בענייני הסדרת רישום התושבים, ב</w:t>
      </w:r>
      <w:r>
        <w:rPr>
          <w:rFonts w:hint="cs"/>
          <w:rtl/>
        </w:rPr>
        <w:t>ב</w:t>
      </w:r>
      <w:r w:rsidRPr="00906131">
        <w:rPr>
          <w:rtl/>
        </w:rPr>
        <w:t>חינת מרכז חייהם של תושבי הפזורה בנגב ומחוצה לו ובבחינת בקשותיהם של תושבי קבע להתאזרחות</w:t>
      </w:r>
      <w:r>
        <w:rPr>
          <w:rFonts w:hint="cs"/>
          <w:rtl/>
        </w:rPr>
        <w:t>.</w:t>
      </w:r>
    </w:p>
  </w:footnote>
  <w:footnote w:id="34">
    <w:p w:rsidR="00F8025B" w:rsidP="00AA5065">
      <w:pPr>
        <w:pStyle w:val="FootnoteText"/>
      </w:pPr>
      <w:r>
        <w:rPr>
          <w:rStyle w:val="FootnoteReference1"/>
        </w:rPr>
        <w:footnoteRef/>
      </w:r>
      <w:r>
        <w:rPr>
          <w:rtl/>
        </w:rPr>
        <w:t xml:space="preserve"> </w:t>
      </w:r>
      <w:r>
        <w:rPr>
          <w:rtl/>
        </w:rPr>
        <w:tab/>
      </w:r>
      <w:r w:rsidRPr="008722E9">
        <w:rPr>
          <w:rFonts w:hint="cs"/>
          <w:rtl/>
        </w:rPr>
        <w:t>החלט</w:t>
      </w:r>
      <w:r>
        <w:rPr>
          <w:rFonts w:hint="cs"/>
          <w:rtl/>
        </w:rPr>
        <w:t>ת 705 של הממשלה ה-37(בדו/3) "התמודדות עם תופעת הפוליגמיה והשלכותיה השליליות ותיקון החלטת ממשלה" (30.6.23).</w:t>
      </w:r>
    </w:p>
  </w:footnote>
  <w:footnote w:id="35">
    <w:p w:rsidR="00F8025B" w:rsidP="00AA5065">
      <w:pPr>
        <w:pStyle w:val="FootnoteText"/>
        <w:rPr>
          <w:rtl/>
        </w:rPr>
      </w:pPr>
      <w:r>
        <w:rPr>
          <w:rStyle w:val="FootnoteReference1"/>
        </w:rPr>
        <w:footnoteRef/>
      </w:r>
      <w:r>
        <w:rPr>
          <w:rtl/>
        </w:rPr>
        <w:t xml:space="preserve"> </w:t>
      </w:r>
      <w:r>
        <w:rPr>
          <w:rtl/>
        </w:rPr>
        <w:tab/>
      </w:r>
      <w:r>
        <w:rPr>
          <w:rFonts w:hint="cs"/>
          <w:rtl/>
        </w:rPr>
        <w:t>בוועדה חברים נציגים ממשרד המשפטים, בט"ל ואגף בכיר לפיתוח כלכלי-חברתי בחברה הבדואית בנגב שבמשרד התפוצות.</w:t>
      </w:r>
    </w:p>
  </w:footnote>
  <w:footnote w:id="36">
    <w:p w:rsidR="00F8025B" w:rsidP="00AA5065">
      <w:pPr>
        <w:pStyle w:val="FootnoteText"/>
        <w:rPr>
          <w:rtl/>
        </w:rPr>
      </w:pPr>
      <w:r>
        <w:rPr>
          <w:rStyle w:val="FootnoteReference1"/>
        </w:rPr>
        <w:footnoteRef/>
      </w:r>
      <w:r>
        <w:rPr>
          <w:rtl/>
        </w:rPr>
        <w:t xml:space="preserve"> </w:t>
      </w:r>
      <w:r>
        <w:rPr>
          <w:rtl/>
        </w:rPr>
        <w:tab/>
      </w:r>
      <w:r w:rsidRPr="00A5081A">
        <w:rPr>
          <w:rtl/>
        </w:rPr>
        <w:t>החלטה מס</w:t>
      </w:r>
      <w:r>
        <w:rPr>
          <w:rFonts w:hint="cs"/>
          <w:rtl/>
        </w:rPr>
        <w:t>'</w:t>
      </w:r>
      <w:r w:rsidRPr="00A5081A">
        <w:rPr>
          <w:rtl/>
        </w:rPr>
        <w:t xml:space="preserve"> חכ/77 של ועדת שרים לענ</w:t>
      </w:r>
      <w:r>
        <w:rPr>
          <w:rFonts w:hint="cs"/>
          <w:rtl/>
        </w:rPr>
        <w:t>י</w:t>
      </w:r>
      <w:r w:rsidRPr="00A5081A">
        <w:rPr>
          <w:rtl/>
        </w:rPr>
        <w:t>יני חברה וכלכלה (קבינט חברתי-כלכלי) מיום</w:t>
      </w:r>
      <w:r>
        <w:rPr>
          <w:rtl/>
        </w:rPr>
        <w:t xml:space="preserve"> </w:t>
      </w:r>
      <w:r w:rsidRPr="00A5081A">
        <w:rPr>
          <w:rtl/>
        </w:rPr>
        <w:t>23.03.04</w:t>
      </w:r>
      <w:r>
        <w:rPr>
          <w:rtl/>
        </w:rPr>
        <w:t xml:space="preserve"> </w:t>
      </w:r>
      <w:r w:rsidRPr="00A5081A">
        <w:rPr>
          <w:rtl/>
        </w:rPr>
        <w:t>אשר צורפה לפרוטוקול החלטות הממשלה וקבלה</w:t>
      </w:r>
      <w:r>
        <w:rPr>
          <w:rtl/>
        </w:rPr>
        <w:t xml:space="preserve"> </w:t>
      </w:r>
      <w:r w:rsidRPr="00A5081A">
        <w:rPr>
          <w:rtl/>
        </w:rPr>
        <w:t>תוקף</w:t>
      </w:r>
      <w:r>
        <w:rPr>
          <w:rtl/>
        </w:rPr>
        <w:t xml:space="preserve"> </w:t>
      </w:r>
      <w:r w:rsidRPr="00A5081A">
        <w:rPr>
          <w:rtl/>
        </w:rPr>
        <w:t>של החלטת ממשלה ביום 13.04.04 ומספרה הוא 1799(חכ/77).</w:t>
      </w:r>
    </w:p>
  </w:footnote>
  <w:footnote w:id="37">
    <w:p w:rsidR="00F8025B" w:rsidP="00AA5065">
      <w:pPr>
        <w:pStyle w:val="FootnoteText"/>
      </w:pPr>
      <w:r>
        <w:rPr>
          <w:rStyle w:val="FootnoteReference1"/>
        </w:rPr>
        <w:footnoteRef/>
      </w:r>
      <w:r>
        <w:rPr>
          <w:rtl/>
        </w:rPr>
        <w:t xml:space="preserve"> </w:t>
      </w:r>
      <w:r>
        <w:rPr>
          <w:rtl/>
        </w:rPr>
        <w:tab/>
      </w:r>
      <w:r>
        <w:rPr>
          <w:rFonts w:hint="cs"/>
          <w:rtl/>
        </w:rPr>
        <w:t>סיכום דיון מיום 17.5.22.</w:t>
      </w:r>
    </w:p>
  </w:footnote>
  <w:footnote w:id="38">
    <w:p w:rsidR="00F8025B" w:rsidRPr="001D5724" w:rsidP="00AA5065">
      <w:pPr>
        <w:pStyle w:val="FootnoteText"/>
        <w:rPr>
          <w:rtl/>
        </w:rPr>
      </w:pPr>
      <w:r w:rsidRPr="001D5724">
        <w:rPr>
          <w:rStyle w:val="FootnoteReference1"/>
        </w:rPr>
        <w:footnoteRef/>
      </w:r>
      <w:r w:rsidRPr="001D5724">
        <w:rPr>
          <w:rtl/>
        </w:rPr>
        <w:t xml:space="preserve"> </w:t>
      </w:r>
      <w:r w:rsidRPr="001D5724">
        <w:rPr>
          <w:rtl/>
        </w:rPr>
        <w:tab/>
      </w:r>
      <w:r w:rsidRPr="001D5724">
        <w:rPr>
          <w:rFonts w:hint="cs"/>
          <w:rtl/>
        </w:rPr>
        <w:t xml:space="preserve">מסמך </w:t>
      </w:r>
      <w:r>
        <w:rPr>
          <w:rFonts w:hint="cs"/>
          <w:rtl/>
        </w:rPr>
        <w:t>ש</w:t>
      </w:r>
      <w:r w:rsidRPr="001D5724">
        <w:rPr>
          <w:rFonts w:hint="cs"/>
          <w:rtl/>
        </w:rPr>
        <w:t>כותרת</w:t>
      </w:r>
      <w:r>
        <w:rPr>
          <w:rFonts w:hint="cs"/>
          <w:rtl/>
        </w:rPr>
        <w:t>ו</w:t>
      </w:r>
      <w:r w:rsidRPr="001D5724">
        <w:rPr>
          <w:rFonts w:hint="cs"/>
          <w:rtl/>
        </w:rPr>
        <w:t xml:space="preserve"> "האוכלוסייה הבדואית מול החקירות".</w:t>
      </w:r>
    </w:p>
  </w:footnote>
  <w:footnote w:id="39">
    <w:p w:rsidR="00F8025B" w:rsidP="00AA5065">
      <w:pPr>
        <w:pStyle w:val="FootnoteText"/>
      </w:pPr>
      <w:r>
        <w:rPr>
          <w:rStyle w:val="FootnoteReference1"/>
        </w:rPr>
        <w:footnoteRef/>
      </w:r>
      <w:r>
        <w:rPr>
          <w:rtl/>
        </w:rPr>
        <w:t xml:space="preserve"> </w:t>
      </w:r>
      <w:r>
        <w:rPr>
          <w:rtl/>
        </w:rPr>
        <w:tab/>
      </w:r>
      <w:r>
        <w:rPr>
          <w:rFonts w:hint="cs"/>
          <w:rtl/>
        </w:rPr>
        <w:t>יצוין כי על פי נתונים שנתקבלו ממשרד המשפטים, נכון לינואר 2025 מדובר ב-625 נשים שאינן האלמנה היחידה של אותו נפטר.</w:t>
      </w:r>
    </w:p>
  </w:footnote>
  <w:footnote w:id="40">
    <w:p w:rsidR="00F8025B" w:rsidP="00AA5065">
      <w:pPr>
        <w:pStyle w:val="FootnoteText"/>
        <w:rPr>
          <w:rtl/>
        </w:rPr>
      </w:pPr>
      <w:r>
        <w:rPr>
          <w:rStyle w:val="FootnoteReference1"/>
        </w:rPr>
        <w:footnoteRef/>
      </w:r>
      <w:r>
        <w:rPr>
          <w:rtl/>
        </w:rPr>
        <w:t xml:space="preserve"> </w:t>
      </w:r>
      <w:r>
        <w:rPr>
          <w:rtl/>
        </w:rPr>
        <w:tab/>
      </w:r>
      <w:r>
        <w:rPr>
          <w:rFonts w:hint="cs"/>
          <w:rtl/>
        </w:rPr>
        <w:t>בני משפחה אשר תלויים לפרנסתם במקבל הקצבה.</w:t>
      </w:r>
    </w:p>
  </w:footnote>
  <w:footnote w:id="41">
    <w:p w:rsidR="00F8025B" w:rsidP="00AA5065">
      <w:pPr>
        <w:pStyle w:val="FootnoteText"/>
      </w:pPr>
      <w:r>
        <w:rPr>
          <w:rStyle w:val="FootnoteReference1"/>
        </w:rPr>
        <w:footnoteRef/>
      </w:r>
      <w:r>
        <w:rPr>
          <w:rtl/>
        </w:rPr>
        <w:t xml:space="preserve"> </w:t>
      </w:r>
      <w:r>
        <w:rPr>
          <w:rtl/>
        </w:rPr>
        <w:tab/>
      </w:r>
      <w:r>
        <w:rPr>
          <w:rFonts w:hint="cs"/>
          <w:rtl/>
        </w:rPr>
        <w:t xml:space="preserve">אלה </w:t>
      </w:r>
      <w:r>
        <w:rPr>
          <w:rtl/>
        </w:rPr>
        <w:t>ה</w:t>
      </w:r>
      <w:r>
        <w:rPr>
          <w:rFonts w:hint="cs"/>
          <w:rtl/>
        </w:rPr>
        <w:t>י</w:t>
      </w:r>
      <w:r>
        <w:rPr>
          <w:rtl/>
        </w:rPr>
        <w:t>ישובים שיוחסו לפזורה:</w:t>
      </w:r>
      <w:r>
        <w:rPr>
          <w:rFonts w:hint="cs"/>
          <w:rtl/>
        </w:rPr>
        <w:t xml:space="preserve"> </w:t>
      </w:r>
      <w:r>
        <w:rPr>
          <w:rtl/>
        </w:rPr>
        <w:t>אום בטין</w:t>
      </w:r>
      <w:r>
        <w:rPr>
          <w:rFonts w:hint="cs"/>
          <w:rtl/>
        </w:rPr>
        <w:t xml:space="preserve">, </w:t>
      </w:r>
      <w:r>
        <w:rPr>
          <w:rtl/>
        </w:rPr>
        <w:t>ביר הדאג</w:t>
      </w:r>
      <w:r>
        <w:rPr>
          <w:rFonts w:hint="cs"/>
          <w:rtl/>
        </w:rPr>
        <w:t xml:space="preserve">', </w:t>
      </w:r>
      <w:r>
        <w:rPr>
          <w:rtl/>
        </w:rPr>
        <w:t>שבט (החייל)</w:t>
      </w:r>
      <w:r>
        <w:rPr>
          <w:rFonts w:hint="cs"/>
          <w:rtl/>
        </w:rPr>
        <w:t xml:space="preserve">, </w:t>
      </w:r>
      <w:r>
        <w:rPr>
          <w:rtl/>
        </w:rPr>
        <w:t>חורה</w:t>
      </w:r>
      <w:r>
        <w:rPr>
          <w:rFonts w:hint="cs"/>
          <w:rtl/>
        </w:rPr>
        <w:t xml:space="preserve">, </w:t>
      </w:r>
      <w:r>
        <w:rPr>
          <w:rtl/>
        </w:rPr>
        <w:t>לקי</w:t>
      </w:r>
      <w:r>
        <w:rPr>
          <w:rFonts w:hint="cs"/>
          <w:rtl/>
        </w:rPr>
        <w:t>י</w:t>
      </w:r>
      <w:r>
        <w:rPr>
          <w:rtl/>
        </w:rPr>
        <w:t>ה</w:t>
      </w:r>
      <w:r>
        <w:rPr>
          <w:rFonts w:hint="cs"/>
          <w:rtl/>
        </w:rPr>
        <w:t xml:space="preserve">, </w:t>
      </w:r>
      <w:r>
        <w:rPr>
          <w:rtl/>
        </w:rPr>
        <w:t>מסעודין אל</w:t>
      </w:r>
      <w:r>
        <w:rPr>
          <w:rFonts w:hint="cs"/>
          <w:rtl/>
        </w:rPr>
        <w:t>-</w:t>
      </w:r>
      <w:r>
        <w:rPr>
          <w:rtl/>
        </w:rPr>
        <w:t>עזא</w:t>
      </w:r>
      <w:r>
        <w:rPr>
          <w:rFonts w:hint="cs"/>
          <w:rtl/>
        </w:rPr>
        <w:t xml:space="preserve">זמה, </w:t>
      </w:r>
      <w:r>
        <w:rPr>
          <w:rtl/>
        </w:rPr>
        <w:t>עוקבי</w:t>
      </w:r>
      <w:r>
        <w:rPr>
          <w:rFonts w:hint="cs"/>
          <w:rtl/>
        </w:rPr>
        <w:t xml:space="preserve">, </w:t>
      </w:r>
      <w:r>
        <w:rPr>
          <w:rtl/>
        </w:rPr>
        <w:t>ערערה</w:t>
      </w:r>
      <w:r>
        <w:rPr>
          <w:rFonts w:hint="cs"/>
          <w:rtl/>
        </w:rPr>
        <w:t xml:space="preserve"> בנגב, </w:t>
      </w:r>
      <w:r>
        <w:rPr>
          <w:rtl/>
        </w:rPr>
        <w:t>ק</w:t>
      </w:r>
      <w:r>
        <w:rPr>
          <w:rFonts w:hint="cs"/>
          <w:rtl/>
        </w:rPr>
        <w:t>ס'</w:t>
      </w:r>
      <w:r>
        <w:rPr>
          <w:rtl/>
        </w:rPr>
        <w:t>ר א-ס</w:t>
      </w:r>
      <w:r>
        <w:rPr>
          <w:rFonts w:hint="cs"/>
          <w:rtl/>
        </w:rPr>
        <w:t>י</w:t>
      </w:r>
      <w:r>
        <w:rPr>
          <w:rtl/>
        </w:rPr>
        <w:t>ר</w:t>
      </w:r>
      <w:r>
        <w:rPr>
          <w:rFonts w:hint="cs"/>
          <w:rtl/>
        </w:rPr>
        <w:t xml:space="preserve">, </w:t>
      </w:r>
      <w:r>
        <w:rPr>
          <w:rtl/>
        </w:rPr>
        <w:t>רהט</w:t>
      </w:r>
      <w:r>
        <w:rPr>
          <w:rFonts w:hint="cs"/>
          <w:rtl/>
        </w:rPr>
        <w:t xml:space="preserve">, </w:t>
      </w:r>
      <w:r>
        <w:rPr>
          <w:rtl/>
        </w:rPr>
        <w:t>שגב שלום</w:t>
      </w:r>
      <w:r>
        <w:rPr>
          <w:rFonts w:hint="cs"/>
          <w:rtl/>
        </w:rPr>
        <w:t xml:space="preserve">, </w:t>
      </w:r>
      <w:r>
        <w:rPr>
          <w:rtl/>
        </w:rPr>
        <w:t>שחר</w:t>
      </w:r>
      <w:r>
        <w:rPr>
          <w:rFonts w:hint="cs"/>
          <w:rtl/>
        </w:rPr>
        <w:t xml:space="preserve">, </w:t>
      </w:r>
      <w:r>
        <w:rPr>
          <w:rtl/>
        </w:rPr>
        <w:t>תל שבע</w:t>
      </w:r>
      <w:r>
        <w:rPr>
          <w:rFonts w:hint="cs"/>
          <w:rtl/>
        </w:rPr>
        <w:t xml:space="preserve">, </w:t>
      </w:r>
      <w:r>
        <w:rPr>
          <w:rtl/>
        </w:rPr>
        <w:t>תראבין</w:t>
      </w:r>
      <w:r>
        <w:rPr>
          <w:rFonts w:hint="cs"/>
          <w:rtl/>
        </w:rPr>
        <w:t>.</w:t>
      </w:r>
    </w:p>
  </w:footnote>
  <w:footnote w:id="42">
    <w:p w:rsidR="00F8025B" w:rsidP="00AA5065">
      <w:pPr>
        <w:pStyle w:val="FootnoteText"/>
        <w:rPr>
          <w:rtl/>
        </w:rPr>
      </w:pPr>
      <w:r w:rsidRPr="00265E90">
        <w:rPr>
          <w:rStyle w:val="FootnoteReference1"/>
        </w:rPr>
        <w:footnoteRef/>
      </w:r>
      <w:r w:rsidRPr="00265E90">
        <w:rPr>
          <w:rtl/>
        </w:rPr>
        <w:t xml:space="preserve"> </w:t>
      </w:r>
      <w:r w:rsidRPr="00265E90">
        <w:rPr>
          <w:rtl/>
        </w:rPr>
        <w:tab/>
      </w:r>
      <w:r w:rsidRPr="005F5E5F">
        <w:rPr>
          <w:rFonts w:hint="eastAsia"/>
          <w:rtl/>
        </w:rPr>
        <w:t>עד</w:t>
      </w:r>
      <w:r w:rsidRPr="005F5E5F">
        <w:rPr>
          <w:rtl/>
        </w:rPr>
        <w:t xml:space="preserve"> </w:t>
      </w:r>
      <w:r w:rsidRPr="005F5E5F">
        <w:rPr>
          <w:rFonts w:hint="eastAsia"/>
          <w:rtl/>
        </w:rPr>
        <w:t>ינואר</w:t>
      </w:r>
      <w:r w:rsidRPr="005F5E5F">
        <w:rPr>
          <w:rtl/>
        </w:rPr>
        <w:t xml:space="preserve"> 2023 </w:t>
      </w:r>
      <w:r w:rsidRPr="005F5E5F">
        <w:rPr>
          <w:rFonts w:hint="eastAsia"/>
          <w:rtl/>
        </w:rPr>
        <w:t>ביקורות</w:t>
      </w:r>
      <w:r w:rsidRPr="005F5E5F">
        <w:rPr>
          <w:rtl/>
        </w:rPr>
        <w:t xml:space="preserve"> ניהול ספרים נעשו </w:t>
      </w:r>
      <w:r w:rsidRPr="005F5E5F">
        <w:rPr>
          <w:rFonts w:hint="eastAsia"/>
          <w:rtl/>
        </w:rPr>
        <w:t>על</w:t>
      </w:r>
      <w:r w:rsidRPr="005F5E5F">
        <w:rPr>
          <w:rtl/>
        </w:rPr>
        <w:t xml:space="preserve"> </w:t>
      </w:r>
      <w:r w:rsidRPr="005F5E5F">
        <w:rPr>
          <w:rFonts w:hint="eastAsia"/>
          <w:rtl/>
        </w:rPr>
        <w:t>ידי</w:t>
      </w:r>
      <w:r w:rsidRPr="005F5E5F">
        <w:rPr>
          <w:rtl/>
        </w:rPr>
        <w:t xml:space="preserve"> </w:t>
      </w:r>
      <w:r w:rsidRPr="005F5E5F">
        <w:rPr>
          <w:rFonts w:hint="eastAsia"/>
          <w:rtl/>
        </w:rPr>
        <w:t>יחיד</w:t>
      </w:r>
      <w:r>
        <w:rPr>
          <w:rFonts w:hint="cs"/>
          <w:rtl/>
        </w:rPr>
        <w:t>ו</w:t>
      </w:r>
      <w:r w:rsidRPr="005F5E5F">
        <w:rPr>
          <w:rFonts w:hint="eastAsia"/>
          <w:rtl/>
        </w:rPr>
        <w:t>ת</w:t>
      </w:r>
      <w:r w:rsidRPr="005F5E5F">
        <w:rPr>
          <w:rtl/>
        </w:rPr>
        <w:t xml:space="preserve"> </w:t>
      </w:r>
      <w:r w:rsidRPr="005F5E5F">
        <w:rPr>
          <w:rFonts w:hint="eastAsia"/>
          <w:rtl/>
        </w:rPr>
        <w:t>ניהול</w:t>
      </w:r>
      <w:r w:rsidRPr="005F5E5F">
        <w:rPr>
          <w:rtl/>
        </w:rPr>
        <w:t xml:space="preserve"> </w:t>
      </w:r>
      <w:r w:rsidRPr="005F5E5F">
        <w:rPr>
          <w:rFonts w:hint="eastAsia"/>
          <w:rtl/>
        </w:rPr>
        <w:t>ספרים</w:t>
      </w:r>
      <w:r w:rsidRPr="005F5E5F">
        <w:rPr>
          <w:rtl/>
        </w:rPr>
        <w:t xml:space="preserve"> </w:t>
      </w:r>
      <w:r w:rsidRPr="005F5E5F">
        <w:rPr>
          <w:rFonts w:hint="eastAsia"/>
          <w:rtl/>
        </w:rPr>
        <w:t>בפקידי</w:t>
      </w:r>
      <w:r w:rsidRPr="005F5E5F">
        <w:rPr>
          <w:rtl/>
        </w:rPr>
        <w:t xml:space="preserve"> השומה</w:t>
      </w:r>
      <w:r>
        <w:rPr>
          <w:rFonts w:hint="cs"/>
          <w:rtl/>
        </w:rPr>
        <w:t>,</w:t>
      </w:r>
      <w:r>
        <w:rPr>
          <w:rtl/>
        </w:rPr>
        <w:t xml:space="preserve"> </w:t>
      </w:r>
      <w:r>
        <w:rPr>
          <w:rFonts w:hint="cs"/>
          <w:rtl/>
        </w:rPr>
        <w:t>ו</w:t>
      </w:r>
      <w:r w:rsidRPr="005F5E5F">
        <w:rPr>
          <w:rFonts w:hint="eastAsia"/>
          <w:rtl/>
        </w:rPr>
        <w:t>בינואר</w:t>
      </w:r>
      <w:r w:rsidRPr="005F5E5F">
        <w:rPr>
          <w:rtl/>
        </w:rPr>
        <w:t xml:space="preserve"> 2023 החלה לפעול</w:t>
      </w:r>
      <w:r>
        <w:rPr>
          <w:rtl/>
        </w:rPr>
        <w:t xml:space="preserve"> </w:t>
      </w:r>
      <w:r w:rsidRPr="005F5E5F">
        <w:rPr>
          <w:rFonts w:hint="eastAsia"/>
          <w:rtl/>
        </w:rPr>
        <w:t>היחידה</w:t>
      </w:r>
      <w:r w:rsidRPr="005F5E5F">
        <w:rPr>
          <w:rtl/>
        </w:rPr>
        <w:t xml:space="preserve"> </w:t>
      </w:r>
      <w:r w:rsidRPr="005F5E5F">
        <w:rPr>
          <w:rFonts w:hint="eastAsia"/>
          <w:rtl/>
        </w:rPr>
        <w:t>הארצית</w:t>
      </w:r>
      <w:r w:rsidRPr="005F5E5F">
        <w:rPr>
          <w:rtl/>
        </w:rPr>
        <w:t xml:space="preserve"> </w:t>
      </w:r>
      <w:r w:rsidRPr="005F5E5F">
        <w:rPr>
          <w:rFonts w:hint="eastAsia"/>
          <w:rtl/>
        </w:rPr>
        <w:t>לניהול</w:t>
      </w:r>
      <w:r w:rsidRPr="005F5E5F">
        <w:rPr>
          <w:rtl/>
        </w:rPr>
        <w:t xml:space="preserve"> </w:t>
      </w:r>
      <w:r w:rsidRPr="005F5E5F">
        <w:rPr>
          <w:rFonts w:hint="eastAsia"/>
          <w:rtl/>
        </w:rPr>
        <w:t>ספרים</w:t>
      </w:r>
      <w:r>
        <w:rPr>
          <w:rFonts w:hint="cs"/>
          <w:rtl/>
        </w:rPr>
        <w:t>.</w:t>
      </w:r>
      <w:r w:rsidRPr="005F5E5F">
        <w:rPr>
          <w:rtl/>
        </w:rPr>
        <w:t xml:space="preserve"> </w:t>
      </w:r>
      <w:r w:rsidRPr="005F5E5F">
        <w:rPr>
          <w:rFonts w:hint="eastAsia"/>
          <w:rtl/>
        </w:rPr>
        <w:t>מרבית</w:t>
      </w:r>
      <w:r w:rsidRPr="005F5E5F">
        <w:rPr>
          <w:rtl/>
        </w:rPr>
        <w:t xml:space="preserve"> </w:t>
      </w:r>
      <w:r w:rsidRPr="005F5E5F">
        <w:rPr>
          <w:rFonts w:hint="eastAsia"/>
          <w:rtl/>
        </w:rPr>
        <w:t>הביקורות</w:t>
      </w:r>
      <w:r w:rsidRPr="005F5E5F">
        <w:rPr>
          <w:rtl/>
        </w:rPr>
        <w:t xml:space="preserve"> </w:t>
      </w:r>
      <w:r w:rsidRPr="005F5E5F">
        <w:rPr>
          <w:rFonts w:hint="eastAsia"/>
          <w:rtl/>
        </w:rPr>
        <w:t>מבוצעות</w:t>
      </w:r>
      <w:r w:rsidRPr="005F5E5F">
        <w:rPr>
          <w:rtl/>
        </w:rPr>
        <w:t xml:space="preserve"> </w:t>
      </w:r>
      <w:r w:rsidRPr="005F5E5F">
        <w:rPr>
          <w:rFonts w:hint="eastAsia"/>
          <w:rtl/>
        </w:rPr>
        <w:t>על</w:t>
      </w:r>
      <w:r w:rsidRPr="005F5E5F">
        <w:rPr>
          <w:rtl/>
        </w:rPr>
        <w:t xml:space="preserve"> </w:t>
      </w:r>
      <w:r w:rsidRPr="005F5E5F">
        <w:rPr>
          <w:rFonts w:hint="eastAsia"/>
          <w:rtl/>
        </w:rPr>
        <w:t>ידה</w:t>
      </w:r>
      <w:r>
        <w:rPr>
          <w:rFonts w:hint="cs"/>
          <w:rtl/>
        </w:rPr>
        <w:t>,</w:t>
      </w:r>
      <w:r w:rsidRPr="005F5E5F">
        <w:rPr>
          <w:rtl/>
        </w:rPr>
        <w:t xml:space="preserve"> וחלקן מבוצעות על ידי עובדי ניהול ספרים במשרדי פקיד השומה.</w:t>
      </w:r>
    </w:p>
  </w:footnote>
  <w:footnote w:id="43">
    <w:p w:rsidR="00F8025B" w:rsidRPr="00983CA4" w:rsidP="00AA5065">
      <w:pPr>
        <w:pStyle w:val="FootnoteText"/>
        <w:spacing w:after="60" w:line="220" w:lineRule="exact"/>
        <w:rPr>
          <w:rtl/>
        </w:rPr>
      </w:pPr>
      <w:r w:rsidRPr="00983CA4">
        <w:rPr>
          <w:rStyle w:val="FootnoteReference1"/>
        </w:rPr>
        <w:footnoteRef/>
      </w:r>
      <w:r w:rsidRPr="00983CA4">
        <w:rPr>
          <w:rtl/>
        </w:rPr>
        <w:t xml:space="preserve"> </w:t>
      </w:r>
      <w:r w:rsidRPr="00983CA4">
        <w:rPr>
          <w:rtl/>
        </w:rPr>
        <w:tab/>
      </w:r>
      <w:r w:rsidRPr="00983CA4">
        <w:rPr>
          <w:rtl/>
        </w:rPr>
        <w:t>טופס 1312 - בקשה לאישור תושבות לשם קבלת הנחת תושבות.</w:t>
      </w:r>
    </w:p>
  </w:footnote>
  <w:footnote w:id="44">
    <w:p w:rsidR="00F8025B" w:rsidRPr="00983CA4" w:rsidP="00AA5065">
      <w:pPr>
        <w:pStyle w:val="FootnoteText"/>
        <w:spacing w:after="60" w:line="220" w:lineRule="exact"/>
      </w:pPr>
      <w:r w:rsidRPr="00983CA4">
        <w:rPr>
          <w:rStyle w:val="FootnoteReference1"/>
        </w:rPr>
        <w:footnoteRef/>
      </w:r>
      <w:r w:rsidRPr="00983CA4">
        <w:rPr>
          <w:rtl/>
        </w:rPr>
        <w:t xml:space="preserve"> </w:t>
      </w:r>
      <w:r w:rsidRPr="00983CA4">
        <w:rPr>
          <w:rtl/>
        </w:rPr>
        <w:tab/>
      </w:r>
      <w:r w:rsidRPr="00983CA4">
        <w:rPr>
          <w:rtl/>
        </w:rPr>
        <w:t xml:space="preserve">אדם שאינו שכיר אלא עצמאי יצרף אישור זה לדוח שיוגש לפקיד השומה. </w:t>
      </w:r>
    </w:p>
  </w:footnote>
  <w:footnote w:id="45">
    <w:p w:rsidR="00F8025B" w:rsidP="00AA5065">
      <w:pPr>
        <w:pStyle w:val="FootnoteText"/>
        <w:rPr>
          <w:rtl/>
        </w:rPr>
      </w:pPr>
      <w:r>
        <w:rPr>
          <w:rStyle w:val="FootnoteReference1"/>
        </w:rPr>
        <w:footnoteRef/>
      </w:r>
      <w:r>
        <w:rPr>
          <w:rtl/>
        </w:rPr>
        <w:t xml:space="preserve"> </w:t>
      </w:r>
      <w:r>
        <w:rPr>
          <w:rtl/>
        </w:rPr>
        <w:tab/>
      </w:r>
      <w:r w:rsidRPr="00790021">
        <w:rPr>
          <w:rtl/>
        </w:rPr>
        <w:t xml:space="preserve">בפגישה שנערכה ביום 15.8.24 </w:t>
      </w:r>
      <w:r>
        <w:rPr>
          <w:rFonts w:hint="cs"/>
          <w:rtl/>
        </w:rPr>
        <w:t xml:space="preserve">ובדוא"ל </w:t>
      </w:r>
      <w:r w:rsidRPr="00790021">
        <w:rPr>
          <w:rtl/>
        </w:rPr>
        <w:t>שהתקבל מיום 14.10.24</w:t>
      </w:r>
      <w:r>
        <w:rPr>
          <w:rFonts w:hint="cs"/>
          <w:rtl/>
        </w:rPr>
        <w:t>.</w:t>
      </w:r>
    </w:p>
  </w:footnote>
  <w:footnote w:id="46">
    <w:p w:rsidR="00F8025B" w:rsidP="00AA5065">
      <w:pPr>
        <w:pStyle w:val="FootnoteText"/>
        <w:rPr>
          <w:rtl/>
        </w:rPr>
      </w:pPr>
      <w:r>
        <w:rPr>
          <w:rStyle w:val="FootnoteReference1"/>
        </w:rPr>
        <w:footnoteRef/>
      </w:r>
      <w:r>
        <w:rPr>
          <w:rtl/>
        </w:rPr>
        <w:t xml:space="preserve"> </w:t>
      </w:r>
      <w:r>
        <w:rPr>
          <w:rtl/>
        </w:rPr>
        <w:tab/>
      </w:r>
      <w:r w:rsidRPr="00AB0CB5">
        <w:rPr>
          <w:rFonts w:hint="cs"/>
          <w:rtl/>
        </w:rPr>
        <w:t xml:space="preserve">אלו </w:t>
      </w:r>
      <w:r w:rsidRPr="00AB0CB5">
        <w:rPr>
          <w:rtl/>
        </w:rPr>
        <w:t>הם תיקים שנפתחים ע</w:t>
      </w:r>
      <w:r>
        <w:rPr>
          <w:rFonts w:hint="cs"/>
          <w:rtl/>
        </w:rPr>
        <w:t xml:space="preserve">ל </w:t>
      </w:r>
      <w:r w:rsidRPr="00AB0CB5">
        <w:rPr>
          <w:rtl/>
        </w:rPr>
        <w:t>י</w:t>
      </w:r>
      <w:r>
        <w:rPr>
          <w:rFonts w:hint="cs"/>
          <w:rtl/>
        </w:rPr>
        <w:t>די</w:t>
      </w:r>
      <w:r w:rsidRPr="00AB0CB5">
        <w:rPr>
          <w:rtl/>
        </w:rPr>
        <w:t xml:space="preserve"> עובדי גבי</w:t>
      </w:r>
      <w:r>
        <w:rPr>
          <w:rFonts w:hint="cs"/>
          <w:rtl/>
        </w:rPr>
        <w:t>י</w:t>
      </w:r>
      <w:r w:rsidRPr="00AB0CB5">
        <w:rPr>
          <w:rtl/>
        </w:rPr>
        <w:t>ה וא</w:t>
      </w:r>
      <w:r w:rsidRPr="00AB0CB5">
        <w:rPr>
          <w:rFonts w:hint="cs"/>
          <w:rtl/>
        </w:rPr>
        <w:t>כ</w:t>
      </w:r>
      <w:r w:rsidRPr="00AB0CB5">
        <w:rPr>
          <w:rtl/>
        </w:rPr>
        <w:t>יפה</w:t>
      </w:r>
      <w:r>
        <w:rPr>
          <w:rFonts w:hint="cs"/>
          <w:rtl/>
        </w:rPr>
        <w:t>.</w:t>
      </w:r>
      <w:r w:rsidRPr="00AB0CB5">
        <w:rPr>
          <w:rtl/>
        </w:rPr>
        <w:t xml:space="preserve"> על פי קר</w:t>
      </w:r>
      <w:r>
        <w:rPr>
          <w:rFonts w:hint="cs"/>
          <w:rtl/>
        </w:rPr>
        <w:t>י</w:t>
      </w:r>
      <w:r w:rsidRPr="00AB0CB5">
        <w:rPr>
          <w:rtl/>
        </w:rPr>
        <w:t>טריונים שקבע היוע</w:t>
      </w:r>
      <w:r>
        <w:rPr>
          <w:rFonts w:hint="cs"/>
          <w:rtl/>
        </w:rPr>
        <w:t>מ"ש</w:t>
      </w:r>
      <w:r w:rsidRPr="00AB0CB5">
        <w:rPr>
          <w:rtl/>
        </w:rPr>
        <w:t xml:space="preserve"> מחליטים אם לסגור</w:t>
      </w:r>
      <w:r>
        <w:rPr>
          <w:rFonts w:hint="cs"/>
          <w:rtl/>
        </w:rPr>
        <w:t xml:space="preserve"> את התיק </w:t>
      </w:r>
      <w:r w:rsidRPr="00AB0CB5">
        <w:rPr>
          <w:rtl/>
        </w:rPr>
        <w:t xml:space="preserve">בקנס מינהלי או </w:t>
      </w:r>
      <w:r>
        <w:rPr>
          <w:rFonts w:hint="cs"/>
          <w:rtl/>
        </w:rPr>
        <w:t>להגיש</w:t>
      </w:r>
      <w:r w:rsidRPr="00AB0CB5">
        <w:rPr>
          <w:rtl/>
        </w:rPr>
        <w:t xml:space="preserve"> כתב אישום</w:t>
      </w:r>
      <w:r>
        <w:rPr>
          <w:rFonts w:hint="cs"/>
          <w:rtl/>
        </w:rPr>
        <w:t>.</w:t>
      </w:r>
    </w:p>
  </w:footnote>
  <w:footnote w:id="47">
    <w:p w:rsidR="00F8025B" w:rsidRPr="004D7A9A" w:rsidP="00AA5065">
      <w:pPr>
        <w:pStyle w:val="FootnoteText"/>
        <w:rPr>
          <w:rStyle w:val="FootnoteReference1"/>
          <w:rtl/>
        </w:rPr>
      </w:pPr>
      <w:r>
        <w:rPr>
          <w:rStyle w:val="FootnoteReference1"/>
        </w:rPr>
        <w:footnoteRef/>
      </w:r>
      <w:r w:rsidRPr="004D7A9A">
        <w:rPr>
          <w:rStyle w:val="FootnoteReference1"/>
          <w:rtl/>
        </w:rPr>
        <w:t xml:space="preserve"> </w:t>
      </w:r>
      <w:r w:rsidRPr="004D7A9A">
        <w:rPr>
          <w:rStyle w:val="FootnoteReference1"/>
          <w:rtl/>
        </w:rPr>
        <w:tab/>
      </w:r>
      <w:r w:rsidRPr="004D7A9A">
        <w:rPr>
          <w:rtl/>
        </w:rPr>
        <w:t xml:space="preserve">דברי ההסבר להצעת חוק ההתייעלות הכלכלית (תיקוני חקיקה ליישום התוכנית הכלכלית לשנים 2009 </w:t>
      </w:r>
      <w:r>
        <w:rPr>
          <w:rtl/>
        </w:rPr>
        <w:br/>
      </w:r>
      <w:r w:rsidRPr="004D7A9A">
        <w:rPr>
          <w:rtl/>
        </w:rPr>
        <w:t xml:space="preserve">ו-2010), התשס"ט-2009, ה"ח הממשלה התשס"ט 348, 604. על פי דוח שנתי של בט"ל, </w:t>
      </w:r>
      <w:r w:rsidRPr="004D7A9A">
        <w:rPr>
          <w:b/>
          <w:bCs/>
          <w:rtl/>
        </w:rPr>
        <w:t>מגמות ההתפתחות של הביטוח הלאומי</w:t>
      </w:r>
      <w:r w:rsidRPr="004D7A9A">
        <w:rPr>
          <w:rtl/>
        </w:rPr>
        <w:t>, לוח 2, "תשלומי גמלאות הביטוח הלאומי (כולל הוצאות מינהל)", על פי נתוני שנת 2018, שולמו גמלאות בסך של כ-88.77 מיליארד ש"ח.</w:t>
      </w:r>
    </w:p>
  </w:footnote>
  <w:footnote w:id="48">
    <w:p w:rsidR="00F8025B" w:rsidRPr="001D5724" w:rsidP="00AA5065">
      <w:pPr>
        <w:pStyle w:val="FootnoteText"/>
      </w:pPr>
      <w:r w:rsidRPr="001D5724">
        <w:rPr>
          <w:rStyle w:val="FootnoteReference1"/>
        </w:rPr>
        <w:footnoteRef/>
      </w:r>
      <w:r w:rsidRPr="001D5724">
        <w:rPr>
          <w:rtl/>
        </w:rPr>
        <w:t xml:space="preserve"> </w:t>
      </w:r>
      <w:r w:rsidRPr="001D5724">
        <w:rPr>
          <w:rtl/>
        </w:rPr>
        <w:tab/>
      </w:r>
      <w:r w:rsidRPr="001D5724">
        <w:rPr>
          <w:rFonts w:hint="cs"/>
          <w:rtl/>
        </w:rPr>
        <w:t>סעיף 384א לחוק הביטוח הלאומי - קבלת מידע מרשות המיסים.</w:t>
      </w:r>
    </w:p>
  </w:footnote>
  <w:footnote w:id="49">
    <w:p w:rsidR="00F8025B" w:rsidP="00AA5065">
      <w:pPr>
        <w:pStyle w:val="FootnoteText"/>
      </w:pPr>
      <w:r>
        <w:rPr>
          <w:rStyle w:val="FootnoteReference1"/>
        </w:rPr>
        <w:footnoteRef/>
      </w:r>
      <w:r>
        <w:rPr>
          <w:rtl/>
        </w:rPr>
        <w:t xml:space="preserve"> </w:t>
      </w:r>
      <w:r>
        <w:rPr>
          <w:rtl/>
        </w:rPr>
        <w:tab/>
      </w:r>
      <w:r>
        <w:rPr>
          <w:rFonts w:hint="cs"/>
          <w:rtl/>
        </w:rPr>
        <w:t>תחנות דלק הפועלות ללא רישיון.</w:t>
      </w:r>
    </w:p>
  </w:footnote>
  <w:footnote w:id="50">
    <w:p w:rsidR="00F8025B" w:rsidRPr="001D5724" w:rsidP="00AA5065">
      <w:pPr>
        <w:pStyle w:val="FootnoteText"/>
      </w:pPr>
      <w:r w:rsidRPr="001D5724">
        <w:rPr>
          <w:rStyle w:val="FootnoteReference1"/>
        </w:rPr>
        <w:footnoteRef/>
      </w:r>
      <w:r w:rsidRPr="001D5724">
        <w:rPr>
          <w:rtl/>
        </w:rPr>
        <w:t xml:space="preserve"> </w:t>
      </w:r>
      <w:r w:rsidRPr="001D5724">
        <w:rPr>
          <w:rtl/>
        </w:rPr>
        <w:tab/>
      </w:r>
      <w:r w:rsidRPr="001D5724">
        <w:rPr>
          <w:rFonts w:hint="cs"/>
          <w:rtl/>
        </w:rPr>
        <w:t>מדובר באומדן בגין מהילת דלק בכלל תחנות הדלק הפיר</w:t>
      </w:r>
      <w:r>
        <w:rPr>
          <w:rFonts w:hint="cs"/>
          <w:rtl/>
        </w:rPr>
        <w:t>א</w:t>
      </w:r>
      <w:r w:rsidRPr="001D5724">
        <w:rPr>
          <w:rFonts w:hint="cs"/>
          <w:rtl/>
        </w:rPr>
        <w:t xml:space="preserve">טיות ברחבי הארץ. ראו גם מבקר המדינה, </w:t>
      </w:r>
      <w:r w:rsidRPr="001D5724">
        <w:rPr>
          <w:rFonts w:hint="cs"/>
          <w:b/>
          <w:bCs/>
          <w:rtl/>
        </w:rPr>
        <w:t>דוח שנתי 71א</w:t>
      </w:r>
      <w:r w:rsidRPr="001D5724">
        <w:rPr>
          <w:rFonts w:hint="cs"/>
          <w:rtl/>
        </w:rPr>
        <w:t xml:space="preserve"> (2020), "הפיקוח על תחנות תדלוק ומעקב אחר הטיפול בתחנות תדלוק פיר</w:t>
      </w:r>
      <w:r>
        <w:rPr>
          <w:rFonts w:hint="cs"/>
          <w:rtl/>
        </w:rPr>
        <w:t>א</w:t>
      </w:r>
      <w:r w:rsidRPr="001D5724">
        <w:rPr>
          <w:rFonts w:hint="cs"/>
          <w:rtl/>
        </w:rPr>
        <w:t>טיות ותחנות תדלוק פנימיות", עמ' 981.</w:t>
      </w:r>
    </w:p>
  </w:footnote>
  <w:footnote w:id="51">
    <w:p w:rsidR="00F8025B" w:rsidP="00AA5065">
      <w:pPr>
        <w:pStyle w:val="FootnoteText"/>
      </w:pPr>
      <w:r>
        <w:rPr>
          <w:rStyle w:val="FootnoteReference1"/>
        </w:rPr>
        <w:footnoteRef/>
      </w:r>
      <w:r>
        <w:rPr>
          <w:rtl/>
        </w:rPr>
        <w:t xml:space="preserve"> </w:t>
      </w:r>
      <w:r>
        <w:rPr>
          <w:rtl/>
        </w:rPr>
        <w:tab/>
      </w:r>
      <w:r>
        <w:rPr>
          <w:rFonts w:hint="cs"/>
          <w:rtl/>
        </w:rPr>
        <w:t>ראו הרחבה בפרק העוסק בנושא העסקת קטינים.</w:t>
      </w:r>
    </w:p>
  </w:footnote>
  <w:footnote w:id="52">
    <w:p w:rsidR="00F8025B" w:rsidP="00AA5065">
      <w:pPr>
        <w:pStyle w:val="FootnoteText"/>
        <w:rPr>
          <w:rtl/>
        </w:rPr>
      </w:pPr>
      <w:r>
        <w:rPr>
          <w:rStyle w:val="FootnoteReference1"/>
        </w:rPr>
        <w:footnoteRef/>
      </w:r>
      <w:r>
        <w:rPr>
          <w:rtl/>
        </w:rPr>
        <w:t xml:space="preserve"> </w:t>
      </w:r>
      <w:r>
        <w:rPr>
          <w:rtl/>
        </w:rPr>
        <w:tab/>
      </w:r>
      <w:r>
        <w:rPr>
          <w:rFonts w:hint="cs"/>
          <w:rtl/>
        </w:rPr>
        <w:t>מצגת שכותרתה "משילות במגזר הערבי מחוז דרום, 2024".</w:t>
      </w:r>
    </w:p>
  </w:footnote>
  <w:footnote w:id="53">
    <w:p w:rsidR="00F8025B" w:rsidP="00AA5065">
      <w:pPr>
        <w:pStyle w:val="FootnoteText"/>
        <w:rPr>
          <w:rtl/>
        </w:rPr>
      </w:pPr>
      <w:r>
        <w:rPr>
          <w:rStyle w:val="FootnoteReference1"/>
        </w:rPr>
        <w:footnoteRef/>
      </w:r>
      <w:r>
        <w:rPr>
          <w:rtl/>
        </w:rPr>
        <w:t xml:space="preserve"> </w:t>
      </w:r>
      <w:r>
        <w:rPr>
          <w:rtl/>
        </w:rPr>
        <w:tab/>
      </w:r>
      <w:r>
        <w:rPr>
          <w:rFonts w:hint="cs"/>
          <w:rtl/>
        </w:rPr>
        <w:t>פרוטוקול מס' 44 מישיבת הוועדה לביקורת המדינה מיום 13.6.23 בנושא היבטי המשילות בנגב, עמ' 10.</w:t>
      </w:r>
    </w:p>
  </w:footnote>
  <w:footnote w:id="54">
    <w:p w:rsidR="00F8025B" w:rsidP="00AA5065">
      <w:pPr>
        <w:pStyle w:val="FootnoteText"/>
        <w:rPr>
          <w:rtl/>
        </w:rPr>
      </w:pPr>
      <w:r>
        <w:rPr>
          <w:rStyle w:val="FootnoteReference1"/>
        </w:rPr>
        <w:footnoteRef/>
      </w:r>
      <w:r>
        <w:rPr>
          <w:rtl/>
        </w:rPr>
        <w:t xml:space="preserve"> </w:t>
      </w:r>
      <w:r>
        <w:rPr>
          <w:rtl/>
        </w:rPr>
        <w:tab/>
      </w:r>
      <w:r>
        <w:rPr>
          <w:rFonts w:hint="cs"/>
          <w:rtl/>
        </w:rPr>
        <w:t>בלו - מס המוטל על מכירת דלקים.</w:t>
      </w:r>
    </w:p>
  </w:footnote>
  <w:footnote w:id="55">
    <w:p w:rsidR="00F8025B" w:rsidP="00AA5065">
      <w:pPr>
        <w:pStyle w:val="FootnoteText"/>
      </w:pPr>
      <w:r>
        <w:rPr>
          <w:rStyle w:val="FootnoteReference1"/>
        </w:rPr>
        <w:footnoteRef/>
      </w:r>
      <w:r>
        <w:rPr>
          <w:rtl/>
        </w:rPr>
        <w:t xml:space="preserve"> </w:t>
      </w:r>
      <w:r>
        <w:rPr>
          <w:rtl/>
        </w:rPr>
        <w:tab/>
      </w:r>
      <w:r>
        <w:rPr>
          <w:rFonts w:hint="cs"/>
          <w:rtl/>
        </w:rPr>
        <w:t>ראו מבקר המדינה</w:t>
      </w:r>
      <w:r w:rsidRPr="001A4102">
        <w:rPr>
          <w:rFonts w:hint="cs"/>
          <w:rtl/>
        </w:rPr>
        <w:t xml:space="preserve">, </w:t>
      </w:r>
      <w:r w:rsidRPr="001A4102">
        <w:rPr>
          <w:rFonts w:hint="cs"/>
          <w:b/>
          <w:bCs/>
          <w:rtl/>
        </w:rPr>
        <w:t>דוח שנתי 71א</w:t>
      </w:r>
      <w:r w:rsidRPr="001A4102">
        <w:rPr>
          <w:rFonts w:hint="cs"/>
          <w:rtl/>
        </w:rPr>
        <w:t xml:space="preserve"> </w:t>
      </w:r>
      <w:r>
        <w:rPr>
          <w:rFonts w:hint="cs"/>
          <w:rtl/>
        </w:rPr>
        <w:t>(</w:t>
      </w:r>
      <w:r w:rsidRPr="001A4102">
        <w:rPr>
          <w:rFonts w:hint="cs"/>
          <w:rtl/>
        </w:rPr>
        <w:t>2020), "הטיפול</w:t>
      </w:r>
      <w:r>
        <w:rPr>
          <w:rFonts w:hint="cs"/>
          <w:rtl/>
        </w:rPr>
        <w:t xml:space="preserve"> בתחנות תדלוק פירטיות ובתחנות תדלוק פנימיות -ביקורת מעקב", עמ' 988.</w:t>
      </w:r>
    </w:p>
  </w:footnote>
  <w:footnote w:id="56">
    <w:p w:rsidR="00F8025B" w:rsidP="00AA5065">
      <w:pPr>
        <w:pStyle w:val="FootnoteText"/>
      </w:pPr>
      <w:r>
        <w:rPr>
          <w:rStyle w:val="FootnoteReference1"/>
        </w:rPr>
        <w:footnoteRef/>
      </w:r>
      <w:r>
        <w:rPr>
          <w:rtl/>
        </w:rPr>
        <w:t xml:space="preserve"> </w:t>
      </w:r>
      <w:r>
        <w:rPr>
          <w:rtl/>
        </w:rPr>
        <w:tab/>
      </w:r>
      <w:r w:rsidRPr="002664BA">
        <w:rPr>
          <w:rtl/>
        </w:rPr>
        <w:t>סעיף 13(ב) (3א)</w:t>
      </w:r>
      <w:r w:rsidRPr="00B819DE">
        <w:rPr>
          <w:rFonts w:hint="cs"/>
          <w:rtl/>
        </w:rPr>
        <w:t xml:space="preserve"> </w:t>
      </w:r>
      <w:r w:rsidRPr="00E84878">
        <w:rPr>
          <w:rFonts w:hint="cs"/>
          <w:rtl/>
        </w:rPr>
        <w:t>לחוק שמירת הניקיון</w:t>
      </w:r>
      <w:r w:rsidRPr="002664BA">
        <w:rPr>
          <w:rtl/>
        </w:rPr>
        <w:t>.</w:t>
      </w:r>
    </w:p>
  </w:footnote>
  <w:footnote w:id="57">
    <w:p w:rsidR="00F8025B" w:rsidRPr="001D5724" w:rsidP="00AA5065">
      <w:pPr>
        <w:pStyle w:val="FootnoteText"/>
        <w:rPr>
          <w:rtl/>
        </w:rPr>
      </w:pPr>
      <w:r w:rsidRPr="001D5724">
        <w:rPr>
          <w:rStyle w:val="FootnoteReference1"/>
        </w:rPr>
        <w:footnoteRef/>
      </w:r>
      <w:r w:rsidRPr="001D5724">
        <w:rPr>
          <w:rtl/>
        </w:rPr>
        <w:t xml:space="preserve"> </w:t>
      </w:r>
      <w:r w:rsidRPr="001D5724">
        <w:rPr>
          <w:rtl/>
        </w:rPr>
        <w:tab/>
      </w:r>
      <w:r w:rsidRPr="001D5724">
        <w:rPr>
          <w:rFonts w:hint="cs"/>
          <w:rtl/>
        </w:rPr>
        <w:t>שטח גלילי</w:t>
      </w:r>
      <w:r w:rsidRPr="001D5724">
        <w:rPr>
          <w:rtl/>
        </w:rPr>
        <w:t xml:space="preserve"> </w:t>
      </w:r>
      <w:r w:rsidRPr="001D5724">
        <w:rPr>
          <w:rFonts w:hint="cs"/>
          <w:rtl/>
        </w:rPr>
        <w:t xml:space="preserve">הוא </w:t>
      </w:r>
      <w:r w:rsidRPr="001D5724">
        <w:rPr>
          <w:rtl/>
        </w:rPr>
        <w:t xml:space="preserve">שטח שאינו מצוי בתחום שיפוטה של אף רשות מקומית. שטחים גליליים </w:t>
      </w:r>
      <w:r w:rsidRPr="001D5724">
        <w:rPr>
          <w:rFonts w:hint="cs"/>
          <w:rtl/>
        </w:rPr>
        <w:t>הם</w:t>
      </w:r>
      <w:r w:rsidRPr="001D5724">
        <w:rPr>
          <w:rtl/>
        </w:rPr>
        <w:t xml:space="preserve"> כ</w:t>
      </w:r>
      <w:r>
        <w:rPr>
          <w:rFonts w:hint="cs"/>
          <w:rtl/>
        </w:rPr>
        <w:t>-</w:t>
      </w:r>
      <w:r w:rsidRPr="001D5724">
        <w:rPr>
          <w:rtl/>
        </w:rPr>
        <w:t>5% משטחי מדינת ישראל.</w:t>
      </w:r>
    </w:p>
  </w:footnote>
  <w:footnote w:id="58">
    <w:p w:rsidR="00F8025B" w:rsidP="00AA5065">
      <w:pPr>
        <w:pStyle w:val="FootnoteText"/>
      </w:pPr>
      <w:r>
        <w:rPr>
          <w:rStyle w:val="FootnoteReference1"/>
        </w:rPr>
        <w:footnoteRef/>
      </w:r>
      <w:r>
        <w:rPr>
          <w:rtl/>
        </w:rPr>
        <w:t xml:space="preserve"> </w:t>
      </w:r>
      <w:r>
        <w:rPr>
          <w:rtl/>
        </w:rPr>
        <w:tab/>
      </w:r>
      <w:r>
        <w:rPr>
          <w:rFonts w:hint="cs"/>
          <w:rtl/>
        </w:rPr>
        <w:t>בתחילת שנת 2023 שונה שם המשרד ושמו כעת "המשרד לביטחון לאומי".</w:t>
      </w:r>
    </w:p>
  </w:footnote>
  <w:footnote w:id="59">
    <w:p w:rsidR="00F8025B" w:rsidP="00AA5065">
      <w:pPr>
        <w:pStyle w:val="FootnoteText"/>
      </w:pPr>
      <w:r>
        <w:rPr>
          <w:rStyle w:val="FootnoteReference1"/>
        </w:rPr>
        <w:footnoteRef/>
      </w:r>
      <w:r>
        <w:rPr>
          <w:rtl/>
        </w:rPr>
        <w:t xml:space="preserve"> </w:t>
      </w:r>
      <w:r>
        <w:rPr>
          <w:rtl/>
        </w:rPr>
        <w:tab/>
      </w:r>
      <w:r w:rsidRPr="00B338B6">
        <w:rPr>
          <w:rtl/>
        </w:rPr>
        <w:t>כך לדוגמה</w:t>
      </w:r>
      <w:r>
        <w:rPr>
          <w:rFonts w:hint="cs"/>
          <w:rtl/>
        </w:rPr>
        <w:t xml:space="preserve">, </w:t>
      </w:r>
      <w:r w:rsidRPr="00B338B6">
        <w:rPr>
          <w:rtl/>
        </w:rPr>
        <w:t xml:space="preserve">ביום 12.8.24 </w:t>
      </w:r>
      <w:r>
        <w:rPr>
          <w:rFonts w:hint="cs"/>
          <w:rtl/>
        </w:rPr>
        <w:t xml:space="preserve">פורסם כי </w:t>
      </w:r>
      <w:r w:rsidRPr="00B338B6">
        <w:rPr>
          <w:rtl/>
        </w:rPr>
        <w:t>אותר ללא רוח חיים ילד שנלכד בתוך מקרר באזור פזורת תל שבע</w:t>
      </w:r>
      <w:r>
        <w:rPr>
          <w:rFonts w:hint="cs"/>
          <w:rtl/>
        </w:rPr>
        <w:t xml:space="preserve">. פרסום מיום 13.8.24 באתר </w:t>
      </w:r>
      <w:r>
        <w:t>Ynet</w:t>
      </w:r>
      <w:r>
        <w:rPr>
          <w:rFonts w:hint="cs"/>
          <w:rtl/>
        </w:rPr>
        <w:t>.</w:t>
      </w:r>
    </w:p>
  </w:footnote>
  <w:footnote w:id="60">
    <w:p w:rsidR="00F8025B" w:rsidP="00AA5065">
      <w:pPr>
        <w:pStyle w:val="FootnoteText"/>
      </w:pPr>
      <w:r>
        <w:rPr>
          <w:rStyle w:val="FootnoteReference1"/>
        </w:rPr>
        <w:footnoteRef/>
      </w:r>
      <w:r>
        <w:rPr>
          <w:rtl/>
        </w:rPr>
        <w:t xml:space="preserve"> </w:t>
      </w:r>
      <w:r>
        <w:rPr>
          <w:rtl/>
        </w:rPr>
        <w:tab/>
      </w:r>
      <w:r>
        <w:rPr>
          <w:rFonts w:hint="cs"/>
          <w:rtl/>
        </w:rPr>
        <w:t xml:space="preserve">ראו מבקר המדינה, </w:t>
      </w:r>
      <w:r w:rsidRPr="00D0016D">
        <w:rPr>
          <w:rFonts w:hint="cs"/>
          <w:b/>
          <w:bCs/>
          <w:rtl/>
        </w:rPr>
        <w:t>דוח שנתי 7</w:t>
      </w:r>
      <w:r>
        <w:rPr>
          <w:rFonts w:hint="cs"/>
          <w:b/>
          <w:bCs/>
          <w:rtl/>
        </w:rPr>
        <w:t>1</w:t>
      </w:r>
      <w:r w:rsidRPr="00D0016D">
        <w:rPr>
          <w:rFonts w:hint="cs"/>
          <w:b/>
          <w:bCs/>
          <w:rtl/>
        </w:rPr>
        <w:t>ג</w:t>
      </w:r>
      <w:r>
        <w:rPr>
          <w:rFonts w:hint="cs"/>
          <w:rtl/>
        </w:rPr>
        <w:t xml:space="preserve"> 2021), "הטיפול בפסולת בניין", עמ' 97.</w:t>
      </w:r>
    </w:p>
  </w:footnote>
  <w:footnote w:id="61">
    <w:p w:rsidR="00F8025B" w:rsidP="00AA5065">
      <w:pPr>
        <w:pStyle w:val="FootnoteText"/>
        <w:rPr>
          <w:rtl/>
        </w:rPr>
      </w:pPr>
      <w:r>
        <w:rPr>
          <w:rStyle w:val="FootnoteReference1"/>
        </w:rPr>
        <w:footnoteRef/>
      </w:r>
      <w:r>
        <w:rPr>
          <w:rtl/>
        </w:rPr>
        <w:t xml:space="preserve"> </w:t>
      </w:r>
      <w:r>
        <w:rPr>
          <w:rtl/>
        </w:rPr>
        <w:tab/>
      </w:r>
      <w:r>
        <w:rPr>
          <w:rFonts w:hint="cs"/>
          <w:rtl/>
        </w:rPr>
        <w:t>יחידה השייכת לרט</w:t>
      </w:r>
      <w:r>
        <w:rPr>
          <w:rtl/>
        </w:rPr>
        <w:t>"</w:t>
      </w:r>
      <w:r>
        <w:rPr>
          <w:rFonts w:hint="cs"/>
          <w:rtl/>
        </w:rPr>
        <w:t>ג שתפקידה לסייע למשרד להג"ס להילחם בתופעת השריפות והשלכות הפסולת בשטחים פתוחים.</w:t>
      </w:r>
    </w:p>
  </w:footnote>
  <w:footnote w:id="62">
    <w:p w:rsidR="00F8025B" w:rsidRPr="001D5724" w:rsidP="00AA5065">
      <w:pPr>
        <w:pStyle w:val="FootnoteText"/>
      </w:pPr>
      <w:r w:rsidRPr="001D5724">
        <w:rPr>
          <w:rStyle w:val="FootnoteReference1"/>
        </w:rPr>
        <w:footnoteRef/>
      </w:r>
      <w:r w:rsidRPr="001D5724">
        <w:rPr>
          <w:rtl/>
        </w:rPr>
        <w:t xml:space="preserve"> </w:t>
      </w:r>
      <w:r w:rsidRPr="001D5724">
        <w:rPr>
          <w:rtl/>
        </w:rPr>
        <w:tab/>
      </w:r>
      <w:r w:rsidRPr="00694189">
        <w:rPr>
          <w:rFonts w:hint="eastAsia"/>
          <w:rtl/>
        </w:rPr>
        <w:t>פסדים</w:t>
      </w:r>
      <w:r w:rsidRPr="00694189">
        <w:rPr>
          <w:rtl/>
        </w:rPr>
        <w:t xml:space="preserve"> </w:t>
      </w:r>
      <w:r w:rsidRPr="00694189">
        <w:rPr>
          <w:rFonts w:hint="eastAsia"/>
          <w:rtl/>
        </w:rPr>
        <w:t>הם</w:t>
      </w:r>
      <w:r w:rsidRPr="00694189">
        <w:rPr>
          <w:rtl/>
        </w:rPr>
        <w:t xml:space="preserve"> פגרים וחלקי פגרים של בעלי חיים, בעיקר של בעלי חיים במשק החקלאי </w:t>
      </w:r>
      <w:r>
        <w:rPr>
          <w:rFonts w:hint="cs"/>
          <w:rtl/>
        </w:rPr>
        <w:t>כגון עופות, צאן ובקר.</w:t>
      </w:r>
    </w:p>
  </w:footnote>
  <w:footnote w:id="63">
    <w:p w:rsidR="00F8025B" w:rsidRPr="001D5724" w:rsidP="00AA5065">
      <w:pPr>
        <w:pStyle w:val="FootnoteText"/>
        <w:rPr>
          <w:rtl/>
        </w:rPr>
      </w:pPr>
      <w:r w:rsidRPr="001D5724">
        <w:rPr>
          <w:rStyle w:val="FootnoteReference1"/>
        </w:rPr>
        <w:footnoteRef/>
      </w:r>
      <w:r w:rsidRPr="001D5724">
        <w:rPr>
          <w:rtl/>
        </w:rPr>
        <w:t xml:space="preserve"> </w:t>
      </w:r>
      <w:r w:rsidRPr="001D5724">
        <w:rPr>
          <w:rtl/>
        </w:rPr>
        <w:tab/>
      </w:r>
      <w:r w:rsidRPr="001D5724">
        <w:rPr>
          <w:rFonts w:hint="cs"/>
          <w:rtl/>
        </w:rPr>
        <w:t>מפעל להפקת מוצרים מפסדים.</w:t>
      </w:r>
    </w:p>
  </w:footnote>
  <w:footnote w:id="64">
    <w:p w:rsidR="00F8025B" w:rsidP="00AA5065">
      <w:pPr>
        <w:pStyle w:val="FootnoteText"/>
      </w:pPr>
      <w:r>
        <w:rPr>
          <w:rStyle w:val="FootnoteReference1"/>
        </w:rPr>
        <w:footnoteRef/>
      </w:r>
      <w:r>
        <w:rPr>
          <w:rtl/>
        </w:rPr>
        <w:t xml:space="preserve"> </w:t>
      </w:r>
      <w:r>
        <w:rPr>
          <w:rtl/>
        </w:rPr>
        <w:tab/>
      </w:r>
      <w:r w:rsidRPr="00C532B8">
        <w:rPr>
          <w:rFonts w:hint="cs"/>
          <w:rtl/>
        </w:rPr>
        <w:t>יצוין כי השלכת הפגר מהווה עבירה על חוק שמירת הנ</w:t>
      </w:r>
      <w:r>
        <w:rPr>
          <w:rFonts w:hint="cs"/>
          <w:rtl/>
        </w:rPr>
        <w:t>י</w:t>
      </w:r>
      <w:r w:rsidRPr="00C532B8">
        <w:rPr>
          <w:rFonts w:hint="cs"/>
          <w:rtl/>
        </w:rPr>
        <w:t>קיון.</w:t>
      </w:r>
    </w:p>
  </w:footnote>
  <w:footnote w:id="65">
    <w:p w:rsidR="00F8025B" w:rsidRPr="001D5724" w:rsidP="00AA5065">
      <w:pPr>
        <w:pStyle w:val="FootnoteText"/>
      </w:pPr>
      <w:r w:rsidRPr="001D5724">
        <w:rPr>
          <w:rStyle w:val="FootnoteReference1"/>
        </w:rPr>
        <w:footnoteRef/>
      </w:r>
      <w:r w:rsidRPr="001D5724">
        <w:rPr>
          <w:rtl/>
        </w:rPr>
        <w:t xml:space="preserve"> </w:t>
      </w:r>
      <w:r w:rsidRPr="001D5724">
        <w:rPr>
          <w:rtl/>
        </w:rPr>
        <w:tab/>
      </w:r>
      <w:r w:rsidRPr="001D5724">
        <w:rPr>
          <w:rFonts w:hint="cs"/>
          <w:rtl/>
        </w:rPr>
        <w:t>בשנת 2018 אירעו שני אירועים מצערים מסוג זה.</w:t>
      </w:r>
    </w:p>
  </w:footnote>
  <w:footnote w:id="66">
    <w:p w:rsidR="00F8025B" w:rsidP="00AA5065">
      <w:pPr>
        <w:pStyle w:val="FootnoteText"/>
      </w:pPr>
      <w:r>
        <w:rPr>
          <w:rStyle w:val="FootnoteReference1"/>
        </w:rPr>
        <w:footnoteRef/>
      </w:r>
      <w:r>
        <w:rPr>
          <w:rtl/>
        </w:rPr>
        <w:t xml:space="preserve"> </w:t>
      </w:r>
      <w:r>
        <w:rPr>
          <w:rtl/>
        </w:rPr>
        <w:tab/>
      </w:r>
      <w:r>
        <w:rPr>
          <w:rFonts w:hint="cs"/>
          <w:rtl/>
        </w:rPr>
        <w:t>יחידה לאכיפה סביבתית של אשכולות הנגב ואשר מבצעת אכיפה בתוך הגבולות המוניציפליים של הערים.</w:t>
      </w:r>
    </w:p>
  </w:footnote>
  <w:footnote w:id="67">
    <w:p w:rsidR="00F8025B" w:rsidP="00AA5065">
      <w:pPr>
        <w:pStyle w:val="FootnoteText"/>
        <w:rPr>
          <w:rtl/>
        </w:rPr>
      </w:pPr>
      <w:r>
        <w:rPr>
          <w:rStyle w:val="FootnoteReference1"/>
        </w:rPr>
        <w:footnoteRef/>
      </w:r>
      <w:r>
        <w:rPr>
          <w:rtl/>
        </w:rPr>
        <w:t xml:space="preserve"> </w:t>
      </w:r>
      <w:r>
        <w:rPr>
          <w:rtl/>
        </w:rPr>
        <w:tab/>
      </w:r>
      <w:r w:rsidRPr="002117C1">
        <w:rPr>
          <w:rtl/>
        </w:rPr>
        <w:t>החלטה 550 של הממשלה ה-36</w:t>
      </w:r>
      <w:r>
        <w:rPr>
          <w:rFonts w:hint="cs"/>
          <w:rtl/>
        </w:rPr>
        <w:t>,</w:t>
      </w:r>
      <w:r w:rsidRPr="002117C1">
        <w:rPr>
          <w:rtl/>
        </w:rPr>
        <w:t xml:space="preserve"> "התוכנית הכלכלית לצמצום פערים בחברה הערבית עד לשנת 2026" (8.11.21).</w:t>
      </w:r>
    </w:p>
  </w:footnote>
  <w:footnote w:id="68">
    <w:p w:rsidR="00F8025B" w:rsidP="00AA5065">
      <w:pPr>
        <w:pStyle w:val="FootnoteText"/>
        <w:rPr>
          <w:rtl/>
        </w:rPr>
      </w:pPr>
      <w:r>
        <w:rPr>
          <w:rStyle w:val="FootnoteReference1"/>
        </w:rPr>
        <w:footnoteRef/>
      </w:r>
      <w:r>
        <w:rPr>
          <w:rtl/>
        </w:rPr>
        <w:t xml:space="preserve"> </w:t>
      </w:r>
      <w:r>
        <w:rPr>
          <w:rtl/>
        </w:rPr>
        <w:tab/>
      </w:r>
      <w:r>
        <w:rPr>
          <w:rFonts w:hint="cs"/>
          <w:rtl/>
        </w:rPr>
        <w:t>החלטה 1279 של הממשלה ה-36, "תכנית לפיתוח כלכלי חברתי בקרב האוכלוסייה הבדואית בנגב 2022 - 2026 ותיקון החלטות ממשלה"(14.3.22).</w:t>
      </w:r>
    </w:p>
  </w:footnote>
  <w:footnote w:id="69">
    <w:p w:rsidR="00F8025B" w:rsidP="00AA5065">
      <w:pPr>
        <w:pStyle w:val="FootnoteText"/>
      </w:pPr>
      <w:r>
        <w:rPr>
          <w:rStyle w:val="FootnoteReference1"/>
        </w:rPr>
        <w:footnoteRef/>
      </w:r>
      <w:r>
        <w:rPr>
          <w:rtl/>
        </w:rPr>
        <w:t xml:space="preserve"> </w:t>
      </w:r>
      <w:r>
        <w:rPr>
          <w:rtl/>
        </w:rPr>
        <w:tab/>
      </w:r>
      <w:r w:rsidRPr="00CF1FAD">
        <w:rPr>
          <w:rtl/>
        </w:rPr>
        <w:t>הוועדה המתמדת הוקמה מתוקף החלטת הממשלה</w:t>
      </w:r>
      <w:r>
        <w:rPr>
          <w:rFonts w:hint="cs"/>
          <w:rtl/>
        </w:rPr>
        <w:t xml:space="preserve"> 1279,</w:t>
      </w:r>
      <w:r w:rsidRPr="00CF1FAD">
        <w:rPr>
          <w:rtl/>
        </w:rPr>
        <w:t xml:space="preserve"> ובין היתר היא עוקבת אחר יישום החלטת הממשלה על ידי המשרדים השונים</w:t>
      </w:r>
      <w:r>
        <w:rPr>
          <w:rFonts w:hint="cs"/>
          <w:rtl/>
        </w:rPr>
        <w:t>.</w:t>
      </w:r>
    </w:p>
  </w:footnote>
  <w:footnote w:id="70">
    <w:p w:rsidR="00F8025B" w:rsidP="00AA5065">
      <w:pPr>
        <w:pStyle w:val="FootnoteText"/>
      </w:pPr>
      <w:r>
        <w:rPr>
          <w:rStyle w:val="FootnoteReference1"/>
        </w:rPr>
        <w:footnoteRef/>
      </w:r>
      <w:r>
        <w:rPr>
          <w:rtl/>
        </w:rPr>
        <w:t xml:space="preserve"> </w:t>
      </w:r>
      <w:r>
        <w:rPr>
          <w:rtl/>
        </w:rPr>
        <w:tab/>
      </w:r>
      <w:r w:rsidRPr="000639BF">
        <w:rPr>
          <w:rtl/>
        </w:rPr>
        <w:t xml:space="preserve">בשנת 2023 שונה השם </w:t>
      </w:r>
      <w:r>
        <w:rPr>
          <w:rFonts w:hint="cs"/>
          <w:rtl/>
        </w:rPr>
        <w:t xml:space="preserve">ושמו כעת </w:t>
      </w:r>
      <w:r w:rsidRPr="000639BF">
        <w:rPr>
          <w:rtl/>
        </w:rPr>
        <w:t>"המשרד לביטחון לאומי".‏</w:t>
      </w:r>
    </w:p>
  </w:footnote>
  <w:footnote w:id="71">
    <w:p w:rsidR="00F8025B" w:rsidRPr="00631160" w:rsidP="00AA5065">
      <w:pPr>
        <w:pStyle w:val="FootnoteText"/>
        <w:rPr>
          <w:rtl/>
        </w:rPr>
      </w:pPr>
      <w:r>
        <w:rPr>
          <w:rStyle w:val="FootnoteReference1"/>
        </w:rPr>
        <w:footnoteRef/>
      </w:r>
      <w:r>
        <w:rPr>
          <w:rtl/>
        </w:rPr>
        <w:t xml:space="preserve"> </w:t>
      </w:r>
      <w:r>
        <w:rPr>
          <w:rtl/>
        </w:rPr>
        <w:tab/>
      </w:r>
      <w:r w:rsidRPr="001956AC">
        <w:rPr>
          <w:rFonts w:hint="cs"/>
          <w:rtl/>
        </w:rPr>
        <w:t xml:space="preserve">החלטה 549 של הממשלה </w:t>
      </w:r>
      <w:r>
        <w:rPr>
          <w:rFonts w:hint="cs"/>
          <w:rtl/>
        </w:rPr>
        <w:t>ה-36 "תוכנית לטיפול בתופעות הפשיעה והאלימות בחברה הערבית 2022 - 2026" (</w:t>
      </w:r>
      <w:r w:rsidRPr="001956AC">
        <w:rPr>
          <w:rFonts w:hint="cs"/>
          <w:rtl/>
        </w:rPr>
        <w:t>24.10.21</w:t>
      </w:r>
      <w:r>
        <w:rPr>
          <w:rFonts w:hint="cs"/>
          <w:rtl/>
        </w:rPr>
        <w:t>).</w:t>
      </w:r>
    </w:p>
  </w:footnote>
  <w:footnote w:id="72">
    <w:p w:rsidR="00F8025B" w:rsidP="00AA5065">
      <w:pPr>
        <w:pStyle w:val="FootnoteText"/>
      </w:pPr>
      <w:r>
        <w:rPr>
          <w:rStyle w:val="FootnoteReference1"/>
        </w:rPr>
        <w:footnoteRef/>
      </w:r>
      <w:r>
        <w:rPr>
          <w:rtl/>
        </w:rPr>
        <w:t xml:space="preserve"> </w:t>
      </w:r>
      <w:r>
        <w:rPr>
          <w:rtl/>
        </w:rPr>
        <w:tab/>
      </w:r>
      <w:r w:rsidRPr="00F7547C">
        <w:rPr>
          <w:rtl/>
        </w:rPr>
        <w:t xml:space="preserve">החלטת </w:t>
      </w:r>
      <w:r>
        <w:rPr>
          <w:rFonts w:hint="cs"/>
          <w:rtl/>
        </w:rPr>
        <w:t>ה</w:t>
      </w:r>
      <w:r w:rsidRPr="00F7547C">
        <w:rPr>
          <w:rtl/>
        </w:rPr>
        <w:t xml:space="preserve">ממשלה 1279, </w:t>
      </w:r>
      <w:r>
        <w:rPr>
          <w:rFonts w:hint="cs"/>
          <w:rtl/>
        </w:rPr>
        <w:t>"</w:t>
      </w:r>
      <w:r w:rsidRPr="00F7547C">
        <w:rPr>
          <w:rtl/>
        </w:rPr>
        <w:t>תכנית לפיתוח כלכלי חברתי בקרב האוכלוסייה הבדואית בנגב 2022 - 2026 ‏ותיקון החלטות ממשלה</w:t>
      </w:r>
      <w:r>
        <w:rPr>
          <w:rFonts w:hint="cs"/>
          <w:rtl/>
        </w:rPr>
        <w:t>" (14.3.22)</w:t>
      </w:r>
      <w:r w:rsidRPr="00F7547C">
        <w:rPr>
          <w:rtl/>
        </w:rPr>
        <w:t>.‏</w:t>
      </w:r>
    </w:p>
  </w:footnote>
  <w:footnote w:id="73">
    <w:p w:rsidR="00F8025B" w:rsidP="00AA5065">
      <w:pPr>
        <w:pStyle w:val="FootnoteText"/>
      </w:pPr>
      <w:r>
        <w:rPr>
          <w:rStyle w:val="FootnoteReference1"/>
        </w:rPr>
        <w:footnoteRef/>
      </w:r>
      <w:r>
        <w:rPr>
          <w:rtl/>
        </w:rPr>
        <w:t xml:space="preserve"> </w:t>
      </w:r>
      <w:r>
        <w:rPr>
          <w:rtl/>
        </w:rPr>
        <w:tab/>
      </w:r>
      <w:r w:rsidRPr="00916C6B">
        <w:rPr>
          <w:rtl/>
        </w:rPr>
        <w:t xml:space="preserve">במפה מוצגים </w:t>
      </w:r>
      <w:r>
        <w:rPr>
          <w:rFonts w:hint="cs"/>
          <w:rtl/>
        </w:rPr>
        <w:t>מספר</w:t>
      </w:r>
      <w:r w:rsidRPr="00916C6B">
        <w:rPr>
          <w:rtl/>
        </w:rPr>
        <w:t xml:space="preserve"> התיקים</w:t>
      </w:r>
      <w:r>
        <w:rPr>
          <w:rFonts w:hint="cs"/>
          <w:rtl/>
        </w:rPr>
        <w:t xml:space="preserve"> השנתי הממוצע</w:t>
      </w:r>
      <w:r w:rsidRPr="00916C6B">
        <w:rPr>
          <w:rtl/>
        </w:rPr>
        <w:t xml:space="preserve"> שנפתחו בתקופה הנדונה לכל 1,000 נפש בחלוקה לפי </w:t>
      </w:r>
      <w:r>
        <w:rPr>
          <w:rFonts w:hint="cs"/>
          <w:rtl/>
        </w:rPr>
        <w:t>מחוזות</w:t>
      </w:r>
      <w:r w:rsidRPr="00916C6B">
        <w:rPr>
          <w:rtl/>
        </w:rPr>
        <w:t xml:space="preserve"> משטרתיים. הנתונים במפה מייצגים את מספר התיקים שנפתחו </w:t>
      </w:r>
      <w:r>
        <w:rPr>
          <w:rFonts w:hint="cs"/>
          <w:rtl/>
        </w:rPr>
        <w:t>בממוצע שנתי ב</w:t>
      </w:r>
      <w:r w:rsidRPr="00916C6B">
        <w:rPr>
          <w:rtl/>
        </w:rPr>
        <w:t xml:space="preserve">תקופה שבין תחילת שנת 2020 ועד סוף שנת 2024. הנתונים מתייחסים למקום שבו בוצעה העבירה, ולא למקום שממנו בא החשוד או הנילון בתיק. לפיכך, הנתונים משקפים את הפיזור הגיאוגרפי של הפשיעה המדווחת, </w:t>
      </w:r>
      <w:r>
        <w:rPr>
          <w:rFonts w:hint="cs"/>
          <w:rtl/>
        </w:rPr>
        <w:t>ולא את</w:t>
      </w:r>
      <w:r w:rsidRPr="00916C6B">
        <w:rPr>
          <w:rtl/>
        </w:rPr>
        <w:t xml:space="preserve"> </w:t>
      </w:r>
      <w:r>
        <w:rPr>
          <w:rFonts w:hint="cs"/>
          <w:rtl/>
        </w:rPr>
        <w:t xml:space="preserve">מקום המגורים של </w:t>
      </w:r>
      <w:r w:rsidRPr="00916C6B">
        <w:rPr>
          <w:rtl/>
        </w:rPr>
        <w:t xml:space="preserve">מחוללי הפשיעה עצמם. </w:t>
      </w:r>
    </w:p>
  </w:footnote>
  <w:footnote w:id="74">
    <w:p w:rsidR="00F8025B" w:rsidP="00AA5065">
      <w:pPr>
        <w:pStyle w:val="FootnoteText"/>
        <w:rPr>
          <w:rtl/>
        </w:rPr>
      </w:pPr>
      <w:r>
        <w:rPr>
          <w:rStyle w:val="FootnoteReference1"/>
        </w:rPr>
        <w:footnoteRef/>
      </w:r>
      <w:r>
        <w:rPr>
          <w:rtl/>
        </w:rPr>
        <w:t xml:space="preserve"> </w:t>
      </w:r>
      <w:r>
        <w:tab/>
      </w:r>
      <w:r w:rsidRPr="006551CF">
        <w:rPr>
          <w:rtl/>
        </w:rPr>
        <w:t xml:space="preserve">עיבוד הנתונים למפה נעשה על ידי מתן שחק, ראש תחום, מרכז המחקר והמידע של הכנסת. נתוני האוכלוסייה </w:t>
      </w:r>
      <w:r>
        <w:rPr>
          <w:rFonts w:hint="cs"/>
          <w:rtl/>
        </w:rPr>
        <w:t>במחוזות</w:t>
      </w:r>
      <w:r w:rsidRPr="006551CF">
        <w:rPr>
          <w:rtl/>
        </w:rPr>
        <w:t xml:space="preserve"> משטרתיים הם לפי נתוני משטרת ישראל, ומתייחסים לאומדן האוכלוסייה בשנת 2023.</w:t>
      </w:r>
    </w:p>
  </w:footnote>
  <w:footnote w:id="75">
    <w:p w:rsidR="00F8025B" w:rsidP="00AA5065">
      <w:pPr>
        <w:pStyle w:val="FootnoteText"/>
      </w:pPr>
      <w:r>
        <w:rPr>
          <w:rStyle w:val="FootnoteReference1"/>
        </w:rPr>
        <w:footnoteRef/>
      </w:r>
      <w:r>
        <w:rPr>
          <w:rtl/>
        </w:rPr>
        <w:t xml:space="preserve"> </w:t>
      </w:r>
      <w:r>
        <w:rPr>
          <w:rtl/>
        </w:rPr>
        <w:tab/>
      </w:r>
      <w:r w:rsidRPr="008B27EA">
        <w:rPr>
          <w:rFonts w:hint="eastAsia"/>
          <w:rtl/>
        </w:rPr>
        <w:t>החישובים</w:t>
      </w:r>
      <w:r w:rsidRPr="008B27EA">
        <w:rPr>
          <w:rtl/>
        </w:rPr>
        <w:t xml:space="preserve"> </w:t>
      </w:r>
      <w:r w:rsidRPr="008B27EA">
        <w:rPr>
          <w:rFonts w:hint="eastAsia"/>
          <w:rtl/>
        </w:rPr>
        <w:t>לפי</w:t>
      </w:r>
      <w:r w:rsidRPr="008B27EA">
        <w:rPr>
          <w:rtl/>
        </w:rPr>
        <w:t xml:space="preserve"> </w:t>
      </w:r>
      <w:r w:rsidRPr="008B27EA">
        <w:rPr>
          <w:rFonts w:hint="eastAsia"/>
          <w:rtl/>
        </w:rPr>
        <w:t>מחוז</w:t>
      </w:r>
      <w:r w:rsidRPr="008B27EA">
        <w:rPr>
          <w:rtl/>
        </w:rPr>
        <w:t xml:space="preserve"> </w:t>
      </w:r>
      <w:r w:rsidRPr="008B27EA">
        <w:rPr>
          <w:rFonts w:hint="eastAsia"/>
          <w:rtl/>
        </w:rPr>
        <w:t>משטרתי</w:t>
      </w:r>
      <w:r w:rsidRPr="008B27EA">
        <w:rPr>
          <w:rtl/>
        </w:rPr>
        <w:t xml:space="preserve"> </w:t>
      </w:r>
      <w:r w:rsidRPr="008B27EA">
        <w:rPr>
          <w:rFonts w:hint="eastAsia"/>
          <w:rtl/>
        </w:rPr>
        <w:t>בחלק</w:t>
      </w:r>
      <w:r w:rsidRPr="008B27EA">
        <w:rPr>
          <w:rtl/>
        </w:rPr>
        <w:t xml:space="preserve"> </w:t>
      </w:r>
      <w:r w:rsidRPr="008B27EA">
        <w:rPr>
          <w:rFonts w:hint="eastAsia"/>
          <w:rtl/>
        </w:rPr>
        <w:t>זה</w:t>
      </w:r>
      <w:r w:rsidRPr="008B27EA">
        <w:rPr>
          <w:rtl/>
        </w:rPr>
        <w:t xml:space="preserve"> </w:t>
      </w:r>
      <w:r w:rsidRPr="008B27EA">
        <w:rPr>
          <w:rFonts w:hint="eastAsia"/>
          <w:rtl/>
        </w:rPr>
        <w:t>מתייחסים</w:t>
      </w:r>
      <w:r w:rsidRPr="008B27EA">
        <w:rPr>
          <w:rtl/>
        </w:rPr>
        <w:t xml:space="preserve"> </w:t>
      </w:r>
      <w:r w:rsidRPr="008B27EA">
        <w:rPr>
          <w:rFonts w:hint="eastAsia"/>
          <w:rtl/>
        </w:rPr>
        <w:t>רק</w:t>
      </w:r>
      <w:r w:rsidRPr="008B27EA">
        <w:rPr>
          <w:rtl/>
        </w:rPr>
        <w:t xml:space="preserve"> </w:t>
      </w:r>
      <w:r w:rsidRPr="008B27EA">
        <w:rPr>
          <w:rFonts w:hint="eastAsia"/>
          <w:rtl/>
        </w:rPr>
        <w:t>לתיקים</w:t>
      </w:r>
      <w:r w:rsidRPr="008B27EA">
        <w:rPr>
          <w:rtl/>
        </w:rPr>
        <w:t xml:space="preserve"> </w:t>
      </w:r>
      <w:r w:rsidRPr="008B27EA">
        <w:rPr>
          <w:rFonts w:hint="eastAsia"/>
          <w:rtl/>
        </w:rPr>
        <w:t>ששויכו</w:t>
      </w:r>
      <w:r w:rsidRPr="008B27EA">
        <w:rPr>
          <w:rtl/>
        </w:rPr>
        <w:t xml:space="preserve"> </w:t>
      </w:r>
      <w:r w:rsidRPr="008B27EA">
        <w:rPr>
          <w:rFonts w:hint="eastAsia"/>
          <w:rtl/>
        </w:rPr>
        <w:t>למחוז</w:t>
      </w:r>
      <w:r w:rsidRPr="008B27EA">
        <w:rPr>
          <w:rtl/>
        </w:rPr>
        <w:t xml:space="preserve"> </w:t>
      </w:r>
      <w:r w:rsidRPr="008B27EA">
        <w:rPr>
          <w:rFonts w:hint="eastAsia"/>
          <w:rtl/>
        </w:rPr>
        <w:t>בנתוני</w:t>
      </w:r>
      <w:r w:rsidRPr="008B27EA">
        <w:rPr>
          <w:rtl/>
        </w:rPr>
        <w:t xml:space="preserve"> </w:t>
      </w:r>
      <w:r w:rsidRPr="008B27EA">
        <w:rPr>
          <w:rFonts w:hint="eastAsia"/>
          <w:rtl/>
        </w:rPr>
        <w:t>המשטרה</w:t>
      </w:r>
      <w:r w:rsidRPr="008B27EA">
        <w:rPr>
          <w:rtl/>
        </w:rPr>
        <w:t xml:space="preserve">. </w:t>
      </w:r>
      <w:r w:rsidRPr="008B27EA">
        <w:rPr>
          <w:rFonts w:hint="eastAsia"/>
          <w:rtl/>
        </w:rPr>
        <w:t>בתקופה</w:t>
      </w:r>
      <w:r w:rsidRPr="008B27EA">
        <w:rPr>
          <w:rtl/>
        </w:rPr>
        <w:t xml:space="preserve"> </w:t>
      </w:r>
      <w:r w:rsidRPr="008B27EA">
        <w:rPr>
          <w:rFonts w:hint="eastAsia"/>
          <w:rtl/>
        </w:rPr>
        <w:t>הנדונה</w:t>
      </w:r>
      <w:r w:rsidRPr="008B27EA">
        <w:rPr>
          <w:rtl/>
        </w:rPr>
        <w:t xml:space="preserve"> </w:t>
      </w:r>
      <w:r w:rsidRPr="008B27EA">
        <w:rPr>
          <w:rFonts w:hint="eastAsia"/>
          <w:rtl/>
        </w:rPr>
        <w:t>נפתח</w:t>
      </w:r>
      <w:r w:rsidRPr="008B27EA">
        <w:rPr>
          <w:rtl/>
        </w:rPr>
        <w:t xml:space="preserve"> </w:t>
      </w:r>
      <w:r w:rsidRPr="008B27EA">
        <w:rPr>
          <w:rFonts w:hint="eastAsia"/>
          <w:rtl/>
        </w:rPr>
        <w:t>מספר</w:t>
      </w:r>
      <w:r w:rsidRPr="008B27EA">
        <w:rPr>
          <w:rtl/>
        </w:rPr>
        <w:t xml:space="preserve"> </w:t>
      </w:r>
      <w:r w:rsidRPr="008B27EA">
        <w:rPr>
          <w:rFonts w:hint="eastAsia"/>
          <w:rtl/>
        </w:rPr>
        <w:t>יחסית</w:t>
      </w:r>
      <w:r w:rsidRPr="008B27EA">
        <w:rPr>
          <w:rtl/>
        </w:rPr>
        <w:t xml:space="preserve"> </w:t>
      </w:r>
      <w:r w:rsidRPr="008B27EA">
        <w:rPr>
          <w:rFonts w:hint="eastAsia"/>
          <w:rtl/>
        </w:rPr>
        <w:t>קטן</w:t>
      </w:r>
      <w:r w:rsidRPr="008B27EA">
        <w:rPr>
          <w:rtl/>
        </w:rPr>
        <w:t xml:space="preserve"> </w:t>
      </w:r>
      <w:r w:rsidRPr="008B27EA">
        <w:rPr>
          <w:rFonts w:hint="eastAsia"/>
          <w:rtl/>
        </w:rPr>
        <w:t>של</w:t>
      </w:r>
      <w:r>
        <w:rPr>
          <w:rFonts w:hint="cs"/>
          <w:rtl/>
        </w:rPr>
        <w:t xml:space="preserve"> תיקים שלא שויכו למחוז.</w:t>
      </w:r>
    </w:p>
  </w:footnote>
  <w:footnote w:id="76">
    <w:p w:rsidR="00F8025B" w:rsidP="00AA5065">
      <w:pPr>
        <w:pStyle w:val="FootnoteText"/>
      </w:pPr>
      <w:r>
        <w:rPr>
          <w:rStyle w:val="FootnoteReference1"/>
        </w:rPr>
        <w:footnoteRef/>
      </w:r>
      <w:r>
        <w:rPr>
          <w:rtl/>
        </w:rPr>
        <w:t xml:space="preserve"> </w:t>
      </w:r>
      <w:r>
        <w:rPr>
          <w:rtl/>
        </w:rPr>
        <w:tab/>
      </w:r>
      <w:r>
        <w:rPr>
          <w:rFonts w:hint="cs"/>
          <w:rtl/>
        </w:rPr>
        <w:t>סך ה</w:t>
      </w:r>
      <w:r w:rsidRPr="00EE1849">
        <w:rPr>
          <w:rtl/>
        </w:rPr>
        <w:t xml:space="preserve">תיקים שנפתחו בחמש </w:t>
      </w:r>
      <w:r>
        <w:rPr>
          <w:rFonts w:hint="cs"/>
          <w:rtl/>
        </w:rPr>
        <w:t>ה</w:t>
      </w:r>
      <w:r w:rsidRPr="00EE1849">
        <w:rPr>
          <w:rtl/>
        </w:rPr>
        <w:t>שנים</w:t>
      </w:r>
      <w:r>
        <w:rPr>
          <w:rFonts w:hint="cs"/>
          <w:rtl/>
        </w:rPr>
        <w:t xml:space="preserve"> 2020 - 2024.</w:t>
      </w:r>
    </w:p>
  </w:footnote>
  <w:footnote w:id="77">
    <w:p w:rsidR="00F8025B" w:rsidP="00AA5065">
      <w:pPr>
        <w:pStyle w:val="FootnoteText"/>
      </w:pPr>
      <w:r>
        <w:rPr>
          <w:rStyle w:val="FootnoteReference1"/>
        </w:rPr>
        <w:footnoteRef/>
      </w:r>
      <w:r>
        <w:rPr>
          <w:rtl/>
        </w:rPr>
        <w:t xml:space="preserve"> </w:t>
      </w:r>
      <w:r>
        <w:rPr>
          <w:rtl/>
        </w:rPr>
        <w:tab/>
      </w:r>
      <w:r>
        <w:rPr>
          <w:rFonts w:hint="cs"/>
          <w:rtl/>
        </w:rPr>
        <w:t xml:space="preserve">נציין כי מחוז דרום </w:t>
      </w:r>
      <w:r w:rsidRPr="005A4D90">
        <w:rPr>
          <w:rtl/>
        </w:rPr>
        <w:t>כולל את העיר אילת שהיא עיר תיירות, ועל כן יש פער ניכר בין מספר תושבי הקבע שעליו מבוסס חישוב מספר</w:t>
      </w:r>
      <w:r>
        <w:rPr>
          <w:rFonts w:hint="cs"/>
          <w:rtl/>
        </w:rPr>
        <w:t xml:space="preserve"> </w:t>
      </w:r>
      <w:r w:rsidRPr="005A4D90">
        <w:rPr>
          <w:rtl/>
        </w:rPr>
        <w:t>התיקים ל</w:t>
      </w:r>
      <w:r>
        <w:rPr>
          <w:rFonts w:hint="cs"/>
          <w:rtl/>
        </w:rPr>
        <w:t>-</w:t>
      </w:r>
      <w:r w:rsidRPr="005A4D90">
        <w:rPr>
          <w:rtl/>
        </w:rPr>
        <w:t>1,000</w:t>
      </w:r>
      <w:r>
        <w:rPr>
          <w:rFonts w:hint="cs"/>
          <w:rtl/>
        </w:rPr>
        <w:t xml:space="preserve"> </w:t>
      </w:r>
      <w:r w:rsidRPr="005A4D90">
        <w:rPr>
          <w:rtl/>
        </w:rPr>
        <w:t>נפש</w:t>
      </w:r>
      <w:r>
        <w:rPr>
          <w:rFonts w:hint="cs"/>
          <w:rtl/>
        </w:rPr>
        <w:t>,</w:t>
      </w:r>
      <w:r w:rsidRPr="005A4D90">
        <w:rPr>
          <w:rtl/>
        </w:rPr>
        <w:t xml:space="preserve"> לבין מספר האנשים הנמצאים בעיר בפועל</w:t>
      </w:r>
      <w:r>
        <w:rPr>
          <w:rFonts w:hint="cs"/>
          <w:rtl/>
        </w:rPr>
        <w:t>.</w:t>
      </w:r>
    </w:p>
  </w:footnote>
  <w:footnote w:id="78">
    <w:p w:rsidR="00F8025B" w:rsidP="00AA5065">
      <w:pPr>
        <w:pStyle w:val="FootnoteText"/>
      </w:pPr>
      <w:r>
        <w:rPr>
          <w:rStyle w:val="FootnoteReference1"/>
        </w:rPr>
        <w:footnoteRef/>
      </w:r>
      <w:r>
        <w:rPr>
          <w:rtl/>
        </w:rPr>
        <w:t xml:space="preserve"> </w:t>
      </w:r>
      <w:r>
        <w:rPr>
          <w:rtl/>
        </w:rPr>
        <w:tab/>
      </w:r>
      <w:r>
        <w:rPr>
          <w:rFonts w:hint="cs"/>
          <w:rtl/>
        </w:rPr>
        <w:t>פגישה מיום 3.9.24 במשטרת ישראל מחוז דרום.</w:t>
      </w:r>
    </w:p>
  </w:footnote>
  <w:footnote w:id="79">
    <w:p w:rsidR="00F8025B" w:rsidP="00AA5065">
      <w:pPr>
        <w:pStyle w:val="FootnoteText"/>
        <w:rPr>
          <w:rtl/>
        </w:rPr>
      </w:pPr>
      <w:r>
        <w:rPr>
          <w:rStyle w:val="FootnoteReference1"/>
        </w:rPr>
        <w:footnoteRef/>
      </w:r>
      <w:r>
        <w:rPr>
          <w:rtl/>
        </w:rPr>
        <w:t xml:space="preserve"> </w:t>
      </w:r>
      <w:r>
        <w:rPr>
          <w:rtl/>
        </w:rPr>
        <w:tab/>
      </w:r>
      <w:r>
        <w:rPr>
          <w:rFonts w:hint="cs"/>
          <w:rtl/>
        </w:rPr>
        <w:t>החלטה 549 של הממשלה ה-36, "</w:t>
      </w:r>
      <w:r>
        <w:rPr>
          <w:rtl/>
        </w:rPr>
        <w:t>תכנית לטיפול בתופעות הפשיעה והאלימות בחברה הערבית</w:t>
      </w:r>
      <w:r>
        <w:rPr>
          <w:rFonts w:hint="cs"/>
          <w:rtl/>
        </w:rPr>
        <w:t xml:space="preserve"> </w:t>
      </w:r>
      <w:r>
        <w:rPr>
          <w:rtl/>
        </w:rPr>
        <w:t>2022</w:t>
      </w:r>
      <w:r>
        <w:rPr>
          <w:rFonts w:hint="cs"/>
          <w:rtl/>
        </w:rPr>
        <w:t xml:space="preserve"> - </w:t>
      </w:r>
      <w:r>
        <w:rPr>
          <w:rtl/>
        </w:rPr>
        <w:t>2026</w:t>
      </w:r>
      <w:r>
        <w:rPr>
          <w:rFonts w:hint="cs"/>
          <w:rtl/>
        </w:rPr>
        <w:t>" (24.10.21).</w:t>
      </w:r>
    </w:p>
  </w:footnote>
  <w:footnote w:id="80">
    <w:p w:rsidR="00F8025B" w:rsidP="00AA5065">
      <w:pPr>
        <w:pStyle w:val="FootnoteText"/>
        <w:rPr>
          <w:rtl/>
        </w:rPr>
      </w:pPr>
      <w:r>
        <w:rPr>
          <w:rStyle w:val="FootnoteReference1"/>
        </w:rPr>
        <w:footnoteRef/>
      </w:r>
      <w:r>
        <w:rPr>
          <w:rtl/>
        </w:rPr>
        <w:t xml:space="preserve"> </w:t>
      </w:r>
      <w:r>
        <w:rPr>
          <w:rtl/>
        </w:rPr>
        <w:tab/>
      </w:r>
      <w:r>
        <w:rPr>
          <w:rFonts w:hint="cs"/>
          <w:rtl/>
        </w:rPr>
        <w:t>לפני כן שימשה כ"נקודת משטרה ולא תחנת משטרה".</w:t>
      </w:r>
    </w:p>
  </w:footnote>
  <w:footnote w:id="81">
    <w:p w:rsidR="00F8025B" w:rsidP="00AA5065">
      <w:pPr>
        <w:pStyle w:val="FootnoteText"/>
        <w:rPr>
          <w:rtl/>
        </w:rPr>
      </w:pPr>
      <w:r>
        <w:rPr>
          <w:rStyle w:val="FootnoteReference1"/>
        </w:rPr>
        <w:footnoteRef/>
      </w:r>
      <w:r>
        <w:rPr>
          <w:rtl/>
        </w:rPr>
        <w:t xml:space="preserve"> </w:t>
      </w:r>
      <w:r>
        <w:rPr>
          <w:rtl/>
        </w:rPr>
        <w:tab/>
      </w:r>
      <w:r>
        <w:rPr>
          <w:rFonts w:hint="cs"/>
          <w:rtl/>
        </w:rPr>
        <w:t xml:space="preserve">אתר </w:t>
      </w:r>
      <w:r w:rsidRPr="001956AC">
        <w:rPr>
          <w:rFonts w:hint="cs"/>
          <w:rtl/>
        </w:rPr>
        <w:t>משטרת ישראל</w:t>
      </w:r>
      <w:r>
        <w:rPr>
          <w:rFonts w:hint="cs"/>
          <w:rtl/>
        </w:rPr>
        <w:t>.</w:t>
      </w:r>
    </w:p>
  </w:footnote>
  <w:footnote w:id="82">
    <w:p w:rsidR="00F8025B" w:rsidP="00AA5065">
      <w:pPr>
        <w:pStyle w:val="FootnoteText"/>
        <w:rPr>
          <w:rtl/>
        </w:rPr>
      </w:pPr>
      <w:r>
        <w:rPr>
          <w:rStyle w:val="FootnoteReference1"/>
        </w:rPr>
        <w:footnoteRef/>
      </w:r>
      <w:r>
        <w:rPr>
          <w:rtl/>
        </w:rPr>
        <w:t xml:space="preserve"> </w:t>
      </w:r>
      <w:r>
        <w:rPr>
          <w:rtl/>
        </w:rPr>
        <w:tab/>
      </w:r>
      <w:r w:rsidRPr="00F7547C">
        <w:rPr>
          <w:rtl/>
        </w:rPr>
        <w:t>אתר משטרת ישראל.‏</w:t>
      </w:r>
    </w:p>
  </w:footnote>
  <w:footnote w:id="83">
    <w:p w:rsidR="00F8025B" w:rsidP="00AA5065">
      <w:pPr>
        <w:pStyle w:val="FootnoteText"/>
      </w:pPr>
      <w:r>
        <w:rPr>
          <w:rStyle w:val="FootnoteReference1"/>
        </w:rPr>
        <w:footnoteRef/>
      </w:r>
      <w:r>
        <w:rPr>
          <w:rtl/>
        </w:rPr>
        <w:t xml:space="preserve"> </w:t>
      </w:r>
      <w:r>
        <w:rPr>
          <w:rtl/>
        </w:rPr>
        <w:tab/>
      </w:r>
      <w:r>
        <w:rPr>
          <w:rFonts w:hint="cs"/>
          <w:rtl/>
        </w:rPr>
        <w:t xml:space="preserve">הלמ"ס, </w:t>
      </w:r>
      <w:r w:rsidRPr="001956AC">
        <w:rPr>
          <w:rFonts w:hint="cs"/>
          <w:rtl/>
        </w:rPr>
        <w:t>פרופיל מועצות מקומיות, הרשויות המקומיות בישראל 2022, פרסום מס' 1957.</w:t>
      </w:r>
    </w:p>
  </w:footnote>
  <w:footnote w:id="84">
    <w:p w:rsidR="00F8025B" w:rsidP="00AA5065">
      <w:pPr>
        <w:pStyle w:val="FootnoteText"/>
      </w:pPr>
      <w:r>
        <w:rPr>
          <w:rStyle w:val="FootnoteReference1"/>
        </w:rPr>
        <w:footnoteRef/>
      </w:r>
      <w:r>
        <w:rPr>
          <w:rtl/>
        </w:rPr>
        <w:t xml:space="preserve"> </w:t>
      </w:r>
      <w:r>
        <w:rPr>
          <w:rtl/>
        </w:rPr>
        <w:tab/>
      </w:r>
      <w:r w:rsidRPr="001956AC">
        <w:rPr>
          <w:rFonts w:hint="cs"/>
          <w:rtl/>
        </w:rPr>
        <w:t>נכון למרץ 2025 מתגוררים במועצה 15,932 תושבים</w:t>
      </w:r>
      <w:r>
        <w:rPr>
          <w:rFonts w:hint="cs"/>
          <w:rtl/>
        </w:rPr>
        <w:t>.</w:t>
      </w:r>
    </w:p>
  </w:footnote>
  <w:footnote w:id="85">
    <w:p w:rsidR="00F8025B" w:rsidP="00AA5065">
      <w:pPr>
        <w:pStyle w:val="FootnoteText"/>
        <w:rPr>
          <w:rtl/>
        </w:rPr>
      </w:pPr>
      <w:r>
        <w:rPr>
          <w:rStyle w:val="FootnoteReference1"/>
        </w:rPr>
        <w:footnoteRef/>
      </w:r>
      <w:r>
        <w:rPr>
          <w:rtl/>
        </w:rPr>
        <w:t xml:space="preserve"> </w:t>
      </w:r>
      <w:r>
        <w:rPr>
          <w:rtl/>
        </w:rPr>
        <w:tab/>
      </w:r>
      <w:r>
        <w:rPr>
          <w:rFonts w:hint="cs"/>
          <w:rtl/>
        </w:rPr>
        <w:t>ה</w:t>
      </w:r>
      <w:hyperlink r:id="rId1" w:history="1">
        <w:r w:rsidRPr="008E3855">
          <w:rPr>
            <w:rtl/>
          </w:rPr>
          <w:t>למ"ס, פרופיל מועצות מקומיות, הרשויות המקומיות בישראל 2022, פרסום מס' 1957</w:t>
        </w:r>
      </w:hyperlink>
      <w:r w:rsidRPr="00132D50">
        <w:rPr>
          <w:rtl/>
        </w:rPr>
        <w:t>.‏</w:t>
      </w:r>
    </w:p>
  </w:footnote>
  <w:footnote w:id="86">
    <w:p w:rsidR="00F8025B" w:rsidP="00AA5065">
      <w:pPr>
        <w:pStyle w:val="FootnoteText"/>
      </w:pPr>
      <w:r>
        <w:rPr>
          <w:rStyle w:val="FootnoteReference1"/>
        </w:rPr>
        <w:footnoteRef/>
      </w:r>
      <w:r>
        <w:rPr>
          <w:rtl/>
        </w:rPr>
        <w:t xml:space="preserve"> </w:t>
      </w:r>
      <w:r>
        <w:rPr>
          <w:rtl/>
        </w:rPr>
        <w:tab/>
      </w:r>
      <w:r>
        <w:rPr>
          <w:rFonts w:hint="cs"/>
          <w:rtl/>
        </w:rPr>
        <w:t>בשנים 2020 עד 2021 התקן והמצבה של תחנת ערוער כללו גם את התקן והמצבה של נקודת המשטרה שגב שלום. בשנת 2020 התקן היה 34 והמצבה 32, ובשנת 2021 התקן היה 34 והמצבה 27.</w:t>
      </w:r>
    </w:p>
  </w:footnote>
  <w:footnote w:id="87">
    <w:p w:rsidR="00F8025B" w:rsidP="00AA5065">
      <w:pPr>
        <w:pStyle w:val="FootnoteText"/>
      </w:pPr>
      <w:r>
        <w:rPr>
          <w:rStyle w:val="FootnoteReference1"/>
        </w:rPr>
        <w:footnoteRef/>
      </w:r>
      <w:r>
        <w:rPr>
          <w:rtl/>
        </w:rPr>
        <w:t xml:space="preserve"> </w:t>
      </w:r>
      <w:r>
        <w:rPr>
          <w:rtl/>
        </w:rPr>
        <w:tab/>
      </w:r>
      <w:r>
        <w:rPr>
          <w:rFonts w:hint="cs"/>
          <w:rtl/>
        </w:rPr>
        <w:t>דוח מבקר המדינה: "</w:t>
      </w:r>
      <w:r w:rsidRPr="00816A2B">
        <w:rPr>
          <w:rtl/>
        </w:rPr>
        <w:t>התמודדות משטרת ישראל עם החזקת אמצעי לחימה לא חוקיים ואירועי ירי ביישובי החברה הערבית וביישובים מעורבים</w:t>
      </w:r>
      <w:r>
        <w:rPr>
          <w:rFonts w:hint="cs"/>
          <w:rtl/>
        </w:rPr>
        <w:t xml:space="preserve"> - ביקורת מעקב", </w:t>
      </w:r>
      <w:r w:rsidRPr="00320E15">
        <w:rPr>
          <w:rtl/>
        </w:rPr>
        <w:t>דוח 71ג</w:t>
      </w:r>
      <w:r>
        <w:rPr>
          <w:rFonts w:hint="cs"/>
          <w:rtl/>
        </w:rPr>
        <w:t xml:space="preserve"> (2021), עמ' 64.</w:t>
      </w:r>
    </w:p>
  </w:footnote>
  <w:footnote w:id="88">
    <w:p w:rsidR="00F8025B" w:rsidP="00AA5065">
      <w:pPr>
        <w:pStyle w:val="FootnoteText"/>
        <w:rPr>
          <w:rtl/>
        </w:rPr>
      </w:pPr>
      <w:r>
        <w:rPr>
          <w:rStyle w:val="FootnoteReference1"/>
        </w:rPr>
        <w:footnoteRef/>
      </w:r>
      <w:r>
        <w:rPr>
          <w:rtl/>
        </w:rPr>
        <w:t xml:space="preserve"> </w:t>
      </w:r>
      <w:r>
        <w:rPr>
          <w:rtl/>
        </w:rPr>
        <w:tab/>
      </w:r>
      <w:r>
        <w:rPr>
          <w:rFonts w:hint="cs"/>
          <w:rtl/>
        </w:rPr>
        <w:t>ראש עיריית רהט במכתב מיום 3.7.24. המכתב מוען לשר התפוצות ולמפכ"ל המשטרה עם העתקים לראש הממשלה, שר האוצר, השר לביטחו</w:t>
      </w:r>
      <w:r>
        <w:rPr>
          <w:rFonts w:hint="eastAsia"/>
          <w:rtl/>
        </w:rPr>
        <w:t>ן</w:t>
      </w:r>
      <w:r>
        <w:rPr>
          <w:rFonts w:hint="cs"/>
          <w:rtl/>
        </w:rPr>
        <w:t xml:space="preserve"> לאומי, שר הפנים, מבקר המדינה, יו"ר מרכז השלטון המקומי, ראשי הרשויות הבדואיות בנגב ומטה החירום למאבק בפשיעה. </w:t>
      </w:r>
    </w:p>
  </w:footnote>
  <w:footnote w:id="89">
    <w:p w:rsidR="00F8025B" w:rsidP="00AA5065">
      <w:pPr>
        <w:pStyle w:val="FootnoteText"/>
      </w:pPr>
      <w:r>
        <w:rPr>
          <w:rStyle w:val="FootnoteReference1"/>
        </w:rPr>
        <w:footnoteRef/>
      </w:r>
      <w:r>
        <w:rPr>
          <w:rtl/>
        </w:rPr>
        <w:t xml:space="preserve"> </w:t>
      </w:r>
      <w:r>
        <w:rPr>
          <w:rtl/>
        </w:rPr>
        <w:tab/>
      </w:r>
      <w:r>
        <w:rPr>
          <w:rFonts w:hint="cs"/>
          <w:rtl/>
        </w:rPr>
        <w:t xml:space="preserve">תחנת עיירות </w:t>
      </w:r>
      <w:r w:rsidRPr="008F5151">
        <w:rPr>
          <w:rtl/>
        </w:rPr>
        <w:t>נותנת שירותים בין היתר ל</w:t>
      </w:r>
      <w:r>
        <w:rPr>
          <w:rFonts w:hint="cs"/>
          <w:rtl/>
        </w:rPr>
        <w:t xml:space="preserve">יישובים: </w:t>
      </w:r>
      <w:r w:rsidRPr="008F5151">
        <w:rPr>
          <w:rtl/>
        </w:rPr>
        <w:t>לקייה, כרמים, מיתר, חורה, עומר ותל שבע. ‏</w:t>
      </w:r>
    </w:p>
  </w:footnote>
  <w:footnote w:id="90">
    <w:p w:rsidR="00F8025B" w:rsidP="00AA5065">
      <w:pPr>
        <w:pStyle w:val="FootnoteText"/>
        <w:rPr>
          <w:rtl/>
        </w:rPr>
      </w:pPr>
      <w:r>
        <w:rPr>
          <w:rStyle w:val="FootnoteReference1"/>
        </w:rPr>
        <w:footnoteRef/>
      </w:r>
      <w:r>
        <w:rPr>
          <w:rtl/>
        </w:rPr>
        <w:t xml:space="preserve"> </w:t>
      </w:r>
      <w:r>
        <w:rPr>
          <w:rtl/>
        </w:rPr>
        <w:tab/>
      </w:r>
      <w:r>
        <w:rPr>
          <w:rFonts w:hint="cs"/>
          <w:rtl/>
        </w:rPr>
        <w:t>הנתונים מעודכנים לסוף כל שנה.</w:t>
      </w:r>
    </w:p>
  </w:footnote>
  <w:footnote w:id="91">
    <w:p w:rsidR="00F8025B" w:rsidP="00AA5065">
      <w:pPr>
        <w:pStyle w:val="FootnoteText"/>
      </w:pPr>
      <w:r>
        <w:rPr>
          <w:rStyle w:val="FootnoteReference1"/>
        </w:rPr>
        <w:footnoteRef/>
      </w:r>
      <w:r>
        <w:rPr>
          <w:rtl/>
        </w:rPr>
        <w:t xml:space="preserve"> </w:t>
      </w:r>
      <w:r>
        <w:rPr>
          <w:rtl/>
        </w:rPr>
        <w:tab/>
      </w:r>
      <w:r>
        <w:rPr>
          <w:rFonts w:hint="cs"/>
          <w:rtl/>
        </w:rPr>
        <w:t>הנתונים מעודכנים לסוף כל שנה.</w:t>
      </w:r>
    </w:p>
  </w:footnote>
  <w:footnote w:id="92">
    <w:p w:rsidR="00F8025B" w:rsidP="00AA5065">
      <w:pPr>
        <w:pStyle w:val="FootnoteText"/>
      </w:pPr>
      <w:r>
        <w:rPr>
          <w:rStyle w:val="FootnoteReference1"/>
        </w:rPr>
        <w:footnoteRef/>
      </w:r>
      <w:r>
        <w:rPr>
          <w:rtl/>
        </w:rPr>
        <w:t xml:space="preserve"> </w:t>
      </w:r>
      <w:r>
        <w:rPr>
          <w:rtl/>
        </w:rPr>
        <w:tab/>
      </w:r>
      <w:r>
        <w:rPr>
          <w:rFonts w:hint="cs"/>
          <w:rtl/>
        </w:rPr>
        <w:t>בחוק העונשין המונח הוא סחיטה באיומים או גביית דמי חסות.</w:t>
      </w:r>
    </w:p>
  </w:footnote>
  <w:footnote w:id="93">
    <w:p w:rsidR="00F8025B" w:rsidP="00AA5065">
      <w:pPr>
        <w:pStyle w:val="FootnoteText"/>
      </w:pPr>
      <w:r>
        <w:rPr>
          <w:rStyle w:val="FootnoteReference1"/>
        </w:rPr>
        <w:footnoteRef/>
      </w:r>
      <w:r>
        <w:rPr>
          <w:rtl/>
        </w:rPr>
        <w:t xml:space="preserve"> </w:t>
      </w:r>
      <w:r>
        <w:tab/>
      </w:r>
      <w:r w:rsidRPr="008E3855">
        <w:rPr>
          <w:rFonts w:hint="cs"/>
          <w:rtl/>
        </w:rPr>
        <w:t>הכנסת, הלשכה המשפטית, "דמי חסות</w:t>
      </w:r>
      <w:r>
        <w:rPr>
          <w:rFonts w:hint="cs"/>
          <w:rtl/>
        </w:rPr>
        <w:t>, סקירה משווה" (27.6.21).</w:t>
      </w:r>
    </w:p>
  </w:footnote>
  <w:footnote w:id="94">
    <w:p w:rsidR="00F8025B" w:rsidP="00AA5065">
      <w:pPr>
        <w:pStyle w:val="FootnoteText"/>
        <w:rPr>
          <w:rtl/>
        </w:rPr>
      </w:pPr>
      <w:r>
        <w:rPr>
          <w:rStyle w:val="FootnoteReference1"/>
        </w:rPr>
        <w:footnoteRef/>
      </w:r>
      <w:r>
        <w:rPr>
          <w:rtl/>
        </w:rPr>
        <w:t xml:space="preserve"> </w:t>
      </w:r>
      <w:r>
        <w:rPr>
          <w:rtl/>
        </w:rPr>
        <w:tab/>
      </w:r>
      <w:r w:rsidRPr="00E54368">
        <w:rPr>
          <w:rtl/>
        </w:rPr>
        <w:t xml:space="preserve">סעיף 2 לחוק איסור הלבנת הון, </w:t>
      </w:r>
      <w:r>
        <w:rPr>
          <w:rFonts w:hint="cs"/>
          <w:rtl/>
        </w:rPr>
        <w:t>ה</w:t>
      </w:r>
      <w:r w:rsidRPr="00E54368">
        <w:rPr>
          <w:rtl/>
        </w:rPr>
        <w:t>תש"ס</w:t>
      </w:r>
      <w:r>
        <w:rPr>
          <w:rFonts w:hint="cs"/>
          <w:rtl/>
        </w:rPr>
        <w:t>-</w:t>
      </w:r>
      <w:r w:rsidRPr="00E54368">
        <w:rPr>
          <w:rtl/>
        </w:rPr>
        <w:t>2000</w:t>
      </w:r>
      <w:r>
        <w:rPr>
          <w:rFonts w:hint="cs"/>
          <w:rtl/>
        </w:rPr>
        <w:t>, סעיף (11) לתוספת הראשונה.</w:t>
      </w:r>
    </w:p>
  </w:footnote>
  <w:footnote w:id="95">
    <w:p w:rsidR="00F8025B" w:rsidP="00AA5065">
      <w:pPr>
        <w:pStyle w:val="FootnoteText"/>
        <w:rPr>
          <w:rtl/>
        </w:rPr>
      </w:pPr>
      <w:r>
        <w:rPr>
          <w:rStyle w:val="FootnoteReference1"/>
        </w:rPr>
        <w:footnoteRef/>
      </w:r>
      <w:r>
        <w:rPr>
          <w:rtl/>
        </w:rPr>
        <w:t xml:space="preserve"> </w:t>
      </w:r>
      <w:r>
        <w:rPr>
          <w:rtl/>
        </w:rPr>
        <w:tab/>
      </w:r>
      <w:r w:rsidRPr="00E47AF1">
        <w:rPr>
          <w:rtl/>
        </w:rPr>
        <w:t xml:space="preserve">חוק העונשין, </w:t>
      </w:r>
      <w:r>
        <w:rPr>
          <w:rFonts w:hint="cs"/>
          <w:rtl/>
        </w:rPr>
        <w:t>ה</w:t>
      </w:r>
      <w:r w:rsidRPr="00E47AF1">
        <w:rPr>
          <w:rtl/>
        </w:rPr>
        <w:t>תשל"ז-1977</w:t>
      </w:r>
      <w:r>
        <w:rPr>
          <w:rFonts w:hint="cs"/>
          <w:rtl/>
        </w:rPr>
        <w:t>, סחיטה באיומים, סעיף 428.</w:t>
      </w:r>
    </w:p>
  </w:footnote>
  <w:footnote w:id="96">
    <w:p w:rsidR="00F8025B" w:rsidRPr="00013CB9" w:rsidP="00AA5065">
      <w:pPr>
        <w:pStyle w:val="FootnoteText"/>
      </w:pPr>
      <w:r>
        <w:rPr>
          <w:rStyle w:val="FootnoteReference1"/>
        </w:rPr>
        <w:footnoteRef/>
      </w:r>
      <w:r>
        <w:rPr>
          <w:rtl/>
        </w:rPr>
        <w:t xml:space="preserve"> </w:t>
      </w:r>
      <w:r>
        <w:rPr>
          <w:rtl/>
        </w:rPr>
        <w:tab/>
      </w:r>
      <w:r w:rsidRPr="008E3855">
        <w:rPr>
          <w:rtl/>
        </w:rPr>
        <w:t xml:space="preserve">ניצול של המערכת </w:t>
      </w:r>
      <w:r w:rsidRPr="00013CB9">
        <w:rPr>
          <w:rtl/>
        </w:rPr>
        <w:t>הפיננסית להלבנת הון שמקורו בתשלום דמי חסות</w:t>
      </w:r>
      <w:r w:rsidRPr="00013CB9">
        <w:rPr>
          <w:rFonts w:hint="cs"/>
          <w:rtl/>
        </w:rPr>
        <w:t>, מרץ 2022.</w:t>
      </w:r>
    </w:p>
  </w:footnote>
  <w:footnote w:id="97">
    <w:p w:rsidR="00F8025B" w:rsidRPr="008E03FB" w:rsidP="00AA5065">
      <w:pPr>
        <w:pStyle w:val="FootnoteText"/>
        <w:rPr>
          <w:rtl/>
        </w:rPr>
      </w:pPr>
      <w:r w:rsidRPr="00013CB9">
        <w:rPr>
          <w:rStyle w:val="FootnoteReference1"/>
        </w:rPr>
        <w:footnoteRef/>
      </w:r>
      <w:r w:rsidRPr="00013CB9">
        <w:rPr>
          <w:rtl/>
        </w:rPr>
        <w:t xml:space="preserve"> </w:t>
      </w:r>
      <w:r w:rsidRPr="00013CB9">
        <w:rPr>
          <w:rtl/>
        </w:rPr>
        <w:tab/>
      </w:r>
      <w:r w:rsidRPr="00013CB9">
        <w:rPr>
          <w:rFonts w:hint="eastAsia"/>
          <w:rtl/>
        </w:rPr>
        <w:t>המסמך</w:t>
      </w:r>
      <w:r w:rsidRPr="00013CB9">
        <w:rPr>
          <w:rtl/>
        </w:rPr>
        <w:t xml:space="preserve"> פורסם באתר ‏הרשות לאיסור הלבנת הון </w:t>
      </w:r>
      <w:r w:rsidRPr="00013CB9">
        <w:rPr>
          <w:rFonts w:hint="cs"/>
          <w:rtl/>
        </w:rPr>
        <w:t>ו</w:t>
      </w:r>
      <w:r w:rsidRPr="00013CB9">
        <w:rPr>
          <w:rtl/>
        </w:rPr>
        <w:t>נערך בהנחיית היוע</w:t>
      </w:r>
      <w:r w:rsidRPr="00013CB9">
        <w:rPr>
          <w:rFonts w:hint="cs"/>
          <w:rtl/>
        </w:rPr>
        <w:t>מ"ש</w:t>
      </w:r>
      <w:r w:rsidRPr="00013CB9">
        <w:rPr>
          <w:rtl/>
        </w:rPr>
        <w:t xml:space="preserve"> ובהובלת הרשות לאיסור הלבנת הון </w:t>
      </w:r>
      <w:r w:rsidRPr="00013CB9">
        <w:rPr>
          <w:rFonts w:hint="cs"/>
          <w:rtl/>
        </w:rPr>
        <w:t>בשיתוף</w:t>
      </w:r>
      <w:r w:rsidRPr="00013CB9">
        <w:rPr>
          <w:rtl/>
        </w:rPr>
        <w:t xml:space="preserve"> מכלול גופי האכיפה, הביטחון והרגולטורים הפיננסיים, </w:t>
      </w:r>
      <w:r w:rsidRPr="00013CB9">
        <w:rPr>
          <w:rFonts w:hint="cs"/>
          <w:rtl/>
        </w:rPr>
        <w:t xml:space="preserve">וכן עם </w:t>
      </w:r>
      <w:r w:rsidRPr="00013CB9">
        <w:rPr>
          <w:rtl/>
        </w:rPr>
        <w:t>הסקטור הפרטי, ובהתאם לעקרונות הנדרשים בסטנדרט</w:t>
      </w:r>
      <w:r w:rsidRPr="008E03FB">
        <w:rPr>
          <w:rtl/>
        </w:rPr>
        <w:t xml:space="preserve"> הבי</w:t>
      </w:r>
      <w:r>
        <w:rPr>
          <w:rFonts w:hint="cs"/>
          <w:rtl/>
        </w:rPr>
        <w:t>ן-</w:t>
      </w:r>
      <w:r w:rsidRPr="008E03FB">
        <w:rPr>
          <w:rtl/>
        </w:rPr>
        <w:t xml:space="preserve">לאומי של ארגון </w:t>
      </w:r>
      <w:r w:rsidRPr="008E03FB">
        <w:t>FATF</w:t>
      </w:r>
      <w:r>
        <w:rPr>
          <w:rFonts w:hint="cs"/>
          <w:rtl/>
        </w:rPr>
        <w:t>.</w:t>
      </w:r>
    </w:p>
  </w:footnote>
  <w:footnote w:id="98">
    <w:p w:rsidR="00F8025B" w:rsidP="00AA5065">
      <w:pPr>
        <w:pStyle w:val="FootnoteText"/>
        <w:rPr>
          <w:rtl/>
        </w:rPr>
      </w:pPr>
      <w:r>
        <w:rPr>
          <w:rStyle w:val="FootnoteReference1"/>
        </w:rPr>
        <w:footnoteRef/>
      </w:r>
      <w:r>
        <w:rPr>
          <w:rtl/>
        </w:rPr>
        <w:t xml:space="preserve"> </w:t>
      </w:r>
      <w:r>
        <w:rPr>
          <w:rtl/>
        </w:rPr>
        <w:tab/>
      </w:r>
      <w:r w:rsidRPr="00860790">
        <w:t>Financial Action Task Force</w:t>
      </w:r>
      <w:r w:rsidRPr="00860790">
        <w:rPr>
          <w:rtl/>
        </w:rPr>
        <w:t>‏ ‏</w:t>
      </w:r>
      <w:r w:rsidRPr="00860790">
        <w:t>FATF -</w:t>
      </w:r>
      <w:r w:rsidRPr="00860790">
        <w:rPr>
          <w:cs/>
        </w:rPr>
        <w:t>‎</w:t>
      </w:r>
      <w:r w:rsidRPr="00860790">
        <w:rPr>
          <w:rtl/>
        </w:rPr>
        <w:t>‏ גוף בין-מדינתי האמון על קביעת הסטנדרט העולמי המחייב את ‏כלל מדינות העולם בתחום המאבק בהלבנת הון ומימון טרור.‏</w:t>
      </w:r>
    </w:p>
  </w:footnote>
  <w:footnote w:id="99">
    <w:p w:rsidR="00F8025B" w:rsidP="00AA5065">
      <w:pPr>
        <w:pStyle w:val="FootnoteText"/>
      </w:pPr>
      <w:r>
        <w:rPr>
          <w:rStyle w:val="FootnoteReference1"/>
        </w:rPr>
        <w:footnoteRef/>
      </w:r>
      <w:r>
        <w:rPr>
          <w:rtl/>
        </w:rPr>
        <w:t xml:space="preserve"> </w:t>
      </w:r>
      <w:r>
        <w:rPr>
          <w:rtl/>
        </w:rPr>
        <w:tab/>
      </w:r>
      <w:r w:rsidRPr="003979F1">
        <w:rPr>
          <w:rtl/>
        </w:rPr>
        <w:t>תיקוף הערכת הסיכונים הלאומית בתחום איסור הלבנת הון גופי האכיפה, נובמבר 2021.‏</w:t>
      </w:r>
    </w:p>
  </w:footnote>
  <w:footnote w:id="100">
    <w:p w:rsidR="00F8025B" w:rsidP="00AA5065">
      <w:pPr>
        <w:pStyle w:val="FootnoteText"/>
      </w:pPr>
      <w:r>
        <w:rPr>
          <w:rStyle w:val="FootnoteReference1"/>
        </w:rPr>
        <w:footnoteRef/>
      </w:r>
      <w:r>
        <w:rPr>
          <w:rtl/>
        </w:rPr>
        <w:t xml:space="preserve"> </w:t>
      </w:r>
      <w:r>
        <w:rPr>
          <w:rtl/>
        </w:rPr>
        <w:tab/>
      </w:r>
      <w:r>
        <w:rPr>
          <w:rFonts w:hint="cs"/>
          <w:rtl/>
        </w:rPr>
        <w:t>בעבירות מסוימות המשטרה יכולה לקבל החלטה על גניזת תיק, בעבירות דמי חסות ניתן לגנוז רק בסמכות הפרקליטות.</w:t>
      </w:r>
    </w:p>
  </w:footnote>
  <w:footnote w:id="101">
    <w:p w:rsidR="00F8025B" w:rsidP="00AA5065">
      <w:pPr>
        <w:pStyle w:val="FootnoteText"/>
      </w:pPr>
      <w:r w:rsidRPr="00013CB9">
        <w:rPr>
          <w:rStyle w:val="FootnoteReference1"/>
        </w:rPr>
        <w:footnoteRef/>
      </w:r>
      <w:r w:rsidRPr="00013CB9">
        <w:rPr>
          <w:rtl/>
        </w:rPr>
        <w:t xml:space="preserve"> </w:t>
      </w:r>
      <w:r w:rsidRPr="00013CB9">
        <w:rPr>
          <w:rtl/>
        </w:rPr>
        <w:tab/>
      </w:r>
      <w:r w:rsidRPr="00013CB9">
        <w:rPr>
          <w:rtl/>
        </w:rPr>
        <w:t>תיקים המצויים בהליך סגירה הם תיקים שבהם לא נמצאו ראיות מספיקות להוכחת העבירה מעבר לכל ספק סביר, ומשכך הוחלט על גניזתם</w:t>
      </w:r>
      <w:r w:rsidRPr="00013CB9">
        <w:rPr>
          <w:rFonts w:hint="cs"/>
          <w:rtl/>
        </w:rPr>
        <w:t>.</w:t>
      </w:r>
    </w:p>
  </w:footnote>
  <w:footnote w:id="102">
    <w:p w:rsidR="00F8025B" w:rsidP="00AA5065">
      <w:pPr>
        <w:pStyle w:val="FootnoteText"/>
        <w:rPr>
          <w:rtl/>
        </w:rPr>
      </w:pPr>
      <w:r>
        <w:rPr>
          <w:rStyle w:val="FootnoteReference1"/>
        </w:rPr>
        <w:footnoteRef/>
      </w:r>
      <w:r>
        <w:rPr>
          <w:rtl/>
        </w:rPr>
        <w:t xml:space="preserve"> </w:t>
      </w:r>
      <w:r>
        <w:rPr>
          <w:rtl/>
        </w:rPr>
        <w:tab/>
      </w:r>
      <w:r w:rsidRPr="007705F3">
        <w:rPr>
          <w:rtl/>
        </w:rPr>
        <w:t xml:space="preserve">תום ההליכים </w:t>
      </w:r>
      <w:r>
        <w:rPr>
          <w:rFonts w:hint="cs"/>
          <w:rtl/>
        </w:rPr>
        <w:t>-</w:t>
      </w:r>
      <w:r w:rsidRPr="007705F3">
        <w:rPr>
          <w:rtl/>
        </w:rPr>
        <w:t xml:space="preserve"> עד לסיום ההליכים המשפטיים נגד הנאשם (</w:t>
      </w:r>
      <w:r>
        <w:rPr>
          <w:rFonts w:hint="cs"/>
          <w:rtl/>
        </w:rPr>
        <w:t>הכרעת דין</w:t>
      </w:r>
      <w:r w:rsidRPr="007705F3">
        <w:rPr>
          <w:rtl/>
        </w:rPr>
        <w:t>, ואם יורשע - גזר הדין)</w:t>
      </w:r>
      <w:r>
        <w:rPr>
          <w:rFonts w:hint="cs"/>
          <w:rtl/>
        </w:rPr>
        <w:t>.</w:t>
      </w:r>
    </w:p>
  </w:footnote>
  <w:footnote w:id="103">
    <w:p w:rsidR="00F8025B" w:rsidP="00AA5065">
      <w:pPr>
        <w:pStyle w:val="FootnoteText"/>
      </w:pPr>
      <w:r>
        <w:rPr>
          <w:rStyle w:val="FootnoteReference1"/>
        </w:rPr>
        <w:footnoteRef/>
      </w:r>
      <w:r>
        <w:rPr>
          <w:rtl/>
        </w:rPr>
        <w:t xml:space="preserve"> </w:t>
      </w:r>
      <w:r>
        <w:rPr>
          <w:rtl/>
        </w:rPr>
        <w:tab/>
      </w:r>
      <w:r w:rsidRPr="00EE06B1">
        <w:rPr>
          <w:rtl/>
        </w:rPr>
        <w:t>חוק העונשין (תיקון מס' 146 והוראת שעה), התשפ"ג</w:t>
      </w:r>
      <w:r>
        <w:rPr>
          <w:rFonts w:hint="cs"/>
          <w:rtl/>
        </w:rPr>
        <w:t>-</w:t>
      </w:r>
      <w:r w:rsidRPr="00EE06B1">
        <w:rPr>
          <w:rtl/>
        </w:rPr>
        <w:t>2023</w:t>
      </w:r>
      <w:r>
        <w:rPr>
          <w:rFonts w:hint="cs"/>
          <w:rtl/>
        </w:rPr>
        <w:t>, ס"ח 646.</w:t>
      </w:r>
    </w:p>
  </w:footnote>
  <w:footnote w:id="104">
    <w:p w:rsidR="00F8025B" w:rsidP="00AA5065">
      <w:pPr>
        <w:pStyle w:val="FootnoteText"/>
      </w:pPr>
      <w:r>
        <w:rPr>
          <w:rStyle w:val="FootnoteReference1"/>
        </w:rPr>
        <w:footnoteRef/>
      </w:r>
      <w:r>
        <w:rPr>
          <w:rtl/>
        </w:rPr>
        <w:t xml:space="preserve"> </w:t>
      </w:r>
      <w:r>
        <w:rPr>
          <w:rtl/>
        </w:rPr>
        <w:tab/>
      </w:r>
      <w:r w:rsidRPr="00BA3A6F">
        <w:rPr>
          <w:rtl/>
        </w:rPr>
        <w:t>מחלקת י</w:t>
      </w:r>
      <w:r>
        <w:rPr>
          <w:rFonts w:hint="cs"/>
          <w:rtl/>
        </w:rPr>
        <w:t>י</w:t>
      </w:r>
      <w:r w:rsidRPr="00BA3A6F">
        <w:rPr>
          <w:rtl/>
        </w:rPr>
        <w:t>עוץ וחקיקה משפט פלילי‏</w:t>
      </w:r>
      <w:r>
        <w:rPr>
          <w:rFonts w:hint="cs"/>
          <w:rtl/>
        </w:rPr>
        <w:t>.</w:t>
      </w:r>
    </w:p>
  </w:footnote>
  <w:footnote w:id="105">
    <w:p w:rsidR="00F8025B" w:rsidP="00AA5065">
      <w:pPr>
        <w:pStyle w:val="FootnoteText"/>
      </w:pPr>
      <w:r>
        <w:rPr>
          <w:rStyle w:val="FootnoteReference1"/>
        </w:rPr>
        <w:footnoteRef/>
      </w:r>
      <w:r>
        <w:rPr>
          <w:rtl/>
        </w:rPr>
        <w:t xml:space="preserve"> </w:t>
      </w:r>
      <w:r>
        <w:rPr>
          <w:rtl/>
        </w:rPr>
        <w:tab/>
      </w:r>
      <w:r w:rsidRPr="006A46C4">
        <w:rPr>
          <w:rtl/>
        </w:rPr>
        <w:t>הצעת חוק העונשין (תיקון - הוספת עבירה של גביית דמי חסות), התשפ"ג-2023</w:t>
      </w:r>
      <w:r>
        <w:rPr>
          <w:rFonts w:hint="cs"/>
          <w:rtl/>
        </w:rPr>
        <w:t>.</w:t>
      </w:r>
    </w:p>
  </w:footnote>
  <w:footnote w:id="106">
    <w:p w:rsidR="00F8025B" w:rsidP="00AA5065">
      <w:pPr>
        <w:pStyle w:val="FootnoteText"/>
        <w:rPr>
          <w:rtl/>
        </w:rPr>
      </w:pPr>
      <w:r>
        <w:rPr>
          <w:rStyle w:val="FootnoteReference1"/>
        </w:rPr>
        <w:footnoteRef/>
      </w:r>
      <w:r>
        <w:rPr>
          <w:rtl/>
        </w:rPr>
        <w:t xml:space="preserve"> </w:t>
      </w:r>
      <w:r>
        <w:rPr>
          <w:rtl/>
        </w:rPr>
        <w:tab/>
      </w:r>
      <w:r>
        <w:rPr>
          <w:rFonts w:hint="cs"/>
          <w:rtl/>
        </w:rPr>
        <w:t>הוראות הסעיף יעמדו בתוקף 5 שנים מיום תחילתו של חוק העונשין.</w:t>
      </w:r>
    </w:p>
  </w:footnote>
  <w:footnote w:id="107">
    <w:p w:rsidR="00F8025B" w:rsidP="00AA5065">
      <w:pPr>
        <w:pStyle w:val="FootnoteText"/>
        <w:rPr>
          <w:rtl/>
        </w:rPr>
      </w:pPr>
      <w:r>
        <w:rPr>
          <w:rStyle w:val="FootnoteReference1"/>
        </w:rPr>
        <w:footnoteRef/>
      </w:r>
      <w:r>
        <w:rPr>
          <w:rtl/>
        </w:rPr>
        <w:t xml:space="preserve"> </w:t>
      </w:r>
      <w:r>
        <w:rPr>
          <w:rtl/>
        </w:rPr>
        <w:tab/>
      </w:r>
      <w:r w:rsidRPr="00D478AD">
        <w:rPr>
          <w:rtl/>
        </w:rPr>
        <w:t>ארגון הקבלנים בנגב</w:t>
      </w:r>
      <w:r>
        <w:rPr>
          <w:rFonts w:hint="cs"/>
          <w:rtl/>
        </w:rPr>
        <w:t xml:space="preserve"> - </w:t>
      </w:r>
      <w:r w:rsidRPr="00D478AD">
        <w:rPr>
          <w:rtl/>
        </w:rPr>
        <w:t>הארגון פועל לקידום ענף הבנייה והתשתיות בבאר שבע והנגב, לשמירת האינטרסים והזכויות של כלל הקבלנים והבונים ולפתרון בעיות במגוון תחומים מקצועיים.</w:t>
      </w:r>
      <w:r>
        <w:rPr>
          <w:rFonts w:hint="cs"/>
          <w:rtl/>
        </w:rPr>
        <w:t xml:space="preserve"> הארגון מייצג כ-400 קבלנים שונים.</w:t>
      </w:r>
    </w:p>
  </w:footnote>
  <w:footnote w:id="108">
    <w:p w:rsidR="00F8025B" w:rsidP="00AA5065">
      <w:pPr>
        <w:pStyle w:val="FootnoteText"/>
      </w:pPr>
      <w:r>
        <w:rPr>
          <w:rStyle w:val="FootnoteReference1"/>
        </w:rPr>
        <w:footnoteRef/>
      </w:r>
      <w:r>
        <w:rPr>
          <w:rtl/>
        </w:rPr>
        <w:t xml:space="preserve"> </w:t>
      </w:r>
      <w:r>
        <w:rPr>
          <w:rtl/>
        </w:rPr>
        <w:tab/>
      </w:r>
      <w:r>
        <w:rPr>
          <w:rFonts w:hint="cs"/>
          <w:rtl/>
        </w:rPr>
        <w:t>שוהים בלתי חוקיים.</w:t>
      </w:r>
    </w:p>
  </w:footnote>
  <w:footnote w:id="109">
    <w:p w:rsidR="00F8025B" w:rsidP="00AA5065">
      <w:pPr>
        <w:pStyle w:val="FootnoteText"/>
      </w:pPr>
      <w:r>
        <w:rPr>
          <w:rStyle w:val="FootnoteReference1"/>
        </w:rPr>
        <w:footnoteRef/>
      </w:r>
      <w:r>
        <w:rPr>
          <w:rtl/>
        </w:rPr>
        <w:t xml:space="preserve"> </w:t>
      </w:r>
      <w:r>
        <w:rPr>
          <w:rtl/>
        </w:rPr>
        <w:tab/>
      </w:r>
      <w:r>
        <w:rPr>
          <w:rFonts w:hint="cs"/>
          <w:rtl/>
        </w:rPr>
        <w:t>מדובר בוועדה מיוחדת של הכנסת שפועלת באופן שוטף.</w:t>
      </w:r>
    </w:p>
  </w:footnote>
  <w:footnote w:id="110">
    <w:p w:rsidR="00F8025B" w:rsidP="00AA5065">
      <w:pPr>
        <w:pStyle w:val="FootnoteText"/>
      </w:pPr>
      <w:r>
        <w:rPr>
          <w:rStyle w:val="FootnoteReference1"/>
        </w:rPr>
        <w:footnoteRef/>
      </w:r>
      <w:r>
        <w:rPr>
          <w:rtl/>
        </w:rPr>
        <w:t xml:space="preserve"> </w:t>
      </w:r>
      <w:r>
        <w:rPr>
          <w:rtl/>
        </w:rPr>
        <w:tab/>
      </w:r>
      <w:r>
        <w:rPr>
          <w:rFonts w:hint="cs"/>
          <w:rtl/>
        </w:rPr>
        <w:t>סקר פנימי בקרב כ-450 קבלנים ויזמים.</w:t>
      </w:r>
    </w:p>
  </w:footnote>
  <w:footnote w:id="111">
    <w:p w:rsidR="00F8025B" w:rsidP="00AA5065">
      <w:pPr>
        <w:pStyle w:val="FootnoteText"/>
      </w:pPr>
      <w:r>
        <w:rPr>
          <w:rStyle w:val="FootnoteReference1"/>
        </w:rPr>
        <w:footnoteRef/>
      </w:r>
      <w:r>
        <w:rPr>
          <w:rtl/>
        </w:rPr>
        <w:t xml:space="preserve"> </w:t>
      </w:r>
      <w:r>
        <w:rPr>
          <w:rtl/>
        </w:rPr>
        <w:tab/>
      </w:r>
      <w:r>
        <w:rPr>
          <w:rFonts w:hint="cs"/>
          <w:rtl/>
        </w:rPr>
        <w:t>בקרב הקבלנים שהשיבו לסקר.</w:t>
      </w:r>
    </w:p>
  </w:footnote>
  <w:footnote w:id="112">
    <w:p w:rsidR="00F8025B" w:rsidP="00AA5065">
      <w:pPr>
        <w:pStyle w:val="FootnoteText"/>
      </w:pPr>
      <w:r>
        <w:rPr>
          <w:rStyle w:val="FootnoteReference1"/>
        </w:rPr>
        <w:footnoteRef/>
      </w:r>
      <w:r>
        <w:rPr>
          <w:rtl/>
        </w:rPr>
        <w:t xml:space="preserve"> </w:t>
      </w:r>
      <w:r>
        <w:rPr>
          <w:rtl/>
        </w:rPr>
        <w:tab/>
      </w:r>
      <w:r w:rsidRPr="00432FFF">
        <w:rPr>
          <w:rtl/>
        </w:rPr>
        <w:t>החברה למשק וכלכלה (משכ"ל) הינה חברה בבעלות כ</w:t>
      </w:r>
      <w:r>
        <w:rPr>
          <w:rFonts w:hint="cs"/>
          <w:rtl/>
        </w:rPr>
        <w:t>ל</w:t>
      </w:r>
      <w:r w:rsidRPr="00432FFF">
        <w:rPr>
          <w:rtl/>
        </w:rPr>
        <w:t xml:space="preserve">ל הרשויות המקומיות בישראל. </w:t>
      </w:r>
      <w:r>
        <w:rPr>
          <w:rFonts w:hint="cs"/>
          <w:rtl/>
        </w:rPr>
        <w:t xml:space="preserve">ועוסקת </w:t>
      </w:r>
      <w:r w:rsidRPr="00432FFF">
        <w:rPr>
          <w:rtl/>
        </w:rPr>
        <w:t xml:space="preserve">בפרסום מכרזי מסגרת וניהול פרויקטים עבור רשויות מקומיות וגופי </w:t>
      </w:r>
      <w:r>
        <w:rPr>
          <w:rFonts w:hint="cs"/>
          <w:rtl/>
        </w:rPr>
        <w:t>ה</w:t>
      </w:r>
      <w:r w:rsidRPr="00432FFF">
        <w:rPr>
          <w:rtl/>
        </w:rPr>
        <w:t>סמך שלהן.</w:t>
      </w:r>
    </w:p>
  </w:footnote>
  <w:footnote w:id="113">
    <w:p w:rsidR="00F8025B" w:rsidP="00AA5065">
      <w:pPr>
        <w:pStyle w:val="FootnoteText"/>
      </w:pPr>
      <w:r>
        <w:rPr>
          <w:rStyle w:val="FootnoteReference1"/>
        </w:rPr>
        <w:footnoteRef/>
      </w:r>
      <w:r>
        <w:rPr>
          <w:rtl/>
        </w:rPr>
        <w:t xml:space="preserve"> </w:t>
      </w:r>
      <w:r>
        <w:rPr>
          <w:rtl/>
        </w:rPr>
        <w:tab/>
      </w:r>
      <w:r>
        <w:rPr>
          <w:rFonts w:hint="cs"/>
          <w:rtl/>
        </w:rPr>
        <w:t>עמוד 53 להסכם ההתקשרות.</w:t>
      </w:r>
    </w:p>
  </w:footnote>
  <w:footnote w:id="114">
    <w:p w:rsidR="00F8025B" w:rsidP="00AA5065">
      <w:pPr>
        <w:pStyle w:val="FootnoteText"/>
        <w:rPr>
          <w:rtl/>
        </w:rPr>
      </w:pPr>
      <w:r>
        <w:rPr>
          <w:rStyle w:val="FootnoteReference1"/>
        </w:rPr>
        <w:footnoteRef/>
      </w:r>
      <w:r>
        <w:rPr>
          <w:rtl/>
        </w:rPr>
        <w:t xml:space="preserve"> </w:t>
      </w:r>
      <w:r>
        <w:rPr>
          <w:rtl/>
        </w:rPr>
        <w:tab/>
      </w:r>
      <w:r>
        <w:rPr>
          <w:rFonts w:hint="cs"/>
          <w:rtl/>
        </w:rPr>
        <w:t>המקור: כרטסת שהתקבלה מהמועצה האזורית נווה מדבר.</w:t>
      </w:r>
    </w:p>
  </w:footnote>
  <w:footnote w:id="115">
    <w:p w:rsidR="00F8025B" w:rsidP="00AA5065">
      <w:pPr>
        <w:pStyle w:val="FootnoteText"/>
      </w:pPr>
      <w:r>
        <w:rPr>
          <w:rStyle w:val="FootnoteReference1"/>
        </w:rPr>
        <w:footnoteRef/>
      </w:r>
      <w:r>
        <w:rPr>
          <w:rtl/>
        </w:rPr>
        <w:t xml:space="preserve"> </w:t>
      </w:r>
      <w:r>
        <w:rPr>
          <w:rtl/>
        </w:rPr>
        <w:tab/>
      </w:r>
      <w:r>
        <w:rPr>
          <w:rFonts w:hint="cs"/>
          <w:rtl/>
        </w:rPr>
        <w:t xml:space="preserve">בחוזה ההתקשרות צוין כי הרשות המזמינה מצהירה כי להזמנת השירותים על ידה קיימת הקצבה מתאימה בתקציבה המאושר, וכי התקיימו בהתקשרות זו כל התנאים, וכי ניתנו לגביה כל האישורים הדרושים על פי כל נוהל ודין. </w:t>
      </w:r>
    </w:p>
  </w:footnote>
  <w:footnote w:id="116">
    <w:p w:rsidR="00F8025B" w:rsidP="00AA5065">
      <w:pPr>
        <w:pStyle w:val="FootnoteText"/>
      </w:pPr>
      <w:r>
        <w:rPr>
          <w:rStyle w:val="FootnoteReference1"/>
        </w:rPr>
        <w:footnoteRef/>
      </w:r>
      <w:r>
        <w:rPr>
          <w:rtl/>
        </w:rPr>
        <w:t xml:space="preserve"> </w:t>
      </w:r>
      <w:r>
        <w:rPr>
          <w:rtl/>
        </w:rPr>
        <w:tab/>
      </w:r>
      <w:r>
        <w:rPr>
          <w:rFonts w:hint="cs"/>
          <w:rtl/>
        </w:rPr>
        <w:t>סיכום דיון מס' 1 מיום 25.4.22.</w:t>
      </w:r>
    </w:p>
  </w:footnote>
  <w:footnote w:id="117">
    <w:p w:rsidR="00F8025B" w:rsidP="00AA5065">
      <w:pPr>
        <w:pStyle w:val="FootnoteText"/>
      </w:pPr>
      <w:r>
        <w:rPr>
          <w:rStyle w:val="FootnoteReference1"/>
        </w:rPr>
        <w:footnoteRef/>
      </w:r>
      <w:r>
        <w:rPr>
          <w:rtl/>
        </w:rPr>
        <w:t xml:space="preserve"> </w:t>
      </w:r>
      <w:r>
        <w:rPr>
          <w:rtl/>
        </w:rPr>
        <w:tab/>
      </w:r>
      <w:r>
        <w:rPr>
          <w:rFonts w:hint="cs"/>
          <w:rtl/>
        </w:rPr>
        <w:t>מצגת שכותרתה "משילות במגזר הערבי מחוז דרום 2024".</w:t>
      </w:r>
    </w:p>
  </w:footnote>
  <w:footnote w:id="118">
    <w:p w:rsidR="00F8025B" w:rsidP="00AA5065">
      <w:pPr>
        <w:pStyle w:val="FootnoteText"/>
      </w:pPr>
      <w:r>
        <w:rPr>
          <w:rStyle w:val="FootnoteReference1"/>
        </w:rPr>
        <w:footnoteRef/>
      </w:r>
      <w:r>
        <w:rPr>
          <w:rtl/>
        </w:rPr>
        <w:t xml:space="preserve"> </w:t>
      </w:r>
      <w:r>
        <w:rPr>
          <w:rtl/>
        </w:rPr>
        <w:tab/>
      </w:r>
      <w:r>
        <w:rPr>
          <w:rFonts w:hint="cs"/>
          <w:rtl/>
        </w:rPr>
        <w:t>המתבססת על נתוני רשות האוכלוסין.</w:t>
      </w:r>
    </w:p>
  </w:footnote>
  <w:footnote w:id="119">
    <w:p w:rsidR="00F8025B" w:rsidP="00AA5065">
      <w:pPr>
        <w:pStyle w:val="FootnoteText"/>
        <w:rPr>
          <w:rtl/>
        </w:rPr>
      </w:pPr>
      <w:r>
        <w:rPr>
          <w:rStyle w:val="FootnoteReference1"/>
        </w:rPr>
        <w:footnoteRef/>
      </w:r>
      <w:r>
        <w:rPr>
          <w:rtl/>
        </w:rPr>
        <w:t xml:space="preserve"> </w:t>
      </w:r>
      <w:r>
        <w:rPr>
          <w:rtl/>
        </w:rPr>
        <w:tab/>
      </w:r>
      <w:r>
        <w:rPr>
          <w:rFonts w:hint="cs"/>
          <w:rtl/>
        </w:rPr>
        <w:t>אלימות, פשיעה ושיטור בחברה הערבית - מדד הביטחון האישי והקהילתי 2019, עמותת יוזמות אברהם, מוסד שמואל נאמן, 2020.</w:t>
      </w:r>
    </w:p>
  </w:footnote>
  <w:footnote w:id="120">
    <w:p w:rsidR="00F8025B" w:rsidP="00AA5065">
      <w:pPr>
        <w:pStyle w:val="FootnoteText"/>
      </w:pPr>
      <w:r>
        <w:rPr>
          <w:rStyle w:val="FootnoteReference1"/>
        </w:rPr>
        <w:footnoteRef/>
      </w:r>
      <w:r>
        <w:rPr>
          <w:rtl/>
        </w:rPr>
        <w:t xml:space="preserve"> </w:t>
      </w:r>
      <w:r>
        <w:rPr>
          <w:rtl/>
        </w:rPr>
        <w:tab/>
      </w:r>
      <w:r>
        <w:rPr>
          <w:rFonts w:hint="cs"/>
          <w:rtl/>
        </w:rPr>
        <w:t>"</w:t>
      </w:r>
      <w:r w:rsidRPr="003A34E4">
        <w:rPr>
          <w:rFonts w:hint="cs"/>
          <w:b/>
          <w:bCs/>
          <w:rtl/>
        </w:rPr>
        <w:t>משילות בנגב?",</w:t>
      </w:r>
      <w:r>
        <w:rPr>
          <w:rFonts w:hint="cs"/>
          <w:rtl/>
        </w:rPr>
        <w:t xml:space="preserve"> חבצלת יהל, המכון למחקרי ביטחון לאומי, אוניברסיטת תל אביב (מרץ 2023).</w:t>
      </w:r>
    </w:p>
  </w:footnote>
  <w:footnote w:id="121">
    <w:p w:rsidR="00F8025B" w:rsidP="00AA5065">
      <w:pPr>
        <w:pStyle w:val="FootnoteText"/>
      </w:pPr>
      <w:r>
        <w:rPr>
          <w:rStyle w:val="FootnoteReference1"/>
        </w:rPr>
        <w:footnoteRef/>
      </w:r>
      <w:r>
        <w:rPr>
          <w:rtl/>
        </w:rPr>
        <w:t xml:space="preserve"> </w:t>
      </w:r>
      <w:r>
        <w:rPr>
          <w:rtl/>
        </w:rPr>
        <w:tab/>
      </w:r>
      <w:r>
        <w:rPr>
          <w:rFonts w:hint="cs"/>
          <w:rtl/>
        </w:rPr>
        <w:t xml:space="preserve">ראו </w:t>
      </w:r>
      <w:r w:rsidRPr="00665F67">
        <w:rPr>
          <w:rFonts w:hint="cs"/>
          <w:rtl/>
        </w:rPr>
        <w:t>תקנות העיריות (שמירה, אבטחה וסדר ציבורי ברשות מקומית),</w:t>
      </w:r>
      <w:r>
        <w:rPr>
          <w:rFonts w:ascii="FrankRuehl" w:hAnsi="FrankRuehl" w:cs="FrankRuehl" w:hint="cs"/>
          <w:color w:val="000000"/>
          <w:sz w:val="32"/>
          <w:szCs w:val="32"/>
          <w:rtl/>
        </w:rPr>
        <w:t xml:space="preserve"> </w:t>
      </w:r>
      <w:r w:rsidRPr="00D86016">
        <w:rPr>
          <w:rFonts w:hint="eastAsia"/>
          <w:rtl/>
        </w:rPr>
        <w:t>ה</w:t>
      </w:r>
      <w:r w:rsidRPr="00665F67">
        <w:rPr>
          <w:rFonts w:hint="cs"/>
          <w:rtl/>
        </w:rPr>
        <w:t>תשע"ב-2011</w:t>
      </w:r>
      <w:r>
        <w:rPr>
          <w:rFonts w:hint="cs"/>
          <w:rtl/>
        </w:rPr>
        <w:t>.</w:t>
      </w:r>
    </w:p>
  </w:footnote>
  <w:footnote w:id="122">
    <w:p w:rsidR="00F8025B" w:rsidP="00AA5065">
      <w:pPr>
        <w:pStyle w:val="FootnoteText"/>
      </w:pPr>
      <w:r>
        <w:rPr>
          <w:rStyle w:val="FootnoteReference1"/>
        </w:rPr>
        <w:footnoteRef/>
      </w:r>
      <w:r>
        <w:rPr>
          <w:rtl/>
        </w:rPr>
        <w:t xml:space="preserve"> </w:t>
      </w:r>
      <w:r>
        <w:rPr>
          <w:rtl/>
        </w:rPr>
        <w:tab/>
      </w:r>
      <w:r>
        <w:rPr>
          <w:rFonts w:hint="cs"/>
          <w:rtl/>
        </w:rPr>
        <w:t>חוק לתיקון פקודת העיריות (הוראת שעה), התשע"ה-2011; חוק לתיקון פקודת העיריות (מס' 150), התשפ"ב-2021.</w:t>
      </w:r>
    </w:p>
  </w:footnote>
  <w:footnote w:id="123">
    <w:p w:rsidR="00F8025B" w:rsidP="00AA5065">
      <w:pPr>
        <w:pStyle w:val="FootnoteText"/>
      </w:pPr>
      <w:r>
        <w:rPr>
          <w:rStyle w:val="FootnoteReference1"/>
        </w:rPr>
        <w:footnoteRef/>
      </w:r>
      <w:r>
        <w:rPr>
          <w:rtl/>
        </w:rPr>
        <w:t xml:space="preserve"> </w:t>
      </w:r>
      <w:r>
        <w:rPr>
          <w:rtl/>
        </w:rPr>
        <w:tab/>
      </w:r>
      <w:r>
        <w:rPr>
          <w:rFonts w:hint="cs"/>
          <w:rtl/>
        </w:rPr>
        <w:t>כלי רכב חשמלי קטן.</w:t>
      </w:r>
    </w:p>
  </w:footnote>
  <w:footnote w:id="124">
    <w:p w:rsidR="00F8025B" w:rsidRPr="00F44B87" w:rsidP="00AA5065">
      <w:pPr>
        <w:pStyle w:val="FootnoteText"/>
      </w:pPr>
      <w:r>
        <w:rPr>
          <w:rStyle w:val="FootnoteReference1"/>
        </w:rPr>
        <w:footnoteRef/>
      </w:r>
      <w:r>
        <w:rPr>
          <w:rtl/>
        </w:rPr>
        <w:t xml:space="preserve"> </w:t>
      </w:r>
      <w:r>
        <w:rPr>
          <w:rtl/>
        </w:rPr>
        <w:tab/>
      </w:r>
      <w:r>
        <w:rPr>
          <w:rFonts w:hint="cs"/>
          <w:rtl/>
        </w:rPr>
        <w:t>כלי רכב בעל הנעה ארבע על ארבע ואשר משמש ככלי ניוד חזק ויעיל המותאם לפעילות בשטח.</w:t>
      </w:r>
    </w:p>
  </w:footnote>
  <w:footnote w:id="125">
    <w:p w:rsidR="00F8025B" w:rsidP="00AA5065">
      <w:pPr>
        <w:pStyle w:val="FootnoteText"/>
        <w:rPr>
          <w:rtl/>
        </w:rPr>
      </w:pPr>
      <w:r>
        <w:rPr>
          <w:rStyle w:val="FootnoteReference1"/>
        </w:rPr>
        <w:footnoteRef/>
      </w:r>
      <w:r>
        <w:rPr>
          <w:rtl/>
        </w:rPr>
        <w:t xml:space="preserve"> </w:t>
      </w:r>
      <w:r>
        <w:rPr>
          <w:rtl/>
        </w:rPr>
        <w:tab/>
      </w:r>
      <w:r>
        <w:rPr>
          <w:rFonts w:hint="cs"/>
          <w:rtl/>
        </w:rPr>
        <w:t xml:space="preserve">הסקר האינטרנטי בוצע עבור תנועת אור על ידי חברת </w:t>
      </w:r>
      <w:r>
        <w:t>panel view</w:t>
      </w:r>
      <w:r>
        <w:rPr>
          <w:rtl/>
        </w:rPr>
        <w:t xml:space="preserve"> </w:t>
      </w:r>
      <w:r>
        <w:rPr>
          <w:rFonts w:hint="cs"/>
          <w:rtl/>
        </w:rPr>
        <w:t>בקרב 512 משתתפים מעל גיל 18.</w:t>
      </w:r>
    </w:p>
  </w:footnote>
  <w:footnote w:id="126">
    <w:p w:rsidR="00F8025B" w:rsidP="00AA5065">
      <w:pPr>
        <w:pStyle w:val="FootnoteText"/>
      </w:pPr>
      <w:r>
        <w:rPr>
          <w:rStyle w:val="FootnoteReference1"/>
        </w:rPr>
        <w:footnoteRef/>
      </w:r>
      <w:r>
        <w:rPr>
          <w:rtl/>
        </w:rPr>
        <w:t xml:space="preserve"> </w:t>
      </w:r>
      <w:r>
        <w:rPr>
          <w:rtl/>
        </w:rPr>
        <w:tab/>
      </w:r>
      <w:r>
        <w:rPr>
          <w:rFonts w:hint="cs"/>
          <w:rtl/>
        </w:rPr>
        <w:t xml:space="preserve">ראש עריית באר שבע במכתב מיום 21.1.21; </w:t>
      </w:r>
      <w:r w:rsidRPr="00B86B3F">
        <w:rPr>
          <w:rFonts w:hint="cs"/>
          <w:rtl/>
        </w:rPr>
        <w:t>מקור</w:t>
      </w:r>
      <w:r>
        <w:rPr>
          <w:rFonts w:hint="cs"/>
          <w:rtl/>
        </w:rPr>
        <w:t>.</w:t>
      </w:r>
    </w:p>
  </w:footnote>
  <w:footnote w:id="127">
    <w:p w:rsidR="00F8025B" w:rsidP="00AA5065">
      <w:pPr>
        <w:pStyle w:val="FootnoteText"/>
        <w:rPr>
          <w:rtl/>
        </w:rPr>
      </w:pPr>
      <w:r>
        <w:rPr>
          <w:rStyle w:val="FootnoteReference1"/>
        </w:rPr>
        <w:footnoteRef/>
      </w:r>
      <w:r>
        <w:rPr>
          <w:rtl/>
        </w:rPr>
        <w:t xml:space="preserve"> </w:t>
      </w:r>
      <w:r>
        <w:rPr>
          <w:rtl/>
        </w:rPr>
        <w:tab/>
      </w:r>
      <w:r>
        <w:rPr>
          <w:rFonts w:hint="cs"/>
          <w:rtl/>
        </w:rPr>
        <w:t>ראש עריית רהט במכתב מיום</w:t>
      </w:r>
      <w:r>
        <w:rPr>
          <w:rFonts w:hint="cs"/>
        </w:rPr>
        <w:t xml:space="preserve"> </w:t>
      </w:r>
      <w:r>
        <w:rPr>
          <w:rFonts w:hint="cs"/>
          <w:rtl/>
        </w:rPr>
        <w:t xml:space="preserve">3.7.24; </w:t>
      </w:r>
      <w:r w:rsidRPr="00B86B3F">
        <w:rPr>
          <w:rFonts w:hint="cs"/>
          <w:rtl/>
        </w:rPr>
        <w:t>מקור עיריית רהט</w:t>
      </w:r>
      <w:r>
        <w:rPr>
          <w:rFonts w:hint="cs"/>
          <w:rtl/>
        </w:rPr>
        <w:t>.</w:t>
      </w:r>
    </w:p>
  </w:footnote>
  <w:footnote w:id="128">
    <w:p w:rsidR="00F8025B" w:rsidP="00AA5065">
      <w:pPr>
        <w:pStyle w:val="FootnoteText"/>
      </w:pPr>
      <w:r>
        <w:rPr>
          <w:rStyle w:val="FootnoteReference1"/>
        </w:rPr>
        <w:footnoteRef/>
      </w:r>
      <w:r>
        <w:rPr>
          <w:rtl/>
        </w:rPr>
        <w:t xml:space="preserve"> </w:t>
      </w:r>
      <w:r>
        <w:rPr>
          <w:rtl/>
        </w:rPr>
        <w:tab/>
      </w:r>
      <w:r>
        <w:rPr>
          <w:rFonts w:hint="cs"/>
          <w:rtl/>
        </w:rPr>
        <w:t>הסקר נערך במימון משותף של אגף בכיר לפיתוח כלכלי-חברתי בחברה הבדואית בנגב ושל מכון מאיירס-ג'וינט-ברוקדייל במסגרת מחקר תוכנית החומש (2017 - 2021) לאוכלוסייה הבדואית בנגב.</w:t>
      </w:r>
    </w:p>
  </w:footnote>
  <w:footnote w:id="129">
    <w:p w:rsidR="00F8025B" w:rsidP="00AA5065">
      <w:pPr>
        <w:pStyle w:val="FootnoteText"/>
      </w:pPr>
      <w:r>
        <w:rPr>
          <w:rStyle w:val="FootnoteReference1"/>
        </w:rPr>
        <w:footnoteRef/>
      </w:r>
      <w:r>
        <w:rPr>
          <w:rtl/>
        </w:rPr>
        <w:t xml:space="preserve"> </w:t>
      </w:r>
      <w:r>
        <w:rPr>
          <w:rtl/>
        </w:rPr>
        <w:tab/>
      </w:r>
      <w:r>
        <w:rPr>
          <w:rFonts w:hint="cs"/>
          <w:rtl/>
        </w:rPr>
        <w:t xml:space="preserve">בהתאם להערכת השב"כ </w:t>
      </w:r>
      <w:r w:rsidRPr="005160AA">
        <w:rPr>
          <w:rFonts w:hint="eastAsia"/>
          <w:rtl/>
        </w:rPr>
        <w:t>מ</w:t>
      </w:r>
      <w:r w:rsidRPr="005160AA">
        <w:rPr>
          <w:rFonts w:hint="cs"/>
          <w:rtl/>
        </w:rPr>
        <w:t>אוגוסט 2024.</w:t>
      </w:r>
    </w:p>
  </w:footnote>
  <w:footnote w:id="130">
    <w:p w:rsidR="00F8025B" w:rsidRPr="00375A42" w:rsidP="00AA5065">
      <w:pPr>
        <w:pStyle w:val="FootnoteText"/>
      </w:pPr>
      <w:r>
        <w:rPr>
          <w:rStyle w:val="FootnoteReference1"/>
        </w:rPr>
        <w:footnoteRef/>
      </w:r>
      <w:r>
        <w:rPr>
          <w:rtl/>
        </w:rPr>
        <w:t xml:space="preserve"> </w:t>
      </w:r>
      <w:r>
        <w:rPr>
          <w:rtl/>
        </w:rPr>
        <w:tab/>
      </w:r>
      <w:r>
        <w:rPr>
          <w:rFonts w:hint="cs"/>
          <w:rtl/>
        </w:rPr>
        <w:t xml:space="preserve">הרלב"ד, </w:t>
      </w:r>
      <w:r>
        <w:rPr>
          <w:rFonts w:hint="cs"/>
          <w:b/>
          <w:bCs/>
          <w:rtl/>
        </w:rPr>
        <w:t>מגמות - עשות של בטיחות דרכים בישראל 2013 - 2020</w:t>
      </w:r>
      <w:r w:rsidRPr="00E743E8">
        <w:rPr>
          <w:rtl/>
        </w:rPr>
        <w:t xml:space="preserve"> (</w:t>
      </w:r>
      <w:r>
        <w:rPr>
          <w:rFonts w:hint="cs"/>
          <w:rtl/>
        </w:rPr>
        <w:t>אוקטובר 2021).</w:t>
      </w:r>
    </w:p>
  </w:footnote>
  <w:footnote w:id="131">
    <w:p w:rsidR="00F8025B" w:rsidP="00AA5065">
      <w:pPr>
        <w:pStyle w:val="FootnoteText"/>
        <w:rPr>
          <w:rtl/>
        </w:rPr>
      </w:pPr>
      <w:r>
        <w:rPr>
          <w:rStyle w:val="FootnoteReference1"/>
        </w:rPr>
        <w:footnoteRef/>
      </w:r>
      <w:r>
        <w:rPr>
          <w:rtl/>
        </w:rPr>
        <w:t xml:space="preserve"> </w:t>
      </w:r>
      <w:r>
        <w:rPr>
          <w:rtl/>
        </w:rPr>
        <w:tab/>
      </w:r>
      <w:r w:rsidRPr="00413E2A">
        <w:rPr>
          <w:rtl/>
        </w:rPr>
        <w:t>לפי הדיווח של רשות האוכלוסין נכון לספטמבר 2023</w:t>
      </w:r>
      <w:r>
        <w:rPr>
          <w:rFonts w:hint="cs"/>
          <w:rtl/>
        </w:rPr>
        <w:t>, שנתון סטטיסטי פורום דו-קיום בנגב, עמ' 12.</w:t>
      </w:r>
    </w:p>
  </w:footnote>
  <w:footnote w:id="132">
    <w:p w:rsidR="00F8025B" w:rsidP="00AA5065">
      <w:pPr>
        <w:pStyle w:val="FootnoteText"/>
      </w:pPr>
      <w:r>
        <w:rPr>
          <w:rStyle w:val="FootnoteReference1"/>
        </w:rPr>
        <w:footnoteRef/>
      </w:r>
      <w:r>
        <w:rPr>
          <w:rtl/>
        </w:rPr>
        <w:t xml:space="preserve"> </w:t>
      </w:r>
      <w:r>
        <w:rPr>
          <w:rtl/>
        </w:rPr>
        <w:tab/>
      </w:r>
      <w:r w:rsidRPr="00AC7AD7">
        <w:rPr>
          <w:rtl/>
        </w:rPr>
        <w:t>תאונה בין נהג יהודי לנהג שאינו יהודי</w:t>
      </w:r>
      <w:r>
        <w:rPr>
          <w:rFonts w:hint="cs"/>
          <w:rtl/>
        </w:rPr>
        <w:t xml:space="preserve"> </w:t>
      </w:r>
      <w:r w:rsidRPr="00AC7AD7">
        <w:rPr>
          <w:rtl/>
        </w:rPr>
        <w:t>נרשמה פעם אחת כנהג יהודי ופעם נוספת כנהג לא יהודי, ולכן מספר התאונות בפועל קטן יותר מהמספר המוצג.</w:t>
      </w:r>
    </w:p>
  </w:footnote>
  <w:footnote w:id="133">
    <w:p w:rsidR="00F8025B" w:rsidP="00AA5065">
      <w:pPr>
        <w:pStyle w:val="FootnoteText"/>
        <w:rPr>
          <w:rtl/>
        </w:rPr>
      </w:pPr>
      <w:r>
        <w:rPr>
          <w:rStyle w:val="FootnoteReference1"/>
        </w:rPr>
        <w:footnoteRef/>
      </w:r>
      <w:r>
        <w:rPr>
          <w:rtl/>
        </w:rPr>
        <w:t xml:space="preserve"> </w:t>
      </w:r>
      <w:r>
        <w:rPr>
          <w:rtl/>
        </w:rPr>
        <w:tab/>
      </w:r>
      <w:r>
        <w:rPr>
          <w:rFonts w:hint="cs"/>
          <w:rtl/>
        </w:rPr>
        <w:t>על פי נתוני הלמ"ס לשנת 2022.</w:t>
      </w:r>
    </w:p>
  </w:footnote>
  <w:footnote w:id="134">
    <w:p w:rsidR="00F8025B" w:rsidP="00AA5065">
      <w:pPr>
        <w:pStyle w:val="FootnoteText"/>
        <w:rPr>
          <w:rtl/>
        </w:rPr>
      </w:pPr>
      <w:r>
        <w:rPr>
          <w:rStyle w:val="FootnoteReference1"/>
        </w:rPr>
        <w:footnoteRef/>
      </w:r>
      <w:r>
        <w:rPr>
          <w:rtl/>
        </w:rPr>
        <w:t xml:space="preserve"> </w:t>
      </w:r>
      <w:r>
        <w:tab/>
      </w:r>
      <w:r>
        <w:rPr>
          <w:rFonts w:hint="cs"/>
          <w:rtl/>
        </w:rPr>
        <w:t>בקבוצה זו נכללים גם נהגים שאינם מזוהים במערכות המשטרה שגילם נרשם כ-0.</w:t>
      </w:r>
    </w:p>
  </w:footnote>
  <w:footnote w:id="135">
    <w:p w:rsidR="00F8025B" w:rsidP="00AA5065">
      <w:pPr>
        <w:pStyle w:val="FootnoteText"/>
        <w:rPr>
          <w:rtl/>
        </w:rPr>
      </w:pPr>
      <w:r>
        <w:rPr>
          <w:rStyle w:val="FootnoteReference1"/>
        </w:rPr>
        <w:footnoteRef/>
      </w:r>
      <w:r>
        <w:rPr>
          <w:rtl/>
        </w:rPr>
        <w:t xml:space="preserve"> </w:t>
      </w:r>
      <w:r>
        <w:rPr>
          <w:rtl/>
        </w:rPr>
        <w:tab/>
      </w:r>
      <w:r w:rsidRPr="007464D5">
        <w:rPr>
          <w:rtl/>
        </w:rPr>
        <w:t xml:space="preserve">בהתאם לנתוני משטרת התנועה הארצית, הנתונים </w:t>
      </w:r>
      <w:r>
        <w:rPr>
          <w:rFonts w:hint="cs"/>
          <w:rtl/>
        </w:rPr>
        <w:t>ש</w:t>
      </w:r>
      <w:r w:rsidRPr="007464D5">
        <w:rPr>
          <w:rtl/>
        </w:rPr>
        <w:t xml:space="preserve">להלן מציגים את מספר </w:t>
      </w:r>
      <w:r>
        <w:rPr>
          <w:rFonts w:hint="cs"/>
          <w:rtl/>
        </w:rPr>
        <w:t>דוחות התנועה</w:t>
      </w:r>
      <w:r w:rsidRPr="007464D5">
        <w:rPr>
          <w:rtl/>
        </w:rPr>
        <w:t xml:space="preserve"> ‏</w:t>
      </w:r>
      <w:r>
        <w:rPr>
          <w:rFonts w:hint="cs"/>
          <w:rtl/>
        </w:rPr>
        <w:t>שנרשמו במשטרה.</w:t>
      </w:r>
      <w:r w:rsidRPr="007464D5">
        <w:rPr>
          <w:rtl/>
        </w:rPr>
        <w:t xml:space="preserve"> לאור הפילוחים שהתקבלו, יש לציין כי כאשר מתרחשת תאונה </w:t>
      </w:r>
      <w:r>
        <w:rPr>
          <w:rFonts w:hint="cs"/>
          <w:rtl/>
        </w:rPr>
        <w:t>בין נהגים בטווח גילים שונה, אזי</w:t>
      </w:r>
      <w:r w:rsidRPr="007464D5">
        <w:rPr>
          <w:rtl/>
        </w:rPr>
        <w:t xml:space="preserve"> התאונה תירשם פעמיים, ולכן י</w:t>
      </w:r>
      <w:r>
        <w:rPr>
          <w:rFonts w:hint="cs"/>
          <w:rtl/>
        </w:rPr>
        <w:t>י</w:t>
      </w:r>
      <w:r w:rsidRPr="007464D5">
        <w:rPr>
          <w:rtl/>
        </w:rPr>
        <w:t>תכן כי מספר התאונות בפועל קטן יותר ‏מהמספר המוצג.‏</w:t>
      </w:r>
    </w:p>
  </w:footnote>
  <w:footnote w:id="136">
    <w:p w:rsidR="00F8025B" w:rsidP="00AA5065">
      <w:pPr>
        <w:pStyle w:val="FootnoteText"/>
        <w:rPr>
          <w:rtl/>
        </w:rPr>
      </w:pPr>
      <w:r>
        <w:rPr>
          <w:rStyle w:val="FootnoteReference1"/>
        </w:rPr>
        <w:footnoteRef/>
      </w:r>
      <w:r>
        <w:rPr>
          <w:rtl/>
        </w:rPr>
        <w:t xml:space="preserve"> </w:t>
      </w:r>
      <w:r>
        <w:tab/>
      </w:r>
      <w:r>
        <w:rPr>
          <w:rFonts w:hint="cs"/>
          <w:rtl/>
        </w:rPr>
        <w:t>בקבוצה זו נכללים גם נהגים שאינם מזוהים במערכות המשטרה שגילם נרשם כ-0.</w:t>
      </w:r>
    </w:p>
  </w:footnote>
  <w:footnote w:id="137">
    <w:p w:rsidR="00F8025B" w:rsidP="00AA5065">
      <w:pPr>
        <w:pStyle w:val="FootnoteText"/>
        <w:rPr>
          <w:rtl/>
        </w:rPr>
      </w:pPr>
      <w:r>
        <w:rPr>
          <w:rStyle w:val="FootnoteReference1"/>
        </w:rPr>
        <w:footnoteRef/>
      </w:r>
      <w:r>
        <w:rPr>
          <w:rtl/>
        </w:rPr>
        <w:t xml:space="preserve"> </w:t>
      </w:r>
      <w:r>
        <w:rPr>
          <w:rtl/>
        </w:rPr>
        <w:tab/>
      </w:r>
      <w:r w:rsidRPr="000C6859">
        <w:rPr>
          <w:rFonts w:ascii="David" w:hAnsi="David"/>
          <w:rtl/>
        </w:rPr>
        <w:t>הוראות אלה אינן מיועדות לטפל באכיפת עבירות פליליות קשות, כגון סחר בבני אדם, עבדות ועבודות כפייה</w:t>
      </w:r>
      <w:r>
        <w:rPr>
          <w:rFonts w:hint="cs"/>
          <w:rtl/>
        </w:rPr>
        <w:t>.</w:t>
      </w:r>
    </w:p>
  </w:footnote>
  <w:footnote w:id="138">
    <w:p w:rsidR="00F8025B" w:rsidP="00AA5065">
      <w:pPr>
        <w:pStyle w:val="FootnoteText"/>
      </w:pPr>
      <w:r>
        <w:rPr>
          <w:rStyle w:val="FootnoteReference1"/>
        </w:rPr>
        <w:footnoteRef/>
      </w:r>
      <w:r>
        <w:rPr>
          <w:rtl/>
        </w:rPr>
        <w:t xml:space="preserve"> </w:t>
      </w:r>
      <w:r>
        <w:rPr>
          <w:rtl/>
        </w:rPr>
        <w:tab/>
      </w:r>
      <w:r>
        <w:rPr>
          <w:rFonts w:hint="cs"/>
          <w:rtl/>
        </w:rPr>
        <w:t xml:space="preserve">ראו מבקר המדינה, </w:t>
      </w:r>
      <w:r w:rsidRPr="00472BA5">
        <w:rPr>
          <w:rFonts w:hint="eastAsia"/>
          <w:b/>
          <w:bCs/>
          <w:rtl/>
        </w:rPr>
        <w:t>דוח</w:t>
      </w:r>
      <w:r w:rsidRPr="00472BA5">
        <w:rPr>
          <w:b/>
          <w:bCs/>
          <w:rtl/>
        </w:rPr>
        <w:t xml:space="preserve"> </w:t>
      </w:r>
      <w:r w:rsidRPr="00472BA5">
        <w:rPr>
          <w:rFonts w:hint="eastAsia"/>
          <w:b/>
          <w:bCs/>
          <w:rtl/>
        </w:rPr>
        <w:t>שנתי</w:t>
      </w:r>
      <w:r w:rsidRPr="00472BA5">
        <w:rPr>
          <w:b/>
          <w:bCs/>
          <w:rtl/>
        </w:rPr>
        <w:t xml:space="preserve"> 75ג</w:t>
      </w:r>
      <w:r>
        <w:rPr>
          <w:rFonts w:hint="cs"/>
          <w:rtl/>
        </w:rPr>
        <w:t xml:space="preserve"> (2023), עמ' 141.</w:t>
      </w:r>
    </w:p>
  </w:footnote>
  <w:footnote w:id="139">
    <w:p w:rsidR="00F8025B" w:rsidP="00AA5065">
      <w:pPr>
        <w:pStyle w:val="FootnoteText"/>
        <w:rPr>
          <w:rtl/>
        </w:rPr>
      </w:pPr>
      <w:r>
        <w:rPr>
          <w:rStyle w:val="FootnoteReference1"/>
        </w:rPr>
        <w:footnoteRef/>
      </w:r>
      <w:r>
        <w:rPr>
          <w:rtl/>
        </w:rPr>
        <w:t xml:space="preserve"> </w:t>
      </w:r>
      <w:r>
        <w:rPr>
          <w:rtl/>
        </w:rPr>
        <w:tab/>
      </w:r>
      <w:r w:rsidRPr="00983CA4">
        <w:rPr>
          <w:rtl/>
        </w:rPr>
        <w:t>דוח מסכם</w:t>
      </w:r>
      <w:r>
        <w:rPr>
          <w:rFonts w:hint="cs"/>
          <w:rtl/>
        </w:rPr>
        <w:t>,</w:t>
      </w:r>
      <w:r w:rsidRPr="00983CA4">
        <w:rPr>
          <w:rtl/>
        </w:rPr>
        <w:t xml:space="preserve"> הצוות הבין-משרדי להתמודדות עם השלכותיה השליליות של הפוליגמיה (2018)</w:t>
      </w:r>
      <w:r>
        <w:rPr>
          <w:rFonts w:hint="cs"/>
          <w:rtl/>
        </w:rPr>
        <w:t>, עמ' 271.</w:t>
      </w:r>
    </w:p>
  </w:footnote>
  <w:footnote w:id="140">
    <w:p w:rsidR="00F8025B" w:rsidP="00AA5065">
      <w:pPr>
        <w:pStyle w:val="FootnoteText"/>
      </w:pPr>
      <w:r>
        <w:rPr>
          <w:rStyle w:val="FootnoteReference1"/>
        </w:rPr>
        <w:footnoteRef/>
      </w:r>
      <w:r>
        <w:rPr>
          <w:rtl/>
        </w:rPr>
        <w:t xml:space="preserve"> </w:t>
      </w:r>
      <w:r>
        <w:rPr>
          <w:rtl/>
        </w:rPr>
        <w:tab/>
      </w:r>
      <w:r w:rsidRPr="00983CA4">
        <w:rPr>
          <w:rtl/>
        </w:rPr>
        <w:t>דוח מסכם</w:t>
      </w:r>
      <w:r>
        <w:rPr>
          <w:rFonts w:hint="cs"/>
          <w:rtl/>
        </w:rPr>
        <w:t>,</w:t>
      </w:r>
      <w:r w:rsidRPr="00983CA4">
        <w:rPr>
          <w:rtl/>
        </w:rPr>
        <w:t xml:space="preserve"> הצוות הבין-משרדי להתמודדות עם השלכותיה השליליות של הפוליגמיה (2018)</w:t>
      </w:r>
      <w:r>
        <w:rPr>
          <w:rFonts w:hint="cs"/>
          <w:rtl/>
        </w:rPr>
        <w:t>, עמ' 271.</w:t>
      </w:r>
    </w:p>
  </w:footnote>
  <w:footnote w:id="141">
    <w:p w:rsidR="00F8025B" w:rsidP="00AA5065">
      <w:pPr>
        <w:pStyle w:val="FootnoteText"/>
      </w:pPr>
      <w:r>
        <w:rPr>
          <w:rStyle w:val="FootnoteReference1"/>
        </w:rPr>
        <w:footnoteRef/>
      </w:r>
      <w:r>
        <w:rPr>
          <w:rtl/>
        </w:rPr>
        <w:t xml:space="preserve"> </w:t>
      </w:r>
      <w:r>
        <w:rPr>
          <w:rtl/>
        </w:rPr>
        <w:tab/>
      </w:r>
      <w:r>
        <w:rPr>
          <w:rFonts w:hint="cs"/>
          <w:rtl/>
        </w:rPr>
        <w:t>קבוצה 2 נחשבת ברמה נמוכה יותר מקבוצה 1.</w:t>
      </w:r>
    </w:p>
  </w:footnote>
  <w:footnote w:id="142">
    <w:p w:rsidR="00F8025B" w:rsidRPr="001D5724" w:rsidP="00AA5065">
      <w:pPr>
        <w:pStyle w:val="FootnoteText"/>
        <w:rPr>
          <w:rtl/>
        </w:rPr>
      </w:pPr>
      <w:r w:rsidRPr="001D5724">
        <w:rPr>
          <w:rStyle w:val="FootnoteReference1"/>
        </w:rPr>
        <w:footnoteRef/>
      </w:r>
      <w:r w:rsidRPr="001D5724">
        <w:rPr>
          <w:rtl/>
        </w:rPr>
        <w:t xml:space="preserve"> </w:t>
      </w:r>
      <w:r w:rsidRPr="001D5724">
        <w:rPr>
          <w:rtl/>
        </w:rPr>
        <w:tab/>
      </w:r>
      <w:r w:rsidRPr="001D5724">
        <w:rPr>
          <w:rFonts w:hint="cs"/>
          <w:rtl/>
        </w:rPr>
        <w:t>יחידות קריאה ממוחשבות שניתן לקוראן ממרחק ללא צורך להגיע אליהן פיזית.</w:t>
      </w:r>
    </w:p>
  </w:footnote>
  <w:footnote w:id="143">
    <w:p w:rsidR="00F8025B" w:rsidP="00AA5065">
      <w:pPr>
        <w:pStyle w:val="FootnoteText"/>
        <w:rPr>
          <w:rtl/>
        </w:rPr>
      </w:pPr>
      <w:r>
        <w:rPr>
          <w:rStyle w:val="FootnoteReference1"/>
        </w:rPr>
        <w:footnoteRef/>
      </w:r>
      <w:r>
        <w:rPr>
          <w:rtl/>
        </w:rPr>
        <w:t xml:space="preserve"> </w:t>
      </w:r>
      <w:r>
        <w:rPr>
          <w:rtl/>
        </w:rPr>
        <w:tab/>
      </w:r>
      <w:r>
        <w:rPr>
          <w:rFonts w:hint="cs"/>
          <w:rtl/>
        </w:rPr>
        <w:t>מצגת שכותרתה "משילות במגזר הערבי מחוז דרום, 2024".</w:t>
      </w:r>
    </w:p>
  </w:footnote>
  <w:footnote w:id="144">
    <w:p w:rsidR="00F8025B" w:rsidP="00AA5065">
      <w:pPr>
        <w:pStyle w:val="FootnoteText"/>
      </w:pPr>
      <w:r>
        <w:rPr>
          <w:rStyle w:val="FootnoteReference1"/>
        </w:rPr>
        <w:footnoteRef/>
      </w:r>
      <w:r>
        <w:rPr>
          <w:rtl/>
        </w:rPr>
        <w:t xml:space="preserve"> </w:t>
      </w:r>
      <w:r>
        <w:rPr>
          <w:rtl/>
        </w:rPr>
        <w:tab/>
      </w:r>
      <w:r>
        <w:rPr>
          <w:rFonts w:hint="cs"/>
          <w:rtl/>
        </w:rPr>
        <w:t xml:space="preserve">ראו מבקר המדינה, </w:t>
      </w:r>
      <w:r w:rsidRPr="00D0016D">
        <w:rPr>
          <w:rFonts w:hint="cs"/>
          <w:b/>
          <w:bCs/>
          <w:rtl/>
        </w:rPr>
        <w:t>דוח שנתי 7</w:t>
      </w:r>
      <w:r>
        <w:rPr>
          <w:rFonts w:hint="cs"/>
          <w:b/>
          <w:bCs/>
          <w:rtl/>
        </w:rPr>
        <w:t>5</w:t>
      </w:r>
      <w:r w:rsidRPr="00D0016D">
        <w:rPr>
          <w:rFonts w:hint="cs"/>
          <w:b/>
          <w:bCs/>
          <w:rtl/>
        </w:rPr>
        <w:t>ג</w:t>
      </w:r>
      <w:r>
        <w:rPr>
          <w:rFonts w:hint="cs"/>
          <w:rtl/>
        </w:rPr>
        <w:t xml:space="preserve"> (2024), "פיתוח משק החשמל לקראת שנת 2030", עמ' 71 - 72.</w:t>
      </w:r>
    </w:p>
  </w:footnote>
  <w:footnote w:id="145">
    <w:p w:rsidR="00F8025B" w:rsidP="00AA5065">
      <w:pPr>
        <w:pStyle w:val="FootnoteText"/>
        <w:rPr>
          <w:rtl/>
        </w:rPr>
      </w:pPr>
      <w:r>
        <w:rPr>
          <w:rStyle w:val="FootnoteReference1"/>
        </w:rPr>
        <w:footnoteRef/>
      </w:r>
      <w:r>
        <w:rPr>
          <w:rtl/>
        </w:rPr>
        <w:t xml:space="preserve"> </w:t>
      </w:r>
      <w:r>
        <w:rPr>
          <w:rtl/>
        </w:rPr>
        <w:tab/>
      </w:r>
      <w:r>
        <w:rPr>
          <w:rFonts w:hint="cs"/>
          <w:rtl/>
        </w:rPr>
        <w:t>זהו האשכול הנמוך ביותר בסקלה של 1 - 10.</w:t>
      </w:r>
    </w:p>
  </w:footnote>
  <w:footnote w:id="146">
    <w:p w:rsidR="00F8025B" w:rsidP="00AA5065">
      <w:pPr>
        <w:pStyle w:val="FootnoteText"/>
      </w:pPr>
      <w:r>
        <w:rPr>
          <w:rStyle w:val="FootnoteReference1"/>
        </w:rPr>
        <w:footnoteRef/>
      </w:r>
      <w:r>
        <w:rPr>
          <w:rtl/>
        </w:rPr>
        <w:t xml:space="preserve"> </w:t>
      </w:r>
      <w:r>
        <w:rPr>
          <w:rtl/>
        </w:rPr>
        <w:tab/>
      </w:r>
      <w:r>
        <w:rPr>
          <w:rFonts w:hint="cs"/>
          <w:rtl/>
        </w:rPr>
        <w:t>המכתב הועבר לשרים דאז של משרדי הבריאות, הפנים, הג"ס, הפריפריה הנגב והגליל וכן ליו"ר הוועדה המיוחדת לענייני החברה הערבית בכנסת.</w:t>
      </w:r>
    </w:p>
  </w:footnote>
  <w:footnote w:id="147">
    <w:p w:rsidR="00F8025B" w:rsidP="00AA5065">
      <w:pPr>
        <w:pStyle w:val="FootnoteText"/>
      </w:pPr>
      <w:r>
        <w:rPr>
          <w:rStyle w:val="FootnoteReference1"/>
        </w:rPr>
        <w:footnoteRef/>
      </w:r>
      <w:r>
        <w:rPr>
          <w:rtl/>
        </w:rPr>
        <w:t xml:space="preserve"> </w:t>
      </w:r>
      <w:r>
        <w:rPr>
          <w:rtl/>
        </w:rPr>
        <w:tab/>
      </w:r>
      <w:r>
        <w:rPr>
          <w:rFonts w:hint="cs"/>
          <w:rtl/>
        </w:rPr>
        <w:t>הסיירת הירוקה היא יחידת אכיפה של רשות הטבע והגנים.</w:t>
      </w:r>
    </w:p>
  </w:footnote>
  <w:footnote w:id="148">
    <w:p w:rsidR="00F8025B" w:rsidP="00AA5065">
      <w:pPr>
        <w:pStyle w:val="FootnoteText"/>
        <w:rPr>
          <w:rtl/>
        </w:rPr>
      </w:pPr>
      <w:r>
        <w:rPr>
          <w:rStyle w:val="FootnoteReference1"/>
        </w:rPr>
        <w:footnoteRef/>
      </w:r>
      <w:r>
        <w:rPr>
          <w:rtl/>
        </w:rPr>
        <w:t xml:space="preserve"> </w:t>
      </w:r>
      <w:r>
        <w:rPr>
          <w:rtl/>
        </w:rPr>
        <w:tab/>
      </w:r>
      <w:r>
        <w:rPr>
          <w:rFonts w:hint="cs"/>
          <w:rtl/>
        </w:rPr>
        <w:t>שטחים של אגף התכנון במשרד הביטחון.</w:t>
      </w:r>
    </w:p>
  </w:footnote>
  <w:footnote w:id="149">
    <w:p w:rsidR="00F8025B" w:rsidP="00AA5065">
      <w:pPr>
        <w:pStyle w:val="FootnoteText"/>
      </w:pPr>
      <w:r>
        <w:rPr>
          <w:rStyle w:val="FootnoteReference1"/>
        </w:rPr>
        <w:footnoteRef/>
      </w:r>
      <w:r>
        <w:rPr>
          <w:rtl/>
        </w:rPr>
        <w:t xml:space="preserve"> </w:t>
      </w:r>
      <w:r>
        <w:rPr>
          <w:rtl/>
        </w:rPr>
        <w:tab/>
      </w:r>
      <w:r w:rsidRPr="00EA03C8">
        <w:rPr>
          <w:rtl/>
        </w:rPr>
        <w:t xml:space="preserve">שטחים של אגף התכנון במשרד הביטחון. </w:t>
      </w:r>
    </w:p>
  </w:footnote>
  <w:footnote w:id="150">
    <w:p w:rsidR="00F8025B" w:rsidP="00AA5065">
      <w:pPr>
        <w:pStyle w:val="FootnoteText"/>
      </w:pPr>
      <w:r>
        <w:rPr>
          <w:rStyle w:val="FootnoteReference1"/>
        </w:rPr>
        <w:footnoteRef/>
      </w:r>
      <w:r>
        <w:rPr>
          <w:rtl/>
        </w:rPr>
        <w:t xml:space="preserve"> </w:t>
      </w:r>
      <w:r>
        <w:rPr>
          <w:rtl/>
        </w:rPr>
        <w:tab/>
      </w:r>
      <w:r w:rsidRPr="00B91495">
        <w:rPr>
          <w:rtl/>
        </w:rPr>
        <w:t>אזור מפורז שבו המטוסים מנמיכים ל</w:t>
      </w:r>
      <w:r w:rsidRPr="00B91495">
        <w:rPr>
          <w:rFonts w:hint="cs"/>
          <w:rtl/>
        </w:rPr>
        <w:t xml:space="preserve">גובה של </w:t>
      </w:r>
      <w:r w:rsidRPr="00B91495">
        <w:rPr>
          <w:rtl/>
        </w:rPr>
        <w:t>15 מטר</w:t>
      </w:r>
      <w:r w:rsidRPr="00B91495">
        <w:rPr>
          <w:rFonts w:hint="cs"/>
          <w:rtl/>
        </w:rPr>
        <w:t>,</w:t>
      </w:r>
      <w:r w:rsidRPr="00B91495">
        <w:rPr>
          <w:rtl/>
        </w:rPr>
        <w:t xml:space="preserve"> והם פגיעים ביותר בתחומו.</w:t>
      </w:r>
    </w:p>
  </w:footnote>
  <w:footnote w:id="151">
    <w:p w:rsidR="00F8025B" w:rsidP="00AA5065">
      <w:pPr>
        <w:pStyle w:val="FootnoteText"/>
        <w:rPr>
          <w:rtl/>
        </w:rPr>
      </w:pPr>
      <w:r>
        <w:rPr>
          <w:rStyle w:val="FootnoteReference1"/>
        </w:rPr>
        <w:footnoteRef/>
      </w:r>
      <w:r>
        <w:rPr>
          <w:rtl/>
        </w:rPr>
        <w:t xml:space="preserve"> </w:t>
      </w:r>
      <w:r>
        <w:rPr>
          <w:rtl/>
        </w:rPr>
        <w:tab/>
      </w:r>
      <w:r w:rsidRPr="00D167F9">
        <w:rPr>
          <w:rtl/>
        </w:rPr>
        <w:t>אירוע חדירת הרחפן האחרו</w:t>
      </w:r>
      <w:r>
        <w:rPr>
          <w:rFonts w:hint="cs"/>
          <w:rtl/>
        </w:rPr>
        <w:t>ן</w:t>
      </w:r>
      <w:r w:rsidRPr="00D167F9">
        <w:rPr>
          <w:rtl/>
        </w:rPr>
        <w:t xml:space="preserve"> אשר תועד היה בחודש יולי 2025.</w:t>
      </w:r>
    </w:p>
  </w:footnote>
  <w:footnote w:id="152">
    <w:p w:rsidR="00F8025B" w:rsidP="00AA5065">
      <w:pPr>
        <w:pStyle w:val="FootnoteText"/>
      </w:pPr>
      <w:r>
        <w:rPr>
          <w:rStyle w:val="FootnoteReference1"/>
        </w:rPr>
        <w:footnoteRef/>
      </w:r>
      <w:r>
        <w:rPr>
          <w:rtl/>
        </w:rPr>
        <w:t xml:space="preserve"> </w:t>
      </w:r>
      <w:r>
        <w:rPr>
          <w:rtl/>
        </w:rPr>
        <w:tab/>
      </w:r>
      <w:r>
        <w:rPr>
          <w:rFonts w:hint="cs"/>
          <w:rtl/>
        </w:rPr>
        <w:t>במהלך כהונתה של הממשלה הנוכחית התכנסה הוועדה בתאריכים: 20.6.23, 31.7.23 ו-12.11.24.</w:t>
      </w:r>
    </w:p>
  </w:footnote>
  <w:footnote w:id="153">
    <w:p w:rsidR="00F8025B" w:rsidP="00AA5065">
      <w:pPr>
        <w:pStyle w:val="FootnoteText"/>
      </w:pPr>
      <w:r>
        <w:rPr>
          <w:rStyle w:val="FootnoteReference1"/>
        </w:rPr>
        <w:footnoteRef/>
      </w:r>
      <w:r>
        <w:rPr>
          <w:rtl/>
        </w:rPr>
        <w:t xml:space="preserve"> </w:t>
      </w:r>
      <w:r>
        <w:rPr>
          <w:rtl/>
        </w:rPr>
        <w:tab/>
      </w:r>
      <w:r>
        <w:rPr>
          <w:rFonts w:hint="cs"/>
          <w:rtl/>
        </w:rPr>
        <w:t>הסדרת הפזורה ליישובי הקבע.</w:t>
      </w:r>
    </w:p>
  </w:footnote>
  <w:footnote w:id="154">
    <w:p w:rsidR="00F8025B" w:rsidP="00AA5065">
      <w:pPr>
        <w:pStyle w:val="FootnoteText"/>
      </w:pPr>
      <w:r>
        <w:rPr>
          <w:rStyle w:val="FootnoteReference1"/>
        </w:rPr>
        <w:footnoteRef/>
      </w:r>
      <w:r>
        <w:rPr>
          <w:rtl/>
        </w:rPr>
        <w:t xml:space="preserve"> </w:t>
      </w:r>
      <w:r>
        <w:rPr>
          <w:rtl/>
        </w:rPr>
        <w:tab/>
      </w:r>
      <w:bookmarkStart w:id="154" w:name="_Hlk205279159"/>
      <w:r w:rsidRPr="008722E9">
        <w:rPr>
          <w:rFonts w:hint="cs"/>
          <w:rtl/>
        </w:rPr>
        <w:t>החלט</w:t>
      </w:r>
      <w:r>
        <w:rPr>
          <w:rFonts w:hint="cs"/>
          <w:rtl/>
        </w:rPr>
        <w:t>ה 274</w:t>
      </w:r>
      <w:r w:rsidRPr="00A90B0B">
        <w:rPr>
          <w:rFonts w:hint="cs"/>
          <w:rtl/>
        </w:rPr>
        <w:t xml:space="preserve"> </w:t>
      </w:r>
      <w:r>
        <w:rPr>
          <w:rFonts w:hint="cs"/>
          <w:rtl/>
        </w:rPr>
        <w:t>של הממשלה ה-37 "ועדת שרים לפיתוח הנגב, הגליל והחוסן הלאומי" (5.3.23)</w:t>
      </w:r>
      <w:bookmarkEnd w:id="154"/>
      <w:r>
        <w:rPr>
          <w:rFonts w:hint="cs"/>
          <w:rtl/>
        </w:rPr>
        <w:t>.</w:t>
      </w:r>
    </w:p>
  </w:footnote>
  <w:footnote w:id="155">
    <w:p w:rsidR="00F8025B" w:rsidP="00AA5065">
      <w:pPr>
        <w:pStyle w:val="FootnoteText"/>
      </w:pPr>
      <w:r>
        <w:rPr>
          <w:rStyle w:val="FootnoteReference1"/>
        </w:rPr>
        <w:footnoteRef/>
      </w:r>
      <w:r>
        <w:rPr>
          <w:rtl/>
        </w:rPr>
        <w:t xml:space="preserve"> </w:t>
      </w:r>
      <w:r>
        <w:rPr>
          <w:rtl/>
        </w:rPr>
        <w:tab/>
      </w:r>
      <w:r>
        <w:rPr>
          <w:rFonts w:hint="cs"/>
          <w:rtl/>
        </w:rPr>
        <w:t>בהתאם להחלטת הממשלה 2494 בנושא "מדדי איכות, קיימות וחוסן" מיום 19.4.15.</w:t>
      </w:r>
    </w:p>
  </w:footnote>
  <w:footnote w:id="156">
    <w:p w:rsidR="00F8025B" w:rsidP="00AA5065">
      <w:pPr>
        <w:pStyle w:val="FootnoteText"/>
      </w:pPr>
      <w:r>
        <w:rPr>
          <w:rStyle w:val="FootnoteReference1"/>
        </w:rPr>
        <w:footnoteRef/>
      </w:r>
      <w:r>
        <w:rPr>
          <w:rtl/>
        </w:rPr>
        <w:t xml:space="preserve"> </w:t>
      </w:r>
      <w:r>
        <w:rPr>
          <w:rtl/>
        </w:rPr>
        <w:tab/>
      </w:r>
      <w:r w:rsidRPr="008722E9">
        <w:rPr>
          <w:rFonts w:hint="cs"/>
          <w:rtl/>
        </w:rPr>
        <w:t>החלט</w:t>
      </w:r>
      <w:r>
        <w:rPr>
          <w:rFonts w:hint="cs"/>
          <w:rtl/>
        </w:rPr>
        <w:t>ה 274</w:t>
      </w:r>
      <w:r w:rsidRPr="00A90B0B">
        <w:rPr>
          <w:rFonts w:hint="cs"/>
          <w:rtl/>
        </w:rPr>
        <w:t xml:space="preserve"> </w:t>
      </w:r>
      <w:r>
        <w:rPr>
          <w:rFonts w:hint="cs"/>
          <w:rtl/>
        </w:rPr>
        <w:t>של הממשלה ה-37 "ועדת שרים לפיתוח הנגב, הגליל והחוסן הלאומי" (5.3.23).</w:t>
      </w:r>
    </w:p>
  </w:footnote>
  <w:footnote w:id="157">
    <w:p w:rsidR="00F8025B" w:rsidP="00AA5065">
      <w:pPr>
        <w:pStyle w:val="FootnoteText"/>
        <w:rPr>
          <w:rtl/>
        </w:rPr>
      </w:pPr>
      <w:r w:rsidRPr="0037648F">
        <w:rPr>
          <w:rStyle w:val="FootnoteReference1"/>
        </w:rPr>
        <w:footnoteRef/>
      </w:r>
      <w:r w:rsidRPr="0037648F">
        <w:rPr>
          <w:rStyle w:val="FootnoteReference1"/>
          <w:rtl/>
        </w:rPr>
        <w:t xml:space="preserve"> </w:t>
      </w:r>
      <w:r>
        <w:rPr>
          <w:rtl/>
        </w:rPr>
        <w:tab/>
      </w:r>
      <w:r w:rsidRPr="009E0519">
        <w:rPr>
          <w:rFonts w:hint="eastAsia"/>
          <w:rtl/>
        </w:rPr>
        <w:t>לשם</w:t>
      </w:r>
      <w:r w:rsidRPr="009E0519">
        <w:rPr>
          <w:rtl/>
        </w:rPr>
        <w:t xml:space="preserve"> השוואה יצוין </w:t>
      </w:r>
      <w:r w:rsidRPr="009E0519">
        <w:rPr>
          <w:rFonts w:hint="cs"/>
          <w:rtl/>
        </w:rPr>
        <w:t>ש</w:t>
      </w:r>
      <w:r w:rsidRPr="009E0519">
        <w:rPr>
          <w:rFonts w:hint="eastAsia"/>
          <w:rtl/>
        </w:rPr>
        <w:t>נמצא</w:t>
      </w:r>
      <w:r w:rsidRPr="009E0519">
        <w:rPr>
          <w:rtl/>
        </w:rPr>
        <w:t xml:space="preserve"> </w:t>
      </w:r>
      <w:r w:rsidRPr="009E0519">
        <w:rPr>
          <w:rFonts w:hint="eastAsia"/>
          <w:rtl/>
        </w:rPr>
        <w:t>כי</w:t>
      </w:r>
      <w:r w:rsidRPr="009E0519">
        <w:rPr>
          <w:rtl/>
        </w:rPr>
        <w:t xml:space="preserve"> ועדת השרים לענייני הפריפריה, הנגב והגליל הוקמה </w:t>
      </w:r>
      <w:r w:rsidRPr="009E0519">
        <w:rPr>
          <w:rFonts w:hint="eastAsia"/>
          <w:rtl/>
        </w:rPr>
        <w:t>לפי</w:t>
      </w:r>
      <w:r w:rsidRPr="009E0519">
        <w:rPr>
          <w:rtl/>
        </w:rPr>
        <w:t xml:space="preserve"> </w:t>
      </w:r>
      <w:r w:rsidRPr="009E0519">
        <w:rPr>
          <w:rFonts w:hint="eastAsia"/>
          <w:rtl/>
        </w:rPr>
        <w:t>החלטת</w:t>
      </w:r>
      <w:r w:rsidRPr="009E0519">
        <w:rPr>
          <w:rtl/>
        </w:rPr>
        <w:t xml:space="preserve"> </w:t>
      </w:r>
      <w:r>
        <w:rPr>
          <w:rFonts w:hint="cs"/>
          <w:rtl/>
        </w:rPr>
        <w:t>ה</w:t>
      </w:r>
      <w:r w:rsidRPr="009E0519">
        <w:rPr>
          <w:rFonts w:hint="eastAsia"/>
          <w:rtl/>
        </w:rPr>
        <w:t>ממשלה</w:t>
      </w:r>
      <w:r w:rsidRPr="009E0519">
        <w:rPr>
          <w:rFonts w:hint="cs"/>
          <w:rtl/>
        </w:rPr>
        <w:t xml:space="preserve"> </w:t>
      </w:r>
      <w:r w:rsidRPr="009E0519">
        <w:rPr>
          <w:rtl/>
        </w:rPr>
        <w:t>מאוגוסט 2021 והתכנסה מדי פעם בשנים 2021 - 2022</w:t>
      </w:r>
      <w:r w:rsidRPr="009E0519">
        <w:rPr>
          <w:rFonts w:hint="cs"/>
          <w:rtl/>
        </w:rPr>
        <w:t xml:space="preserve"> במהלך תקופת כהונת הממשלה ה-36.</w:t>
      </w:r>
    </w:p>
  </w:footnote>
  <w:footnote w:id="158">
    <w:p w:rsidR="00F8025B" w:rsidP="00AA5065">
      <w:pPr>
        <w:pStyle w:val="FootnoteText"/>
      </w:pPr>
      <w:r>
        <w:rPr>
          <w:rStyle w:val="FootnoteReference1"/>
        </w:rPr>
        <w:footnoteRef/>
      </w:r>
      <w:r>
        <w:rPr>
          <w:rtl/>
        </w:rPr>
        <w:t xml:space="preserve"> </w:t>
      </w:r>
      <w:r>
        <w:rPr>
          <w:rtl/>
        </w:rPr>
        <w:tab/>
      </w:r>
      <w:r w:rsidRPr="005E2D82">
        <w:rPr>
          <w:rFonts w:hint="cs"/>
          <w:rtl/>
        </w:rPr>
        <w:t xml:space="preserve">סיכום דיון </w:t>
      </w:r>
      <w:r w:rsidRPr="00E84878">
        <w:rPr>
          <w:rFonts w:hint="cs"/>
          <w:rtl/>
        </w:rPr>
        <w:t>מיום 7.2.22</w:t>
      </w:r>
      <w:r>
        <w:rPr>
          <w:rFonts w:hint="cs"/>
          <w:rtl/>
        </w:rPr>
        <w:t>.</w:t>
      </w:r>
    </w:p>
  </w:footnote>
  <w:footnote w:id="159">
    <w:p w:rsidR="00F8025B" w:rsidP="00AA5065">
      <w:pPr>
        <w:pStyle w:val="FootnoteText"/>
      </w:pPr>
      <w:r>
        <w:rPr>
          <w:rStyle w:val="FootnoteReference1"/>
        </w:rPr>
        <w:footnoteRef/>
      </w:r>
      <w:r>
        <w:rPr>
          <w:rtl/>
        </w:rPr>
        <w:t xml:space="preserve"> </w:t>
      </w:r>
      <w:r>
        <w:rPr>
          <w:rtl/>
        </w:rPr>
        <w:tab/>
      </w:r>
      <w:r>
        <w:rPr>
          <w:rFonts w:hint="cs"/>
          <w:rtl/>
        </w:rPr>
        <w:t>קב"ס - קצין ביקור סדיר.</w:t>
      </w:r>
    </w:p>
  </w:footnote>
  <w:footnote w:id="160">
    <w:p w:rsidR="00F8025B" w:rsidP="00AA5065">
      <w:pPr>
        <w:pStyle w:val="FootnoteText"/>
      </w:pPr>
      <w:r>
        <w:rPr>
          <w:rStyle w:val="FootnoteReference1"/>
        </w:rPr>
        <w:footnoteRef/>
      </w:r>
      <w:r>
        <w:rPr>
          <w:rtl/>
        </w:rPr>
        <w:t xml:space="preserve"> </w:t>
      </w:r>
      <w:r>
        <w:rPr>
          <w:rtl/>
        </w:rPr>
        <w:tab/>
      </w:r>
      <w:r w:rsidRPr="005E2D82">
        <w:rPr>
          <w:rFonts w:hint="cs"/>
          <w:rtl/>
        </w:rPr>
        <w:t>סיכום דיון</w:t>
      </w:r>
      <w:r w:rsidRPr="005E2D82">
        <w:rPr>
          <w:rtl/>
        </w:rPr>
        <w:t xml:space="preserve"> </w:t>
      </w:r>
      <w:r w:rsidRPr="00906131">
        <w:rPr>
          <w:rtl/>
        </w:rPr>
        <w:t>מיום 1.3.23</w:t>
      </w:r>
      <w:r>
        <w:rPr>
          <w:rFonts w:hint="cs"/>
          <w:rtl/>
        </w:rPr>
        <w:t xml:space="preserve"> אשר עסק </w:t>
      </w:r>
      <w:r w:rsidRPr="00906131">
        <w:rPr>
          <w:rtl/>
        </w:rPr>
        <w:t xml:space="preserve">גם בענייני הסדרת רישום התושבים, </w:t>
      </w:r>
      <w:r>
        <w:rPr>
          <w:rFonts w:hint="cs"/>
          <w:rtl/>
        </w:rPr>
        <w:t>ב</w:t>
      </w:r>
      <w:r w:rsidRPr="00906131">
        <w:rPr>
          <w:rtl/>
        </w:rPr>
        <w:t>בחינת מרכז חייהם של תושבי הפזורה בנגב ומחוצה לו ובבחינת בקשותיהם של תושבי קבע להתאזרחות</w:t>
      </w:r>
      <w:r>
        <w:rPr>
          <w:rFonts w:hint="cs"/>
          <w:rtl/>
        </w:rPr>
        <w:t>.</w:t>
      </w:r>
    </w:p>
  </w:footnote>
  <w:footnote w:id="161">
    <w:p w:rsidR="00F8025B" w:rsidP="00AA5065">
      <w:pPr>
        <w:pStyle w:val="FootnoteText"/>
        <w:rPr>
          <w:rtl/>
        </w:rPr>
      </w:pPr>
      <w:r>
        <w:rPr>
          <w:rStyle w:val="FootnoteReference1"/>
        </w:rPr>
        <w:footnoteRef/>
      </w:r>
      <w:r>
        <w:rPr>
          <w:rtl/>
        </w:rPr>
        <w:t xml:space="preserve"> </w:t>
      </w:r>
      <w:r>
        <w:rPr>
          <w:rtl/>
        </w:rPr>
        <w:tab/>
      </w:r>
      <w:r w:rsidRPr="001D5724">
        <w:rPr>
          <w:rFonts w:hint="cs"/>
          <w:b/>
          <w:bCs/>
          <w:rtl/>
        </w:rPr>
        <w:t>דין וחשבון הצוות הבין משרדי להתמודדות עם השלכותיה השליליות של הפוליגמיה</w:t>
      </w:r>
      <w:r>
        <w:rPr>
          <w:rFonts w:hint="cs"/>
          <w:rtl/>
        </w:rPr>
        <w:t>, "המלצות בתחום איסוף ואיגום מידע ואכיפה פלילית" (2018), עמ' 215.</w:t>
      </w:r>
    </w:p>
  </w:footnote>
  <w:footnote w:id="162">
    <w:p w:rsidR="00F8025B" w:rsidP="00AA5065">
      <w:pPr>
        <w:pStyle w:val="FootnoteText"/>
      </w:pPr>
      <w:r>
        <w:rPr>
          <w:rStyle w:val="FootnoteReference1"/>
        </w:rPr>
        <w:footnoteRef/>
      </w:r>
      <w:r>
        <w:rPr>
          <w:rtl/>
        </w:rPr>
        <w:t xml:space="preserve"> </w:t>
      </w:r>
      <w:r>
        <w:rPr>
          <w:rtl/>
        </w:rPr>
        <w:tab/>
      </w:r>
      <w:r w:rsidRPr="0072543F">
        <w:rPr>
          <w:rtl/>
        </w:rPr>
        <w:t>יחידת סמך של משרד הביטחון</w:t>
      </w:r>
      <w:r>
        <w:rPr>
          <w:rFonts w:hint="cs"/>
          <w:rtl/>
        </w:rPr>
        <w:t>.</w:t>
      </w:r>
    </w:p>
  </w:footnote>
  <w:footnote w:id="163">
    <w:p w:rsidR="00F8025B" w:rsidP="00AA5065">
      <w:pPr>
        <w:pStyle w:val="FootnoteText"/>
      </w:pPr>
      <w:r>
        <w:rPr>
          <w:rStyle w:val="FootnoteReference1"/>
        </w:rPr>
        <w:footnoteRef/>
      </w:r>
      <w:r>
        <w:rPr>
          <w:rtl/>
        </w:rPr>
        <w:t xml:space="preserve"> </w:t>
      </w:r>
      <w:r>
        <w:rPr>
          <w:rtl/>
        </w:rPr>
        <w:tab/>
      </w:r>
      <w:r w:rsidRPr="00190D28">
        <w:rPr>
          <w:rFonts w:hint="cs"/>
          <w:rtl/>
        </w:rPr>
        <w:t xml:space="preserve">סיכום דיון </w:t>
      </w:r>
      <w:r w:rsidRPr="00E84878">
        <w:rPr>
          <w:rFonts w:hint="cs"/>
          <w:rtl/>
        </w:rPr>
        <w:t>מיום 7.2.22</w:t>
      </w:r>
      <w:r>
        <w:rPr>
          <w:rFonts w:hint="cs"/>
          <w:rtl/>
        </w:rPr>
        <w:t>.</w:t>
      </w:r>
    </w:p>
  </w:footnote>
  <w:footnote w:id="164">
    <w:p w:rsidR="00F8025B" w:rsidP="00AA5065">
      <w:pPr>
        <w:pStyle w:val="FootnoteText"/>
      </w:pPr>
      <w:r>
        <w:rPr>
          <w:rStyle w:val="FootnoteReference1"/>
        </w:rPr>
        <w:footnoteRef/>
      </w:r>
      <w:r>
        <w:rPr>
          <w:rtl/>
        </w:rPr>
        <w:t xml:space="preserve"> </w:t>
      </w:r>
      <w:r>
        <w:rPr>
          <w:rtl/>
        </w:rPr>
        <w:tab/>
      </w:r>
      <w:r w:rsidRPr="00190D28">
        <w:rPr>
          <w:rFonts w:hint="cs"/>
          <w:rtl/>
        </w:rPr>
        <w:t>סיכום דיון</w:t>
      </w:r>
      <w:r w:rsidRPr="00906131">
        <w:rPr>
          <w:rtl/>
        </w:rPr>
        <w:t xml:space="preserve"> מיום 1.3.23</w:t>
      </w:r>
      <w:r>
        <w:rPr>
          <w:rFonts w:hint="cs"/>
          <w:rtl/>
        </w:rPr>
        <w:t>.</w:t>
      </w:r>
    </w:p>
  </w:footnote>
  <w:footnote w:id="165">
    <w:p w:rsidR="00F8025B" w:rsidRPr="001D5724" w:rsidP="00AA5065">
      <w:pPr>
        <w:pStyle w:val="FootnoteText"/>
      </w:pPr>
      <w:r w:rsidRPr="001D5724">
        <w:rPr>
          <w:rStyle w:val="FootnoteReference1"/>
        </w:rPr>
        <w:footnoteRef/>
      </w:r>
      <w:r w:rsidRPr="001D5724">
        <w:rPr>
          <w:rtl/>
        </w:rPr>
        <w:t xml:space="preserve"> </w:t>
      </w:r>
      <w:r w:rsidRPr="001D5724">
        <w:rPr>
          <w:rtl/>
        </w:rPr>
        <w:tab/>
      </w:r>
      <w:r>
        <w:rPr>
          <w:rFonts w:hint="cs"/>
          <w:rtl/>
        </w:rPr>
        <w:t>מפקד משולב - מבוסס על שימוש משולב בנתונים ממקורות מנהליים עם נתונים מדגמיים הנאספים ישירות מהאוכלוסייה בשיטות שונות - השבה עצמית באינטרנט, ריאיון טלפוני על ידי סוקר או ריאיון פנים אל פנים על ידי סוקר בבית הנדגם.</w:t>
      </w:r>
    </w:p>
  </w:footnote>
  <w:footnote w:id="166">
    <w:p w:rsidR="00F8025B" w:rsidRPr="001D5724" w:rsidP="00AA5065">
      <w:pPr>
        <w:pStyle w:val="FootnoteText"/>
      </w:pPr>
      <w:r w:rsidRPr="001D5724">
        <w:rPr>
          <w:rStyle w:val="FootnoteReference1"/>
        </w:rPr>
        <w:footnoteRef/>
      </w:r>
      <w:r w:rsidRPr="001D5724">
        <w:rPr>
          <w:rtl/>
        </w:rPr>
        <w:t xml:space="preserve"> </w:t>
      </w:r>
      <w:r w:rsidRPr="001D5724">
        <w:rPr>
          <w:rtl/>
        </w:rPr>
        <w:tab/>
      </w:r>
      <w:r w:rsidRPr="001D5724">
        <w:rPr>
          <w:rFonts w:hint="cs"/>
          <w:rtl/>
        </w:rPr>
        <w:t>במרשם האוכלוסין רשומים גם תושבי הפזורה, אולם מיקומם אינו מדויק, בין השאר מכיוון שרשות האוכלוסין איננה מאפשרת שינוי כתובת מיישוב מוכר לפזורה.</w:t>
      </w:r>
    </w:p>
  </w:footnote>
  <w:footnote w:id="167">
    <w:p w:rsidR="00F8025B" w:rsidRPr="001D5724" w:rsidP="00AA5065">
      <w:pPr>
        <w:pStyle w:val="FootnoteText"/>
        <w:rPr>
          <w:rtl/>
        </w:rPr>
      </w:pPr>
      <w:r w:rsidRPr="001D5724">
        <w:rPr>
          <w:rStyle w:val="FootnoteReference1"/>
        </w:rPr>
        <w:footnoteRef/>
      </w:r>
      <w:r w:rsidRPr="001D5724">
        <w:rPr>
          <w:rtl/>
        </w:rPr>
        <w:t xml:space="preserve"> </w:t>
      </w:r>
      <w:r w:rsidRPr="001D5724">
        <w:rPr>
          <w:rtl/>
        </w:rPr>
        <w:tab/>
      </w:r>
      <w:r w:rsidRPr="001D5724">
        <w:rPr>
          <w:rFonts w:hint="cs"/>
          <w:rtl/>
        </w:rPr>
        <w:t>הקו הכחול הוא הקו המגדיר את גבולות שטח השיפוט של הרשות המקומית.</w:t>
      </w:r>
    </w:p>
  </w:footnote>
  <w:footnote w:id="168">
    <w:p w:rsidR="00F8025B" w:rsidP="00AA5065">
      <w:pPr>
        <w:pStyle w:val="FootnoteText"/>
      </w:pPr>
      <w:r>
        <w:rPr>
          <w:rStyle w:val="FootnoteReference1"/>
        </w:rPr>
        <w:footnoteRef/>
      </w:r>
      <w:r>
        <w:rPr>
          <w:rtl/>
        </w:rPr>
        <w:t xml:space="preserve"> </w:t>
      </w:r>
      <w:r>
        <w:rPr>
          <w:rtl/>
        </w:rPr>
        <w:tab/>
      </w:r>
      <w:r>
        <w:rPr>
          <w:rFonts w:hint="cs"/>
          <w:rtl/>
        </w:rPr>
        <w:t>מרכז המחקר והמידע של הכנסת,</w:t>
      </w:r>
      <w:r>
        <w:rPr>
          <w:rFonts w:hint="cs"/>
          <w:b/>
          <w:bCs/>
          <w:rtl/>
        </w:rPr>
        <w:t xml:space="preserve"> </w:t>
      </w:r>
      <w:r w:rsidRPr="00A11171">
        <w:rPr>
          <w:rFonts w:hint="eastAsia"/>
          <w:b/>
          <w:bCs/>
          <w:rtl/>
        </w:rPr>
        <w:t>נתונים</w:t>
      </w:r>
      <w:r w:rsidRPr="00A11171">
        <w:rPr>
          <w:b/>
          <w:bCs/>
          <w:rtl/>
        </w:rPr>
        <w:t xml:space="preserve"> על </w:t>
      </w:r>
      <w:r w:rsidRPr="00A11171">
        <w:rPr>
          <w:rFonts w:hint="eastAsia"/>
          <w:b/>
          <w:bCs/>
          <w:rtl/>
        </w:rPr>
        <w:t>אוכלוס</w:t>
      </w:r>
      <w:r>
        <w:rPr>
          <w:rFonts w:hint="cs"/>
          <w:b/>
          <w:bCs/>
          <w:rtl/>
        </w:rPr>
        <w:t>י</w:t>
      </w:r>
      <w:r w:rsidRPr="00A11171">
        <w:rPr>
          <w:rFonts w:hint="eastAsia"/>
          <w:b/>
          <w:bCs/>
          <w:rtl/>
        </w:rPr>
        <w:t>ית</w:t>
      </w:r>
      <w:r w:rsidRPr="00A11171">
        <w:rPr>
          <w:b/>
          <w:bCs/>
          <w:rtl/>
        </w:rPr>
        <w:t xml:space="preserve"> הבדואים בנגב</w:t>
      </w:r>
      <w:r>
        <w:rPr>
          <w:rFonts w:hint="cs"/>
          <w:rtl/>
        </w:rPr>
        <w:t xml:space="preserve"> (יולי 2023), עמ' 2.</w:t>
      </w:r>
    </w:p>
  </w:footnote>
  <w:footnote w:id="169">
    <w:p w:rsidR="00F8025B" w:rsidP="00AA5065">
      <w:pPr>
        <w:pStyle w:val="FootnoteText"/>
      </w:pPr>
      <w:r>
        <w:rPr>
          <w:rStyle w:val="FootnoteReference1"/>
        </w:rPr>
        <w:footnoteRef/>
      </w:r>
      <w:r>
        <w:rPr>
          <w:rtl/>
        </w:rPr>
        <w:t xml:space="preserve"> </w:t>
      </w:r>
      <w:r>
        <w:rPr>
          <w:rtl/>
        </w:rPr>
        <w:tab/>
      </w:r>
      <w:r>
        <w:rPr>
          <w:rFonts w:hint="cs"/>
          <w:rtl/>
        </w:rPr>
        <w:t xml:space="preserve">זהו אחד משישה צוותי עבודה שהוקמו במרץ 2022 תחת </w:t>
      </w:r>
      <w:r w:rsidRPr="00291F71">
        <w:rPr>
          <w:rFonts w:hint="cs"/>
          <w:rtl/>
        </w:rPr>
        <w:t xml:space="preserve">ועדת שרים לענייני הסדרת התיישבות ופיתוח כלכלי של החברה הבדואית בנגב בראשות </w:t>
      </w:r>
      <w:r>
        <w:rPr>
          <w:rFonts w:hint="cs"/>
          <w:rtl/>
        </w:rPr>
        <w:t>ראש הממשלה. בראש הצוות עומד ראש אגף במל"ל וחברים בו נציגי רשות האוכלוסין וההגירה, המשרד לביטחון לאומי, משרד הרווחה, מתפ"ש, משרד המשפטים, משרד החינוך, השב"כ, המשטרה, בט"ל והרשות לפיתוח והתיישבות הבדואים בנגב.</w:t>
      </w:r>
    </w:p>
  </w:footnote>
  <w:footnote w:id="170">
    <w:p w:rsidR="00F8025B" w:rsidP="00AA5065">
      <w:pPr>
        <w:pStyle w:val="FootnoteText"/>
        <w:rPr>
          <w:rtl/>
        </w:rPr>
      </w:pPr>
      <w:r>
        <w:rPr>
          <w:rStyle w:val="FootnoteReference1"/>
        </w:rPr>
        <w:footnoteRef/>
      </w:r>
      <w:r>
        <w:rPr>
          <w:rtl/>
        </w:rPr>
        <w:t xml:space="preserve"> </w:t>
      </w:r>
      <w:r>
        <w:rPr>
          <w:rtl/>
        </w:rPr>
        <w:tab/>
      </w:r>
      <w:r>
        <w:rPr>
          <w:rFonts w:hint="cs"/>
          <w:rtl/>
        </w:rPr>
        <w:t>מבקר המדינה, דוח שנתי 72א (2021), "</w:t>
      </w:r>
      <w:r w:rsidRPr="00BD632A">
        <w:rPr>
          <w:rFonts w:hint="cs"/>
          <w:rtl/>
        </w:rPr>
        <w:t>היבטי משילות בנגב</w:t>
      </w:r>
      <w:r>
        <w:rPr>
          <w:rFonts w:hint="cs"/>
          <w:rtl/>
        </w:rPr>
        <w:t>" (עמ' 59).</w:t>
      </w:r>
      <w:r w:rsidRPr="0074380A">
        <w:rPr>
          <w:rFonts w:hint="cs"/>
          <w:highlight w:val="cyan"/>
          <w:rtl/>
        </w:rPr>
        <w:t xml:space="preserve"> </w:t>
      </w:r>
    </w:p>
  </w:footnote>
  <w:footnote w:id="171">
    <w:p w:rsidR="00F8025B" w:rsidP="00AA5065">
      <w:pPr>
        <w:pStyle w:val="FootnoteText"/>
      </w:pPr>
      <w:r>
        <w:rPr>
          <w:rStyle w:val="FootnoteReference1"/>
        </w:rPr>
        <w:footnoteRef/>
      </w:r>
      <w:r>
        <w:rPr>
          <w:rtl/>
        </w:rPr>
        <w:t xml:space="preserve"> </w:t>
      </w:r>
      <w:r>
        <w:rPr>
          <w:rtl/>
        </w:rPr>
        <w:tab/>
      </w:r>
      <w:r>
        <w:rPr>
          <w:rFonts w:hint="cs"/>
          <w:rtl/>
        </w:rPr>
        <w:t>מבקר המדינה, דוח שנתי 72א (2021), "</w:t>
      </w:r>
      <w:r w:rsidRPr="00BD632A">
        <w:rPr>
          <w:rFonts w:hint="cs"/>
          <w:rtl/>
        </w:rPr>
        <w:t>היבטי משילות בנגב</w:t>
      </w:r>
      <w:r>
        <w:rPr>
          <w:rFonts w:hint="cs"/>
          <w:rtl/>
        </w:rPr>
        <w:t>" (עמ</w:t>
      </w:r>
      <w:r>
        <w:rPr>
          <w:rtl/>
        </w:rPr>
        <w:t>'</w:t>
      </w:r>
      <w:r>
        <w:rPr>
          <w:rFonts w:hint="cs"/>
          <w:rtl/>
        </w:rPr>
        <w:t xml:space="preserve"> 59).</w:t>
      </w:r>
    </w:p>
  </w:footnote>
  <w:footnote w:id="172">
    <w:p w:rsidR="00F8025B" w:rsidP="00AA5065">
      <w:pPr>
        <w:pStyle w:val="FootnoteText"/>
      </w:pPr>
      <w:r>
        <w:rPr>
          <w:rStyle w:val="FootnoteReference1"/>
        </w:rPr>
        <w:footnoteRef/>
      </w:r>
      <w:r>
        <w:rPr>
          <w:rtl/>
        </w:rPr>
        <w:t xml:space="preserve"> </w:t>
      </w:r>
      <w:r>
        <w:rPr>
          <w:rtl/>
        </w:rPr>
        <w:tab/>
      </w:r>
      <w:r>
        <w:rPr>
          <w:rFonts w:hint="cs"/>
          <w:rtl/>
        </w:rPr>
        <w:t>מצגת של המשטרה שכותרתה "משילות במגזר הערבי מחוז דרום 2024".</w:t>
      </w:r>
    </w:p>
  </w:footnote>
  <w:footnote w:id="173">
    <w:p w:rsidR="00F8025B" w:rsidP="00AA5065">
      <w:pPr>
        <w:pStyle w:val="FootnoteText"/>
        <w:rPr>
          <w:rtl/>
        </w:rPr>
      </w:pPr>
      <w:r>
        <w:rPr>
          <w:rStyle w:val="FootnoteReference1"/>
        </w:rPr>
        <w:footnoteRef/>
      </w:r>
      <w:r>
        <w:rPr>
          <w:rtl/>
        </w:rPr>
        <w:t xml:space="preserve"> </w:t>
      </w:r>
      <w:r>
        <w:rPr>
          <w:rtl/>
        </w:rPr>
        <w:tab/>
      </w:r>
      <w:r w:rsidRPr="00BA2E80">
        <w:rPr>
          <w:rtl/>
        </w:rPr>
        <w:t>בפגישה</w:t>
      </w:r>
      <w:r>
        <w:rPr>
          <w:rFonts w:hint="cs"/>
          <w:rtl/>
        </w:rPr>
        <w:t xml:space="preserve"> עם נציגי משרד מבקר המדינה</w:t>
      </w:r>
      <w:r w:rsidRPr="00BA2E80">
        <w:rPr>
          <w:rtl/>
        </w:rPr>
        <w:t xml:space="preserve"> שנערכה ב-8.12.24</w:t>
      </w:r>
      <w:r>
        <w:rPr>
          <w:rFonts w:hint="cs"/>
          <w:rt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F8025B" w:rsidRPr="0062451B" w:rsidP="00AF57F9">
    <w:pPr>
      <w:pStyle w:val="Header"/>
      <w:ind w:right="-567"/>
      <w:jc w:val="right"/>
      <w:rPr>
        <w:rFonts w:asciiTheme="minorHAnsi" w:hAnsiTheme="minorHAnsi" w:cstheme="minorHAnsi"/>
        <w:color w:val="002060"/>
        <w:szCs w:val="20"/>
      </w:rPr>
    </w:pP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70528" behindDoc="0" locked="0" layoutInCell="1" allowOverlap="1">
              <wp:simplePos x="0" y="0"/>
              <wp:positionH relativeFrom="column">
                <wp:posOffset>2678430</wp:posOffset>
              </wp:positionH>
              <wp:positionV relativeFrom="paragraph">
                <wp:posOffset>213995</wp:posOffset>
              </wp:positionV>
              <wp:extent cx="3164205" cy="285750"/>
              <wp:effectExtent l="0" t="0" r="0" b="0"/>
              <wp:wrapSquare wrapText="bothSides"/>
              <wp:docPr id="8"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F8025B">
                          <w:r w:rsidRPr="00860D89">
                            <w:rPr>
                              <w:rFonts w:ascii="Calibri" w:hAnsi="Calibri" w:cs="Calibri"/>
                              <w:color w:val="002060"/>
                              <w:szCs w:val="20"/>
                              <w:rtl/>
                            </w:rPr>
                            <w:t>היבטי משילות בנגב - ביקורת מעקב מורחבת</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תיבת טקסט 2" o:spid="_x0000_s2049" type="#_x0000_t202" style="width:249.15pt;height:22.5pt;margin-top:16.85pt;margin-left:210.9pt;flip:x;mso-height-percent:0;mso-height-relative:margin;mso-width-percent:0;mso-width-relative:margin;mso-wrap-distance-bottom:3.6pt;mso-wrap-distance-left:9pt;mso-wrap-distance-right:9pt;mso-wrap-distance-top:3.6pt;mso-wrap-style:square;position:absolute;visibility:visible;v-text-anchor:top;z-index:251671552" filled="f" stroked="f">
              <v:textbox>
                <w:txbxContent>
                  <w:p w:rsidR="00F8025B">
                    <w:r w:rsidRPr="00860D89">
                      <w:rPr>
                        <w:rFonts w:ascii="Calibri" w:hAnsi="Calibri" w:cs="Calibri"/>
                        <w:color w:val="002060"/>
                        <w:szCs w:val="20"/>
                        <w:rtl/>
                      </w:rPr>
                      <w:t>היבטי משילות בנגב - ביקורת מעקב מורחבת</w:t>
                    </w:r>
                  </w:p>
                </w:txbxContent>
              </v:textbox>
              <w10:wrap type="square"/>
            </v:shape>
          </w:pict>
        </mc:Fallback>
      </mc:AlternateContent>
    </w:r>
    <w:r>
      <w:rPr>
        <w:rFonts w:asciiTheme="minorHAnsi" w:hAnsiTheme="minorHAnsi" w:cstheme="minorHAnsi"/>
        <w:noProof/>
        <w:color w:val="002060"/>
        <w:szCs w:val="20"/>
        <w:rtl/>
        <w:lang w:val="he-IL"/>
      </w:rPr>
      <mc:AlternateContent>
        <mc:Choice Requires="wps">
          <w:drawing>
            <wp:anchor distT="0" distB="0" distL="114300" distR="114300" simplePos="0" relativeHeight="251664384" behindDoc="0" locked="0" layoutInCell="1" allowOverlap="1">
              <wp:simplePos x="0" y="0"/>
              <wp:positionH relativeFrom="column">
                <wp:posOffset>-337185</wp:posOffset>
              </wp:positionH>
              <wp:positionV relativeFrom="paragraph">
                <wp:posOffset>207010</wp:posOffset>
              </wp:positionV>
              <wp:extent cx="6067425" cy="0"/>
              <wp:effectExtent l="0" t="0" r="0" b="0"/>
              <wp:wrapNone/>
              <wp:docPr id="2" name="מחבר ישר 2"/>
              <wp:cNvGraphicFramePr/>
              <a:graphic xmlns:a="http://schemas.openxmlformats.org/drawingml/2006/main">
                <a:graphicData uri="http://schemas.microsoft.com/office/word/2010/wordprocessingShape">
                  <wps:wsp xmlns:wps="http://schemas.microsoft.com/office/word/2010/wordprocessingShape">
                    <wps:cNvCnPr/>
                    <wps:spPr>
                      <a:xfrm flipV="1">
                        <a:off x="0" y="0"/>
                        <a:ext cx="6067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מחבר ישר 2" o:spid="_x0000_s2050" style="flip:y;mso-height-percent:0;mso-height-relative:margin;mso-width-percent:0;mso-width-relative:margin;mso-wrap-distance-bottom:0;mso-wrap-distance-left:9pt;mso-wrap-distance-right:9pt;mso-wrap-distance-top:0;mso-wrap-style:square;position:absolute;visibility:visible;z-index:251665408" from="-26.55pt,16.3pt" to="451.2pt,16.3pt" strokecolor="#4579b8"/>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66432" behindDoc="0" locked="0" layoutInCell="1" allowOverlap="1">
              <wp:simplePos x="0" y="0"/>
              <wp:positionH relativeFrom="column">
                <wp:posOffset>2930525</wp:posOffset>
              </wp:positionH>
              <wp:positionV relativeFrom="paragraph">
                <wp:posOffset>-100965</wp:posOffset>
              </wp:positionV>
              <wp:extent cx="3164205" cy="285750"/>
              <wp:effectExtent l="0" t="0" r="0" b="0"/>
              <wp:wrapSquare wrapText="bothSides"/>
              <wp:docPr id="3"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F8025B" w:rsidRPr="0062451B" w:rsidP="00AF57F9">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מיוחד</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1" type="#_x0000_t202" style="width:249.15pt;height:22.5pt;margin-top:-7.95pt;margin-left:230.75pt;flip:x;mso-height-percent:0;mso-height-relative:margin;mso-width-percent:0;mso-width-relative:margin;mso-wrap-distance-bottom:3.6pt;mso-wrap-distance-left:9pt;mso-wrap-distance-right:9pt;mso-wrap-distance-top:3.6pt;mso-wrap-style:square;position:absolute;visibility:visible;v-text-anchor:top;z-index:251667456" filled="f" stroked="f">
              <v:textbox>
                <w:txbxContent>
                  <w:p w:rsidR="00F8025B" w:rsidRPr="0062451B" w:rsidP="00AF57F9">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מיוחד</w:t>
                    </w:r>
                  </w:p>
                </w:txbxContent>
              </v:textbox>
              <w10:wrap type="square"/>
            </v:shape>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68480" behindDoc="1" locked="0" layoutInCell="1" allowOverlap="1">
              <wp:simplePos x="0" y="0"/>
              <wp:positionH relativeFrom="page">
                <wp:posOffset>622935</wp:posOffset>
              </wp:positionH>
              <wp:positionV relativeFrom="paragraph">
                <wp:posOffset>235585</wp:posOffset>
              </wp:positionV>
              <wp:extent cx="3164205" cy="285750"/>
              <wp:effectExtent l="0" t="0" r="0" b="0"/>
              <wp:wrapTight wrapText="bothSides">
                <wp:wrapPolygon>
                  <wp:start x="390" y="0"/>
                  <wp:lineTo x="390" y="20160"/>
                  <wp:lineTo x="21197" y="20160"/>
                  <wp:lineTo x="21197" y="0"/>
                  <wp:lineTo x="390" y="0"/>
                </wp:wrapPolygon>
              </wp:wrapTight>
              <wp:docPr id="5"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F8025B" w:rsidRPr="0062451B" w:rsidP="00AF57F9">
                          <w:pPr>
                            <w:jc w:val="right"/>
                            <w:rPr>
                              <w:rFonts w:ascii="Calibri" w:hAnsi="Calibri" w:cs="Calibri"/>
                              <w:color w:val="002060"/>
                              <w:szCs w:val="20"/>
                              <w:rtl/>
                            </w:rPr>
                          </w:pPr>
                          <w:r>
                            <w:rPr>
                              <w:rFonts w:ascii="Calibri" w:hAnsi="Calibri" w:cs="Calibri" w:hint="cs"/>
                              <w:color w:val="002060"/>
                              <w:szCs w:val="20"/>
                              <w:rtl/>
                            </w:rPr>
                            <w:t>אייר התשפ"ו</w:t>
                          </w:r>
                          <w:r w:rsidRPr="0062451B">
                            <w:rPr>
                              <w:rFonts w:ascii="Calibri" w:hAnsi="Calibri" w:cs="Calibri" w:hint="cs"/>
                              <w:color w:val="002060"/>
                              <w:szCs w:val="20"/>
                              <w:rtl/>
                            </w:rPr>
                            <w:t xml:space="preserve"> </w:t>
                          </w:r>
                          <w:r w:rsidRPr="0062451B">
                            <w:rPr>
                              <w:rFonts w:asciiTheme="minorHAnsi" w:hAnsiTheme="minorHAnsi" w:cstheme="minorHAnsi"/>
                              <w:color w:val="002060"/>
                              <w:spacing w:val="20"/>
                              <w:sz w:val="22"/>
                              <w:szCs w:val="22"/>
                            </w:rPr>
                            <w:t xml:space="preserve"> </w:t>
                          </w:r>
                          <w:r w:rsidRPr="0062451B">
                            <w:rPr>
                              <w:rFonts w:ascii="Wingdings" w:hAnsi="Wingdings" w:cstheme="minorHAnsi"/>
                              <w:color w:val="002060"/>
                              <w:spacing w:val="20"/>
                              <w:sz w:val="22"/>
                              <w:szCs w:val="22"/>
                            </w:rPr>
                            <w:sym w:font="Wingdings" w:char="F0A7"/>
                          </w:r>
                          <w:r>
                            <w:rPr>
                              <w:rFonts w:ascii="Calibri" w:hAnsi="Calibri" w:cs="Calibri" w:hint="cs"/>
                              <w:color w:val="002060"/>
                              <w:szCs w:val="20"/>
                              <w:rtl/>
                            </w:rPr>
                            <w:t>אפריל 2026</w:t>
                          </w:r>
                          <w:r w:rsidRPr="0062451B">
                            <w:rPr>
                              <w:rFonts w:ascii="Calibri" w:hAnsi="Calibri" w:cs="Calibri" w:hint="cs"/>
                              <w:color w:val="002060"/>
                              <w:szCs w:val="20"/>
                              <w:rtl/>
                            </w:rPr>
                            <w:t xml:space="preserve">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2" type="#_x0000_t202" style="width:249.15pt;height:22.5pt;margin-top:18.55pt;margin-left:49.05pt;flip:x;mso-height-percent:0;mso-height-relative:margin;mso-position-horizontal-relative:page;mso-width-percent:0;mso-width-relative:margin;mso-wrap-distance-bottom:3.6pt;mso-wrap-distance-left:9pt;mso-wrap-distance-right:9pt;mso-wrap-distance-top:3.6pt;mso-wrap-style:square;position:absolute;visibility:visible;v-text-anchor:top;z-index:-251646976" filled="f" stroked="f">
              <v:textbox>
                <w:txbxContent>
                  <w:p w:rsidR="00F8025B" w:rsidRPr="0062451B" w:rsidP="00AF57F9">
                    <w:pPr>
                      <w:jc w:val="right"/>
                      <w:rPr>
                        <w:rFonts w:ascii="Calibri" w:hAnsi="Calibri" w:cs="Calibri"/>
                        <w:color w:val="002060"/>
                        <w:szCs w:val="20"/>
                        <w:rtl/>
                      </w:rPr>
                    </w:pPr>
                    <w:r>
                      <w:rPr>
                        <w:rFonts w:ascii="Calibri" w:hAnsi="Calibri" w:cs="Calibri" w:hint="cs"/>
                        <w:color w:val="002060"/>
                        <w:szCs w:val="20"/>
                        <w:rtl/>
                      </w:rPr>
                      <w:t>אייר התשפ"ו</w:t>
                    </w:r>
                    <w:r w:rsidRPr="0062451B">
                      <w:rPr>
                        <w:rFonts w:ascii="Calibri" w:hAnsi="Calibri" w:cs="Calibri" w:hint="cs"/>
                        <w:color w:val="002060"/>
                        <w:szCs w:val="20"/>
                        <w:rtl/>
                      </w:rPr>
                      <w:t xml:space="preserve"> </w:t>
                    </w:r>
                    <w:r w:rsidRPr="0062451B">
                      <w:rPr>
                        <w:rFonts w:asciiTheme="minorHAnsi" w:hAnsiTheme="minorHAnsi" w:cstheme="minorHAnsi"/>
                        <w:color w:val="002060"/>
                        <w:spacing w:val="20"/>
                        <w:sz w:val="22"/>
                        <w:szCs w:val="22"/>
                      </w:rPr>
                      <w:t xml:space="preserve"> </w:t>
                    </w:r>
                    <w:r w:rsidRPr="0062451B">
                      <w:rPr>
                        <w:rFonts w:ascii="Wingdings" w:hAnsi="Wingdings" w:cstheme="minorHAnsi"/>
                        <w:color w:val="002060"/>
                        <w:spacing w:val="20"/>
                        <w:sz w:val="22"/>
                        <w:szCs w:val="22"/>
                      </w:rPr>
                      <w:sym w:font="Wingdings" w:char="F0A7"/>
                    </w:r>
                    <w:r>
                      <w:rPr>
                        <w:rFonts w:ascii="Calibri" w:hAnsi="Calibri" w:cs="Calibri" w:hint="cs"/>
                        <w:color w:val="002060"/>
                        <w:szCs w:val="20"/>
                        <w:rtl/>
                      </w:rPr>
                      <w:t>אפריל 2026</w:t>
                    </w:r>
                    <w:r w:rsidRPr="0062451B">
                      <w:rPr>
                        <w:rFonts w:ascii="Calibri" w:hAnsi="Calibri" w:cs="Calibri" w:hint="cs"/>
                        <w:color w:val="002060"/>
                        <w:szCs w:val="20"/>
                        <w:rtl/>
                      </w:rPr>
                      <w:t xml:space="preserve"> </w:t>
                    </w:r>
                  </w:p>
                </w:txbxContent>
              </v:textbox>
              <w10:wrap type="tight"/>
            </v:shape>
          </w:pict>
        </mc:Fallback>
      </mc:AlternateContent>
    </w:r>
    <w:r w:rsidRPr="0062451B">
      <w:rPr>
        <w:rFonts w:asciiTheme="minorHAnsi" w:hAnsiTheme="minorHAnsi" w:cstheme="minorHAnsi"/>
        <w:color w:val="002060"/>
        <w:szCs w:val="20"/>
        <w:rtl/>
      </w:rPr>
      <w:fldChar w:fldCharType="begin"/>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Pr>
      <w:instrText>PAGE</w:instrText>
    </w:r>
    <w:r w:rsidRPr="0062451B">
      <w:rPr>
        <w:rFonts w:asciiTheme="minorHAnsi" w:hAnsiTheme="minorHAnsi" w:cstheme="minorHAnsi"/>
        <w:color w:val="002060"/>
        <w:szCs w:val="20"/>
        <w:rtl/>
      </w:rPr>
      <w:instrText xml:space="preserve">  \* </w:instrText>
    </w:r>
    <w:r w:rsidRPr="0062451B">
      <w:rPr>
        <w:rFonts w:asciiTheme="minorHAnsi" w:hAnsiTheme="minorHAnsi" w:cstheme="minorHAnsi"/>
        <w:color w:val="002060"/>
        <w:szCs w:val="20"/>
      </w:rPr>
      <w:instrText>MERGEFORMAT</w:instrText>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tl/>
      </w:rPr>
      <w:fldChar w:fldCharType="separate"/>
    </w:r>
    <w:r>
      <w:rPr>
        <w:rFonts w:asciiTheme="minorHAnsi" w:hAnsiTheme="minorHAnsi" w:cstheme="minorHAnsi"/>
        <w:color w:val="002060"/>
        <w:szCs w:val="20"/>
        <w:rtl/>
      </w:rPr>
      <w:t>1</w:t>
    </w:r>
    <w:r w:rsidRPr="0062451B">
      <w:rPr>
        <w:rFonts w:asciiTheme="minorHAnsi" w:hAnsiTheme="minorHAnsi" w:cstheme="minorHAnsi"/>
        <w:color w:val="002060"/>
        <w:szCs w:val="20"/>
        <w:rtl/>
      </w:rPr>
      <w:fldChar w:fldCharType="end"/>
    </w:r>
    <w:r w:rsidRPr="0062451B">
      <w:rPr>
        <w:rFonts w:asciiTheme="minorHAnsi" w:hAnsiTheme="minorHAnsi" w:cstheme="minorHAnsi"/>
        <w:color w:val="002060"/>
        <w:szCs w:val="20"/>
        <w:rtl/>
      </w:rPr>
      <w:t xml:space="preserve"> </w:t>
    </w:r>
  </w:p>
  <w:p w:rsidR="00F8025B" w:rsidRPr="007E53C6" w:rsidP="00AF57F9">
    <w:pPr>
      <w:pStyle w:val="Header"/>
    </w:pPr>
  </w:p>
  <w:p w:rsidR="00F802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F8025B" w:rsidRPr="0062451B" w:rsidP="007E53C6">
    <w:pPr>
      <w:pStyle w:val="Header"/>
      <w:ind w:right="-567"/>
      <w:jc w:val="right"/>
      <w:rPr>
        <w:rFonts w:asciiTheme="minorHAnsi" w:hAnsiTheme="minorHAnsi" w:cstheme="minorHAnsi"/>
        <w:color w:val="002060"/>
        <w:szCs w:val="20"/>
      </w:rPr>
    </w:pPr>
    <w:r>
      <w:rPr>
        <w:rFonts w:asciiTheme="minorHAnsi" w:hAnsiTheme="minorHAnsi" w:cstheme="minorHAnsi"/>
        <w:noProof/>
        <w:color w:val="002060"/>
        <w:szCs w:val="20"/>
        <w:rtl/>
        <w:lang w:val="he-IL"/>
      </w:rPr>
      <mc:AlternateContent>
        <mc:Choice Requires="wps">
          <w:drawing>
            <wp:anchor distT="0" distB="0" distL="114300" distR="114300" simplePos="0" relativeHeight="251658240" behindDoc="0" locked="0" layoutInCell="1" allowOverlap="1">
              <wp:simplePos x="0" y="0"/>
              <wp:positionH relativeFrom="column">
                <wp:posOffset>-337185</wp:posOffset>
              </wp:positionH>
              <wp:positionV relativeFrom="paragraph">
                <wp:posOffset>207010</wp:posOffset>
              </wp:positionV>
              <wp:extent cx="6067425" cy="0"/>
              <wp:effectExtent l="0" t="0" r="0" b="0"/>
              <wp:wrapNone/>
              <wp:docPr id="33" name="מחבר ישר 33"/>
              <wp:cNvGraphicFramePr/>
              <a:graphic xmlns:a="http://schemas.openxmlformats.org/drawingml/2006/main">
                <a:graphicData uri="http://schemas.microsoft.com/office/word/2010/wordprocessingShape">
                  <wps:wsp xmlns:wps="http://schemas.microsoft.com/office/word/2010/wordprocessingShape">
                    <wps:cNvCnPr/>
                    <wps:spPr>
                      <a:xfrm flipV="1">
                        <a:off x="0" y="0"/>
                        <a:ext cx="6067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מחבר ישר 33" o:spid="_x0000_s2053" style="flip:y;mso-height-percent:0;mso-height-relative:margin;mso-width-percent:0;mso-width-relative:margin;mso-wrap-distance-bottom:0;mso-wrap-distance-left:9pt;mso-wrap-distance-right:9pt;mso-wrap-distance-top:0;mso-wrap-style:square;position:absolute;visibility:visible;z-index:251659264" from="-26.55pt,16.3pt" to="451.2pt,16.3pt" strokecolor="#4579b8"/>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60288" behindDoc="0" locked="0" layoutInCell="1" allowOverlap="1">
              <wp:simplePos x="0" y="0"/>
              <wp:positionH relativeFrom="column">
                <wp:posOffset>2930525</wp:posOffset>
              </wp:positionH>
              <wp:positionV relativeFrom="paragraph">
                <wp:posOffset>-100965</wp:posOffset>
              </wp:positionV>
              <wp:extent cx="3164205" cy="285750"/>
              <wp:effectExtent l="0" t="0" r="0" b="0"/>
              <wp:wrapSquare wrapText="bothSides"/>
              <wp:docPr id="35"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F8025B" w:rsidRPr="0062451B" w:rsidP="007E53C6">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מיוחד</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54" type="#_x0000_t202" style="width:249.15pt;height:22.5pt;margin-top:-7.95pt;margin-left:230.75pt;flip:x;mso-height-percent:0;mso-height-relative:margin;mso-width-percent:0;mso-width-relative:margin;mso-wrap-distance-bottom:3.6pt;mso-wrap-distance-left:9pt;mso-wrap-distance-right:9pt;mso-wrap-distance-top:3.6pt;mso-wrap-style:square;position:absolute;visibility:visible;v-text-anchor:top;z-index:251661312" filled="f" stroked="f">
              <v:textbox>
                <w:txbxContent>
                  <w:p w:rsidR="00F8025B" w:rsidRPr="0062451B" w:rsidP="007E53C6">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מיוחד</w:t>
                    </w:r>
                  </w:p>
                </w:txbxContent>
              </v:textbox>
              <w10:wrap type="square"/>
            </v:shape>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62336" behindDoc="1" locked="0" layoutInCell="1" allowOverlap="1">
              <wp:simplePos x="0" y="0"/>
              <wp:positionH relativeFrom="page">
                <wp:posOffset>622935</wp:posOffset>
              </wp:positionH>
              <wp:positionV relativeFrom="paragraph">
                <wp:posOffset>235585</wp:posOffset>
              </wp:positionV>
              <wp:extent cx="3164205" cy="285750"/>
              <wp:effectExtent l="0" t="0" r="0" b="0"/>
              <wp:wrapTight wrapText="bothSides">
                <wp:wrapPolygon>
                  <wp:start x="390" y="0"/>
                  <wp:lineTo x="390" y="20160"/>
                  <wp:lineTo x="21197" y="20160"/>
                  <wp:lineTo x="21197" y="0"/>
                  <wp:lineTo x="390" y="0"/>
                </wp:wrapPolygon>
              </wp:wrapTight>
              <wp:docPr id="36"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F8025B" w:rsidRPr="0062451B" w:rsidP="007E53C6">
                          <w:pPr>
                            <w:jc w:val="right"/>
                            <w:rPr>
                              <w:rFonts w:ascii="Calibri" w:hAnsi="Calibri" w:cs="Calibri"/>
                              <w:color w:val="002060"/>
                              <w:szCs w:val="20"/>
                              <w:rtl/>
                            </w:rPr>
                          </w:pPr>
                          <w:r>
                            <w:rPr>
                              <w:rFonts w:ascii="Calibri" w:hAnsi="Calibri" w:cs="Calibri" w:hint="cs"/>
                              <w:color w:val="002060"/>
                              <w:szCs w:val="20"/>
                              <w:rtl/>
                            </w:rPr>
                            <w:t>אייר התשפ"ו</w:t>
                          </w:r>
                          <w:r w:rsidRPr="0062451B">
                            <w:rPr>
                              <w:rFonts w:ascii="Calibri" w:hAnsi="Calibri" w:cs="Calibri" w:hint="cs"/>
                              <w:color w:val="002060"/>
                              <w:szCs w:val="20"/>
                              <w:rtl/>
                            </w:rPr>
                            <w:t xml:space="preserve"> </w:t>
                          </w:r>
                          <w:r w:rsidRPr="0062451B">
                            <w:rPr>
                              <w:rFonts w:asciiTheme="minorHAnsi" w:hAnsiTheme="minorHAnsi" w:cstheme="minorHAnsi"/>
                              <w:color w:val="002060"/>
                              <w:spacing w:val="20"/>
                              <w:sz w:val="22"/>
                              <w:szCs w:val="22"/>
                            </w:rPr>
                            <w:t xml:space="preserve"> </w:t>
                          </w:r>
                          <w:r w:rsidRPr="0062451B">
                            <w:rPr>
                              <w:rFonts w:ascii="Wingdings" w:hAnsi="Wingdings" w:cstheme="minorHAnsi"/>
                              <w:color w:val="002060"/>
                              <w:spacing w:val="20"/>
                              <w:sz w:val="22"/>
                              <w:szCs w:val="22"/>
                            </w:rPr>
                            <w:sym w:font="Wingdings" w:char="F0A7"/>
                          </w:r>
                          <w:r>
                            <w:rPr>
                              <w:rFonts w:ascii="Calibri" w:hAnsi="Calibri" w:cs="Calibri" w:hint="cs"/>
                              <w:color w:val="002060"/>
                              <w:szCs w:val="20"/>
                              <w:rtl/>
                            </w:rPr>
                            <w:t>אפריל 2026</w:t>
                          </w:r>
                          <w:r w:rsidRPr="0062451B">
                            <w:rPr>
                              <w:rFonts w:ascii="Calibri" w:hAnsi="Calibri" w:cs="Calibri" w:hint="cs"/>
                              <w:color w:val="002060"/>
                              <w:szCs w:val="20"/>
                              <w:rtl/>
                            </w:rPr>
                            <w:t xml:space="preserve">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5" type="#_x0000_t202" style="width:249.15pt;height:22.5pt;margin-top:18.55pt;margin-left:49.05pt;flip:x;mso-height-percent:0;mso-height-relative:margin;mso-position-horizontal-relative:page;mso-width-percent:0;mso-width-relative:margin;mso-wrap-distance-bottom:3.6pt;mso-wrap-distance-left:9pt;mso-wrap-distance-right:9pt;mso-wrap-distance-top:3.6pt;mso-wrap-style:square;position:absolute;visibility:visible;v-text-anchor:top;z-index:-251653120" filled="f" stroked="f">
              <v:textbox>
                <w:txbxContent>
                  <w:p w:rsidR="00F8025B" w:rsidRPr="0062451B" w:rsidP="007E53C6">
                    <w:pPr>
                      <w:jc w:val="right"/>
                      <w:rPr>
                        <w:rFonts w:ascii="Calibri" w:hAnsi="Calibri" w:cs="Calibri"/>
                        <w:color w:val="002060"/>
                        <w:szCs w:val="20"/>
                        <w:rtl/>
                      </w:rPr>
                    </w:pPr>
                    <w:r>
                      <w:rPr>
                        <w:rFonts w:ascii="Calibri" w:hAnsi="Calibri" w:cs="Calibri" w:hint="cs"/>
                        <w:color w:val="002060"/>
                        <w:szCs w:val="20"/>
                        <w:rtl/>
                      </w:rPr>
                      <w:t>אייר התשפ"ו</w:t>
                    </w:r>
                    <w:r w:rsidRPr="0062451B">
                      <w:rPr>
                        <w:rFonts w:ascii="Calibri" w:hAnsi="Calibri" w:cs="Calibri" w:hint="cs"/>
                        <w:color w:val="002060"/>
                        <w:szCs w:val="20"/>
                        <w:rtl/>
                      </w:rPr>
                      <w:t xml:space="preserve"> </w:t>
                    </w:r>
                    <w:r w:rsidRPr="0062451B">
                      <w:rPr>
                        <w:rFonts w:asciiTheme="minorHAnsi" w:hAnsiTheme="minorHAnsi" w:cstheme="minorHAnsi"/>
                        <w:color w:val="002060"/>
                        <w:spacing w:val="20"/>
                        <w:sz w:val="22"/>
                        <w:szCs w:val="22"/>
                      </w:rPr>
                      <w:t xml:space="preserve"> </w:t>
                    </w:r>
                    <w:r w:rsidRPr="0062451B">
                      <w:rPr>
                        <w:rFonts w:ascii="Wingdings" w:hAnsi="Wingdings" w:cstheme="minorHAnsi"/>
                        <w:color w:val="002060"/>
                        <w:spacing w:val="20"/>
                        <w:sz w:val="22"/>
                        <w:szCs w:val="22"/>
                      </w:rPr>
                      <w:sym w:font="Wingdings" w:char="F0A7"/>
                    </w:r>
                    <w:r>
                      <w:rPr>
                        <w:rFonts w:ascii="Calibri" w:hAnsi="Calibri" w:cs="Calibri" w:hint="cs"/>
                        <w:color w:val="002060"/>
                        <w:szCs w:val="20"/>
                        <w:rtl/>
                      </w:rPr>
                      <w:t>אפריל 2026</w:t>
                    </w:r>
                    <w:r w:rsidRPr="0062451B">
                      <w:rPr>
                        <w:rFonts w:ascii="Calibri" w:hAnsi="Calibri" w:cs="Calibri" w:hint="cs"/>
                        <w:color w:val="002060"/>
                        <w:szCs w:val="20"/>
                        <w:rtl/>
                      </w:rPr>
                      <w:t xml:space="preserve"> </w:t>
                    </w:r>
                  </w:p>
                </w:txbxContent>
              </v:textbox>
              <w10:wrap type="tight"/>
            </v:shape>
          </w:pict>
        </mc:Fallback>
      </mc:AlternateContent>
    </w:r>
    <w:r w:rsidRPr="0062451B">
      <w:rPr>
        <w:rFonts w:asciiTheme="minorHAnsi" w:hAnsiTheme="minorHAnsi" w:cstheme="minorHAnsi"/>
        <w:color w:val="002060"/>
        <w:szCs w:val="20"/>
        <w:rtl/>
      </w:rPr>
      <w:fldChar w:fldCharType="begin"/>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Pr>
      <w:instrText>PAGE</w:instrText>
    </w:r>
    <w:r w:rsidRPr="0062451B">
      <w:rPr>
        <w:rFonts w:asciiTheme="minorHAnsi" w:hAnsiTheme="minorHAnsi" w:cstheme="minorHAnsi"/>
        <w:color w:val="002060"/>
        <w:szCs w:val="20"/>
        <w:rtl/>
      </w:rPr>
      <w:instrText xml:space="preserve">  \* </w:instrText>
    </w:r>
    <w:r w:rsidRPr="0062451B">
      <w:rPr>
        <w:rFonts w:asciiTheme="minorHAnsi" w:hAnsiTheme="minorHAnsi" w:cstheme="minorHAnsi"/>
        <w:color w:val="002060"/>
        <w:szCs w:val="20"/>
      </w:rPr>
      <w:instrText>MERGEFORMAT</w:instrText>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tl/>
      </w:rPr>
      <w:fldChar w:fldCharType="separate"/>
    </w:r>
    <w:r>
      <w:rPr>
        <w:rFonts w:asciiTheme="minorHAnsi" w:hAnsiTheme="minorHAnsi" w:cstheme="minorHAnsi"/>
        <w:color w:val="002060"/>
        <w:szCs w:val="20"/>
        <w:rtl/>
      </w:rPr>
      <w:t>3</w:t>
    </w:r>
    <w:r w:rsidRPr="0062451B">
      <w:rPr>
        <w:rFonts w:asciiTheme="minorHAnsi" w:hAnsiTheme="minorHAnsi" w:cstheme="minorHAnsi"/>
        <w:color w:val="002060"/>
        <w:szCs w:val="20"/>
        <w:rtl/>
      </w:rPr>
      <w:fldChar w:fldCharType="end"/>
    </w:r>
    <w:r w:rsidRPr="0062451B">
      <w:rPr>
        <w:rFonts w:asciiTheme="minorHAnsi" w:hAnsiTheme="minorHAnsi" w:cstheme="minorHAnsi"/>
        <w:color w:val="002060"/>
        <w:szCs w:val="20"/>
        <w:rtl/>
      </w:rPr>
      <w:t xml:space="preserve"> </w:t>
    </w:r>
  </w:p>
  <w:p w:rsidR="00F8025B" w:rsidRPr="007E53C6" w:rsidP="007E53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51C328C"/>
    <w:multiLevelType w:val="hybridMultilevel"/>
    <w:tmpl w:val="DBBA1346"/>
    <w:lvl w:ilvl="0">
      <w:start w:val="1"/>
      <w:numFmt w:val="bullet"/>
      <w:lvlText w:val="•"/>
      <w:lvlJc w:val="left"/>
      <w:pPr>
        <w:tabs>
          <w:tab w:val="num" w:pos="720"/>
        </w:tabs>
        <w:ind w:left="720" w:hanging="360"/>
      </w:pPr>
      <w:rPr>
        <w:rFonts w:ascii="Arial" w:hAnsi="Arial" w:hint="default"/>
      </w:rPr>
    </w:lvl>
    <w:lvl w:ilvl="1" w:tentative="1">
      <w:start w:val="1"/>
      <w:numFmt w:val="bullet"/>
      <w:lvlText w:val="•"/>
      <w:lvlJc w:val="left"/>
      <w:pPr>
        <w:tabs>
          <w:tab w:val="num" w:pos="1440"/>
        </w:tabs>
        <w:ind w:left="1440" w:hanging="360"/>
      </w:pPr>
      <w:rPr>
        <w:rFonts w:ascii="Arial" w:hAnsi="Arial" w:hint="default"/>
      </w:rPr>
    </w:lvl>
    <w:lvl w:ilvl="2" w:tentative="1">
      <w:start w:val="1"/>
      <w:numFmt w:val="bullet"/>
      <w:lvlText w:val="•"/>
      <w:lvlJc w:val="left"/>
      <w:pPr>
        <w:tabs>
          <w:tab w:val="num" w:pos="2160"/>
        </w:tabs>
        <w:ind w:left="2160" w:hanging="360"/>
      </w:pPr>
      <w:rPr>
        <w:rFonts w:ascii="Arial" w:hAnsi="Arial" w:hint="default"/>
      </w:rPr>
    </w:lvl>
    <w:lvl w:ilvl="3" w:tentative="1">
      <w:start w:val="1"/>
      <w:numFmt w:val="bullet"/>
      <w:lvlText w:val="•"/>
      <w:lvlJc w:val="left"/>
      <w:pPr>
        <w:tabs>
          <w:tab w:val="num" w:pos="2880"/>
        </w:tabs>
        <w:ind w:left="2880" w:hanging="360"/>
      </w:pPr>
      <w:rPr>
        <w:rFonts w:ascii="Arial" w:hAnsi="Arial" w:hint="default"/>
      </w:rPr>
    </w:lvl>
    <w:lvl w:ilvl="4" w:tentative="1">
      <w:start w:val="1"/>
      <w:numFmt w:val="bullet"/>
      <w:lvlText w:val="•"/>
      <w:lvlJc w:val="left"/>
      <w:pPr>
        <w:tabs>
          <w:tab w:val="num" w:pos="3600"/>
        </w:tabs>
        <w:ind w:left="3600" w:hanging="360"/>
      </w:pPr>
      <w:rPr>
        <w:rFonts w:ascii="Arial" w:hAnsi="Arial" w:hint="default"/>
      </w:rPr>
    </w:lvl>
    <w:lvl w:ilvl="5" w:tentative="1">
      <w:start w:val="1"/>
      <w:numFmt w:val="bullet"/>
      <w:lvlText w:val="•"/>
      <w:lvlJc w:val="left"/>
      <w:pPr>
        <w:tabs>
          <w:tab w:val="num" w:pos="4320"/>
        </w:tabs>
        <w:ind w:left="4320" w:hanging="360"/>
      </w:pPr>
      <w:rPr>
        <w:rFonts w:ascii="Arial" w:hAnsi="Arial" w:hint="default"/>
      </w:rPr>
    </w:lvl>
    <w:lvl w:ilvl="6" w:tentative="1">
      <w:start w:val="1"/>
      <w:numFmt w:val="bullet"/>
      <w:lvlText w:val="•"/>
      <w:lvlJc w:val="left"/>
      <w:pPr>
        <w:tabs>
          <w:tab w:val="num" w:pos="5040"/>
        </w:tabs>
        <w:ind w:left="5040" w:hanging="360"/>
      </w:pPr>
      <w:rPr>
        <w:rFonts w:ascii="Arial" w:hAnsi="Arial" w:hint="default"/>
      </w:rPr>
    </w:lvl>
    <w:lvl w:ilvl="7" w:tentative="1">
      <w:start w:val="1"/>
      <w:numFmt w:val="bullet"/>
      <w:lvlText w:val="•"/>
      <w:lvlJc w:val="left"/>
      <w:pPr>
        <w:tabs>
          <w:tab w:val="num" w:pos="5760"/>
        </w:tabs>
        <w:ind w:left="5760" w:hanging="360"/>
      </w:pPr>
      <w:rPr>
        <w:rFonts w:ascii="Arial" w:hAnsi="Arial" w:hint="default"/>
      </w:rPr>
    </w:lvl>
    <w:lvl w:ilvl="8" w:tentative="1">
      <w:start w:val="1"/>
      <w:numFmt w:val="bullet"/>
      <w:lvlText w:val="•"/>
      <w:lvlJc w:val="left"/>
      <w:pPr>
        <w:tabs>
          <w:tab w:val="num" w:pos="6480"/>
        </w:tabs>
        <w:ind w:left="6480" w:hanging="360"/>
      </w:pPr>
      <w:rPr>
        <w:rFonts w:ascii="Arial" w:hAnsi="Arial" w:hint="default"/>
      </w:rPr>
    </w:lvl>
  </w:abstractNum>
  <w:abstractNum w:abstractNumId="1">
    <w:nsid w:val="088216AB"/>
    <w:multiLevelType w:val="hybridMultilevel"/>
    <w:tmpl w:val="BB7ADECA"/>
    <w:lvl w:ilvl="0">
      <w:start w:val="1"/>
      <w:numFmt w:val="hebrew1"/>
      <w:pStyle w:val="15"/>
      <w:lvlText w:val="%1."/>
      <w:lvlJc w:val="center"/>
      <w:pPr>
        <w:ind w:left="1915" w:hanging="360"/>
      </w:pPr>
    </w:lvl>
    <w:lvl w:ilvl="1" w:tentative="1">
      <w:start w:val="1"/>
      <w:numFmt w:val="lowerLetter"/>
      <w:lvlText w:val="%2."/>
      <w:lvlJc w:val="left"/>
      <w:pPr>
        <w:ind w:left="2635" w:hanging="360"/>
      </w:pPr>
    </w:lvl>
    <w:lvl w:ilvl="2" w:tentative="1">
      <w:start w:val="1"/>
      <w:numFmt w:val="lowerRoman"/>
      <w:lvlText w:val="%3."/>
      <w:lvlJc w:val="right"/>
      <w:pPr>
        <w:ind w:left="3355" w:hanging="180"/>
      </w:pPr>
    </w:lvl>
    <w:lvl w:ilvl="3" w:tentative="1">
      <w:start w:val="1"/>
      <w:numFmt w:val="decimal"/>
      <w:lvlText w:val="%4."/>
      <w:lvlJc w:val="left"/>
      <w:pPr>
        <w:ind w:left="4075" w:hanging="360"/>
      </w:pPr>
    </w:lvl>
    <w:lvl w:ilvl="4" w:tentative="1">
      <w:start w:val="1"/>
      <w:numFmt w:val="lowerLetter"/>
      <w:lvlText w:val="%5."/>
      <w:lvlJc w:val="left"/>
      <w:pPr>
        <w:ind w:left="4795" w:hanging="360"/>
      </w:pPr>
    </w:lvl>
    <w:lvl w:ilvl="5" w:tentative="1">
      <w:start w:val="1"/>
      <w:numFmt w:val="lowerRoman"/>
      <w:lvlText w:val="%6."/>
      <w:lvlJc w:val="right"/>
      <w:pPr>
        <w:ind w:left="5515" w:hanging="180"/>
      </w:pPr>
    </w:lvl>
    <w:lvl w:ilvl="6" w:tentative="1">
      <w:start w:val="1"/>
      <w:numFmt w:val="decimal"/>
      <w:lvlText w:val="%7."/>
      <w:lvlJc w:val="left"/>
      <w:pPr>
        <w:ind w:left="6235" w:hanging="360"/>
      </w:pPr>
    </w:lvl>
    <w:lvl w:ilvl="7" w:tentative="1">
      <w:start w:val="1"/>
      <w:numFmt w:val="lowerLetter"/>
      <w:lvlText w:val="%8."/>
      <w:lvlJc w:val="left"/>
      <w:pPr>
        <w:ind w:left="6955" w:hanging="360"/>
      </w:pPr>
    </w:lvl>
    <w:lvl w:ilvl="8" w:tentative="1">
      <w:start w:val="1"/>
      <w:numFmt w:val="lowerRoman"/>
      <w:lvlText w:val="%9."/>
      <w:lvlJc w:val="right"/>
      <w:pPr>
        <w:ind w:left="7675" w:hanging="180"/>
      </w:pPr>
    </w:lvl>
  </w:abstractNum>
  <w:abstractNum w:abstractNumId="2">
    <w:nsid w:val="098F649F"/>
    <w:multiLevelType w:val="hybridMultilevel"/>
    <w:tmpl w:val="1AD6055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0C8164DD"/>
    <w:multiLevelType w:val="hybridMultilevel"/>
    <w:tmpl w:val="8C6A3564"/>
    <w:lvl w:ilvl="0">
      <w:start w:val="1"/>
      <w:numFmt w:val="bullet"/>
      <w:pStyle w:val="a65"/>
      <w:lvlText w:val=""/>
      <w:lvlJc w:val="left"/>
      <w:pPr>
        <w:ind w:left="1089" w:hanging="360"/>
      </w:pPr>
      <w:rPr>
        <w:rFonts w:ascii="Wingdings" w:hAnsi="Wingdings" w:cs="Wingdings" w:hint="default"/>
        <w:b/>
        <w:i w:val="0"/>
        <w:caps w:val="0"/>
        <w:strike w:val="0"/>
        <w:dstrike w:val="0"/>
        <w:vanish w:val="0"/>
        <w:color w:val="FF0000"/>
        <w:sz w:val="36"/>
        <w:szCs w:val="36"/>
        <w:vertAlign w:val="baseline"/>
        <w:lang w:bidi="he-IL"/>
      </w:rPr>
    </w:lvl>
    <w:lvl w:ilvl="1" w:tentative="1">
      <w:start w:val="1"/>
      <w:numFmt w:val="bullet"/>
      <w:lvlText w:val="o"/>
      <w:lvlJc w:val="left"/>
      <w:pPr>
        <w:ind w:left="1809" w:hanging="360"/>
      </w:pPr>
      <w:rPr>
        <w:rFonts w:ascii="Courier New" w:hAnsi="Courier New" w:cs="Courier New" w:hint="default"/>
      </w:rPr>
    </w:lvl>
    <w:lvl w:ilvl="2" w:tentative="1">
      <w:start w:val="1"/>
      <w:numFmt w:val="bullet"/>
      <w:lvlText w:val=""/>
      <w:lvlJc w:val="left"/>
      <w:pPr>
        <w:ind w:left="2529" w:hanging="360"/>
      </w:pPr>
      <w:rPr>
        <w:rFonts w:ascii="Wingdings" w:hAnsi="Wingdings" w:hint="default"/>
      </w:rPr>
    </w:lvl>
    <w:lvl w:ilvl="3" w:tentative="1">
      <w:start w:val="1"/>
      <w:numFmt w:val="bullet"/>
      <w:lvlText w:val=""/>
      <w:lvlJc w:val="left"/>
      <w:pPr>
        <w:ind w:left="3249" w:hanging="360"/>
      </w:pPr>
      <w:rPr>
        <w:rFonts w:ascii="Symbol" w:hAnsi="Symbol" w:hint="default"/>
      </w:rPr>
    </w:lvl>
    <w:lvl w:ilvl="4" w:tentative="1">
      <w:start w:val="1"/>
      <w:numFmt w:val="bullet"/>
      <w:lvlText w:val="o"/>
      <w:lvlJc w:val="left"/>
      <w:pPr>
        <w:ind w:left="3969" w:hanging="360"/>
      </w:pPr>
      <w:rPr>
        <w:rFonts w:ascii="Courier New" w:hAnsi="Courier New" w:cs="Courier New" w:hint="default"/>
      </w:rPr>
    </w:lvl>
    <w:lvl w:ilvl="5" w:tentative="1">
      <w:start w:val="1"/>
      <w:numFmt w:val="bullet"/>
      <w:lvlText w:val=""/>
      <w:lvlJc w:val="left"/>
      <w:pPr>
        <w:ind w:left="4689" w:hanging="360"/>
      </w:pPr>
      <w:rPr>
        <w:rFonts w:ascii="Wingdings" w:hAnsi="Wingdings" w:hint="default"/>
      </w:rPr>
    </w:lvl>
    <w:lvl w:ilvl="6" w:tentative="1">
      <w:start w:val="1"/>
      <w:numFmt w:val="bullet"/>
      <w:lvlText w:val=""/>
      <w:lvlJc w:val="left"/>
      <w:pPr>
        <w:ind w:left="5409" w:hanging="360"/>
      </w:pPr>
      <w:rPr>
        <w:rFonts w:ascii="Symbol" w:hAnsi="Symbol" w:hint="default"/>
      </w:rPr>
    </w:lvl>
    <w:lvl w:ilvl="7" w:tentative="1">
      <w:start w:val="1"/>
      <w:numFmt w:val="bullet"/>
      <w:lvlText w:val="o"/>
      <w:lvlJc w:val="left"/>
      <w:pPr>
        <w:ind w:left="6129" w:hanging="360"/>
      </w:pPr>
      <w:rPr>
        <w:rFonts w:ascii="Courier New" w:hAnsi="Courier New" w:cs="Courier New" w:hint="default"/>
      </w:rPr>
    </w:lvl>
    <w:lvl w:ilvl="8" w:tentative="1">
      <w:start w:val="1"/>
      <w:numFmt w:val="bullet"/>
      <w:lvlText w:val=""/>
      <w:lvlJc w:val="left"/>
      <w:pPr>
        <w:ind w:left="6849" w:hanging="360"/>
      </w:pPr>
      <w:rPr>
        <w:rFonts w:ascii="Wingdings" w:hAnsi="Wingdings" w:hint="default"/>
      </w:rPr>
    </w:lvl>
  </w:abstractNum>
  <w:abstractNum w:abstractNumId="4">
    <w:nsid w:val="0D286CBF"/>
    <w:multiLevelType w:val="hybridMultilevel"/>
    <w:tmpl w:val="317233A6"/>
    <w:lvl w:ilvl="0">
      <w:start w:val="0"/>
      <w:numFmt w:val="bullet"/>
      <w:lvlText w:val="-"/>
      <w:lvlJc w:val="left"/>
      <w:pPr>
        <w:ind w:left="720" w:hanging="360"/>
      </w:pPr>
      <w:rPr>
        <w:rFonts w:ascii="David" w:hAnsi="David" w:eastAsiaTheme="minorHAnsi" w:cs="David"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0ED52C55"/>
    <w:multiLevelType w:val="hybridMultilevel"/>
    <w:tmpl w:val="0BC8514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
    <w:nsid w:val="11797D2E"/>
    <w:multiLevelType w:val="hybridMultilevel"/>
    <w:tmpl w:val="6E16D07E"/>
    <w:lvl w:ilvl="0">
      <w:start w:val="1"/>
      <w:numFmt w:val="decimal"/>
      <w:lvlText w:val="%1."/>
      <w:lvlJc w:val="left"/>
      <w:pPr>
        <w:ind w:left="720" w:hanging="360"/>
      </w:pPr>
      <w:rPr>
        <w:rFonts w:ascii="David" w:hAnsi="David" w:cs="David" w:hint="default"/>
        <w:sz w:val="24"/>
        <w:szCs w:val="24"/>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15A22A91"/>
    <w:multiLevelType w:val="multilevel"/>
    <w:tmpl w:val="EC0AD822"/>
    <w:lvl w:ilvl="0">
      <w:start w:val="1"/>
      <w:numFmt w:val="decimal"/>
      <w:lvlText w:val="%1."/>
      <w:lvlJc w:val="left"/>
      <w:pPr>
        <w:tabs>
          <w:tab w:val="num" w:pos="720"/>
        </w:tabs>
        <w:ind w:left="720" w:hanging="720"/>
      </w:pPr>
      <w:rPr>
        <w:rFonts w:ascii="David" w:hAnsi="David" w:cs="David" w:hint="default"/>
        <w:sz w:val="24"/>
        <w:szCs w:val="24"/>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nsid w:val="1ADA4456"/>
    <w:multiLevelType w:val="multilevel"/>
    <w:tmpl w:val="2160D57E"/>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9">
    <w:nsid w:val="1F757EDB"/>
    <w:multiLevelType w:val="hybridMultilevel"/>
    <w:tmpl w:val="76283E4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nsid w:val="285E6548"/>
    <w:multiLevelType w:val="hybridMultilevel"/>
    <w:tmpl w:val="763E8C4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
    <w:nsid w:val="30D17255"/>
    <w:multiLevelType w:val="hybridMultilevel"/>
    <w:tmpl w:val="F1AE1FFC"/>
    <w:lvl w:ilvl="0">
      <w:start w:val="1"/>
      <w:numFmt w:val="decimal"/>
      <w:pStyle w:val="a39"/>
      <w:lvlText w:val="לוח %1:"/>
      <w:lvlJc w:val="left"/>
      <w:pPr>
        <w:ind w:left="1854"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574" w:hanging="360"/>
      </w:pPr>
    </w:lvl>
    <w:lvl w:ilvl="2" w:tentative="1">
      <w:start w:val="1"/>
      <w:numFmt w:val="lowerRoman"/>
      <w:lvlText w:val="%3."/>
      <w:lvlJc w:val="right"/>
      <w:pPr>
        <w:ind w:left="3294" w:hanging="180"/>
      </w:pPr>
    </w:lvl>
    <w:lvl w:ilvl="3" w:tentative="1">
      <w:start w:val="1"/>
      <w:numFmt w:val="decimal"/>
      <w:lvlText w:val="%4."/>
      <w:lvlJc w:val="left"/>
      <w:pPr>
        <w:ind w:left="4014" w:hanging="360"/>
      </w:pPr>
    </w:lvl>
    <w:lvl w:ilvl="4" w:tentative="1">
      <w:start w:val="1"/>
      <w:numFmt w:val="lowerLetter"/>
      <w:lvlText w:val="%5."/>
      <w:lvlJc w:val="left"/>
      <w:pPr>
        <w:ind w:left="4734" w:hanging="360"/>
      </w:pPr>
    </w:lvl>
    <w:lvl w:ilvl="5" w:tentative="1">
      <w:start w:val="1"/>
      <w:numFmt w:val="lowerRoman"/>
      <w:lvlText w:val="%6."/>
      <w:lvlJc w:val="right"/>
      <w:pPr>
        <w:ind w:left="5454" w:hanging="180"/>
      </w:pPr>
    </w:lvl>
    <w:lvl w:ilvl="6" w:tentative="1">
      <w:start w:val="1"/>
      <w:numFmt w:val="decimal"/>
      <w:lvlText w:val="%7."/>
      <w:lvlJc w:val="left"/>
      <w:pPr>
        <w:ind w:left="6174" w:hanging="360"/>
      </w:pPr>
    </w:lvl>
    <w:lvl w:ilvl="7" w:tentative="1">
      <w:start w:val="1"/>
      <w:numFmt w:val="lowerLetter"/>
      <w:lvlText w:val="%8."/>
      <w:lvlJc w:val="left"/>
      <w:pPr>
        <w:ind w:left="6894" w:hanging="360"/>
      </w:pPr>
    </w:lvl>
    <w:lvl w:ilvl="8" w:tentative="1">
      <w:start w:val="1"/>
      <w:numFmt w:val="lowerRoman"/>
      <w:lvlText w:val="%9."/>
      <w:lvlJc w:val="right"/>
      <w:pPr>
        <w:ind w:left="7614" w:hanging="180"/>
      </w:pPr>
    </w:lvl>
  </w:abstractNum>
  <w:abstractNum w:abstractNumId="12">
    <w:nsid w:val="316B14B9"/>
    <w:multiLevelType w:val="hybridMultilevel"/>
    <w:tmpl w:val="378E9214"/>
    <w:lvl w:ilvl="0">
      <w:start w:val="1"/>
      <w:numFmt w:val="decimal"/>
      <w:pStyle w:val="a37"/>
      <w:lvlText w:val="תמונה %1:"/>
      <w:lvlJc w:val="left"/>
      <w:pPr>
        <w:ind w:left="1494"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578" w:hanging="360"/>
      </w:pPr>
    </w:lvl>
    <w:lvl w:ilvl="2" w:tentative="1">
      <w:start w:val="1"/>
      <w:numFmt w:val="lowerRoman"/>
      <w:lvlText w:val="%3."/>
      <w:lvlJc w:val="right"/>
      <w:pPr>
        <w:ind w:left="3298" w:hanging="180"/>
      </w:pPr>
    </w:lvl>
    <w:lvl w:ilvl="3" w:tentative="1">
      <w:start w:val="1"/>
      <w:numFmt w:val="decimal"/>
      <w:lvlText w:val="%4."/>
      <w:lvlJc w:val="left"/>
      <w:pPr>
        <w:ind w:left="4018" w:hanging="360"/>
      </w:pPr>
    </w:lvl>
    <w:lvl w:ilvl="4" w:tentative="1">
      <w:start w:val="1"/>
      <w:numFmt w:val="lowerLetter"/>
      <w:lvlText w:val="%5."/>
      <w:lvlJc w:val="left"/>
      <w:pPr>
        <w:ind w:left="4738" w:hanging="360"/>
      </w:pPr>
    </w:lvl>
    <w:lvl w:ilvl="5" w:tentative="1">
      <w:start w:val="1"/>
      <w:numFmt w:val="lowerRoman"/>
      <w:lvlText w:val="%6."/>
      <w:lvlJc w:val="right"/>
      <w:pPr>
        <w:ind w:left="5458" w:hanging="180"/>
      </w:pPr>
    </w:lvl>
    <w:lvl w:ilvl="6" w:tentative="1">
      <w:start w:val="1"/>
      <w:numFmt w:val="decimal"/>
      <w:lvlText w:val="%7."/>
      <w:lvlJc w:val="left"/>
      <w:pPr>
        <w:ind w:left="6178" w:hanging="360"/>
      </w:pPr>
    </w:lvl>
    <w:lvl w:ilvl="7" w:tentative="1">
      <w:start w:val="1"/>
      <w:numFmt w:val="lowerLetter"/>
      <w:lvlText w:val="%8."/>
      <w:lvlJc w:val="left"/>
      <w:pPr>
        <w:ind w:left="6898" w:hanging="360"/>
      </w:pPr>
    </w:lvl>
    <w:lvl w:ilvl="8" w:tentative="1">
      <w:start w:val="1"/>
      <w:numFmt w:val="lowerRoman"/>
      <w:lvlText w:val="%9."/>
      <w:lvlJc w:val="right"/>
      <w:pPr>
        <w:ind w:left="7618" w:hanging="180"/>
      </w:pPr>
    </w:lvl>
  </w:abstractNum>
  <w:abstractNum w:abstractNumId="13">
    <w:nsid w:val="331F6020"/>
    <w:multiLevelType w:val="hybridMultilevel"/>
    <w:tmpl w:val="12162FE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
    <w:nsid w:val="33A86F96"/>
    <w:multiLevelType w:val="hybridMultilevel"/>
    <w:tmpl w:val="220A2AB2"/>
    <w:lvl w:ilvl="0">
      <w:start w:val="1"/>
      <w:numFmt w:val="decimal"/>
      <w:pStyle w:val="a41"/>
      <w:lvlText w:val="מפה %1:"/>
      <w:lvlJc w:val="left"/>
      <w:pPr>
        <w:ind w:left="1858"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934" w:hanging="360"/>
      </w:pPr>
    </w:lvl>
    <w:lvl w:ilvl="2" w:tentative="1">
      <w:start w:val="1"/>
      <w:numFmt w:val="lowerRoman"/>
      <w:lvlText w:val="%3."/>
      <w:lvlJc w:val="right"/>
      <w:pPr>
        <w:ind w:left="3654" w:hanging="180"/>
      </w:pPr>
    </w:lvl>
    <w:lvl w:ilvl="3" w:tentative="1">
      <w:start w:val="1"/>
      <w:numFmt w:val="decimal"/>
      <w:lvlText w:val="%4."/>
      <w:lvlJc w:val="left"/>
      <w:pPr>
        <w:ind w:left="4374" w:hanging="360"/>
      </w:pPr>
    </w:lvl>
    <w:lvl w:ilvl="4" w:tentative="1">
      <w:start w:val="1"/>
      <w:numFmt w:val="lowerLetter"/>
      <w:lvlText w:val="%5."/>
      <w:lvlJc w:val="left"/>
      <w:pPr>
        <w:ind w:left="5094" w:hanging="360"/>
      </w:pPr>
    </w:lvl>
    <w:lvl w:ilvl="5" w:tentative="1">
      <w:start w:val="1"/>
      <w:numFmt w:val="lowerRoman"/>
      <w:lvlText w:val="%6."/>
      <w:lvlJc w:val="right"/>
      <w:pPr>
        <w:ind w:left="5814" w:hanging="180"/>
      </w:pPr>
    </w:lvl>
    <w:lvl w:ilvl="6" w:tentative="1">
      <w:start w:val="1"/>
      <w:numFmt w:val="decimal"/>
      <w:lvlText w:val="%7."/>
      <w:lvlJc w:val="left"/>
      <w:pPr>
        <w:ind w:left="6534" w:hanging="360"/>
      </w:pPr>
    </w:lvl>
    <w:lvl w:ilvl="7" w:tentative="1">
      <w:start w:val="1"/>
      <w:numFmt w:val="lowerLetter"/>
      <w:lvlText w:val="%8."/>
      <w:lvlJc w:val="left"/>
      <w:pPr>
        <w:ind w:left="7254" w:hanging="360"/>
      </w:pPr>
    </w:lvl>
    <w:lvl w:ilvl="8" w:tentative="1">
      <w:start w:val="1"/>
      <w:numFmt w:val="lowerRoman"/>
      <w:lvlText w:val="%9."/>
      <w:lvlJc w:val="right"/>
      <w:pPr>
        <w:ind w:left="7974" w:hanging="180"/>
      </w:pPr>
    </w:lvl>
  </w:abstractNum>
  <w:abstractNum w:abstractNumId="15">
    <w:nsid w:val="3A923526"/>
    <w:multiLevelType w:val="hybridMultilevel"/>
    <w:tmpl w:val="4E74417E"/>
    <w:lvl w:ilvl="0">
      <w:start w:val="1"/>
      <w:numFmt w:val="decimal"/>
      <w:pStyle w:val="a35"/>
      <w:lvlText w:val="תרשים %1:"/>
      <w:lvlJc w:val="left"/>
      <w:pPr>
        <w:ind w:left="1494"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578" w:hanging="360"/>
      </w:pPr>
    </w:lvl>
    <w:lvl w:ilvl="2" w:tentative="1">
      <w:start w:val="1"/>
      <w:numFmt w:val="lowerRoman"/>
      <w:lvlText w:val="%3."/>
      <w:lvlJc w:val="right"/>
      <w:pPr>
        <w:ind w:left="3298" w:hanging="180"/>
      </w:pPr>
    </w:lvl>
    <w:lvl w:ilvl="3" w:tentative="1">
      <w:start w:val="1"/>
      <w:numFmt w:val="decimal"/>
      <w:lvlText w:val="%4."/>
      <w:lvlJc w:val="left"/>
      <w:pPr>
        <w:ind w:left="4018" w:hanging="360"/>
      </w:pPr>
    </w:lvl>
    <w:lvl w:ilvl="4" w:tentative="1">
      <w:start w:val="1"/>
      <w:numFmt w:val="lowerLetter"/>
      <w:lvlText w:val="%5."/>
      <w:lvlJc w:val="left"/>
      <w:pPr>
        <w:ind w:left="4738" w:hanging="360"/>
      </w:pPr>
    </w:lvl>
    <w:lvl w:ilvl="5" w:tentative="1">
      <w:start w:val="1"/>
      <w:numFmt w:val="lowerRoman"/>
      <w:lvlText w:val="%6."/>
      <w:lvlJc w:val="right"/>
      <w:pPr>
        <w:ind w:left="5458" w:hanging="180"/>
      </w:pPr>
    </w:lvl>
    <w:lvl w:ilvl="6" w:tentative="1">
      <w:start w:val="1"/>
      <w:numFmt w:val="decimal"/>
      <w:lvlText w:val="%7."/>
      <w:lvlJc w:val="left"/>
      <w:pPr>
        <w:ind w:left="6178" w:hanging="360"/>
      </w:pPr>
    </w:lvl>
    <w:lvl w:ilvl="7" w:tentative="1">
      <w:start w:val="1"/>
      <w:numFmt w:val="lowerLetter"/>
      <w:lvlText w:val="%8."/>
      <w:lvlJc w:val="left"/>
      <w:pPr>
        <w:ind w:left="6898" w:hanging="360"/>
      </w:pPr>
    </w:lvl>
    <w:lvl w:ilvl="8" w:tentative="1">
      <w:start w:val="1"/>
      <w:numFmt w:val="lowerRoman"/>
      <w:lvlText w:val="%9."/>
      <w:lvlJc w:val="right"/>
      <w:pPr>
        <w:ind w:left="7618" w:hanging="180"/>
      </w:pPr>
    </w:lvl>
  </w:abstractNum>
  <w:abstractNum w:abstractNumId="16">
    <w:nsid w:val="40DC7E01"/>
    <w:multiLevelType w:val="hybridMultilevel"/>
    <w:tmpl w:val="5D24C320"/>
    <w:lvl w:ilvl="0">
      <w:start w:val="1"/>
      <w:numFmt w:val="decimal"/>
      <w:pStyle w:val="30"/>
      <w:lvlText w:val="%1.1.1"/>
      <w:lvlJc w:val="left"/>
      <w:pPr>
        <w:ind w:left="1854" w:hanging="360"/>
      </w:pPr>
      <w:rPr>
        <w:rFonts w:hint="default"/>
      </w:rPr>
    </w:lvl>
    <w:lvl w:ilvl="1" w:tentative="1">
      <w:start w:val="1"/>
      <w:numFmt w:val="lowerLetter"/>
      <w:lvlText w:val="%2."/>
      <w:lvlJc w:val="left"/>
      <w:pPr>
        <w:ind w:left="2574" w:hanging="360"/>
      </w:pPr>
    </w:lvl>
    <w:lvl w:ilvl="2" w:tentative="1">
      <w:start w:val="1"/>
      <w:numFmt w:val="lowerRoman"/>
      <w:lvlText w:val="%3."/>
      <w:lvlJc w:val="right"/>
      <w:pPr>
        <w:ind w:left="3294" w:hanging="180"/>
      </w:pPr>
    </w:lvl>
    <w:lvl w:ilvl="3" w:tentative="1">
      <w:start w:val="1"/>
      <w:numFmt w:val="decimal"/>
      <w:lvlText w:val="%4."/>
      <w:lvlJc w:val="left"/>
      <w:pPr>
        <w:ind w:left="4014" w:hanging="360"/>
      </w:pPr>
    </w:lvl>
    <w:lvl w:ilvl="4" w:tentative="1">
      <w:start w:val="1"/>
      <w:numFmt w:val="lowerLetter"/>
      <w:lvlText w:val="%5."/>
      <w:lvlJc w:val="left"/>
      <w:pPr>
        <w:ind w:left="4734" w:hanging="360"/>
      </w:pPr>
    </w:lvl>
    <w:lvl w:ilvl="5" w:tentative="1">
      <w:start w:val="1"/>
      <w:numFmt w:val="lowerRoman"/>
      <w:lvlText w:val="%6."/>
      <w:lvlJc w:val="right"/>
      <w:pPr>
        <w:ind w:left="5454" w:hanging="180"/>
      </w:pPr>
    </w:lvl>
    <w:lvl w:ilvl="6" w:tentative="1">
      <w:start w:val="1"/>
      <w:numFmt w:val="decimal"/>
      <w:lvlText w:val="%7."/>
      <w:lvlJc w:val="left"/>
      <w:pPr>
        <w:ind w:left="6174" w:hanging="360"/>
      </w:pPr>
    </w:lvl>
    <w:lvl w:ilvl="7" w:tentative="1">
      <w:start w:val="1"/>
      <w:numFmt w:val="lowerLetter"/>
      <w:lvlText w:val="%8."/>
      <w:lvlJc w:val="left"/>
      <w:pPr>
        <w:ind w:left="6894" w:hanging="360"/>
      </w:pPr>
    </w:lvl>
    <w:lvl w:ilvl="8" w:tentative="1">
      <w:start w:val="1"/>
      <w:numFmt w:val="lowerRoman"/>
      <w:lvlText w:val="%9."/>
      <w:lvlJc w:val="right"/>
      <w:pPr>
        <w:ind w:left="7614" w:hanging="180"/>
      </w:pPr>
    </w:lvl>
  </w:abstractNum>
  <w:abstractNum w:abstractNumId="17">
    <w:nsid w:val="441A6670"/>
    <w:multiLevelType w:val="hybridMultilevel"/>
    <w:tmpl w:val="369C82D6"/>
    <w:lvl w:ilvl="0">
      <w:start w:val="1"/>
      <w:numFmt w:val="hebrew1"/>
      <w:pStyle w:val="32"/>
      <w:lvlText w:val="%1."/>
      <w:lvlJc w:val="center"/>
      <w:pPr>
        <w:ind w:left="2705" w:hanging="360"/>
      </w:pPr>
    </w:lvl>
    <w:lvl w:ilvl="1" w:tentative="1">
      <w:start w:val="1"/>
      <w:numFmt w:val="lowerLetter"/>
      <w:lvlText w:val="%2."/>
      <w:lvlJc w:val="left"/>
      <w:pPr>
        <w:ind w:left="3425" w:hanging="360"/>
      </w:pPr>
    </w:lvl>
    <w:lvl w:ilvl="2" w:tentative="1">
      <w:start w:val="1"/>
      <w:numFmt w:val="lowerRoman"/>
      <w:lvlText w:val="%3."/>
      <w:lvlJc w:val="right"/>
      <w:pPr>
        <w:ind w:left="4145" w:hanging="180"/>
      </w:pPr>
    </w:lvl>
    <w:lvl w:ilvl="3" w:tentative="1">
      <w:start w:val="1"/>
      <w:numFmt w:val="decimal"/>
      <w:lvlText w:val="%4."/>
      <w:lvlJc w:val="left"/>
      <w:pPr>
        <w:ind w:left="4865" w:hanging="360"/>
      </w:pPr>
    </w:lvl>
    <w:lvl w:ilvl="4" w:tentative="1">
      <w:start w:val="1"/>
      <w:numFmt w:val="lowerLetter"/>
      <w:lvlText w:val="%5."/>
      <w:lvlJc w:val="left"/>
      <w:pPr>
        <w:ind w:left="5585" w:hanging="360"/>
      </w:pPr>
    </w:lvl>
    <w:lvl w:ilvl="5" w:tentative="1">
      <w:start w:val="1"/>
      <w:numFmt w:val="lowerRoman"/>
      <w:lvlText w:val="%6."/>
      <w:lvlJc w:val="right"/>
      <w:pPr>
        <w:ind w:left="6305" w:hanging="180"/>
      </w:pPr>
    </w:lvl>
    <w:lvl w:ilvl="6" w:tentative="1">
      <w:start w:val="1"/>
      <w:numFmt w:val="decimal"/>
      <w:lvlText w:val="%7."/>
      <w:lvlJc w:val="left"/>
      <w:pPr>
        <w:ind w:left="7025" w:hanging="360"/>
      </w:pPr>
    </w:lvl>
    <w:lvl w:ilvl="7" w:tentative="1">
      <w:start w:val="1"/>
      <w:numFmt w:val="lowerLetter"/>
      <w:lvlText w:val="%8."/>
      <w:lvlJc w:val="left"/>
      <w:pPr>
        <w:ind w:left="7745" w:hanging="360"/>
      </w:pPr>
    </w:lvl>
    <w:lvl w:ilvl="8" w:tentative="1">
      <w:start w:val="1"/>
      <w:numFmt w:val="lowerRoman"/>
      <w:lvlText w:val="%9."/>
      <w:lvlJc w:val="right"/>
      <w:pPr>
        <w:ind w:left="8465" w:hanging="180"/>
      </w:pPr>
    </w:lvl>
  </w:abstractNum>
  <w:abstractNum w:abstractNumId="18">
    <w:nsid w:val="4DD35436"/>
    <w:multiLevelType w:val="hybridMultilevel"/>
    <w:tmpl w:val="EC1EC164"/>
    <w:lvl w:ilvl="0">
      <w:start w:val="1"/>
      <w:numFmt w:val="decimal"/>
      <w:pStyle w:val="20"/>
      <w:lvlText w:val="%1.1"/>
      <w:lvlJc w:val="left"/>
      <w:pPr>
        <w:ind w:left="1860" w:hanging="360"/>
      </w:pPr>
      <w:rPr>
        <w:rFonts w:hint="default"/>
      </w:rPr>
    </w:lvl>
    <w:lvl w:ilvl="1" w:tentative="1">
      <w:start w:val="1"/>
      <w:numFmt w:val="lowerLetter"/>
      <w:lvlText w:val="%2."/>
      <w:lvlJc w:val="left"/>
      <w:pPr>
        <w:ind w:left="2580" w:hanging="360"/>
      </w:pPr>
    </w:lvl>
    <w:lvl w:ilvl="2" w:tentative="1">
      <w:start w:val="1"/>
      <w:numFmt w:val="lowerRoman"/>
      <w:lvlText w:val="%3."/>
      <w:lvlJc w:val="right"/>
      <w:pPr>
        <w:ind w:left="3300" w:hanging="180"/>
      </w:pPr>
    </w:lvl>
    <w:lvl w:ilvl="3" w:tentative="1">
      <w:start w:val="1"/>
      <w:numFmt w:val="decimal"/>
      <w:lvlText w:val="%4."/>
      <w:lvlJc w:val="left"/>
      <w:pPr>
        <w:ind w:left="4020" w:hanging="360"/>
      </w:pPr>
    </w:lvl>
    <w:lvl w:ilvl="4" w:tentative="1">
      <w:start w:val="1"/>
      <w:numFmt w:val="lowerLetter"/>
      <w:lvlText w:val="%5."/>
      <w:lvlJc w:val="left"/>
      <w:pPr>
        <w:ind w:left="4740" w:hanging="360"/>
      </w:pPr>
    </w:lvl>
    <w:lvl w:ilvl="5" w:tentative="1">
      <w:start w:val="1"/>
      <w:numFmt w:val="lowerRoman"/>
      <w:lvlText w:val="%6."/>
      <w:lvlJc w:val="right"/>
      <w:pPr>
        <w:ind w:left="5460" w:hanging="180"/>
      </w:pPr>
    </w:lvl>
    <w:lvl w:ilvl="6" w:tentative="1">
      <w:start w:val="1"/>
      <w:numFmt w:val="decimal"/>
      <w:lvlText w:val="%7."/>
      <w:lvlJc w:val="left"/>
      <w:pPr>
        <w:ind w:left="6180" w:hanging="360"/>
      </w:pPr>
    </w:lvl>
    <w:lvl w:ilvl="7" w:tentative="1">
      <w:start w:val="1"/>
      <w:numFmt w:val="lowerLetter"/>
      <w:lvlText w:val="%8."/>
      <w:lvlJc w:val="left"/>
      <w:pPr>
        <w:ind w:left="6900" w:hanging="360"/>
      </w:pPr>
    </w:lvl>
    <w:lvl w:ilvl="8" w:tentative="1">
      <w:start w:val="1"/>
      <w:numFmt w:val="lowerRoman"/>
      <w:lvlText w:val="%9."/>
      <w:lvlJc w:val="right"/>
      <w:pPr>
        <w:ind w:left="7620" w:hanging="180"/>
      </w:pPr>
    </w:lvl>
  </w:abstractNum>
  <w:abstractNum w:abstractNumId="19">
    <w:nsid w:val="5D3213F8"/>
    <w:multiLevelType w:val="multilevel"/>
    <w:tmpl w:val="2160D57E"/>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0">
    <w:nsid w:val="665B09CB"/>
    <w:multiLevelType w:val="hybridMultilevel"/>
    <w:tmpl w:val="F98283A0"/>
    <w:lvl w:ilvl="0">
      <w:start w:val="1"/>
      <w:numFmt w:val="bullet"/>
      <w:pStyle w:val="50"/>
      <w:lvlText w:val=""/>
      <w:lvlJc w:val="left"/>
      <w:pPr>
        <w:ind w:left="1854" w:hanging="360"/>
      </w:pPr>
      <w:rPr>
        <w:rFonts w:ascii="Wingdings" w:hAnsi="Wingdings" w:hint="default"/>
        <w:color w:val="FFF400"/>
      </w:rPr>
    </w:lvl>
    <w:lvl w:ilvl="1" w:tentative="1">
      <w:start w:val="1"/>
      <w:numFmt w:val="lowerLetter"/>
      <w:lvlText w:val="%2."/>
      <w:lvlJc w:val="left"/>
      <w:pPr>
        <w:ind w:left="2574" w:hanging="360"/>
      </w:pPr>
    </w:lvl>
    <w:lvl w:ilvl="2" w:tentative="1">
      <w:start w:val="1"/>
      <w:numFmt w:val="lowerRoman"/>
      <w:lvlText w:val="%3."/>
      <w:lvlJc w:val="right"/>
      <w:pPr>
        <w:ind w:left="3294" w:hanging="180"/>
      </w:pPr>
    </w:lvl>
    <w:lvl w:ilvl="3" w:tentative="1">
      <w:start w:val="1"/>
      <w:numFmt w:val="decimal"/>
      <w:lvlText w:val="%4."/>
      <w:lvlJc w:val="left"/>
      <w:pPr>
        <w:ind w:left="4014" w:hanging="360"/>
      </w:pPr>
    </w:lvl>
    <w:lvl w:ilvl="4" w:tentative="1">
      <w:start w:val="1"/>
      <w:numFmt w:val="lowerLetter"/>
      <w:lvlText w:val="%5."/>
      <w:lvlJc w:val="left"/>
      <w:pPr>
        <w:ind w:left="4734" w:hanging="360"/>
      </w:pPr>
    </w:lvl>
    <w:lvl w:ilvl="5" w:tentative="1">
      <w:start w:val="1"/>
      <w:numFmt w:val="lowerRoman"/>
      <w:lvlText w:val="%6."/>
      <w:lvlJc w:val="right"/>
      <w:pPr>
        <w:ind w:left="5454" w:hanging="180"/>
      </w:pPr>
    </w:lvl>
    <w:lvl w:ilvl="6" w:tentative="1">
      <w:start w:val="1"/>
      <w:numFmt w:val="decimal"/>
      <w:lvlText w:val="%7."/>
      <w:lvlJc w:val="left"/>
      <w:pPr>
        <w:ind w:left="6174" w:hanging="360"/>
      </w:pPr>
    </w:lvl>
    <w:lvl w:ilvl="7" w:tentative="1">
      <w:start w:val="1"/>
      <w:numFmt w:val="lowerLetter"/>
      <w:lvlText w:val="%8."/>
      <w:lvlJc w:val="left"/>
      <w:pPr>
        <w:ind w:left="6894" w:hanging="360"/>
      </w:pPr>
    </w:lvl>
    <w:lvl w:ilvl="8" w:tentative="1">
      <w:start w:val="1"/>
      <w:numFmt w:val="lowerRoman"/>
      <w:lvlText w:val="%9."/>
      <w:lvlJc w:val="right"/>
      <w:pPr>
        <w:ind w:left="7614" w:hanging="180"/>
      </w:pPr>
    </w:lvl>
  </w:abstractNum>
  <w:abstractNum w:abstractNumId="21">
    <w:nsid w:val="7AB65BF1"/>
    <w:multiLevelType w:val="multilevel"/>
    <w:tmpl w:val="34A89D7A"/>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2">
    <w:nsid w:val="7E431D00"/>
    <w:multiLevelType w:val="hybridMultilevel"/>
    <w:tmpl w:val="7576C230"/>
    <w:lvl w:ilvl="0">
      <w:start w:val="1"/>
      <w:numFmt w:val="decimal"/>
      <w:pStyle w:val="13"/>
      <w:lvlText w:val="%1."/>
      <w:lvlJc w:val="left"/>
      <w:pPr>
        <w:ind w:left="1858" w:hanging="360"/>
      </w:pPr>
      <w:rPr>
        <w:rFonts w:ascii="Calibri" w:hAnsi="Calibri" w:cs="Calibri" w:hint="default"/>
        <w:b/>
        <w:bCs/>
        <w:i w:val="0"/>
        <w:iCs w:val="0"/>
        <w:color w:val="002060"/>
        <w:sz w:val="40"/>
        <w:szCs w:val="40"/>
      </w:rPr>
    </w:lvl>
    <w:lvl w:ilvl="1" w:tentative="1">
      <w:start w:val="1"/>
      <w:numFmt w:val="lowerLetter"/>
      <w:lvlText w:val="%2."/>
      <w:lvlJc w:val="left"/>
      <w:pPr>
        <w:ind w:left="2578" w:hanging="360"/>
      </w:pPr>
    </w:lvl>
    <w:lvl w:ilvl="2" w:tentative="1">
      <w:start w:val="1"/>
      <w:numFmt w:val="lowerRoman"/>
      <w:lvlText w:val="%3."/>
      <w:lvlJc w:val="right"/>
      <w:pPr>
        <w:ind w:left="3298" w:hanging="180"/>
      </w:pPr>
    </w:lvl>
    <w:lvl w:ilvl="3" w:tentative="1">
      <w:start w:val="1"/>
      <w:numFmt w:val="decimal"/>
      <w:lvlText w:val="%4."/>
      <w:lvlJc w:val="left"/>
      <w:pPr>
        <w:ind w:left="4018" w:hanging="360"/>
      </w:pPr>
    </w:lvl>
    <w:lvl w:ilvl="4" w:tentative="1">
      <w:start w:val="1"/>
      <w:numFmt w:val="lowerLetter"/>
      <w:lvlText w:val="%5."/>
      <w:lvlJc w:val="left"/>
      <w:pPr>
        <w:ind w:left="4738" w:hanging="360"/>
      </w:pPr>
    </w:lvl>
    <w:lvl w:ilvl="5" w:tentative="1">
      <w:start w:val="1"/>
      <w:numFmt w:val="lowerRoman"/>
      <w:lvlText w:val="%6."/>
      <w:lvlJc w:val="right"/>
      <w:pPr>
        <w:ind w:left="5458" w:hanging="180"/>
      </w:pPr>
    </w:lvl>
    <w:lvl w:ilvl="6" w:tentative="1">
      <w:start w:val="1"/>
      <w:numFmt w:val="decimal"/>
      <w:lvlText w:val="%7."/>
      <w:lvlJc w:val="left"/>
      <w:pPr>
        <w:ind w:left="6178" w:hanging="360"/>
      </w:pPr>
    </w:lvl>
    <w:lvl w:ilvl="7" w:tentative="1">
      <w:start w:val="1"/>
      <w:numFmt w:val="lowerLetter"/>
      <w:lvlText w:val="%8."/>
      <w:lvlJc w:val="left"/>
      <w:pPr>
        <w:ind w:left="6898" w:hanging="360"/>
      </w:pPr>
    </w:lvl>
    <w:lvl w:ilvl="8" w:tentative="1">
      <w:start w:val="1"/>
      <w:numFmt w:val="lowerRoman"/>
      <w:lvlText w:val="%9."/>
      <w:lvlJc w:val="right"/>
      <w:pPr>
        <w:ind w:left="7618" w:hanging="180"/>
      </w:pPr>
    </w:lvl>
  </w:abstractNum>
  <w:num w:numId="1">
    <w:abstractNumId w:val="22"/>
  </w:num>
  <w:num w:numId="2">
    <w:abstractNumId w:val="18"/>
  </w:num>
  <w:num w:numId="3">
    <w:abstractNumId w:val="16"/>
  </w:num>
  <w:num w:numId="4">
    <w:abstractNumId w:val="1"/>
  </w:num>
  <w:num w:numId="5">
    <w:abstractNumId w:val="17"/>
  </w:num>
  <w:num w:numId="6">
    <w:abstractNumId w:val="20"/>
  </w:num>
  <w:num w:numId="7">
    <w:abstractNumId w:val="15"/>
  </w:num>
  <w:num w:numId="8">
    <w:abstractNumId w:val="12"/>
  </w:num>
  <w:num w:numId="9">
    <w:abstractNumId w:val="11"/>
  </w:num>
  <w:num w:numId="10">
    <w:abstractNumId w:val="14"/>
  </w:num>
  <w:num w:numId="11">
    <w:abstractNumId w:val="3"/>
  </w:num>
  <w:num w:numId="12">
    <w:abstractNumId w:val="4"/>
  </w:num>
  <w:num w:numId="13">
    <w:abstractNumId w:val="9"/>
  </w:num>
  <w:num w:numId="14">
    <w:abstractNumId w:val="2"/>
  </w:num>
  <w:num w:numId="15">
    <w:abstractNumId w:val="7"/>
  </w:num>
  <w:num w:numId="16">
    <w:abstractNumId w:val="6"/>
  </w:num>
  <w:num w:numId="17">
    <w:abstractNumId w:val="13"/>
  </w:num>
  <w:num w:numId="18">
    <w:abstractNumId w:val="10"/>
  </w:num>
  <w:num w:numId="19">
    <w:abstractNumId w:val="0"/>
  </w:num>
  <w:num w:numId="20">
    <w:abstractNumId w:val="21"/>
  </w:num>
  <w:num w:numId="21">
    <w:abstractNumId w:val="19"/>
  </w:num>
  <w:num w:numId="22">
    <w:abstractNumId w:val="8"/>
  </w:num>
  <w:num w:numId="23">
    <w:abstractNumId w:val="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SortMethod w:val="name"/>
  <w:defaultTabStop w:val="720"/>
  <w:drawingGridHorizontalSpacing w:val="100"/>
  <w:displayHorizontalDrawingGridEvery w:val="2"/>
  <w:displayVerticalDrawingGridEvery w:val="2"/>
  <w:characterSpacingControl w:val="doNotCompress"/>
  <w:footnotePr>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451B"/>
    <w:rsid w:val="00003B77"/>
    <w:rsid w:val="00013CB9"/>
    <w:rsid w:val="0001735B"/>
    <w:rsid w:val="00034771"/>
    <w:rsid w:val="00042837"/>
    <w:rsid w:val="00042B1A"/>
    <w:rsid w:val="000501A4"/>
    <w:rsid w:val="000532AA"/>
    <w:rsid w:val="00056FDC"/>
    <w:rsid w:val="000639BF"/>
    <w:rsid w:val="000723B7"/>
    <w:rsid w:val="00094FF6"/>
    <w:rsid w:val="000B1102"/>
    <w:rsid w:val="000B6878"/>
    <w:rsid w:val="000C6859"/>
    <w:rsid w:val="000C7459"/>
    <w:rsid w:val="000E013E"/>
    <w:rsid w:val="000E5D43"/>
    <w:rsid w:val="000F7725"/>
    <w:rsid w:val="00101D0F"/>
    <w:rsid w:val="001132D6"/>
    <w:rsid w:val="00113E28"/>
    <w:rsid w:val="00114325"/>
    <w:rsid w:val="00132D50"/>
    <w:rsid w:val="0013413F"/>
    <w:rsid w:val="00166477"/>
    <w:rsid w:val="001730B0"/>
    <w:rsid w:val="00190D28"/>
    <w:rsid w:val="001956AC"/>
    <w:rsid w:val="001960B4"/>
    <w:rsid w:val="001A4102"/>
    <w:rsid w:val="001A613C"/>
    <w:rsid w:val="001B2821"/>
    <w:rsid w:val="001B6C24"/>
    <w:rsid w:val="001C057E"/>
    <w:rsid w:val="001C6185"/>
    <w:rsid w:val="001D2962"/>
    <w:rsid w:val="001D5724"/>
    <w:rsid w:val="001E204F"/>
    <w:rsid w:val="001E31FA"/>
    <w:rsid w:val="00203604"/>
    <w:rsid w:val="002064F7"/>
    <w:rsid w:val="002117C1"/>
    <w:rsid w:val="00217F3E"/>
    <w:rsid w:val="00240887"/>
    <w:rsid w:val="00246618"/>
    <w:rsid w:val="00256611"/>
    <w:rsid w:val="00263521"/>
    <w:rsid w:val="00265E90"/>
    <w:rsid w:val="002664BA"/>
    <w:rsid w:val="00291F71"/>
    <w:rsid w:val="002A07BA"/>
    <w:rsid w:val="002A7D21"/>
    <w:rsid w:val="002C0FD0"/>
    <w:rsid w:val="002C1EE0"/>
    <w:rsid w:val="002C4139"/>
    <w:rsid w:val="002E078F"/>
    <w:rsid w:val="00301153"/>
    <w:rsid w:val="00306A17"/>
    <w:rsid w:val="00313DEA"/>
    <w:rsid w:val="00320E15"/>
    <w:rsid w:val="00323027"/>
    <w:rsid w:val="00331026"/>
    <w:rsid w:val="0037370B"/>
    <w:rsid w:val="00375A42"/>
    <w:rsid w:val="0037648F"/>
    <w:rsid w:val="003773D8"/>
    <w:rsid w:val="0037752E"/>
    <w:rsid w:val="00380052"/>
    <w:rsid w:val="00386E9B"/>
    <w:rsid w:val="0039415D"/>
    <w:rsid w:val="003979F1"/>
    <w:rsid w:val="003A34E4"/>
    <w:rsid w:val="003B0BF5"/>
    <w:rsid w:val="003D1BCA"/>
    <w:rsid w:val="003D61C6"/>
    <w:rsid w:val="003E58C2"/>
    <w:rsid w:val="00401221"/>
    <w:rsid w:val="00413E2A"/>
    <w:rsid w:val="00432FFF"/>
    <w:rsid w:val="00472BA5"/>
    <w:rsid w:val="004779AA"/>
    <w:rsid w:val="00485B13"/>
    <w:rsid w:val="004A0385"/>
    <w:rsid w:val="004C7D9F"/>
    <w:rsid w:val="004D23A4"/>
    <w:rsid w:val="004D46CE"/>
    <w:rsid w:val="004D7A9A"/>
    <w:rsid w:val="004E6B4D"/>
    <w:rsid w:val="005006C5"/>
    <w:rsid w:val="00512A2D"/>
    <w:rsid w:val="005160AA"/>
    <w:rsid w:val="0054781A"/>
    <w:rsid w:val="00551B42"/>
    <w:rsid w:val="00551FF7"/>
    <w:rsid w:val="00555EFA"/>
    <w:rsid w:val="00574579"/>
    <w:rsid w:val="00580C5C"/>
    <w:rsid w:val="005A021D"/>
    <w:rsid w:val="005A4D90"/>
    <w:rsid w:val="005E1299"/>
    <w:rsid w:val="005E2D82"/>
    <w:rsid w:val="005F5E5F"/>
    <w:rsid w:val="0062451B"/>
    <w:rsid w:val="00631160"/>
    <w:rsid w:val="0063148C"/>
    <w:rsid w:val="00634DAD"/>
    <w:rsid w:val="006362DE"/>
    <w:rsid w:val="00640B60"/>
    <w:rsid w:val="006453A1"/>
    <w:rsid w:val="00645795"/>
    <w:rsid w:val="006457EB"/>
    <w:rsid w:val="006531CB"/>
    <w:rsid w:val="006551CF"/>
    <w:rsid w:val="006649F9"/>
    <w:rsid w:val="00665F67"/>
    <w:rsid w:val="00672D31"/>
    <w:rsid w:val="0068648E"/>
    <w:rsid w:val="00694189"/>
    <w:rsid w:val="00697FB2"/>
    <w:rsid w:val="006A46C4"/>
    <w:rsid w:val="006B75CD"/>
    <w:rsid w:val="006C5485"/>
    <w:rsid w:val="006D30F2"/>
    <w:rsid w:val="006D4161"/>
    <w:rsid w:val="006D786C"/>
    <w:rsid w:val="006E1414"/>
    <w:rsid w:val="006F285F"/>
    <w:rsid w:val="006F326F"/>
    <w:rsid w:val="0072219B"/>
    <w:rsid w:val="0072543F"/>
    <w:rsid w:val="00734ECE"/>
    <w:rsid w:val="0074380A"/>
    <w:rsid w:val="0074641D"/>
    <w:rsid w:val="007464D5"/>
    <w:rsid w:val="00746E66"/>
    <w:rsid w:val="007474F0"/>
    <w:rsid w:val="00753ADE"/>
    <w:rsid w:val="007705F3"/>
    <w:rsid w:val="00771786"/>
    <w:rsid w:val="00773F61"/>
    <w:rsid w:val="00790021"/>
    <w:rsid w:val="007A08F1"/>
    <w:rsid w:val="007A1406"/>
    <w:rsid w:val="007A4468"/>
    <w:rsid w:val="007A4EBD"/>
    <w:rsid w:val="007B112B"/>
    <w:rsid w:val="007B5B26"/>
    <w:rsid w:val="007B691A"/>
    <w:rsid w:val="007C1FF6"/>
    <w:rsid w:val="007D61B8"/>
    <w:rsid w:val="007E53C6"/>
    <w:rsid w:val="007F7FF2"/>
    <w:rsid w:val="00805B42"/>
    <w:rsid w:val="008102AD"/>
    <w:rsid w:val="00816A2B"/>
    <w:rsid w:val="00817E97"/>
    <w:rsid w:val="008238B4"/>
    <w:rsid w:val="00837997"/>
    <w:rsid w:val="00844246"/>
    <w:rsid w:val="00860790"/>
    <w:rsid w:val="00860D89"/>
    <w:rsid w:val="00867FC5"/>
    <w:rsid w:val="008722E9"/>
    <w:rsid w:val="008757B8"/>
    <w:rsid w:val="00892F80"/>
    <w:rsid w:val="008A45FE"/>
    <w:rsid w:val="008B27EA"/>
    <w:rsid w:val="008B4F41"/>
    <w:rsid w:val="008C2A65"/>
    <w:rsid w:val="008C6F75"/>
    <w:rsid w:val="008E03FB"/>
    <w:rsid w:val="008E3855"/>
    <w:rsid w:val="008F5151"/>
    <w:rsid w:val="009015B2"/>
    <w:rsid w:val="00906131"/>
    <w:rsid w:val="00906E90"/>
    <w:rsid w:val="0091051D"/>
    <w:rsid w:val="00916C6B"/>
    <w:rsid w:val="009261DD"/>
    <w:rsid w:val="00936F84"/>
    <w:rsid w:val="00940851"/>
    <w:rsid w:val="0094653A"/>
    <w:rsid w:val="00951D63"/>
    <w:rsid w:val="009679D9"/>
    <w:rsid w:val="00976458"/>
    <w:rsid w:val="00983CA4"/>
    <w:rsid w:val="0099692E"/>
    <w:rsid w:val="009B7262"/>
    <w:rsid w:val="009C6066"/>
    <w:rsid w:val="009D73F5"/>
    <w:rsid w:val="009D7A4B"/>
    <w:rsid w:val="009E0519"/>
    <w:rsid w:val="009E1A3F"/>
    <w:rsid w:val="009E2768"/>
    <w:rsid w:val="009E53CF"/>
    <w:rsid w:val="009F0BD3"/>
    <w:rsid w:val="00A11171"/>
    <w:rsid w:val="00A222E2"/>
    <w:rsid w:val="00A35299"/>
    <w:rsid w:val="00A5081A"/>
    <w:rsid w:val="00A57D15"/>
    <w:rsid w:val="00A61AD5"/>
    <w:rsid w:val="00A666FE"/>
    <w:rsid w:val="00A73038"/>
    <w:rsid w:val="00A76C99"/>
    <w:rsid w:val="00A80B8F"/>
    <w:rsid w:val="00A81EBE"/>
    <w:rsid w:val="00A90B0B"/>
    <w:rsid w:val="00A92970"/>
    <w:rsid w:val="00AA36EE"/>
    <w:rsid w:val="00AA5065"/>
    <w:rsid w:val="00AB0CB5"/>
    <w:rsid w:val="00AC28D6"/>
    <w:rsid w:val="00AC6B95"/>
    <w:rsid w:val="00AC7AD7"/>
    <w:rsid w:val="00AE73D8"/>
    <w:rsid w:val="00AF3FA8"/>
    <w:rsid w:val="00AF57F9"/>
    <w:rsid w:val="00B00E5C"/>
    <w:rsid w:val="00B338B6"/>
    <w:rsid w:val="00B4321D"/>
    <w:rsid w:val="00B50618"/>
    <w:rsid w:val="00B666B9"/>
    <w:rsid w:val="00B76DC1"/>
    <w:rsid w:val="00B8191D"/>
    <w:rsid w:val="00B819DE"/>
    <w:rsid w:val="00B862C0"/>
    <w:rsid w:val="00B86B3F"/>
    <w:rsid w:val="00B91495"/>
    <w:rsid w:val="00B96230"/>
    <w:rsid w:val="00BA2E80"/>
    <w:rsid w:val="00BA3A6F"/>
    <w:rsid w:val="00BA7E35"/>
    <w:rsid w:val="00BD632A"/>
    <w:rsid w:val="00BE2DD8"/>
    <w:rsid w:val="00BE68F2"/>
    <w:rsid w:val="00C2305A"/>
    <w:rsid w:val="00C23CC9"/>
    <w:rsid w:val="00C30B3D"/>
    <w:rsid w:val="00C33AE2"/>
    <w:rsid w:val="00C532B8"/>
    <w:rsid w:val="00C65E5E"/>
    <w:rsid w:val="00C748C7"/>
    <w:rsid w:val="00C8096C"/>
    <w:rsid w:val="00C8100B"/>
    <w:rsid w:val="00C82898"/>
    <w:rsid w:val="00C839C0"/>
    <w:rsid w:val="00C91050"/>
    <w:rsid w:val="00CA41D2"/>
    <w:rsid w:val="00CA4F20"/>
    <w:rsid w:val="00CE3828"/>
    <w:rsid w:val="00CF1FAD"/>
    <w:rsid w:val="00D0016D"/>
    <w:rsid w:val="00D167F9"/>
    <w:rsid w:val="00D22748"/>
    <w:rsid w:val="00D26918"/>
    <w:rsid w:val="00D37121"/>
    <w:rsid w:val="00D40196"/>
    <w:rsid w:val="00D478AD"/>
    <w:rsid w:val="00D779F7"/>
    <w:rsid w:val="00D86016"/>
    <w:rsid w:val="00D87542"/>
    <w:rsid w:val="00D95C20"/>
    <w:rsid w:val="00D97C16"/>
    <w:rsid w:val="00DE1DAB"/>
    <w:rsid w:val="00DE20A2"/>
    <w:rsid w:val="00DF0B89"/>
    <w:rsid w:val="00E030A3"/>
    <w:rsid w:val="00E06823"/>
    <w:rsid w:val="00E07D80"/>
    <w:rsid w:val="00E35682"/>
    <w:rsid w:val="00E46EA3"/>
    <w:rsid w:val="00E47AF1"/>
    <w:rsid w:val="00E51C1B"/>
    <w:rsid w:val="00E51DAB"/>
    <w:rsid w:val="00E53DA7"/>
    <w:rsid w:val="00E54368"/>
    <w:rsid w:val="00E743E8"/>
    <w:rsid w:val="00E8005C"/>
    <w:rsid w:val="00E84878"/>
    <w:rsid w:val="00E96206"/>
    <w:rsid w:val="00EA03C8"/>
    <w:rsid w:val="00EC6B44"/>
    <w:rsid w:val="00EE06B1"/>
    <w:rsid w:val="00EE1849"/>
    <w:rsid w:val="00EE37A3"/>
    <w:rsid w:val="00F26995"/>
    <w:rsid w:val="00F4385E"/>
    <w:rsid w:val="00F445EA"/>
    <w:rsid w:val="00F44B87"/>
    <w:rsid w:val="00F627EB"/>
    <w:rsid w:val="00F7547C"/>
    <w:rsid w:val="00F75A10"/>
    <w:rsid w:val="00F77276"/>
    <w:rsid w:val="00F8025B"/>
    <w:rsid w:val="00F86F27"/>
    <w:rsid w:val="00F945E7"/>
    <w:rsid w:val="00F95853"/>
    <w:rsid w:val="00FA7500"/>
    <w:rsid w:val="00FB3F26"/>
    <w:rsid w:val="00FC2CCA"/>
    <w:rsid w:val="00FC3213"/>
    <w:rsid w:val="00FC48C6"/>
    <w:rsid w:val="00FF5E54"/>
  </w:rsids>
  <w:docVars>
    <w:docVar w:name="sivug" w:val="1"/>
    <w:docVar w:name="space" w:val="True"/>
  </w:docVars>
  <m:mathPr>
    <m:mathFont m:val="Cambria Math"/>
  </m:mathPr>
  <w:themeFontLang w:val="en-US" w:bidi="he-IL"/>
  <w:clrSchemeMapping w:bg1="light1" w:t1="dark1" w:bg2="light2" w:t2="dark2" w:accent1="accent1" w:accent2="accent2" w:accent3="accent3" w:accent4="accent4" w:accent5="accent5" w:accent6="accent6" w:hyperlink="hyperlink" w:followedHyperlink="followedHyperlink"/>
  <w14:docId w14:val="1D9D5CBA"/>
  <w15:chartTrackingRefBased/>
  <w15:docId w15:val="{89CA0B52-15F1-4656-A946-83738ED0B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hAnsi="Times New Roman" w:eastAsiaTheme="minorHAnsi" w:cs="David"/>
        <w:szCs w:val="24"/>
        <w:lang w:val="en-US" w:eastAsia="en-US" w:bidi="he-IL"/>
      </w:rPr>
    </w:rPrDefault>
    <w:pPrDefault>
      <w:pPr>
        <w:spacing w:after="200" w:line="276" w:lineRule="auto"/>
        <w:jc w:val="both"/>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iPriority="0"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501A4"/>
    <w:pPr>
      <w:bidi/>
      <w:spacing w:after="0" w:line="312" w:lineRule="auto"/>
    </w:pPr>
  </w:style>
  <w:style w:type="paragraph" w:styleId="Heading1">
    <w:name w:val="heading 1"/>
    <w:basedOn w:val="Normal"/>
    <w:next w:val="Normal"/>
    <w:link w:val="1"/>
    <w:uiPriority w:val="1"/>
    <w:qFormat/>
    <w:rsid w:val="000501A4"/>
    <w:pPr>
      <w:keepNext/>
      <w:keepLines/>
      <w:jc w:val="center"/>
      <w:outlineLvl w:val="0"/>
    </w:pPr>
    <w:rPr>
      <w:rFonts w:eastAsiaTheme="majorEastAsia"/>
      <w:bCs/>
      <w:szCs w:val="36"/>
      <w:u w:val="single"/>
    </w:rPr>
  </w:style>
  <w:style w:type="paragraph" w:styleId="Heading2">
    <w:name w:val="heading 2"/>
    <w:basedOn w:val="Normal"/>
    <w:next w:val="Normal"/>
    <w:link w:val="2"/>
    <w:uiPriority w:val="1"/>
    <w:qFormat/>
    <w:rsid w:val="000501A4"/>
    <w:pPr>
      <w:keepNext/>
      <w:keepLines/>
      <w:spacing w:before="480"/>
      <w:jc w:val="center"/>
      <w:outlineLvl w:val="1"/>
    </w:pPr>
    <w:rPr>
      <w:rFonts w:eastAsiaTheme="majorEastAsia"/>
      <w:bCs/>
      <w:szCs w:val="32"/>
    </w:rPr>
  </w:style>
  <w:style w:type="paragraph" w:styleId="Heading3">
    <w:name w:val="heading 3"/>
    <w:basedOn w:val="Normal"/>
    <w:next w:val="Normal"/>
    <w:link w:val="3"/>
    <w:uiPriority w:val="1"/>
    <w:qFormat/>
    <w:rsid w:val="006D786C"/>
    <w:pPr>
      <w:keepNext/>
      <w:keepLines/>
      <w:spacing w:before="120"/>
      <w:outlineLvl w:val="2"/>
    </w:pPr>
    <w:rPr>
      <w:rFonts w:eastAsiaTheme="majorEastAsia"/>
      <w:bCs/>
      <w:szCs w:val="28"/>
      <w:u w:val="single"/>
    </w:rPr>
  </w:style>
  <w:style w:type="paragraph" w:styleId="Heading4">
    <w:name w:val="heading 4"/>
    <w:basedOn w:val="Normal"/>
    <w:next w:val="Normal"/>
    <w:link w:val="4"/>
    <w:uiPriority w:val="99"/>
    <w:qFormat/>
    <w:rsid w:val="006D786C"/>
    <w:pPr>
      <w:keepNext/>
      <w:keepLines/>
      <w:spacing w:before="120"/>
      <w:outlineLvl w:val="3"/>
    </w:pPr>
    <w:rPr>
      <w:rFonts w:eastAsiaTheme="majorEastAsia"/>
      <w:bCs/>
      <w:szCs w:val="26"/>
    </w:rPr>
  </w:style>
  <w:style w:type="paragraph" w:styleId="Heading5">
    <w:name w:val="heading 5"/>
    <w:basedOn w:val="Normal"/>
    <w:next w:val="Normal"/>
    <w:link w:val="5"/>
    <w:uiPriority w:val="1"/>
    <w:qFormat/>
    <w:rsid w:val="000501A4"/>
    <w:pPr>
      <w:keepNext/>
      <w:keepLines/>
      <w:outlineLvl w:val="4"/>
    </w:pPr>
    <w:rPr>
      <w:rFonts w:eastAsiaTheme="majorEastAsia"/>
      <w:bCs/>
      <w:spacing w:val="40"/>
    </w:rPr>
  </w:style>
  <w:style w:type="paragraph" w:styleId="Heading6">
    <w:name w:val="heading 6"/>
    <w:basedOn w:val="Normal"/>
    <w:next w:val="Normal"/>
    <w:link w:val="6"/>
    <w:uiPriority w:val="1"/>
    <w:qFormat/>
    <w:rsid w:val="000501A4"/>
    <w:pPr>
      <w:keepNext/>
      <w:keepLines/>
      <w:outlineLvl w:val="5"/>
    </w:pPr>
    <w:rPr>
      <w:rFonts w:eastAsiaTheme="majorEastAsia"/>
      <w:spacing w:val="40"/>
    </w:rPr>
  </w:style>
  <w:style w:type="paragraph" w:styleId="Heading7">
    <w:name w:val="heading 7"/>
    <w:basedOn w:val="Normal"/>
    <w:next w:val="Normal"/>
    <w:link w:val="7"/>
    <w:uiPriority w:val="1"/>
    <w:qFormat/>
    <w:rsid w:val="000501A4"/>
    <w:pPr>
      <w:keepNext/>
      <w:keepLines/>
      <w:outlineLvl w:val="6"/>
    </w:pPr>
    <w:rPr>
      <w:rFonts w:eastAsiaTheme="majorEastAsia"/>
      <w:bCs/>
      <w:spacing w:val="40"/>
    </w:rPr>
  </w:style>
  <w:style w:type="paragraph" w:styleId="Heading8">
    <w:name w:val="heading 8"/>
    <w:basedOn w:val="Normal"/>
    <w:next w:val="Normal"/>
    <w:link w:val="8"/>
    <w:uiPriority w:val="1"/>
    <w:qFormat/>
    <w:rsid w:val="000501A4"/>
    <w:pPr>
      <w:keepNext/>
      <w:keepLines/>
      <w:outlineLvl w:val="7"/>
    </w:pPr>
    <w:rPr>
      <w:rFonts w:eastAsiaTheme="majorEastAsia"/>
      <w:spacing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כותרת 1 תו"/>
    <w:basedOn w:val="DefaultParagraphFont"/>
    <w:link w:val="Heading1"/>
    <w:uiPriority w:val="1"/>
    <w:rsid w:val="000501A4"/>
    <w:rPr>
      <w:rFonts w:eastAsiaTheme="majorEastAsia"/>
      <w:bCs/>
      <w:szCs w:val="36"/>
      <w:u w:val="single"/>
    </w:rPr>
  </w:style>
  <w:style w:type="character" w:customStyle="1" w:styleId="2">
    <w:name w:val="כותרת 2 תו"/>
    <w:basedOn w:val="DefaultParagraphFont"/>
    <w:link w:val="Heading2"/>
    <w:uiPriority w:val="1"/>
    <w:rsid w:val="000501A4"/>
    <w:rPr>
      <w:rFonts w:eastAsiaTheme="majorEastAsia"/>
      <w:bCs/>
      <w:szCs w:val="32"/>
    </w:rPr>
  </w:style>
  <w:style w:type="character" w:customStyle="1" w:styleId="3">
    <w:name w:val="כותרת 3 תו"/>
    <w:basedOn w:val="DefaultParagraphFont"/>
    <w:link w:val="Heading3"/>
    <w:uiPriority w:val="1"/>
    <w:rsid w:val="006D786C"/>
    <w:rPr>
      <w:rFonts w:eastAsiaTheme="majorEastAsia"/>
      <w:bCs/>
      <w:szCs w:val="28"/>
      <w:u w:val="single"/>
    </w:rPr>
  </w:style>
  <w:style w:type="character" w:customStyle="1" w:styleId="4">
    <w:name w:val="כותרת 4 תו"/>
    <w:basedOn w:val="DefaultParagraphFont"/>
    <w:link w:val="Heading4"/>
    <w:uiPriority w:val="99"/>
    <w:rsid w:val="006D786C"/>
    <w:rPr>
      <w:rFonts w:eastAsiaTheme="majorEastAsia"/>
      <w:bCs/>
      <w:szCs w:val="26"/>
    </w:rPr>
  </w:style>
  <w:style w:type="character" w:customStyle="1" w:styleId="5">
    <w:name w:val="כותרת 5 תו"/>
    <w:basedOn w:val="DefaultParagraphFont"/>
    <w:link w:val="Heading5"/>
    <w:uiPriority w:val="1"/>
    <w:rsid w:val="000501A4"/>
    <w:rPr>
      <w:rFonts w:eastAsiaTheme="majorEastAsia"/>
      <w:bCs/>
      <w:spacing w:val="40"/>
    </w:rPr>
  </w:style>
  <w:style w:type="character" w:customStyle="1" w:styleId="6">
    <w:name w:val="כותרת 6 תו"/>
    <w:basedOn w:val="DefaultParagraphFont"/>
    <w:link w:val="Heading6"/>
    <w:uiPriority w:val="1"/>
    <w:rsid w:val="000501A4"/>
    <w:rPr>
      <w:rFonts w:eastAsiaTheme="majorEastAsia"/>
      <w:spacing w:val="40"/>
    </w:rPr>
  </w:style>
  <w:style w:type="character" w:customStyle="1" w:styleId="7">
    <w:name w:val="כותרת 7 תו"/>
    <w:basedOn w:val="DefaultParagraphFont"/>
    <w:link w:val="Heading7"/>
    <w:uiPriority w:val="1"/>
    <w:rsid w:val="000501A4"/>
    <w:rPr>
      <w:rFonts w:eastAsiaTheme="majorEastAsia"/>
      <w:bCs/>
      <w:spacing w:val="40"/>
    </w:rPr>
  </w:style>
  <w:style w:type="character" w:customStyle="1" w:styleId="8">
    <w:name w:val="כותרת 8 תו"/>
    <w:basedOn w:val="DefaultParagraphFont"/>
    <w:link w:val="Heading8"/>
    <w:uiPriority w:val="1"/>
    <w:rsid w:val="000501A4"/>
    <w:rPr>
      <w:rFonts w:eastAsiaTheme="majorEastAsia"/>
      <w:spacing w:val="40"/>
    </w:rPr>
  </w:style>
  <w:style w:type="paragraph" w:customStyle="1" w:styleId="a">
    <w:name w:val="נבנצאל"/>
    <w:basedOn w:val="Normal"/>
    <w:next w:val="Normal"/>
    <w:link w:val="a0"/>
    <w:uiPriority w:val="99"/>
    <w:rsid w:val="000501A4"/>
    <w:pPr>
      <w:ind w:left="-567"/>
    </w:pPr>
    <w:rPr>
      <w:szCs w:val="20"/>
    </w:rPr>
  </w:style>
  <w:style w:type="character" w:customStyle="1" w:styleId="a0">
    <w:name w:val="נבנצאל תו"/>
    <w:basedOn w:val="DefaultParagraphFont"/>
    <w:link w:val="a"/>
    <w:uiPriority w:val="99"/>
    <w:rsid w:val="000501A4"/>
    <w:rPr>
      <w:szCs w:val="20"/>
    </w:rPr>
  </w:style>
  <w:style w:type="paragraph" w:styleId="Header">
    <w:name w:val="header"/>
    <w:basedOn w:val="Normal"/>
    <w:link w:val="a1"/>
    <w:uiPriority w:val="99"/>
    <w:unhideWhenUsed/>
    <w:rsid w:val="000501A4"/>
    <w:pPr>
      <w:tabs>
        <w:tab w:val="center" w:pos="4153"/>
        <w:tab w:val="right" w:pos="8306"/>
      </w:tabs>
      <w:spacing w:line="240" w:lineRule="auto"/>
    </w:pPr>
  </w:style>
  <w:style w:type="character" w:customStyle="1" w:styleId="a1">
    <w:name w:val="כותרת עליונה תו"/>
    <w:basedOn w:val="DefaultParagraphFont"/>
    <w:link w:val="Header"/>
    <w:uiPriority w:val="99"/>
    <w:rsid w:val="000501A4"/>
  </w:style>
  <w:style w:type="paragraph" w:styleId="Footer">
    <w:name w:val="footer"/>
    <w:basedOn w:val="Normal"/>
    <w:link w:val="a2"/>
    <w:uiPriority w:val="99"/>
    <w:unhideWhenUsed/>
    <w:rsid w:val="000501A4"/>
    <w:pPr>
      <w:tabs>
        <w:tab w:val="center" w:pos="4153"/>
        <w:tab w:val="right" w:pos="8306"/>
      </w:tabs>
      <w:spacing w:line="240" w:lineRule="auto"/>
    </w:pPr>
  </w:style>
  <w:style w:type="character" w:customStyle="1" w:styleId="a2">
    <w:name w:val="כותרת תחתונה תו"/>
    <w:basedOn w:val="DefaultParagraphFont"/>
    <w:link w:val="Footer"/>
    <w:uiPriority w:val="99"/>
    <w:rsid w:val="000501A4"/>
  </w:style>
  <w:style w:type="paragraph" w:styleId="Date">
    <w:name w:val="Date"/>
    <w:basedOn w:val="Normal"/>
    <w:next w:val="Normal"/>
    <w:link w:val="a3"/>
    <w:uiPriority w:val="99"/>
    <w:unhideWhenUsed/>
    <w:rsid w:val="000501A4"/>
    <w:pPr>
      <w:spacing w:before="120" w:line="240" w:lineRule="auto"/>
    </w:pPr>
  </w:style>
  <w:style w:type="character" w:customStyle="1" w:styleId="a3">
    <w:name w:val="תאריך תו"/>
    <w:basedOn w:val="DefaultParagraphFont"/>
    <w:link w:val="Date"/>
    <w:uiPriority w:val="99"/>
    <w:rsid w:val="000501A4"/>
  </w:style>
  <w:style w:type="paragraph" w:styleId="FootnoteText">
    <w:name w:val="footnote text"/>
    <w:aliases w:val=" Char,Char,F1,FOOTNOTES,Footnote Text - Sharp,Footnote Text - Sharp Char,Footnote Text - Sharp Char Char,Footnote Text Char Char Char Char Char,Footnote reference,Sharp - Footnote Text,Sharp - Footnote Text1 Char,fn,footnote text"/>
    <w:basedOn w:val="Normal"/>
    <w:link w:val="a4"/>
    <w:uiPriority w:val="99"/>
    <w:rsid w:val="00574579"/>
    <w:pPr>
      <w:spacing w:line="240" w:lineRule="auto"/>
      <w:ind w:left="720" w:hanging="720"/>
    </w:pPr>
    <w:rPr>
      <w:szCs w:val="20"/>
    </w:rPr>
  </w:style>
  <w:style w:type="character" w:customStyle="1" w:styleId="a4">
    <w:name w:val="טקסט הערת שוליים תו"/>
    <w:aliases w:val=" Char תו,Char תו,FOOTNOTES תו,Footnote Text - Sharp Char Char תו,Footnote Text - Sharp Char תו,Footnote Text - Sharp תו,Footnote Text Char Char Char Char Char תו,Footnote reference תו,Sharp - Footnote Text תו,fn תו,footnote text תו"/>
    <w:basedOn w:val="DefaultParagraphFont"/>
    <w:link w:val="FootnoteText"/>
    <w:uiPriority w:val="99"/>
    <w:rsid w:val="00574579"/>
    <w:rPr>
      <w:szCs w:val="20"/>
    </w:rPr>
  </w:style>
  <w:style w:type="character" w:styleId="FootnoteReference1">
    <w:name w:val="footnote reference"/>
    <w:aliases w:val="Footnote Reference_0,Footnote Reference_0_0,Footnote Reference_0_0_0,Footnote Reference_0_0_0_0,Footnote Reference_1,Footnote Reference_2,Footnote Reference_3,Footnote Reference_3_0,Footnote Reference_4,Footnote text,fr,מ"/>
    <w:basedOn w:val="DefaultParagraphFont"/>
    <w:uiPriority w:val="99"/>
    <w:unhideWhenUsed/>
    <w:rsid w:val="000501A4"/>
    <w:rPr>
      <w:vertAlign w:val="superscript"/>
    </w:rPr>
  </w:style>
  <w:style w:type="paragraph" w:styleId="ListParagraph">
    <w:name w:val="List Paragraph"/>
    <w:aliases w:val="Bullet Number,Num Bullet 1,Use Case List Paragraph,style 2,פיסקת רשימה1"/>
    <w:basedOn w:val="Normal"/>
    <w:link w:val="a5"/>
    <w:qFormat/>
    <w:rsid w:val="00B4321D"/>
    <w:pPr>
      <w:ind w:left="720"/>
      <w:contextualSpacing/>
    </w:pPr>
  </w:style>
  <w:style w:type="character" w:customStyle="1" w:styleId="a5">
    <w:name w:val="פיסקת רשימה תו"/>
    <w:aliases w:val="Bullet Number תו,Num Bullet 1 תו,Use Case List Paragraph תו,style 2 תו,פיסקת רשימה1 תו"/>
    <w:link w:val="ListParagraph"/>
    <w:uiPriority w:val="34"/>
    <w:rsid w:val="00B4321D"/>
  </w:style>
  <w:style w:type="table" w:styleId="TableGrid">
    <w:name w:val="Table Grid"/>
    <w:aliases w:val="ללא"/>
    <w:basedOn w:val="TableNormal"/>
    <w:uiPriority w:val="59"/>
    <w:rsid w:val="00B432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a6"/>
    <w:uiPriority w:val="99"/>
    <w:semiHidden/>
    <w:unhideWhenUsed/>
    <w:rsid w:val="00B4321D"/>
    <w:pPr>
      <w:spacing w:line="240" w:lineRule="auto"/>
    </w:pPr>
    <w:rPr>
      <w:rFonts w:ascii="Tahoma" w:hAnsi="Tahoma" w:cs="Tahoma"/>
      <w:sz w:val="18"/>
      <w:szCs w:val="18"/>
    </w:rPr>
  </w:style>
  <w:style w:type="character" w:customStyle="1" w:styleId="a6">
    <w:name w:val="טקסט בלונים תו"/>
    <w:basedOn w:val="DefaultParagraphFont"/>
    <w:link w:val="BalloonText"/>
    <w:uiPriority w:val="99"/>
    <w:semiHidden/>
    <w:rsid w:val="00B4321D"/>
    <w:rPr>
      <w:rFonts w:ascii="Tahoma" w:hAnsi="Tahoma" w:cs="Tahoma"/>
      <w:sz w:val="18"/>
      <w:szCs w:val="18"/>
    </w:rPr>
  </w:style>
  <w:style w:type="character" w:styleId="CommentReference">
    <w:name w:val="annotation reference"/>
    <w:basedOn w:val="DefaultParagraphFont"/>
    <w:uiPriority w:val="99"/>
    <w:semiHidden/>
    <w:unhideWhenUsed/>
    <w:rsid w:val="00B4321D"/>
    <w:rPr>
      <w:sz w:val="16"/>
      <w:szCs w:val="16"/>
    </w:rPr>
  </w:style>
  <w:style w:type="paragraph" w:styleId="CommentText">
    <w:name w:val="annotation text"/>
    <w:basedOn w:val="Normal"/>
    <w:link w:val="a7"/>
    <w:uiPriority w:val="99"/>
    <w:unhideWhenUsed/>
    <w:rsid w:val="00B4321D"/>
    <w:pPr>
      <w:spacing w:line="240" w:lineRule="auto"/>
    </w:pPr>
    <w:rPr>
      <w:szCs w:val="20"/>
    </w:rPr>
  </w:style>
  <w:style w:type="character" w:customStyle="1" w:styleId="a7">
    <w:name w:val="טקסט הערה תו"/>
    <w:basedOn w:val="DefaultParagraphFont"/>
    <w:link w:val="CommentText"/>
    <w:uiPriority w:val="99"/>
    <w:rsid w:val="00B4321D"/>
    <w:rPr>
      <w:szCs w:val="20"/>
    </w:rPr>
  </w:style>
  <w:style w:type="paragraph" w:styleId="CommentSubject">
    <w:name w:val="annotation subject"/>
    <w:basedOn w:val="CommentText"/>
    <w:next w:val="CommentText"/>
    <w:link w:val="a8"/>
    <w:uiPriority w:val="99"/>
    <w:semiHidden/>
    <w:unhideWhenUsed/>
    <w:rsid w:val="00B4321D"/>
    <w:rPr>
      <w:b/>
      <w:bCs/>
    </w:rPr>
  </w:style>
  <w:style w:type="character" w:customStyle="1" w:styleId="a8">
    <w:name w:val="נושא הערה תו"/>
    <w:basedOn w:val="a7"/>
    <w:link w:val="CommentSubject"/>
    <w:uiPriority w:val="99"/>
    <w:semiHidden/>
    <w:rsid w:val="00B4321D"/>
    <w:rPr>
      <w:b/>
      <w:bCs/>
      <w:szCs w:val="20"/>
    </w:rPr>
  </w:style>
  <w:style w:type="paragraph" w:styleId="Revision">
    <w:name w:val="Revision"/>
    <w:hidden/>
    <w:uiPriority w:val="99"/>
    <w:semiHidden/>
    <w:rsid w:val="00B4321D"/>
    <w:pPr>
      <w:spacing w:after="0" w:line="240" w:lineRule="auto"/>
      <w:jc w:val="left"/>
    </w:pPr>
  </w:style>
  <w:style w:type="paragraph" w:styleId="NoSpacing">
    <w:name w:val="No Spacing"/>
    <w:aliases w:val="מספורנוהל"/>
    <w:basedOn w:val="Normal"/>
    <w:link w:val="a9"/>
    <w:uiPriority w:val="1"/>
    <w:qFormat/>
    <w:rsid w:val="00B4321D"/>
    <w:pPr>
      <w:tabs>
        <w:tab w:val="left" w:pos="1701"/>
      </w:tabs>
      <w:spacing w:line="360" w:lineRule="auto"/>
      <w:contextualSpacing/>
    </w:pPr>
    <w:rPr>
      <w:rFonts w:ascii="David" w:eastAsia="Times New Roman" w:hAnsi="David"/>
      <w:b/>
      <w:sz w:val="24"/>
      <w:lang w:eastAsia="he-IL"/>
    </w:rPr>
  </w:style>
  <w:style w:type="character" w:customStyle="1" w:styleId="a9">
    <w:name w:val="ללא מרווח תו"/>
    <w:aliases w:val="מספורנוהל תו"/>
    <w:basedOn w:val="DefaultParagraphFont"/>
    <w:link w:val="NoSpacing"/>
    <w:uiPriority w:val="1"/>
    <w:rsid w:val="00B4321D"/>
    <w:rPr>
      <w:rFonts w:ascii="David" w:eastAsia="Times New Roman" w:hAnsi="David"/>
      <w:b/>
      <w:sz w:val="24"/>
      <w:lang w:eastAsia="he-IL"/>
    </w:rPr>
  </w:style>
  <w:style w:type="paragraph" w:styleId="NormalWeb">
    <w:name w:val="Normal (Web)"/>
    <w:basedOn w:val="Normal"/>
    <w:uiPriority w:val="99"/>
    <w:unhideWhenUsed/>
    <w:rsid w:val="00B4321D"/>
    <w:pPr>
      <w:bidi w:val="0"/>
      <w:spacing w:before="100" w:beforeAutospacing="1" w:after="100" w:afterAutospacing="1" w:line="240" w:lineRule="auto"/>
      <w:jc w:val="left"/>
    </w:pPr>
    <w:rPr>
      <w:rFonts w:eastAsiaTheme="minorEastAsia" w:cs="Times New Roman"/>
      <w:sz w:val="24"/>
    </w:rPr>
  </w:style>
  <w:style w:type="table" w:customStyle="1" w:styleId="12">
    <w:name w:val="רשת טבלה1"/>
    <w:basedOn w:val="TableNormal"/>
    <w:next w:val="TableGrid"/>
    <w:uiPriority w:val="39"/>
    <w:rsid w:val="00B4321D"/>
    <w:pPr>
      <w:spacing w:after="0" w:line="240" w:lineRule="auto"/>
      <w:jc w:val="left"/>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B4321D"/>
    <w:pPr>
      <w:spacing w:after="0" w:line="240" w:lineRule="auto"/>
      <w:jc w:val="left"/>
    </w:pPr>
    <w:rPr>
      <w:rFonts w:asciiTheme="minorHAnsi" w:hAnsiTheme="minorHAnsi" w:cstheme="minorBidi"/>
      <w:sz w:val="22"/>
      <w:szCs w:val="22"/>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character" w:styleId="Hyperlink">
    <w:name w:val="Hyperlink"/>
    <w:basedOn w:val="DefaultParagraphFont"/>
    <w:unhideWhenUsed/>
    <w:rsid w:val="00B4321D"/>
    <w:rPr>
      <w:color w:val="0000FF" w:themeColor="hyperlink"/>
      <w:u w:val="single"/>
    </w:rPr>
  </w:style>
  <w:style w:type="paragraph" w:customStyle="1" w:styleId="75">
    <w:name w:val="75א מספור הערות שוליים"/>
    <w:basedOn w:val="Normal"/>
    <w:qFormat/>
    <w:rsid w:val="00B4321D"/>
    <w:pPr>
      <w:keepLines/>
      <w:spacing w:after="60" w:line="220" w:lineRule="exact"/>
      <w:ind w:left="397" w:hanging="397"/>
    </w:pPr>
    <w:rPr>
      <w:rFonts w:ascii="Tahoma" w:hAnsi="Tahoma" w:cs="Tahoma"/>
      <w:color w:val="0D0D0D" w:themeColor="text1" w:themeTint="F2"/>
      <w:sz w:val="14"/>
      <w:szCs w:val="14"/>
    </w:rPr>
  </w:style>
  <w:style w:type="character" w:styleId="FollowedHyperlink">
    <w:name w:val="FollowedHyperlink"/>
    <w:basedOn w:val="DefaultParagraphFont"/>
    <w:uiPriority w:val="99"/>
    <w:semiHidden/>
    <w:unhideWhenUsed/>
    <w:rsid w:val="00B4321D"/>
    <w:rPr>
      <w:color w:val="800080" w:themeColor="followedHyperlink"/>
      <w:u w:val="single"/>
    </w:rPr>
  </w:style>
  <w:style w:type="character" w:styleId="UnresolvedMention">
    <w:name w:val="Unresolved Mention"/>
    <w:basedOn w:val="DefaultParagraphFont"/>
    <w:uiPriority w:val="99"/>
    <w:semiHidden/>
    <w:unhideWhenUsed/>
    <w:rsid w:val="00B4321D"/>
    <w:rPr>
      <w:color w:val="605E5C"/>
      <w:shd w:val="clear" w:color="auto" w:fill="E1DFDD"/>
    </w:rPr>
  </w:style>
  <w:style w:type="paragraph" w:customStyle="1" w:styleId="a10">
    <w:name w:val="פרטי הדוח ממה"/>
    <w:basedOn w:val="Normal"/>
    <w:qFormat/>
    <w:rsid w:val="00B4321D"/>
    <w:pPr>
      <w:spacing w:before="600" w:line="240" w:lineRule="auto"/>
      <w:ind w:left="284"/>
      <w:jc w:val="left"/>
    </w:pPr>
    <w:rPr>
      <w:rFonts w:ascii="Calibri" w:eastAsia="Calibri" w:hAnsi="Calibri" w:cs="Calibri"/>
      <w:noProof/>
      <w:color w:val="FFFFFF" w:themeColor="background1"/>
      <w:sz w:val="24"/>
    </w:rPr>
  </w:style>
  <w:style w:type="paragraph" w:customStyle="1" w:styleId="a11">
    <w:name w:val="כותרת הדוח ממה"/>
    <w:basedOn w:val="Normal"/>
    <w:link w:val="a12"/>
    <w:qFormat/>
    <w:rsid w:val="00B4321D"/>
    <w:pPr>
      <w:widowControl w:val="0"/>
      <w:spacing w:before="600" w:line="240" w:lineRule="auto"/>
      <w:ind w:left="284"/>
      <w:jc w:val="left"/>
    </w:pPr>
    <w:rPr>
      <w:rFonts w:ascii="Calibri" w:hAnsi="Calibri" w:cs="Calibri"/>
      <w:b/>
      <w:bCs/>
      <w:color w:val="FFFFFF" w:themeColor="background1"/>
      <w:sz w:val="60"/>
      <w:szCs w:val="60"/>
    </w:rPr>
  </w:style>
  <w:style w:type="character" w:customStyle="1" w:styleId="a12">
    <w:name w:val="כותרת הדוח ממה תו"/>
    <w:basedOn w:val="DefaultParagraphFont"/>
    <w:link w:val="a11"/>
    <w:rsid w:val="00B4321D"/>
    <w:rPr>
      <w:rFonts w:ascii="Calibri" w:hAnsi="Calibri" w:cs="Calibri"/>
      <w:b/>
      <w:bCs/>
      <w:color w:val="FFFFFF" w:themeColor="background1"/>
      <w:sz w:val="60"/>
      <w:szCs w:val="60"/>
    </w:rPr>
  </w:style>
  <w:style w:type="paragraph" w:customStyle="1" w:styleId="a13">
    <w:name w:val="טקסט שם מונח ממה"/>
    <w:basedOn w:val="Normal"/>
    <w:qFormat/>
    <w:rsid w:val="00B4321D"/>
    <w:pPr>
      <w:suppressAutoHyphens/>
      <w:autoSpaceDE w:val="0"/>
      <w:autoSpaceDN w:val="0"/>
      <w:adjustRightInd w:val="0"/>
      <w:spacing w:before="60" w:after="60"/>
      <w:ind w:left="57" w:right="170"/>
      <w:jc w:val="left"/>
      <w:textAlignment w:val="center"/>
    </w:pPr>
    <w:rPr>
      <w:rFonts w:ascii="Calibri" w:eastAsia="DengXian" w:hAnsi="Calibri" w:cs="Calibri"/>
      <w:b/>
      <w:bCs/>
      <w:color w:val="002060"/>
      <w:sz w:val="24"/>
      <w:lang w:val="en-GB"/>
    </w:rPr>
  </w:style>
  <w:style w:type="paragraph" w:customStyle="1" w:styleId="a14">
    <w:name w:val="טקסט הגדרת מונח ממה"/>
    <w:link w:val="a15"/>
    <w:qFormat/>
    <w:rsid w:val="00B4321D"/>
    <w:pPr>
      <w:suppressAutoHyphens/>
      <w:autoSpaceDE w:val="0"/>
      <w:autoSpaceDN w:val="0"/>
      <w:bidi/>
      <w:adjustRightInd w:val="0"/>
      <w:spacing w:before="60" w:after="60" w:line="312" w:lineRule="auto"/>
      <w:ind w:left="57" w:right="170"/>
      <w:jc w:val="left"/>
      <w:textAlignment w:val="center"/>
    </w:pPr>
    <w:rPr>
      <w:rFonts w:ascii="Calibri" w:eastAsia="DengXian" w:hAnsi="Calibri" w:cs="Calibri"/>
      <w:color w:val="002060"/>
      <w:sz w:val="24"/>
      <w:lang w:val="en-GB"/>
    </w:rPr>
  </w:style>
  <w:style w:type="character" w:customStyle="1" w:styleId="a15">
    <w:name w:val="טקסט הגדרת מונח ממה תו"/>
    <w:basedOn w:val="DefaultParagraphFont"/>
    <w:link w:val="a14"/>
    <w:rsid w:val="00B4321D"/>
    <w:rPr>
      <w:rFonts w:ascii="Calibri" w:eastAsia="DengXian" w:hAnsi="Calibri" w:cs="Calibri"/>
      <w:color w:val="002060"/>
      <w:sz w:val="24"/>
      <w:lang w:val="en-GB"/>
    </w:rPr>
  </w:style>
  <w:style w:type="paragraph" w:customStyle="1" w:styleId="a16">
    <w:name w:val="מבוא ממה"/>
    <w:basedOn w:val="Normal"/>
    <w:next w:val="Normal"/>
    <w:link w:val="a17"/>
    <w:autoRedefine/>
    <w:qFormat/>
    <w:rsid w:val="00B4321D"/>
    <w:pPr>
      <w:pageBreakBefore/>
      <w:widowControl w:val="0"/>
      <w:shd w:val="clear" w:color="F3F7FF" w:fill="FFFFFF" w:themeFill="background1"/>
      <w:spacing w:before="120" w:line="276" w:lineRule="auto"/>
      <w:ind w:left="1134"/>
      <w:outlineLvl w:val="0"/>
    </w:pPr>
    <w:rPr>
      <w:rFonts w:ascii="Calibri" w:eastAsia="Calibri" w:hAnsi="Calibri" w:cs="Calibri"/>
      <w:color w:val="FFFFFF" w:themeColor="background1"/>
      <w:position w:val="6"/>
      <w:sz w:val="2"/>
      <w:szCs w:val="2"/>
      <w:u w:color="FFFFFF"/>
    </w:rPr>
  </w:style>
  <w:style w:type="character" w:customStyle="1" w:styleId="a17">
    <w:name w:val="מבוא ממה תו"/>
    <w:basedOn w:val="DefaultParagraphFont"/>
    <w:link w:val="a16"/>
    <w:rsid w:val="00B4321D"/>
    <w:rPr>
      <w:rFonts w:ascii="Calibri" w:eastAsia="Calibri" w:hAnsi="Calibri" w:cs="Calibri"/>
      <w:color w:val="FFFFFF" w:themeColor="background1"/>
      <w:position w:val="6"/>
      <w:sz w:val="2"/>
      <w:szCs w:val="2"/>
      <w:u w:color="FFFFFF"/>
      <w:shd w:val="clear" w:color="F3F7FF" w:fill="FFFFFF" w:themeFill="background1"/>
    </w:rPr>
  </w:style>
  <w:style w:type="paragraph" w:customStyle="1" w:styleId="a18">
    <w:name w:val="מראה מקום ממה"/>
    <w:basedOn w:val="Normal"/>
    <w:next w:val="Normal"/>
    <w:link w:val="a19"/>
    <w:qFormat/>
    <w:rsid w:val="00B4321D"/>
    <w:pPr>
      <w:widowControl w:val="0"/>
      <w:pBdr>
        <w:top w:val="single" w:sz="18" w:space="1" w:color="4F81BD" w:themeColor="accent1"/>
      </w:pBdr>
      <w:shd w:val="solid" w:color="F3F7FF" w:fill="auto"/>
      <w:spacing w:before="120" w:line="240" w:lineRule="auto"/>
      <w:ind w:left="1134"/>
    </w:pPr>
    <w:rPr>
      <w:rFonts w:ascii="Calibri" w:eastAsia="Calibri" w:hAnsi="Calibri" w:cs="Calibri"/>
      <w:b/>
      <w:bCs/>
      <w:color w:val="002060"/>
      <w:sz w:val="18"/>
      <w:szCs w:val="18"/>
    </w:rPr>
  </w:style>
  <w:style w:type="character" w:customStyle="1" w:styleId="a19">
    <w:name w:val="מראה מקום ממה תו"/>
    <w:basedOn w:val="DefaultParagraphFont"/>
    <w:link w:val="a18"/>
    <w:rsid w:val="00B4321D"/>
    <w:rPr>
      <w:rFonts w:ascii="Calibri" w:eastAsia="Calibri" w:hAnsi="Calibri" w:cs="Calibri"/>
      <w:b/>
      <w:bCs/>
      <w:color w:val="002060"/>
      <w:sz w:val="18"/>
      <w:szCs w:val="18"/>
      <w:shd w:val="solid" w:color="F3F7FF" w:fill="auto"/>
    </w:rPr>
  </w:style>
  <w:style w:type="paragraph" w:customStyle="1" w:styleId="a20">
    <w:name w:val="כותרת עליונה ממה"/>
    <w:basedOn w:val="Normal"/>
    <w:next w:val="Normal"/>
    <w:link w:val="a21"/>
    <w:qFormat/>
    <w:rsid w:val="00B4321D"/>
    <w:pPr>
      <w:spacing w:line="240" w:lineRule="auto"/>
      <w:ind w:left="737"/>
      <w:jc w:val="left"/>
    </w:pPr>
    <w:rPr>
      <w:rFonts w:ascii="Calibri" w:eastAsia="Calibri" w:hAnsi="Calibri" w:cs="Calibri"/>
      <w:color w:val="002060"/>
      <w:sz w:val="18"/>
      <w:szCs w:val="18"/>
    </w:rPr>
  </w:style>
  <w:style w:type="character" w:customStyle="1" w:styleId="a21">
    <w:name w:val="כותרת עליונה ממה תו"/>
    <w:basedOn w:val="DefaultParagraphFont"/>
    <w:link w:val="a20"/>
    <w:rsid w:val="00B4321D"/>
    <w:rPr>
      <w:rFonts w:ascii="Calibri" w:eastAsia="Calibri" w:hAnsi="Calibri" w:cs="Calibri"/>
      <w:color w:val="002060"/>
      <w:sz w:val="18"/>
      <w:szCs w:val="18"/>
    </w:rPr>
  </w:style>
  <w:style w:type="paragraph" w:customStyle="1" w:styleId="13">
    <w:name w:val="כותרת 1 ממה"/>
    <w:basedOn w:val="Normal"/>
    <w:next w:val="Normal"/>
    <w:link w:val="14"/>
    <w:qFormat/>
    <w:rsid w:val="00B4321D"/>
    <w:pPr>
      <w:keepNext/>
      <w:widowControl w:val="0"/>
      <w:numPr>
        <w:numId w:val="1"/>
      </w:numPr>
      <w:spacing w:before="240" w:after="120" w:line="440" w:lineRule="exact"/>
      <w:jc w:val="left"/>
      <w:outlineLvl w:val="0"/>
    </w:pPr>
    <w:rPr>
      <w:rFonts w:ascii="Calibri" w:eastAsia="Calibri" w:hAnsi="Calibri" w:cs="Calibri"/>
      <w:b/>
      <w:bCs/>
      <w:color w:val="002060"/>
      <w:sz w:val="40"/>
      <w:szCs w:val="40"/>
    </w:rPr>
  </w:style>
  <w:style w:type="character" w:customStyle="1" w:styleId="14">
    <w:name w:val="כותרת 1 ממה תו"/>
    <w:basedOn w:val="DefaultParagraphFont"/>
    <w:link w:val="13"/>
    <w:rsid w:val="00B4321D"/>
    <w:rPr>
      <w:rFonts w:ascii="Calibri" w:eastAsia="Calibri" w:hAnsi="Calibri" w:cs="Calibri"/>
      <w:b/>
      <w:bCs/>
      <w:color w:val="002060"/>
      <w:sz w:val="40"/>
      <w:szCs w:val="40"/>
    </w:rPr>
  </w:style>
  <w:style w:type="paragraph" w:customStyle="1" w:styleId="20">
    <w:name w:val="כותרת 2 ממה"/>
    <w:basedOn w:val="Normal"/>
    <w:next w:val="Normal"/>
    <w:link w:val="21"/>
    <w:qFormat/>
    <w:rsid w:val="00B4321D"/>
    <w:pPr>
      <w:keepNext/>
      <w:widowControl w:val="0"/>
      <w:numPr>
        <w:numId w:val="2"/>
      </w:numPr>
      <w:spacing w:before="240" w:line="280" w:lineRule="exact"/>
      <w:jc w:val="left"/>
      <w:outlineLvl w:val="1"/>
    </w:pPr>
    <w:rPr>
      <w:rFonts w:ascii="Calibri" w:eastAsia="Calibri" w:hAnsi="Calibri" w:cs="Calibri"/>
      <w:b/>
      <w:bCs/>
      <w:color w:val="002060"/>
      <w:sz w:val="36"/>
      <w:szCs w:val="36"/>
    </w:rPr>
  </w:style>
  <w:style w:type="character" w:customStyle="1" w:styleId="21">
    <w:name w:val="כותרת 2 ממה תו"/>
    <w:basedOn w:val="2"/>
    <w:link w:val="20"/>
    <w:rsid w:val="00B4321D"/>
    <w:rPr>
      <w:rFonts w:ascii="Calibri" w:eastAsia="Calibri" w:hAnsi="Calibri" w:cs="Calibri"/>
      <w:b/>
      <w:bCs/>
      <w:color w:val="002060"/>
      <w:sz w:val="36"/>
      <w:szCs w:val="36"/>
    </w:rPr>
  </w:style>
  <w:style w:type="paragraph" w:customStyle="1" w:styleId="30">
    <w:name w:val="כותרת 3 ממה"/>
    <w:basedOn w:val="Normal"/>
    <w:next w:val="Normal"/>
    <w:link w:val="31"/>
    <w:qFormat/>
    <w:rsid w:val="00B4321D"/>
    <w:pPr>
      <w:widowControl w:val="0"/>
      <w:numPr>
        <w:numId w:val="3"/>
      </w:numPr>
      <w:spacing w:before="240" w:line="280" w:lineRule="exact"/>
      <w:jc w:val="left"/>
    </w:pPr>
    <w:rPr>
      <w:rFonts w:ascii="Calibri" w:eastAsia="Calibri" w:hAnsi="Calibri" w:cs="Calibri"/>
      <w:b/>
      <w:bCs/>
      <w:color w:val="002060"/>
      <w:sz w:val="28"/>
      <w:szCs w:val="28"/>
      <w:u w:val="single"/>
    </w:rPr>
  </w:style>
  <w:style w:type="character" w:customStyle="1" w:styleId="31">
    <w:name w:val="כותרת 3 ממה תו"/>
    <w:basedOn w:val="3"/>
    <w:link w:val="30"/>
    <w:rsid w:val="00B4321D"/>
    <w:rPr>
      <w:rFonts w:ascii="Calibri" w:eastAsia="Calibri" w:hAnsi="Calibri" w:cs="Calibri"/>
      <w:b/>
      <w:bCs/>
      <w:color w:val="002060"/>
      <w:sz w:val="28"/>
      <w:szCs w:val="28"/>
      <w:u w:val="single"/>
    </w:rPr>
  </w:style>
  <w:style w:type="paragraph" w:customStyle="1" w:styleId="40">
    <w:name w:val="כותרת 4 ממה"/>
    <w:basedOn w:val="Normal"/>
    <w:next w:val="Normal"/>
    <w:link w:val="41"/>
    <w:qFormat/>
    <w:rsid w:val="00B4321D"/>
    <w:pPr>
      <w:keepNext/>
      <w:widowControl w:val="0"/>
      <w:spacing w:before="240" w:line="280" w:lineRule="exact"/>
      <w:ind w:left="1134"/>
      <w:jc w:val="left"/>
      <w:outlineLvl w:val="3"/>
    </w:pPr>
    <w:rPr>
      <w:rFonts w:ascii="Calibri" w:eastAsia="Calibri" w:hAnsi="Calibri" w:cs="Calibri"/>
      <w:color w:val="002060"/>
      <w:sz w:val="28"/>
      <w:szCs w:val="28"/>
    </w:rPr>
  </w:style>
  <w:style w:type="character" w:customStyle="1" w:styleId="41">
    <w:name w:val="כותרת 4 ממה תו"/>
    <w:basedOn w:val="DefaultParagraphFont"/>
    <w:link w:val="40"/>
    <w:rsid w:val="00B4321D"/>
    <w:rPr>
      <w:rFonts w:ascii="Calibri" w:eastAsia="Calibri" w:hAnsi="Calibri" w:cs="Calibri"/>
      <w:color w:val="002060"/>
      <w:sz w:val="28"/>
      <w:szCs w:val="28"/>
    </w:rPr>
  </w:style>
  <w:style w:type="paragraph" w:customStyle="1" w:styleId="15">
    <w:name w:val="רשימה1 ממה"/>
    <w:basedOn w:val="Normal"/>
    <w:link w:val="16"/>
    <w:qFormat/>
    <w:rsid w:val="00B4321D"/>
    <w:pPr>
      <w:widowControl w:val="0"/>
      <w:numPr>
        <w:numId w:val="4"/>
      </w:numPr>
      <w:spacing w:line="280" w:lineRule="exact"/>
    </w:pPr>
    <w:rPr>
      <w:rFonts w:ascii="Calibri" w:eastAsia="Calibri" w:hAnsi="Calibri" w:cs="Calibri"/>
      <w:color w:val="002060"/>
      <w:sz w:val="24"/>
    </w:rPr>
  </w:style>
  <w:style w:type="character" w:customStyle="1" w:styleId="16">
    <w:name w:val="רשימה1 ממה תו"/>
    <w:basedOn w:val="DefaultParagraphFont"/>
    <w:link w:val="15"/>
    <w:rsid w:val="00B4321D"/>
    <w:rPr>
      <w:rFonts w:ascii="Calibri" w:eastAsia="Calibri" w:hAnsi="Calibri" w:cs="Calibri"/>
      <w:color w:val="002060"/>
      <w:sz w:val="24"/>
    </w:rPr>
  </w:style>
  <w:style w:type="paragraph" w:customStyle="1" w:styleId="22">
    <w:name w:val="רשימה2 ממה"/>
    <w:basedOn w:val="Normal"/>
    <w:link w:val="23"/>
    <w:qFormat/>
    <w:rsid w:val="00B4321D"/>
    <w:pPr>
      <w:widowControl w:val="0"/>
      <w:spacing w:line="280" w:lineRule="exact"/>
      <w:ind w:left="1871"/>
    </w:pPr>
    <w:rPr>
      <w:rFonts w:ascii="Calibri" w:eastAsia="Calibri" w:hAnsi="Calibri" w:cs="Calibri"/>
      <w:color w:val="002060"/>
      <w:sz w:val="24"/>
    </w:rPr>
  </w:style>
  <w:style w:type="character" w:customStyle="1" w:styleId="23">
    <w:name w:val="רשימה2 ממה תו"/>
    <w:basedOn w:val="DefaultParagraphFont"/>
    <w:link w:val="22"/>
    <w:rsid w:val="00B4321D"/>
    <w:rPr>
      <w:rFonts w:ascii="Calibri" w:eastAsia="Calibri" w:hAnsi="Calibri" w:cs="Calibri"/>
      <w:color w:val="002060"/>
      <w:sz w:val="24"/>
    </w:rPr>
  </w:style>
  <w:style w:type="paragraph" w:customStyle="1" w:styleId="32">
    <w:name w:val="רשימה3 ממה"/>
    <w:basedOn w:val="Normal"/>
    <w:link w:val="33"/>
    <w:qFormat/>
    <w:rsid w:val="00B4321D"/>
    <w:pPr>
      <w:widowControl w:val="0"/>
      <w:numPr>
        <w:numId w:val="5"/>
      </w:numPr>
      <w:spacing w:line="280" w:lineRule="exact"/>
    </w:pPr>
    <w:rPr>
      <w:rFonts w:ascii="Calibri" w:eastAsia="Calibri" w:hAnsi="Calibri" w:cs="Calibri"/>
      <w:color w:val="002060"/>
      <w:sz w:val="24"/>
    </w:rPr>
  </w:style>
  <w:style w:type="character" w:customStyle="1" w:styleId="33">
    <w:name w:val="רשימה3 ממה תו"/>
    <w:basedOn w:val="DefaultParagraphFont"/>
    <w:link w:val="32"/>
    <w:rsid w:val="00B4321D"/>
    <w:rPr>
      <w:rFonts w:ascii="Calibri" w:eastAsia="Calibri" w:hAnsi="Calibri" w:cs="Calibri"/>
      <w:color w:val="002060"/>
      <w:sz w:val="24"/>
    </w:rPr>
  </w:style>
  <w:style w:type="paragraph" w:customStyle="1" w:styleId="42">
    <w:name w:val="רשימה4 ממה"/>
    <w:basedOn w:val="Normal"/>
    <w:link w:val="43"/>
    <w:qFormat/>
    <w:rsid w:val="00B4321D"/>
    <w:pPr>
      <w:widowControl w:val="0"/>
      <w:spacing w:line="280" w:lineRule="exact"/>
      <w:ind w:left="2552"/>
    </w:pPr>
    <w:rPr>
      <w:rFonts w:ascii="Calibri" w:eastAsia="Calibri" w:hAnsi="Calibri" w:cs="Calibri"/>
      <w:color w:val="002060"/>
      <w:sz w:val="24"/>
    </w:rPr>
  </w:style>
  <w:style w:type="character" w:customStyle="1" w:styleId="43">
    <w:name w:val="רשימה4 ממה תו"/>
    <w:basedOn w:val="DefaultParagraphFont"/>
    <w:link w:val="42"/>
    <w:rsid w:val="00B4321D"/>
    <w:rPr>
      <w:rFonts w:ascii="Calibri" w:eastAsia="Calibri" w:hAnsi="Calibri" w:cs="Calibri"/>
      <w:color w:val="002060"/>
      <w:sz w:val="24"/>
    </w:rPr>
  </w:style>
  <w:style w:type="paragraph" w:customStyle="1" w:styleId="50">
    <w:name w:val="רשימה5 ממה"/>
    <w:basedOn w:val="Normal"/>
    <w:link w:val="51"/>
    <w:qFormat/>
    <w:rsid w:val="00B4321D"/>
    <w:pPr>
      <w:widowControl w:val="0"/>
      <w:numPr>
        <w:numId w:val="6"/>
      </w:numPr>
      <w:spacing w:line="280" w:lineRule="exact"/>
    </w:pPr>
    <w:rPr>
      <w:rFonts w:ascii="Calibri" w:eastAsia="Calibri" w:hAnsi="Calibri" w:cs="Calibri"/>
      <w:color w:val="002060"/>
      <w:sz w:val="24"/>
    </w:rPr>
  </w:style>
  <w:style w:type="character" w:customStyle="1" w:styleId="51">
    <w:name w:val="רשימה5 ממה תו"/>
    <w:basedOn w:val="DefaultParagraphFont"/>
    <w:link w:val="50"/>
    <w:rsid w:val="00B4321D"/>
    <w:rPr>
      <w:rFonts w:ascii="Calibri" w:eastAsia="Calibri" w:hAnsi="Calibri" w:cs="Calibri"/>
      <w:color w:val="002060"/>
      <w:sz w:val="24"/>
    </w:rPr>
  </w:style>
  <w:style w:type="paragraph" w:customStyle="1" w:styleId="a22">
    <w:name w:val="הערת שוליים ממה"/>
    <w:basedOn w:val="Normal"/>
    <w:link w:val="a23"/>
    <w:qFormat/>
    <w:rsid w:val="00B4321D"/>
    <w:pPr>
      <w:widowControl w:val="0"/>
      <w:spacing w:line="280" w:lineRule="exact"/>
      <w:ind w:left="1985" w:hanging="851"/>
    </w:pPr>
    <w:rPr>
      <w:rFonts w:ascii="Calibri" w:eastAsia="Calibri" w:hAnsi="Calibri" w:cs="Calibri"/>
      <w:color w:val="002060"/>
      <w:sz w:val="24"/>
      <w:szCs w:val="20"/>
    </w:rPr>
  </w:style>
  <w:style w:type="character" w:customStyle="1" w:styleId="a23">
    <w:name w:val="הערת שוליים ממה תו"/>
    <w:basedOn w:val="DefaultParagraphFont"/>
    <w:link w:val="a22"/>
    <w:rsid w:val="00B4321D"/>
    <w:rPr>
      <w:rFonts w:ascii="Calibri" w:eastAsia="Calibri" w:hAnsi="Calibri" w:cs="Calibri"/>
      <w:color w:val="002060"/>
      <w:sz w:val="24"/>
      <w:szCs w:val="20"/>
    </w:rPr>
  </w:style>
  <w:style w:type="paragraph" w:customStyle="1" w:styleId="a24">
    <w:name w:val="הערת סיום ממה"/>
    <w:basedOn w:val="Normal"/>
    <w:link w:val="a25"/>
    <w:qFormat/>
    <w:rsid w:val="00B4321D"/>
    <w:pPr>
      <w:widowControl w:val="0"/>
      <w:spacing w:line="240" w:lineRule="auto"/>
      <w:ind w:left="1134"/>
    </w:pPr>
    <w:rPr>
      <w:rFonts w:ascii="Calibri" w:eastAsia="Calibri" w:hAnsi="Calibri" w:cs="Calibri"/>
      <w:color w:val="002060"/>
      <w:sz w:val="24"/>
      <w:szCs w:val="20"/>
    </w:rPr>
  </w:style>
  <w:style w:type="character" w:customStyle="1" w:styleId="a25">
    <w:name w:val="הערת סיום ממה תו"/>
    <w:basedOn w:val="DefaultParagraphFont"/>
    <w:link w:val="a24"/>
    <w:rsid w:val="00B4321D"/>
    <w:rPr>
      <w:rFonts w:ascii="Calibri" w:eastAsia="Calibri" w:hAnsi="Calibri" w:cs="Calibri"/>
      <w:color w:val="002060"/>
      <w:sz w:val="24"/>
      <w:szCs w:val="20"/>
    </w:rPr>
  </w:style>
  <w:style w:type="paragraph" w:customStyle="1" w:styleId="17">
    <w:name w:val="ליקוי/ממצא חיובי/המלצה1 ממה"/>
    <w:next w:val="Normal"/>
    <w:link w:val="18"/>
    <w:qFormat/>
    <w:rsid w:val="00B4321D"/>
    <w:pPr>
      <w:keepNext/>
      <w:keepLines/>
      <w:widowControl w:val="0"/>
      <w:pBdr>
        <w:bottom w:val="single" w:sz="2" w:space="1" w:color="002060"/>
      </w:pBdr>
      <w:bidi/>
      <w:spacing w:after="0" w:line="280" w:lineRule="exact"/>
      <w:ind w:left="1134"/>
      <w:outlineLvl w:val="8"/>
    </w:pPr>
    <w:rPr>
      <w:rFonts w:ascii="Calibri" w:eastAsia="Calibri" w:hAnsi="Calibri" w:cs="Calibri"/>
      <w:color w:val="002060"/>
      <w:sz w:val="24"/>
    </w:rPr>
  </w:style>
  <w:style w:type="character" w:customStyle="1" w:styleId="18">
    <w:name w:val="ליקוי/ממצא חיובי/המלצה1 ממה תו"/>
    <w:basedOn w:val="DefaultParagraphFont"/>
    <w:link w:val="17"/>
    <w:rsid w:val="00B4321D"/>
    <w:rPr>
      <w:rFonts w:ascii="Calibri" w:eastAsia="Calibri" w:hAnsi="Calibri" w:cs="Calibri"/>
      <w:color w:val="002060"/>
      <w:sz w:val="24"/>
    </w:rPr>
  </w:style>
  <w:style w:type="paragraph" w:customStyle="1" w:styleId="24">
    <w:name w:val="ליקוי/ממצא חיובי/המלצה2 ממה"/>
    <w:basedOn w:val="Normal"/>
    <w:next w:val="Normal"/>
    <w:link w:val="25"/>
    <w:qFormat/>
    <w:rsid w:val="00B4321D"/>
    <w:pPr>
      <w:keepNext/>
      <w:keepLines/>
      <w:widowControl w:val="0"/>
      <w:pBdr>
        <w:bottom w:val="single" w:sz="2" w:space="1" w:color="002060"/>
      </w:pBdr>
      <w:spacing w:line="280" w:lineRule="exact"/>
      <w:ind w:left="1871"/>
      <w:outlineLvl w:val="8"/>
    </w:pPr>
    <w:rPr>
      <w:rFonts w:ascii="Calibri" w:eastAsia="Calibri" w:hAnsi="Calibri" w:cs="Calibri"/>
      <w:color w:val="002060"/>
      <w:sz w:val="24"/>
    </w:rPr>
  </w:style>
  <w:style w:type="character" w:customStyle="1" w:styleId="25">
    <w:name w:val="ליקוי/ממצא חיובי/המלצה2 ממה תו"/>
    <w:basedOn w:val="18"/>
    <w:link w:val="24"/>
    <w:rsid w:val="00B4321D"/>
    <w:rPr>
      <w:rFonts w:ascii="Calibri" w:eastAsia="Calibri" w:hAnsi="Calibri" w:cs="Calibri"/>
      <w:color w:val="002060"/>
      <w:sz w:val="24"/>
    </w:rPr>
  </w:style>
  <w:style w:type="paragraph" w:customStyle="1" w:styleId="34">
    <w:name w:val="ליקוי/ממצא חיובי/המלצה3 ממה"/>
    <w:basedOn w:val="Normal"/>
    <w:link w:val="35"/>
    <w:qFormat/>
    <w:rsid w:val="00B4321D"/>
    <w:pPr>
      <w:keepNext/>
      <w:keepLines/>
      <w:widowControl w:val="0"/>
      <w:pBdr>
        <w:bottom w:val="single" w:sz="4" w:space="1" w:color="002060"/>
      </w:pBdr>
      <w:spacing w:line="280" w:lineRule="exact"/>
      <w:ind w:left="2552"/>
      <w:outlineLvl w:val="8"/>
    </w:pPr>
    <w:rPr>
      <w:rFonts w:ascii="Calibri" w:eastAsia="Calibri" w:hAnsi="Calibri" w:cs="Calibri"/>
      <w:color w:val="002060"/>
      <w:sz w:val="24"/>
    </w:rPr>
  </w:style>
  <w:style w:type="character" w:customStyle="1" w:styleId="35">
    <w:name w:val="ליקוי/ממצא חיובי/המלצה3 ממה תו"/>
    <w:basedOn w:val="DefaultParagraphFont"/>
    <w:link w:val="34"/>
    <w:rsid w:val="00B4321D"/>
    <w:rPr>
      <w:rFonts w:ascii="Calibri" w:eastAsia="Calibri" w:hAnsi="Calibri" w:cs="Calibri"/>
      <w:color w:val="002060"/>
      <w:sz w:val="24"/>
    </w:rPr>
  </w:style>
  <w:style w:type="paragraph" w:customStyle="1" w:styleId="a26">
    <w:name w:val="נבנצאל ממה"/>
    <w:basedOn w:val="Normal"/>
    <w:next w:val="Normal"/>
    <w:link w:val="a27"/>
    <w:uiPriority w:val="99"/>
    <w:qFormat/>
    <w:rsid w:val="00B4321D"/>
    <w:pPr>
      <w:keepNext/>
      <w:spacing w:line="280" w:lineRule="exact"/>
      <w:jc w:val="left"/>
    </w:pPr>
    <w:rPr>
      <w:rFonts w:ascii="Calibri" w:eastAsia="Calibri" w:hAnsi="Calibri" w:cs="Calibri"/>
      <w:color w:val="002060"/>
      <w:szCs w:val="20"/>
    </w:rPr>
  </w:style>
  <w:style w:type="character" w:customStyle="1" w:styleId="a27">
    <w:name w:val="נבנצאל ממה תו"/>
    <w:basedOn w:val="DefaultParagraphFont"/>
    <w:link w:val="a26"/>
    <w:uiPriority w:val="99"/>
    <w:rsid w:val="00B4321D"/>
    <w:rPr>
      <w:rFonts w:ascii="Calibri" w:eastAsia="Calibri" w:hAnsi="Calibri" w:cs="Calibri"/>
      <w:color w:val="002060"/>
      <w:szCs w:val="20"/>
    </w:rPr>
  </w:style>
  <w:style w:type="paragraph" w:customStyle="1" w:styleId="a28">
    <w:name w:val="רגיל ממה"/>
    <w:basedOn w:val="Normal"/>
    <w:link w:val="a29"/>
    <w:qFormat/>
    <w:rsid w:val="00B4321D"/>
    <w:pPr>
      <w:widowControl w:val="0"/>
      <w:spacing w:line="280" w:lineRule="exact"/>
      <w:ind w:left="1134"/>
    </w:pPr>
    <w:rPr>
      <w:rFonts w:ascii="Calibri" w:eastAsia="Calibri" w:hAnsi="Calibri" w:cs="Calibri"/>
      <w:color w:val="002060"/>
      <w:sz w:val="24"/>
    </w:rPr>
  </w:style>
  <w:style w:type="character" w:customStyle="1" w:styleId="a29">
    <w:name w:val="רגיל ממה תו"/>
    <w:basedOn w:val="DefaultParagraphFont"/>
    <w:link w:val="a28"/>
    <w:rsid w:val="00B4321D"/>
    <w:rPr>
      <w:rFonts w:ascii="Calibri" w:eastAsia="Calibri" w:hAnsi="Calibri" w:cs="Calibri"/>
      <w:color w:val="002060"/>
      <w:sz w:val="24"/>
    </w:rPr>
  </w:style>
  <w:style w:type="paragraph" w:customStyle="1" w:styleId="a30">
    <w:name w:val="סיכום ממה"/>
    <w:basedOn w:val="Normal"/>
    <w:next w:val="Normal"/>
    <w:link w:val="a31"/>
    <w:qFormat/>
    <w:rsid w:val="00B4321D"/>
    <w:pPr>
      <w:spacing w:line="276" w:lineRule="auto"/>
      <w:ind w:left="1140"/>
    </w:pPr>
    <w:rPr>
      <w:rFonts w:ascii="Calibri" w:eastAsia="Calibri" w:hAnsi="Calibri" w:cs="Calibri"/>
      <w:b/>
      <w:bCs/>
      <w:color w:val="FFFFFF" w:themeColor="background1"/>
      <w:sz w:val="2"/>
      <w:szCs w:val="2"/>
    </w:rPr>
  </w:style>
  <w:style w:type="character" w:customStyle="1" w:styleId="a31">
    <w:name w:val="סיכום ממה תו"/>
    <w:basedOn w:val="DefaultParagraphFont"/>
    <w:link w:val="a30"/>
    <w:rsid w:val="00B4321D"/>
    <w:rPr>
      <w:rFonts w:ascii="Calibri" w:eastAsia="Calibri" w:hAnsi="Calibri" w:cs="Calibri"/>
      <w:b/>
      <w:bCs/>
      <w:color w:val="FFFFFF" w:themeColor="background1"/>
      <w:sz w:val="2"/>
      <w:szCs w:val="2"/>
    </w:rPr>
  </w:style>
  <w:style w:type="paragraph" w:customStyle="1" w:styleId="a32">
    <w:name w:val="טקסט סיכום ממה"/>
    <w:basedOn w:val="Normal"/>
    <w:next w:val="Normal"/>
    <w:qFormat/>
    <w:rsid w:val="00B4321D"/>
    <w:pPr>
      <w:widowControl w:val="0"/>
      <w:spacing w:after="240" w:line="280" w:lineRule="exact"/>
      <w:ind w:left="1140"/>
    </w:pPr>
    <w:rPr>
      <w:rFonts w:ascii="Calibri" w:eastAsia="Calibri" w:hAnsi="Calibri" w:cs="Calibri"/>
      <w:bCs/>
      <w:color w:val="002060"/>
      <w:sz w:val="24"/>
    </w:rPr>
  </w:style>
  <w:style w:type="paragraph" w:customStyle="1" w:styleId="a33">
    <w:name w:val="סיכום ביניים ממה"/>
    <w:basedOn w:val="Normal"/>
    <w:next w:val="Normal"/>
    <w:qFormat/>
    <w:rsid w:val="00B4321D"/>
    <w:pPr>
      <w:widowControl w:val="0"/>
      <w:spacing w:before="240" w:after="240"/>
      <w:ind w:left="1134"/>
    </w:pPr>
    <w:rPr>
      <w:rFonts w:ascii="Calibri" w:eastAsia="Calibri" w:hAnsi="Calibri" w:cs="Calibri"/>
      <w:noProof/>
      <w:color w:val="002060"/>
      <w:sz w:val="24"/>
    </w:rPr>
  </w:style>
  <w:style w:type="paragraph" w:customStyle="1" w:styleId="a34">
    <w:name w:val="טקסט סיכום ביניים ממה"/>
    <w:basedOn w:val="Normal"/>
    <w:next w:val="Normal"/>
    <w:qFormat/>
    <w:rsid w:val="00B4321D"/>
    <w:pPr>
      <w:widowControl w:val="0"/>
      <w:spacing w:after="240" w:line="280" w:lineRule="exact"/>
      <w:ind w:left="1134"/>
    </w:pPr>
    <w:rPr>
      <w:rFonts w:ascii="Calibri" w:eastAsia="Calibri" w:hAnsi="Calibri" w:cs="Calibri"/>
      <w:bCs/>
      <w:color w:val="002060"/>
      <w:sz w:val="24"/>
    </w:rPr>
  </w:style>
  <w:style w:type="paragraph" w:customStyle="1" w:styleId="a35">
    <w:name w:val="תרשים ממה"/>
    <w:basedOn w:val="Normal"/>
    <w:next w:val="Normal"/>
    <w:link w:val="a36"/>
    <w:qFormat/>
    <w:rsid w:val="00B4321D"/>
    <w:pPr>
      <w:keepNext/>
      <w:keepLines/>
      <w:widowControl w:val="0"/>
      <w:numPr>
        <w:numId w:val="7"/>
      </w:numPr>
      <w:spacing w:line="280" w:lineRule="exact"/>
      <w:jc w:val="center"/>
      <w:outlineLvl w:val="6"/>
    </w:pPr>
    <w:rPr>
      <w:rFonts w:ascii="Calibri" w:eastAsia="Calibri" w:hAnsi="Calibri" w:cs="Calibri"/>
      <w:b/>
      <w:bCs/>
      <w:color w:val="002060"/>
      <w:sz w:val="24"/>
    </w:rPr>
  </w:style>
  <w:style w:type="character" w:customStyle="1" w:styleId="a36">
    <w:name w:val="תרשים ממה תו"/>
    <w:basedOn w:val="DefaultParagraphFont"/>
    <w:link w:val="a35"/>
    <w:rsid w:val="00B4321D"/>
    <w:rPr>
      <w:rFonts w:ascii="Calibri" w:eastAsia="Calibri" w:hAnsi="Calibri" w:cs="Calibri"/>
      <w:b/>
      <w:bCs/>
      <w:color w:val="002060"/>
      <w:sz w:val="24"/>
    </w:rPr>
  </w:style>
  <w:style w:type="paragraph" w:customStyle="1" w:styleId="a37">
    <w:name w:val="תמונה ממה"/>
    <w:basedOn w:val="Normal"/>
    <w:next w:val="Normal"/>
    <w:link w:val="a38"/>
    <w:qFormat/>
    <w:rsid w:val="00B4321D"/>
    <w:pPr>
      <w:keepNext/>
      <w:keepLines/>
      <w:widowControl w:val="0"/>
      <w:numPr>
        <w:numId w:val="8"/>
      </w:numPr>
      <w:spacing w:line="280" w:lineRule="exact"/>
      <w:jc w:val="center"/>
      <w:outlineLvl w:val="6"/>
    </w:pPr>
    <w:rPr>
      <w:rFonts w:ascii="Calibri" w:eastAsia="Calibri" w:hAnsi="Calibri" w:cs="Calibri"/>
      <w:b/>
      <w:bCs/>
      <w:color w:val="002060"/>
      <w:sz w:val="24"/>
    </w:rPr>
  </w:style>
  <w:style w:type="character" w:customStyle="1" w:styleId="a38">
    <w:name w:val="תמונה ממה תו"/>
    <w:basedOn w:val="DefaultParagraphFont"/>
    <w:link w:val="a37"/>
    <w:rsid w:val="00B4321D"/>
    <w:rPr>
      <w:rFonts w:ascii="Calibri" w:eastAsia="Calibri" w:hAnsi="Calibri" w:cs="Calibri"/>
      <w:b/>
      <w:bCs/>
      <w:color w:val="002060"/>
      <w:sz w:val="24"/>
    </w:rPr>
  </w:style>
  <w:style w:type="paragraph" w:customStyle="1" w:styleId="a39">
    <w:name w:val="לוח ממה"/>
    <w:basedOn w:val="Normal"/>
    <w:next w:val="Normal"/>
    <w:link w:val="a40"/>
    <w:qFormat/>
    <w:rsid w:val="00B4321D"/>
    <w:pPr>
      <w:keepNext/>
      <w:keepLines/>
      <w:widowControl w:val="0"/>
      <w:numPr>
        <w:numId w:val="9"/>
      </w:numPr>
      <w:spacing w:line="280" w:lineRule="exact"/>
      <w:jc w:val="center"/>
      <w:outlineLvl w:val="6"/>
    </w:pPr>
    <w:rPr>
      <w:rFonts w:ascii="Calibri" w:eastAsia="Calibri" w:hAnsi="Calibri" w:cs="Calibri"/>
      <w:b/>
      <w:bCs/>
      <w:color w:val="002060"/>
      <w:sz w:val="24"/>
    </w:rPr>
  </w:style>
  <w:style w:type="character" w:customStyle="1" w:styleId="a40">
    <w:name w:val="לוח ממה תו"/>
    <w:basedOn w:val="DefaultParagraphFont"/>
    <w:link w:val="a39"/>
    <w:rsid w:val="00B4321D"/>
    <w:rPr>
      <w:rFonts w:ascii="Calibri" w:eastAsia="Calibri" w:hAnsi="Calibri" w:cs="Calibri"/>
      <w:b/>
      <w:bCs/>
      <w:color w:val="002060"/>
      <w:sz w:val="24"/>
    </w:rPr>
  </w:style>
  <w:style w:type="paragraph" w:customStyle="1" w:styleId="a41">
    <w:name w:val="מפה ממה"/>
    <w:basedOn w:val="Normal"/>
    <w:next w:val="Normal"/>
    <w:link w:val="a42"/>
    <w:qFormat/>
    <w:rsid w:val="00B4321D"/>
    <w:pPr>
      <w:keepNext/>
      <w:keepLines/>
      <w:widowControl w:val="0"/>
      <w:numPr>
        <w:numId w:val="10"/>
      </w:numPr>
      <w:spacing w:line="280" w:lineRule="exact"/>
      <w:jc w:val="center"/>
      <w:outlineLvl w:val="6"/>
    </w:pPr>
    <w:rPr>
      <w:rFonts w:ascii="Calibri" w:eastAsia="Calibri" w:hAnsi="Calibri" w:cs="Calibri"/>
      <w:b/>
      <w:bCs/>
      <w:color w:val="002060"/>
      <w:sz w:val="24"/>
    </w:rPr>
  </w:style>
  <w:style w:type="character" w:customStyle="1" w:styleId="a42">
    <w:name w:val="מפה ממה תו"/>
    <w:basedOn w:val="DefaultParagraphFont"/>
    <w:link w:val="a41"/>
    <w:rsid w:val="00B4321D"/>
    <w:rPr>
      <w:rFonts w:ascii="Calibri" w:eastAsia="Calibri" w:hAnsi="Calibri" w:cs="Calibri"/>
      <w:b/>
      <w:bCs/>
      <w:color w:val="002060"/>
      <w:sz w:val="24"/>
    </w:rPr>
  </w:style>
  <w:style w:type="paragraph" w:customStyle="1" w:styleId="a43">
    <w:name w:val="מקור ממה"/>
    <w:basedOn w:val="Normal"/>
    <w:next w:val="Normal"/>
    <w:qFormat/>
    <w:rsid w:val="00B4321D"/>
    <w:pPr>
      <w:keepNext/>
      <w:keepLines/>
      <w:widowControl w:val="0"/>
      <w:ind w:left="1134"/>
    </w:pPr>
    <w:rPr>
      <w:rFonts w:ascii="Calibri" w:eastAsia="Calibri" w:hAnsi="Calibri" w:cs="Calibri"/>
      <w:color w:val="002060"/>
      <w:szCs w:val="20"/>
    </w:rPr>
  </w:style>
  <w:style w:type="paragraph" w:customStyle="1" w:styleId="a44">
    <w:name w:val="אובייקט ממה"/>
    <w:basedOn w:val="Normal"/>
    <w:next w:val="Normal"/>
    <w:qFormat/>
    <w:rsid w:val="00B4321D"/>
    <w:pPr>
      <w:keepNext/>
      <w:widowControl w:val="0"/>
      <w:spacing w:line="269" w:lineRule="auto"/>
      <w:ind w:left="1134"/>
    </w:pPr>
    <w:rPr>
      <w:rFonts w:ascii="Calibri" w:eastAsia="Calibri" w:hAnsi="Calibri" w:cs="Calibri"/>
      <w:noProof/>
      <w:color w:val="002060"/>
      <w:sz w:val="24"/>
    </w:rPr>
  </w:style>
  <w:style w:type="paragraph" w:customStyle="1" w:styleId="a45">
    <w:name w:val="רכיבי המבוא ממה"/>
    <w:basedOn w:val="Normal"/>
    <w:link w:val="a46"/>
    <w:qFormat/>
    <w:rsid w:val="00B4321D"/>
    <w:pPr>
      <w:pBdr>
        <w:bottom w:val="single" w:sz="8" w:space="1" w:color="F2F2F2"/>
      </w:pBdr>
      <w:spacing w:before="60" w:after="60" w:line="280" w:lineRule="exact"/>
      <w:ind w:left="170" w:right="57"/>
    </w:pPr>
    <w:rPr>
      <w:rFonts w:ascii="Calibri" w:eastAsia="Calibri" w:hAnsi="Calibri" w:cs="Calibri"/>
      <w:color w:val="002060"/>
      <w:szCs w:val="20"/>
    </w:rPr>
  </w:style>
  <w:style w:type="character" w:customStyle="1" w:styleId="a46">
    <w:name w:val="רכיבי המבוא ממה תו"/>
    <w:basedOn w:val="DefaultParagraphFont"/>
    <w:link w:val="a45"/>
    <w:rsid w:val="00B4321D"/>
    <w:rPr>
      <w:rFonts w:ascii="Calibri" w:eastAsia="Calibri" w:hAnsi="Calibri" w:cs="Calibri"/>
      <w:color w:val="002060"/>
      <w:szCs w:val="20"/>
    </w:rPr>
  </w:style>
  <w:style w:type="paragraph" w:customStyle="1" w:styleId="a47">
    <w:name w:val="אייקון במבוא ממה"/>
    <w:basedOn w:val="Normal"/>
    <w:link w:val="a48"/>
    <w:qFormat/>
    <w:rsid w:val="00B4321D"/>
    <w:pPr>
      <w:pBdr>
        <w:bottom w:val="single" w:sz="8" w:space="1" w:color="F2F2F2"/>
      </w:pBdr>
      <w:spacing w:line="240" w:lineRule="auto"/>
      <w:jc w:val="center"/>
    </w:pPr>
    <w:rPr>
      <w:rFonts w:ascii="Calibri" w:eastAsia="Calibri" w:hAnsi="Calibri" w:cs="Calibri"/>
      <w:bCs/>
      <w:color w:val="002060"/>
      <w:sz w:val="24"/>
      <w:szCs w:val="20"/>
    </w:rPr>
  </w:style>
  <w:style w:type="character" w:customStyle="1" w:styleId="a48">
    <w:name w:val="אייקון במבוא ממה תו"/>
    <w:basedOn w:val="DefaultParagraphFont"/>
    <w:link w:val="a47"/>
    <w:rsid w:val="00B4321D"/>
    <w:rPr>
      <w:rFonts w:ascii="Calibri" w:eastAsia="Calibri" w:hAnsi="Calibri" w:cs="Calibri"/>
      <w:bCs/>
      <w:color w:val="002060"/>
      <w:sz w:val="24"/>
      <w:szCs w:val="20"/>
    </w:rPr>
  </w:style>
  <w:style w:type="paragraph" w:customStyle="1" w:styleId="739">
    <w:name w:val="73א טקסט רץ 9"/>
    <w:basedOn w:val="Normal"/>
    <w:link w:val="7390"/>
    <w:qFormat/>
    <w:rsid w:val="00B4321D"/>
    <w:pPr>
      <w:spacing w:after="180" w:line="260" w:lineRule="exact"/>
    </w:pPr>
    <w:rPr>
      <w:rFonts w:ascii="Tahoma" w:hAnsi="Tahoma" w:cs="Tahoma"/>
      <w:color w:val="0D0D0D" w:themeColor="text1" w:themeTint="F2"/>
      <w:sz w:val="18"/>
      <w:szCs w:val="18"/>
    </w:rPr>
  </w:style>
  <w:style w:type="character" w:customStyle="1" w:styleId="7390">
    <w:name w:val="73א טקסט רץ 9 תו"/>
    <w:basedOn w:val="DefaultParagraphFont"/>
    <w:link w:val="739"/>
    <w:rsid w:val="00B4321D"/>
    <w:rPr>
      <w:rFonts w:ascii="Tahoma" w:hAnsi="Tahoma" w:cs="Tahoma"/>
      <w:color w:val="0D0D0D" w:themeColor="text1" w:themeTint="F2"/>
      <w:sz w:val="18"/>
      <w:szCs w:val="18"/>
    </w:rPr>
  </w:style>
  <w:style w:type="character" w:customStyle="1" w:styleId="size">
    <w:name w:val="size"/>
    <w:basedOn w:val="DefaultParagraphFont"/>
    <w:rsid w:val="009E2768"/>
  </w:style>
  <w:style w:type="table" w:styleId="GridTable5DarkAccent5">
    <w:name w:val="Grid Table 5 Dark Accent 5"/>
    <w:basedOn w:val="TableNormal"/>
    <w:uiPriority w:val="50"/>
    <w:rsid w:val="009E276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5DarkAccent3">
    <w:name w:val="Grid Table 5 Dark Accent 3"/>
    <w:basedOn w:val="TableNormal"/>
    <w:uiPriority w:val="50"/>
    <w:rsid w:val="009E276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styleId="Emphasis">
    <w:name w:val="Emphasis"/>
    <w:basedOn w:val="DefaultParagraphFont"/>
    <w:uiPriority w:val="20"/>
    <w:qFormat/>
    <w:rsid w:val="009E2768"/>
    <w:rPr>
      <w:i/>
      <w:iCs/>
    </w:rPr>
  </w:style>
  <w:style w:type="paragraph" w:customStyle="1" w:styleId="a49">
    <w:name w:val="סגנון בסיס"/>
    <w:basedOn w:val="Normal"/>
    <w:rsid w:val="009E2768"/>
    <w:pPr>
      <w:spacing w:line="360" w:lineRule="auto"/>
      <w:ind w:right="360"/>
    </w:pPr>
    <w:rPr>
      <w:rFonts w:eastAsia="Times New Roman" w:cs="Narkisim"/>
      <w:sz w:val="24"/>
      <w:szCs w:val="25"/>
      <w:lang w:eastAsia="he-IL"/>
    </w:rPr>
  </w:style>
  <w:style w:type="character" w:customStyle="1" w:styleId="HTML">
    <w:name w:val="HTML מעוצב מראש תו"/>
    <w:basedOn w:val="DefaultParagraphFont"/>
    <w:link w:val="HTMLPreformatted"/>
    <w:uiPriority w:val="99"/>
    <w:semiHidden/>
    <w:rsid w:val="00AA5065"/>
    <w:rPr>
      <w:rFonts w:ascii="Courier New" w:eastAsia="Times New Roman" w:hAnsi="Courier New" w:cs="Courier New"/>
      <w:szCs w:val="20"/>
    </w:rPr>
  </w:style>
  <w:style w:type="paragraph" w:styleId="HTMLPreformatted">
    <w:name w:val="HTML Preformatted"/>
    <w:basedOn w:val="Normal"/>
    <w:link w:val="HTML"/>
    <w:uiPriority w:val="99"/>
    <w:semiHidden/>
    <w:unhideWhenUsed/>
    <w:rsid w:val="00AA50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240" w:lineRule="auto"/>
      <w:jc w:val="left"/>
    </w:pPr>
    <w:rPr>
      <w:rFonts w:ascii="Courier New" w:eastAsia="Times New Roman" w:hAnsi="Courier New" w:cs="Courier New"/>
      <w:szCs w:val="20"/>
    </w:rPr>
  </w:style>
  <w:style w:type="character" w:customStyle="1" w:styleId="HTML1">
    <w:name w:val="HTML מעוצב מראש תו1"/>
    <w:basedOn w:val="DefaultParagraphFont"/>
    <w:uiPriority w:val="99"/>
    <w:semiHidden/>
    <w:rsid w:val="00AA5065"/>
    <w:rPr>
      <w:rFonts w:ascii="Consolas" w:hAnsi="Consolas"/>
      <w:szCs w:val="20"/>
    </w:rPr>
  </w:style>
  <w:style w:type="paragraph" w:styleId="TOC1">
    <w:name w:val="toc 1"/>
    <w:basedOn w:val="Normal"/>
    <w:next w:val="Normal"/>
    <w:autoRedefine/>
    <w:uiPriority w:val="39"/>
    <w:rsid w:val="00AA5065"/>
    <w:pPr>
      <w:tabs>
        <w:tab w:val="right" w:leader="dot" w:pos="8296"/>
      </w:tabs>
      <w:spacing w:before="120" w:after="120" w:line="240" w:lineRule="auto"/>
      <w:ind w:left="566"/>
      <w:jc w:val="center"/>
    </w:pPr>
    <w:rPr>
      <w:rFonts w:eastAsia="Times New Roman"/>
      <w:b/>
      <w:bCs/>
      <w:caps/>
      <w:sz w:val="40"/>
      <w:szCs w:val="40"/>
    </w:rPr>
  </w:style>
  <w:style w:type="paragraph" w:customStyle="1" w:styleId="36">
    <w:name w:val="מא3"/>
    <w:basedOn w:val="Normal"/>
    <w:link w:val="37"/>
    <w:rsid w:val="00AA5065"/>
    <w:pPr>
      <w:tabs>
        <w:tab w:val="left" w:pos="1701"/>
        <w:tab w:val="left" w:pos="2268"/>
      </w:tabs>
      <w:overflowPunct w:val="0"/>
      <w:autoSpaceDE w:val="0"/>
      <w:autoSpaceDN w:val="0"/>
      <w:adjustRightInd w:val="0"/>
      <w:spacing w:line="264" w:lineRule="auto"/>
      <w:ind w:left="2268" w:hanging="567"/>
      <w:textAlignment w:val="baseline"/>
    </w:pPr>
    <w:rPr>
      <w:rFonts w:eastAsia="Times New Roman" w:cs="Narkisim"/>
    </w:rPr>
  </w:style>
  <w:style w:type="character" w:customStyle="1" w:styleId="37">
    <w:name w:val="מא3 תו"/>
    <w:link w:val="36"/>
    <w:locked/>
    <w:rsid w:val="00AA5065"/>
    <w:rPr>
      <w:rFonts w:eastAsia="Times New Roman" w:cs="Narkisim"/>
    </w:rPr>
  </w:style>
  <w:style w:type="paragraph" w:customStyle="1" w:styleId="44">
    <w:name w:val="מא4"/>
    <w:basedOn w:val="36"/>
    <w:link w:val="45"/>
    <w:rsid w:val="00AA5065"/>
    <w:pPr>
      <w:tabs>
        <w:tab w:val="clear" w:pos="1701"/>
        <w:tab w:val="left" w:pos="2835"/>
      </w:tabs>
      <w:ind w:left="2835"/>
    </w:pPr>
  </w:style>
  <w:style w:type="character" w:customStyle="1" w:styleId="45">
    <w:name w:val="מא4 תו"/>
    <w:basedOn w:val="DefaultParagraphFont"/>
    <w:link w:val="44"/>
    <w:locked/>
    <w:rsid w:val="00AA5065"/>
    <w:rPr>
      <w:rFonts w:eastAsia="Times New Roman" w:cs="Narkisim"/>
    </w:rPr>
  </w:style>
  <w:style w:type="paragraph" w:customStyle="1" w:styleId="t-body-text">
    <w:name w:val="t-body-text"/>
    <w:basedOn w:val="Normal"/>
    <w:rsid w:val="00AA5065"/>
    <w:pPr>
      <w:bidi w:val="0"/>
      <w:spacing w:before="100" w:beforeAutospacing="1" w:after="100" w:afterAutospacing="1" w:line="240" w:lineRule="auto"/>
      <w:jc w:val="left"/>
    </w:pPr>
    <w:rPr>
      <w:rFonts w:eastAsia="Times New Roman" w:cs="Times New Roman"/>
      <w:sz w:val="24"/>
    </w:rPr>
  </w:style>
  <w:style w:type="paragraph" w:customStyle="1" w:styleId="KOT4">
    <w:name w:val="KOT4"/>
    <w:basedOn w:val="Normal"/>
    <w:rsid w:val="00AA5065"/>
    <w:pPr>
      <w:keepNext/>
      <w:spacing w:after="240" w:line="300" w:lineRule="exact"/>
      <w:jc w:val="left"/>
      <w:outlineLvl w:val="1"/>
    </w:pPr>
    <w:rPr>
      <w:rFonts w:eastAsia="Times New Roman"/>
      <w:b/>
      <w:bCs/>
      <w:sz w:val="26"/>
      <w:szCs w:val="26"/>
    </w:rPr>
  </w:style>
  <w:style w:type="paragraph" w:customStyle="1" w:styleId="RESHET">
    <w:name w:val="RESHET"/>
    <w:basedOn w:val="Normal"/>
    <w:rsid w:val="00AA5065"/>
    <w:pPr>
      <w:pBdr>
        <w:top w:val="single" w:sz="4" w:space="4" w:color="FFFFFF"/>
        <w:left w:val="single" w:sz="4" w:space="11" w:color="FFFFFF"/>
        <w:bottom w:val="single" w:sz="4" w:space="6" w:color="FFFFFF"/>
        <w:right w:val="single" w:sz="4" w:space="11" w:color="FFFFFF"/>
      </w:pBdr>
      <w:shd w:val="pct25" w:color="00FF00" w:fill="auto"/>
      <w:spacing w:after="120" w:line="230" w:lineRule="exact"/>
      <w:ind w:left="227" w:right="227"/>
    </w:pPr>
    <w:rPr>
      <w:rFonts w:eastAsia="Times New Roman" w:cs="FrankRuehl"/>
      <w:b/>
      <w:bCs/>
      <w:sz w:val="24"/>
      <w:szCs w:val="22"/>
      <w:lang w:eastAsia="he-IL"/>
    </w:rPr>
  </w:style>
  <w:style w:type="character" w:customStyle="1" w:styleId="19">
    <w:name w:val="כותרת תחתונה תו1"/>
    <w:uiPriority w:val="99"/>
    <w:rsid w:val="00AA5065"/>
    <w:rPr>
      <w:rFonts w:cs="David"/>
      <w:sz w:val="24"/>
      <w:szCs w:val="24"/>
    </w:rPr>
  </w:style>
  <w:style w:type="paragraph" w:styleId="BodyText">
    <w:name w:val="Body Text"/>
    <w:basedOn w:val="Normal"/>
    <w:link w:val="110"/>
    <w:rsid w:val="00AA5065"/>
    <w:pPr>
      <w:spacing w:before="180" w:after="120" w:line="230" w:lineRule="exact"/>
    </w:pPr>
    <w:rPr>
      <w:rFonts w:eastAsia="Times New Roman" w:cs="FrankRuehl"/>
      <w:sz w:val="22"/>
      <w:szCs w:val="22"/>
    </w:rPr>
  </w:style>
  <w:style w:type="character" w:customStyle="1" w:styleId="a50">
    <w:name w:val="גוף טקסט תו"/>
    <w:basedOn w:val="DefaultParagraphFont"/>
    <w:rsid w:val="00AA5065"/>
  </w:style>
  <w:style w:type="character" w:customStyle="1" w:styleId="110">
    <w:name w:val="גוף טקסט תו1"/>
    <w:link w:val="BodyText"/>
    <w:rsid w:val="00AA5065"/>
    <w:rPr>
      <w:rFonts w:eastAsia="Times New Roman" w:cs="FrankRuehl"/>
      <w:sz w:val="22"/>
      <w:szCs w:val="22"/>
    </w:rPr>
  </w:style>
  <w:style w:type="character" w:customStyle="1" w:styleId="26">
    <w:name w:val="טקסט הערת שוליים תו2"/>
    <w:rsid w:val="00AA5065"/>
    <w:rPr>
      <w:rFonts w:cs="David"/>
    </w:rPr>
  </w:style>
  <w:style w:type="character" w:styleId="Strong">
    <w:name w:val="Strong"/>
    <w:basedOn w:val="DefaultParagraphFont"/>
    <w:uiPriority w:val="22"/>
    <w:qFormat/>
    <w:rsid w:val="00AA5065"/>
    <w:rPr>
      <w:b/>
      <w:bCs/>
    </w:rPr>
  </w:style>
  <w:style w:type="paragraph" w:customStyle="1" w:styleId="a51">
    <w:name w:val="הגדרות"/>
    <w:basedOn w:val="Normal"/>
    <w:link w:val="a52"/>
    <w:qFormat/>
    <w:rsid w:val="00AA5065"/>
    <w:pPr>
      <w:spacing w:line="360" w:lineRule="auto"/>
      <w:contextualSpacing/>
    </w:pPr>
    <w:rPr>
      <w:rFonts w:ascii="Arial" w:eastAsia="Times New Roman" w:hAnsi="Arial" w:cs="Arial"/>
      <w:sz w:val="22"/>
      <w:szCs w:val="22"/>
    </w:rPr>
  </w:style>
  <w:style w:type="character" w:customStyle="1" w:styleId="a52">
    <w:name w:val="הגדרות תו"/>
    <w:basedOn w:val="DefaultParagraphFont"/>
    <w:link w:val="a51"/>
    <w:rsid w:val="00AA5065"/>
    <w:rPr>
      <w:rFonts w:ascii="Arial" w:eastAsia="Times New Roman" w:hAnsi="Arial" w:cs="Arial"/>
      <w:sz w:val="22"/>
      <w:szCs w:val="22"/>
    </w:rPr>
  </w:style>
  <w:style w:type="character" w:customStyle="1" w:styleId="Footnote">
    <w:name w:val="Footnote_"/>
    <w:basedOn w:val="DefaultParagraphFont"/>
    <w:link w:val="Footnote0"/>
    <w:locked/>
    <w:rsid w:val="00AA5065"/>
    <w:rPr>
      <w:rFonts w:ascii="Tahoma" w:eastAsia="Tahoma" w:hAnsi="Tahoma" w:cs="Tahoma"/>
      <w:sz w:val="14"/>
      <w:szCs w:val="14"/>
      <w:shd w:val="clear" w:color="auto" w:fill="FFFFFF"/>
    </w:rPr>
  </w:style>
  <w:style w:type="paragraph" w:customStyle="1" w:styleId="Footnote0">
    <w:name w:val="Footnote"/>
    <w:basedOn w:val="Normal"/>
    <w:link w:val="Footnote"/>
    <w:rsid w:val="00AA5065"/>
    <w:pPr>
      <w:widowControl w:val="0"/>
      <w:shd w:val="clear" w:color="auto" w:fill="FFFFFF"/>
      <w:spacing w:line="197" w:lineRule="exact"/>
      <w:ind w:hanging="440"/>
    </w:pPr>
    <w:rPr>
      <w:rFonts w:ascii="Tahoma" w:eastAsia="Tahoma" w:hAnsi="Tahoma" w:cs="Tahoma"/>
      <w:sz w:val="14"/>
      <w:szCs w:val="14"/>
    </w:rPr>
  </w:style>
  <w:style w:type="character" w:customStyle="1" w:styleId="FootnoteBold">
    <w:name w:val="Footnote + Bold"/>
    <w:basedOn w:val="Footnote"/>
    <w:rsid w:val="00AA5065"/>
    <w:rPr>
      <w:rFonts w:ascii="Tahoma" w:eastAsia="Tahoma" w:hAnsi="Tahoma" w:cs="Tahoma"/>
      <w:b/>
      <w:bCs/>
      <w:color w:val="000000"/>
      <w:spacing w:val="0"/>
      <w:w w:val="100"/>
      <w:position w:val="0"/>
      <w:sz w:val="14"/>
      <w:szCs w:val="14"/>
      <w:shd w:val="clear" w:color="auto" w:fill="FFFFFF"/>
      <w:lang w:val="he-IL" w:eastAsia="he-IL" w:bidi="he-IL"/>
    </w:rPr>
  </w:style>
  <w:style w:type="character" w:customStyle="1" w:styleId="Bodytext9Exact">
    <w:name w:val="Body text (9) Exact"/>
    <w:basedOn w:val="DefaultParagraphFont"/>
    <w:rsid w:val="00AA5065"/>
    <w:rPr>
      <w:rFonts w:ascii="Tahoma" w:eastAsia="Tahoma" w:hAnsi="Tahoma" w:cs="Tahoma" w:hint="default"/>
      <w:b w:val="0"/>
      <w:bCs w:val="0"/>
      <w:i w:val="0"/>
      <w:iCs w:val="0"/>
      <w:smallCaps w:val="0"/>
      <w:strike w:val="0"/>
      <w:dstrike w:val="0"/>
      <w:sz w:val="22"/>
      <w:szCs w:val="22"/>
      <w:u w:val="none"/>
      <w:effect w:val="none"/>
    </w:rPr>
  </w:style>
  <w:style w:type="paragraph" w:customStyle="1" w:styleId="DecimalAligned">
    <w:name w:val="Decimal Aligned"/>
    <w:basedOn w:val="Normal"/>
    <w:uiPriority w:val="40"/>
    <w:qFormat/>
    <w:rsid w:val="00AA5065"/>
    <w:pPr>
      <w:tabs>
        <w:tab w:val="decimal" w:pos="360"/>
      </w:tabs>
      <w:spacing w:after="200" w:line="276" w:lineRule="auto"/>
      <w:jc w:val="left"/>
    </w:pPr>
    <w:rPr>
      <w:rFonts w:ascii="Calibri" w:eastAsia="Times New Roman" w:hAnsi="Calibri" w:cs="Times New Roman"/>
      <w:sz w:val="22"/>
      <w:szCs w:val="22"/>
      <w:rtl/>
      <w:cs/>
    </w:rPr>
  </w:style>
  <w:style w:type="character" w:styleId="SubtleEmphasis">
    <w:name w:val="Subtle Emphasis"/>
    <w:basedOn w:val="DefaultParagraphFont"/>
    <w:uiPriority w:val="19"/>
    <w:qFormat/>
    <w:rsid w:val="00AA5065"/>
    <w:rPr>
      <w:i/>
      <w:iCs/>
    </w:rPr>
  </w:style>
  <w:style w:type="character" w:customStyle="1" w:styleId="Bodytext2">
    <w:name w:val="Body text (2)_"/>
    <w:basedOn w:val="DefaultParagraphFont"/>
    <w:link w:val="Bodytext20"/>
    <w:rsid w:val="00AA5065"/>
    <w:rPr>
      <w:rFonts w:ascii="David" w:eastAsia="David" w:hAnsi="David"/>
      <w:sz w:val="22"/>
      <w:szCs w:val="22"/>
      <w:shd w:val="clear" w:color="auto" w:fill="FFFFFF"/>
    </w:rPr>
  </w:style>
  <w:style w:type="paragraph" w:customStyle="1" w:styleId="Bodytext20">
    <w:name w:val="Body text (2)"/>
    <w:basedOn w:val="Normal"/>
    <w:link w:val="Bodytext2"/>
    <w:rsid w:val="00AA5065"/>
    <w:pPr>
      <w:widowControl w:val="0"/>
      <w:shd w:val="clear" w:color="auto" w:fill="FFFFFF"/>
      <w:spacing w:line="475" w:lineRule="exact"/>
      <w:ind w:hanging="360"/>
      <w:jc w:val="left"/>
    </w:pPr>
    <w:rPr>
      <w:rFonts w:ascii="David" w:eastAsia="David" w:hAnsi="David"/>
      <w:sz w:val="22"/>
      <w:szCs w:val="22"/>
    </w:rPr>
  </w:style>
  <w:style w:type="character" w:customStyle="1" w:styleId="Bodytext3">
    <w:name w:val="Body text (3)"/>
    <w:basedOn w:val="DefaultParagraphFont"/>
    <w:rsid w:val="00AA5065"/>
    <w:rPr>
      <w:rFonts w:ascii="David" w:eastAsia="David" w:hAnsi="David" w:cs="David"/>
      <w:b/>
      <w:bCs/>
      <w:i w:val="0"/>
      <w:iCs w:val="0"/>
      <w:smallCaps w:val="0"/>
      <w:strike w:val="0"/>
      <w:color w:val="000000"/>
      <w:spacing w:val="0"/>
      <w:w w:val="100"/>
      <w:position w:val="0"/>
      <w:sz w:val="22"/>
      <w:szCs w:val="22"/>
      <w:u w:val="single"/>
      <w:lang w:val="he-IL" w:eastAsia="he-IL" w:bidi="he-IL"/>
    </w:rPr>
  </w:style>
  <w:style w:type="character" w:customStyle="1" w:styleId="Bodytext3NotBold">
    <w:name w:val="Body text (3) + Not Bold"/>
    <w:basedOn w:val="DefaultParagraphFont"/>
    <w:rsid w:val="00AA5065"/>
    <w:rPr>
      <w:rFonts w:ascii="David" w:eastAsia="David" w:hAnsi="David" w:cs="David"/>
      <w:b/>
      <w:bCs/>
      <w:i w:val="0"/>
      <w:iCs w:val="0"/>
      <w:smallCaps w:val="0"/>
      <w:strike w:val="0"/>
      <w:color w:val="000000"/>
      <w:spacing w:val="0"/>
      <w:w w:val="100"/>
      <w:position w:val="0"/>
      <w:sz w:val="22"/>
      <w:szCs w:val="22"/>
      <w:u w:val="none"/>
      <w:lang w:val="he-IL" w:eastAsia="he-IL" w:bidi="he-IL"/>
    </w:rPr>
  </w:style>
  <w:style w:type="paragraph" w:customStyle="1" w:styleId="400">
    <w:name w:val="כותרת 4_0"/>
    <w:basedOn w:val="Normal"/>
    <w:next w:val="Normal"/>
    <w:rsid w:val="00AA5065"/>
    <w:pPr>
      <w:widowControl w:val="0"/>
      <w:spacing w:before="100" w:beforeAutospacing="1" w:line="264" w:lineRule="auto"/>
      <w:jc w:val="left"/>
    </w:pPr>
    <w:rPr>
      <w:rFonts w:eastAsia="Times New Roman"/>
      <w:b/>
      <w:bCs/>
      <w:sz w:val="22"/>
      <w:szCs w:val="26"/>
      <w:lang w:eastAsia="he-IL"/>
    </w:rPr>
  </w:style>
  <w:style w:type="character" w:customStyle="1" w:styleId="a53">
    <w:name w:val="טקסט רגיל תו"/>
    <w:basedOn w:val="DefaultParagraphFont"/>
    <w:link w:val="PlainText"/>
    <w:uiPriority w:val="99"/>
    <w:semiHidden/>
    <w:rsid w:val="00AA5065"/>
    <w:rPr>
      <w:rFonts w:ascii="Calibri" w:hAnsi="Calibri" w:cs="Arial"/>
      <w:sz w:val="22"/>
      <w:szCs w:val="21"/>
    </w:rPr>
  </w:style>
  <w:style w:type="paragraph" w:customStyle="1" w:styleId="111">
    <w:name w:val="טקסט רגיל1"/>
    <w:basedOn w:val="Normal"/>
    <w:next w:val="PlainText"/>
    <w:uiPriority w:val="99"/>
    <w:semiHidden/>
    <w:unhideWhenUsed/>
    <w:rsid w:val="00AA5065"/>
    <w:pPr>
      <w:spacing w:line="240" w:lineRule="auto"/>
      <w:jc w:val="left"/>
    </w:pPr>
    <w:rPr>
      <w:rFonts w:ascii="Calibri" w:hAnsi="Calibri" w:cs="Arial"/>
      <w:sz w:val="22"/>
      <w:szCs w:val="21"/>
    </w:rPr>
  </w:style>
  <w:style w:type="paragraph" w:styleId="Title">
    <w:name w:val="Title"/>
    <w:basedOn w:val="Normal"/>
    <w:link w:val="a54"/>
    <w:qFormat/>
    <w:rsid w:val="00AA5065"/>
    <w:pPr>
      <w:spacing w:line="288" w:lineRule="auto"/>
      <w:jc w:val="center"/>
    </w:pPr>
    <w:rPr>
      <w:rFonts w:eastAsia="Times New Roman" w:cs="Times New Roman"/>
      <w:b/>
      <w:bCs/>
      <w:noProof/>
      <w:sz w:val="24"/>
      <w:u w:val="single"/>
      <w:lang w:eastAsia="he-IL"/>
    </w:rPr>
  </w:style>
  <w:style w:type="character" w:customStyle="1" w:styleId="a54">
    <w:name w:val="כותרת טקסט תו"/>
    <w:basedOn w:val="DefaultParagraphFont"/>
    <w:link w:val="Title"/>
    <w:rsid w:val="00AA5065"/>
    <w:rPr>
      <w:rFonts w:eastAsia="Times New Roman" w:cs="Times New Roman"/>
      <w:b/>
      <w:bCs/>
      <w:noProof/>
      <w:sz w:val="24"/>
      <w:u w:val="single"/>
      <w:lang w:eastAsia="he-IL"/>
    </w:rPr>
  </w:style>
  <w:style w:type="paragraph" w:customStyle="1" w:styleId="Normalbold">
    <w:name w:val="Normal bold"/>
    <w:basedOn w:val="Normal"/>
    <w:next w:val="Normal"/>
    <w:rsid w:val="00AA5065"/>
    <w:pPr>
      <w:spacing w:line="288" w:lineRule="auto"/>
    </w:pPr>
    <w:rPr>
      <w:rFonts w:eastAsia="Times New Roman" w:cs="Times New Roman"/>
      <w:b/>
      <w:bCs/>
      <w:noProof/>
      <w:sz w:val="24"/>
      <w:szCs w:val="22"/>
      <w:lang w:eastAsia="he-IL"/>
    </w:rPr>
  </w:style>
  <w:style w:type="paragraph" w:customStyle="1" w:styleId="a55">
    <w:name w:val="כוכבית"/>
    <w:basedOn w:val="Normal"/>
    <w:autoRedefine/>
    <w:rsid w:val="00AA5065"/>
    <w:pPr>
      <w:spacing w:line="288" w:lineRule="auto"/>
      <w:jc w:val="center"/>
    </w:pPr>
    <w:rPr>
      <w:rFonts w:eastAsia="Times New Roman" w:cs="Times New Roman"/>
      <w:b/>
      <w:bCs/>
      <w:noProof/>
      <w:sz w:val="16"/>
      <w:szCs w:val="40"/>
      <w:lang w:eastAsia="he-IL"/>
    </w:rPr>
  </w:style>
  <w:style w:type="paragraph" w:customStyle="1" w:styleId="310">
    <w:name w:val="כותרת 31"/>
    <w:basedOn w:val="Normal"/>
    <w:next w:val="Normal"/>
    <w:rsid w:val="00AA5065"/>
    <w:pPr>
      <w:spacing w:before="100" w:beforeAutospacing="1" w:line="288" w:lineRule="auto"/>
      <w:jc w:val="left"/>
      <w:outlineLvl w:val="2"/>
    </w:pPr>
    <w:rPr>
      <w:rFonts w:eastAsia="Times New Roman" w:cs="Times New Roman"/>
      <w:b/>
      <w:bCs/>
      <w:noProof/>
      <w:sz w:val="24"/>
      <w:szCs w:val="28"/>
      <w:u w:val="single"/>
      <w:lang w:eastAsia="he-IL"/>
    </w:rPr>
  </w:style>
  <w:style w:type="paragraph" w:customStyle="1" w:styleId="410">
    <w:name w:val="כותרת 41"/>
    <w:basedOn w:val="Normal"/>
    <w:next w:val="Normal"/>
    <w:rsid w:val="00AA5065"/>
    <w:pPr>
      <w:spacing w:before="100" w:beforeAutospacing="1" w:line="264" w:lineRule="auto"/>
      <w:jc w:val="left"/>
      <w:outlineLvl w:val="3"/>
    </w:pPr>
    <w:rPr>
      <w:rFonts w:eastAsia="Times New Roman" w:cs="Times New Roman"/>
      <w:b/>
      <w:bCs/>
      <w:noProof/>
      <w:sz w:val="22"/>
      <w:szCs w:val="26"/>
      <w:lang w:eastAsia="he-IL"/>
    </w:rPr>
  </w:style>
  <w:style w:type="paragraph" w:customStyle="1" w:styleId="a56">
    <w:name w:val="נבנצלים"/>
    <w:basedOn w:val="Normal"/>
    <w:next w:val="Normal"/>
    <w:rsid w:val="00AA5065"/>
    <w:pPr>
      <w:spacing w:line="288" w:lineRule="auto"/>
      <w:ind w:left="-567"/>
    </w:pPr>
    <w:rPr>
      <w:rFonts w:eastAsia="Times New Roman" w:cs="Times New Roman"/>
      <w:noProof/>
      <w:sz w:val="24"/>
      <w:szCs w:val="20"/>
      <w:lang w:eastAsia="he-IL"/>
    </w:rPr>
  </w:style>
  <w:style w:type="paragraph" w:styleId="BodyText21">
    <w:name w:val="Body Text 2"/>
    <w:basedOn w:val="Normal"/>
    <w:link w:val="27"/>
    <w:rsid w:val="00AA5065"/>
    <w:pPr>
      <w:spacing w:line="288" w:lineRule="auto"/>
      <w:jc w:val="left"/>
    </w:pPr>
    <w:rPr>
      <w:rFonts w:eastAsia="Times New Roman" w:cs="Times New Roman"/>
      <w:noProof/>
      <w:sz w:val="24"/>
      <w:lang w:eastAsia="he-IL"/>
    </w:rPr>
  </w:style>
  <w:style w:type="character" w:customStyle="1" w:styleId="27">
    <w:name w:val="גוף טקסט 2 תו"/>
    <w:basedOn w:val="DefaultParagraphFont"/>
    <w:link w:val="BodyText21"/>
    <w:rsid w:val="00AA5065"/>
    <w:rPr>
      <w:rFonts w:eastAsia="Times New Roman" w:cs="Times New Roman"/>
      <w:noProof/>
      <w:sz w:val="24"/>
      <w:lang w:eastAsia="he-IL"/>
    </w:rPr>
  </w:style>
  <w:style w:type="character" w:styleId="PageNumber">
    <w:name w:val="page number"/>
    <w:basedOn w:val="DefaultParagraphFont"/>
    <w:rsid w:val="00AA5065"/>
  </w:style>
  <w:style w:type="character" w:customStyle="1" w:styleId="a57">
    <w:name w:val="טקסט הערת סיום תו"/>
    <w:basedOn w:val="DefaultParagraphFont"/>
    <w:link w:val="EndnoteText"/>
    <w:semiHidden/>
    <w:rsid w:val="00AA5065"/>
    <w:rPr>
      <w:rFonts w:eastAsia="Times New Roman" w:cs="Times New Roman"/>
      <w:noProof/>
      <w:sz w:val="24"/>
      <w:szCs w:val="20"/>
      <w:lang w:eastAsia="he-IL"/>
    </w:rPr>
  </w:style>
  <w:style w:type="paragraph" w:styleId="EndnoteText">
    <w:name w:val="endnote text"/>
    <w:basedOn w:val="Normal"/>
    <w:link w:val="a57"/>
    <w:semiHidden/>
    <w:rsid w:val="00AA5065"/>
    <w:pPr>
      <w:spacing w:line="288" w:lineRule="auto"/>
    </w:pPr>
    <w:rPr>
      <w:rFonts w:eastAsia="Times New Roman" w:cs="Times New Roman"/>
      <w:noProof/>
      <w:sz w:val="24"/>
      <w:szCs w:val="20"/>
      <w:lang w:eastAsia="he-IL"/>
    </w:rPr>
  </w:style>
  <w:style w:type="character" w:customStyle="1" w:styleId="112">
    <w:name w:val="טקסט הערת סיום תו1"/>
    <w:basedOn w:val="DefaultParagraphFont"/>
    <w:uiPriority w:val="99"/>
    <w:semiHidden/>
    <w:rsid w:val="00AA5065"/>
    <w:rPr>
      <w:szCs w:val="20"/>
    </w:rPr>
  </w:style>
  <w:style w:type="paragraph" w:styleId="BodyText30">
    <w:name w:val="Body Text 3"/>
    <w:basedOn w:val="Normal"/>
    <w:link w:val="38"/>
    <w:rsid w:val="00AA5065"/>
    <w:pPr>
      <w:widowControl w:val="0"/>
      <w:spacing w:line="288" w:lineRule="auto"/>
    </w:pPr>
    <w:rPr>
      <w:rFonts w:eastAsia="Times New Roman" w:cs="Times New Roman"/>
      <w:noProof/>
      <w:sz w:val="24"/>
      <w:lang w:eastAsia="he-IL"/>
    </w:rPr>
  </w:style>
  <w:style w:type="character" w:customStyle="1" w:styleId="38">
    <w:name w:val="גוף טקסט 3 תו"/>
    <w:basedOn w:val="DefaultParagraphFont"/>
    <w:link w:val="BodyText30"/>
    <w:rsid w:val="00AA5065"/>
    <w:rPr>
      <w:rFonts w:eastAsia="Times New Roman" w:cs="Times New Roman"/>
      <w:noProof/>
      <w:sz w:val="24"/>
      <w:lang w:eastAsia="he-IL"/>
    </w:rPr>
  </w:style>
  <w:style w:type="paragraph" w:customStyle="1" w:styleId="heading35">
    <w:name w:val="heading 3.5"/>
    <w:basedOn w:val="Heading3"/>
    <w:rsid w:val="00AA5065"/>
    <w:pPr>
      <w:keepLines w:val="0"/>
      <w:spacing w:before="100" w:beforeAutospacing="1" w:after="100" w:afterAutospacing="1" w:line="240" w:lineRule="auto"/>
      <w:jc w:val="left"/>
    </w:pPr>
    <w:rPr>
      <w:rFonts w:eastAsia="Times New Roman" w:cs="Times New Roman"/>
      <w:b/>
      <w:noProof/>
      <w:sz w:val="26"/>
      <w:szCs w:val="27"/>
      <w:u w:val="none"/>
      <w:lang w:eastAsia="he-IL"/>
    </w:rPr>
  </w:style>
  <w:style w:type="paragraph" w:customStyle="1" w:styleId="a58">
    <w:name w:val="בולד"/>
    <w:basedOn w:val="Normal"/>
    <w:rsid w:val="00AA5065"/>
    <w:pPr>
      <w:spacing w:line="288" w:lineRule="auto"/>
      <w:ind w:left="255" w:right="255"/>
    </w:pPr>
    <w:rPr>
      <w:rFonts w:eastAsia="Times New Roman" w:cs="Times New Roman"/>
      <w:b/>
      <w:bCs/>
      <w:noProof/>
      <w:sz w:val="22"/>
      <w:szCs w:val="23"/>
      <w:lang w:eastAsia="he-IL"/>
    </w:rPr>
  </w:style>
  <w:style w:type="character" w:customStyle="1" w:styleId="100">
    <w:name w:val="סגנון (עברית ושפות אחרות) ‏10 נק'"/>
    <w:basedOn w:val="DefaultParagraphFont"/>
    <w:rsid w:val="00AA5065"/>
    <w:rPr>
      <w:rFonts w:ascii="Times New Roman" w:hAnsi="Times New Roman" w:cs="David"/>
      <w:dstrike w:val="0"/>
      <w:sz w:val="24"/>
      <w:szCs w:val="24"/>
      <w:vertAlign w:val="baseline"/>
    </w:rPr>
  </w:style>
  <w:style w:type="paragraph" w:customStyle="1" w:styleId="28">
    <w:name w:val="פיסקת רשימה2"/>
    <w:basedOn w:val="Normal"/>
    <w:rsid w:val="00AA5065"/>
    <w:pPr>
      <w:spacing w:after="200" w:line="276" w:lineRule="auto"/>
      <w:ind w:left="720"/>
      <w:jc w:val="left"/>
    </w:pPr>
    <w:rPr>
      <w:rFonts w:ascii="Calibri" w:eastAsia="Calibri" w:hAnsi="Calibri" w:cs="Arial"/>
      <w:sz w:val="22"/>
      <w:szCs w:val="22"/>
    </w:rPr>
  </w:style>
  <w:style w:type="paragraph" w:styleId="TOC2">
    <w:name w:val="toc 2"/>
    <w:basedOn w:val="Normal"/>
    <w:next w:val="Normal"/>
    <w:autoRedefine/>
    <w:uiPriority w:val="39"/>
    <w:rsid w:val="00AA5065"/>
    <w:pPr>
      <w:spacing w:line="288" w:lineRule="auto"/>
      <w:ind w:left="200"/>
    </w:pPr>
    <w:rPr>
      <w:rFonts w:eastAsia="Times New Roman" w:cs="Times New Roman"/>
      <w:noProof/>
      <w:sz w:val="24"/>
      <w:lang w:eastAsia="he-IL"/>
    </w:rPr>
  </w:style>
  <w:style w:type="paragraph" w:styleId="TOC3">
    <w:name w:val="toc 3"/>
    <w:basedOn w:val="Normal"/>
    <w:next w:val="Normal"/>
    <w:autoRedefine/>
    <w:uiPriority w:val="39"/>
    <w:rsid w:val="00AA5065"/>
    <w:pPr>
      <w:tabs>
        <w:tab w:val="right" w:pos="8210"/>
      </w:tabs>
      <w:spacing w:line="288" w:lineRule="auto"/>
      <w:ind w:left="400"/>
    </w:pPr>
    <w:rPr>
      <w:rFonts w:eastAsia="Times New Roman"/>
      <w:noProof/>
      <w:sz w:val="24"/>
      <w:lang w:eastAsia="he-IL"/>
    </w:rPr>
  </w:style>
  <w:style w:type="paragraph" w:customStyle="1" w:styleId="a59">
    <w:name w:val="תלויה"/>
    <w:basedOn w:val="Normal"/>
    <w:rsid w:val="00AA5065"/>
    <w:pPr>
      <w:spacing w:line="360" w:lineRule="auto"/>
      <w:ind w:left="720" w:hanging="720"/>
    </w:pPr>
    <w:rPr>
      <w:rFonts w:eastAsia="Times New Roman"/>
      <w:sz w:val="24"/>
    </w:rPr>
  </w:style>
  <w:style w:type="paragraph" w:customStyle="1" w:styleId="reshet0">
    <w:name w:val="reshet"/>
    <w:basedOn w:val="Normal"/>
    <w:rsid w:val="00AA5065"/>
    <w:pPr>
      <w:bidi w:val="0"/>
      <w:spacing w:before="100" w:beforeAutospacing="1" w:after="100" w:afterAutospacing="1" w:line="240" w:lineRule="auto"/>
      <w:jc w:val="left"/>
    </w:pPr>
    <w:rPr>
      <w:rFonts w:eastAsia="Times New Roman" w:cs="Times New Roman"/>
      <w:sz w:val="24"/>
    </w:rPr>
  </w:style>
  <w:style w:type="paragraph" w:customStyle="1" w:styleId="a60">
    <w:name w:val="תו תו תו"/>
    <w:basedOn w:val="Normal"/>
    <w:rsid w:val="00AA5065"/>
    <w:pPr>
      <w:keepLines/>
      <w:widowControl w:val="0"/>
      <w:tabs>
        <w:tab w:val="left" w:pos="397"/>
        <w:tab w:val="left" w:pos="794"/>
        <w:tab w:val="left" w:pos="1191"/>
        <w:tab w:val="left" w:pos="1588"/>
        <w:tab w:val="left" w:pos="1985"/>
        <w:tab w:val="left" w:pos="2381"/>
        <w:tab w:val="left" w:pos="2778"/>
        <w:tab w:val="left" w:pos="3175"/>
        <w:tab w:val="left" w:pos="3572"/>
      </w:tabs>
      <w:spacing w:line="360" w:lineRule="auto"/>
      <w:ind w:left="567" w:hanging="567"/>
    </w:pPr>
    <w:rPr>
      <w:rFonts w:ascii="Arial" w:eastAsia="Times New Roman" w:hAnsi="Arial"/>
      <w:noProof/>
      <w:sz w:val="22"/>
      <w:szCs w:val="28"/>
      <w:lang w:eastAsia="he-IL"/>
    </w:rPr>
  </w:style>
  <w:style w:type="paragraph" w:customStyle="1" w:styleId="113">
    <w:name w:val="הזחה 1 סמ"/>
    <w:basedOn w:val="Normal"/>
    <w:link w:val="114"/>
    <w:rsid w:val="00AA5065"/>
    <w:pPr>
      <w:spacing w:line="240" w:lineRule="auto"/>
      <w:ind w:left="567" w:hanging="567"/>
    </w:pPr>
    <w:rPr>
      <w:rFonts w:ascii="Arial" w:eastAsia="Times New Roman" w:hAnsi="Arial"/>
      <w:kern w:val="20"/>
      <w:sz w:val="18"/>
      <w:lang w:val="en-GB" w:eastAsia="he-IL"/>
    </w:rPr>
  </w:style>
  <w:style w:type="character" w:customStyle="1" w:styleId="114">
    <w:name w:val="הזחה 1 סמ תו"/>
    <w:basedOn w:val="DefaultParagraphFont"/>
    <w:link w:val="113"/>
    <w:rsid w:val="00AA5065"/>
    <w:rPr>
      <w:rFonts w:ascii="Arial" w:eastAsia="Times New Roman" w:hAnsi="Arial"/>
      <w:kern w:val="20"/>
      <w:sz w:val="18"/>
      <w:lang w:val="en-GB" w:eastAsia="he-IL"/>
    </w:rPr>
  </w:style>
  <w:style w:type="paragraph" w:styleId="BodyTextIndent">
    <w:name w:val="Body Text Indent"/>
    <w:basedOn w:val="Normal"/>
    <w:link w:val="a61"/>
    <w:rsid w:val="00AA5065"/>
    <w:pPr>
      <w:spacing w:after="120" w:line="288" w:lineRule="auto"/>
      <w:ind w:left="283"/>
    </w:pPr>
    <w:rPr>
      <w:rFonts w:eastAsia="Times New Roman" w:cs="Times New Roman"/>
      <w:noProof/>
      <w:sz w:val="24"/>
      <w:lang w:eastAsia="he-IL"/>
    </w:rPr>
  </w:style>
  <w:style w:type="character" w:customStyle="1" w:styleId="a61">
    <w:name w:val="כניסה בגוף טקסט תו"/>
    <w:basedOn w:val="DefaultParagraphFont"/>
    <w:link w:val="BodyTextIndent"/>
    <w:rsid w:val="00AA5065"/>
    <w:rPr>
      <w:rFonts w:eastAsia="Times New Roman" w:cs="Times New Roman"/>
      <w:noProof/>
      <w:sz w:val="24"/>
      <w:lang w:eastAsia="he-IL"/>
    </w:rPr>
  </w:style>
  <w:style w:type="paragraph" w:customStyle="1" w:styleId="a62">
    <w:name w:val="רגיל מוגדל"/>
    <w:basedOn w:val="Normal"/>
    <w:rsid w:val="00AA5065"/>
    <w:pPr>
      <w:spacing w:line="288" w:lineRule="auto"/>
    </w:pPr>
    <w:rPr>
      <w:rFonts w:eastAsia="Times New Roman" w:cs="Times New Roman"/>
      <w:noProof/>
      <w:lang w:eastAsia="he-IL"/>
    </w:rPr>
  </w:style>
  <w:style w:type="paragraph" w:customStyle="1" w:styleId="ha1">
    <w:name w:val="ha1"/>
    <w:basedOn w:val="Normal"/>
    <w:rsid w:val="00AA5065"/>
    <w:pPr>
      <w:bidi w:val="0"/>
      <w:spacing w:after="120" w:line="360" w:lineRule="auto"/>
      <w:ind w:right="1134" w:hanging="567"/>
      <w:jc w:val="left"/>
    </w:pPr>
    <w:rPr>
      <w:rFonts w:ascii="Arial" w:eastAsia="Times New Roman" w:hAnsi="Arial" w:cs="Arial"/>
      <w:sz w:val="24"/>
    </w:rPr>
  </w:style>
  <w:style w:type="paragraph" w:customStyle="1" w:styleId="tikunmasmich">
    <w:name w:val="tikunmasmich"/>
    <w:basedOn w:val="Normal"/>
    <w:rsid w:val="00AA5065"/>
    <w:pPr>
      <w:bidi w:val="0"/>
      <w:spacing w:line="240" w:lineRule="auto"/>
      <w:jc w:val="left"/>
    </w:pPr>
    <w:rPr>
      <w:rFonts w:ascii="Arial" w:eastAsia="Times New Roman" w:hAnsi="Arial" w:cs="Arial"/>
      <w:color w:val="800000"/>
      <w:szCs w:val="20"/>
    </w:rPr>
  </w:style>
  <w:style w:type="character" w:customStyle="1" w:styleId="apple-converted-space">
    <w:name w:val="apple-converted-space"/>
    <w:basedOn w:val="DefaultParagraphFont"/>
    <w:rsid w:val="00AA5065"/>
  </w:style>
  <w:style w:type="paragraph" w:customStyle="1" w:styleId="ttl1">
    <w:name w:val="ttl1"/>
    <w:basedOn w:val="Normal"/>
    <w:rsid w:val="00AA5065"/>
    <w:pPr>
      <w:bidi w:val="0"/>
      <w:spacing w:after="360" w:line="240" w:lineRule="auto"/>
      <w:jc w:val="center"/>
    </w:pPr>
    <w:rPr>
      <w:rFonts w:ascii="Arial" w:eastAsia="Times New Roman" w:hAnsi="Arial" w:cs="Arial"/>
      <w:b/>
      <w:bCs/>
      <w:color w:val="000080"/>
      <w:sz w:val="27"/>
      <w:szCs w:val="27"/>
    </w:rPr>
  </w:style>
  <w:style w:type="paragraph" w:customStyle="1" w:styleId="hb">
    <w:name w:val="hb"/>
    <w:basedOn w:val="Normal"/>
    <w:rsid w:val="00AA5065"/>
    <w:pPr>
      <w:bidi w:val="0"/>
      <w:spacing w:after="240" w:line="240" w:lineRule="auto"/>
      <w:jc w:val="center"/>
    </w:pPr>
    <w:rPr>
      <w:rFonts w:ascii="Arial" w:eastAsia="Times New Roman" w:hAnsi="Arial" w:cs="Arial"/>
      <w:b/>
      <w:bCs/>
      <w:color w:val="333399"/>
      <w:sz w:val="27"/>
      <w:szCs w:val="27"/>
    </w:rPr>
  </w:style>
  <w:style w:type="paragraph" w:customStyle="1" w:styleId="kn3">
    <w:name w:val="kn3"/>
    <w:basedOn w:val="Normal"/>
    <w:rsid w:val="00AA5065"/>
    <w:pPr>
      <w:bidi w:val="0"/>
      <w:spacing w:after="120" w:line="360" w:lineRule="auto"/>
      <w:ind w:right="2268"/>
      <w:jc w:val="left"/>
    </w:pPr>
    <w:rPr>
      <w:rFonts w:ascii="Arial" w:eastAsia="Times New Roman" w:hAnsi="Arial" w:cs="Arial"/>
      <w:sz w:val="24"/>
    </w:rPr>
  </w:style>
  <w:style w:type="paragraph" w:customStyle="1" w:styleId="takzir">
    <w:name w:val="takzir"/>
    <w:basedOn w:val="Normal"/>
    <w:rsid w:val="00AA5065"/>
    <w:pPr>
      <w:spacing w:after="120" w:line="240" w:lineRule="exact"/>
    </w:pPr>
    <w:rPr>
      <w:rFonts w:eastAsia="Times New Roman"/>
      <w:b/>
      <w:bCs/>
      <w:noProof/>
      <w:sz w:val="22"/>
      <w:szCs w:val="22"/>
      <w:lang w:eastAsia="he-IL"/>
    </w:rPr>
  </w:style>
  <w:style w:type="paragraph" w:customStyle="1" w:styleId="ha0kn2">
    <w:name w:val="ha0kn2"/>
    <w:basedOn w:val="Normal"/>
    <w:rsid w:val="00AA5065"/>
    <w:pPr>
      <w:bidi w:val="0"/>
      <w:spacing w:after="120" w:line="360" w:lineRule="auto"/>
      <w:ind w:right="1134" w:hanging="1134"/>
      <w:jc w:val="left"/>
    </w:pPr>
    <w:rPr>
      <w:rFonts w:ascii="Arial" w:eastAsia="Times New Roman" w:hAnsi="Arial" w:cs="Arial"/>
      <w:sz w:val="24"/>
    </w:rPr>
  </w:style>
  <w:style w:type="character" w:customStyle="1" w:styleId="a63">
    <w:name w:val="תו תו"/>
    <w:basedOn w:val="DefaultParagraphFont"/>
    <w:locked/>
    <w:rsid w:val="00AA5065"/>
    <w:rPr>
      <w:noProof/>
      <w:sz w:val="24"/>
      <w:lang w:val="en-US" w:eastAsia="he-IL" w:bidi="he-IL"/>
    </w:rPr>
  </w:style>
  <w:style w:type="character" w:customStyle="1" w:styleId="apple-style-span">
    <w:name w:val="apple-style-span"/>
    <w:basedOn w:val="DefaultParagraphFont"/>
    <w:rsid w:val="00AA5065"/>
  </w:style>
  <w:style w:type="paragraph" w:styleId="Caption">
    <w:name w:val="caption"/>
    <w:basedOn w:val="Normal"/>
    <w:next w:val="Normal"/>
    <w:qFormat/>
    <w:rsid w:val="00AA5065"/>
    <w:pPr>
      <w:bidi w:val="0"/>
      <w:spacing w:line="240" w:lineRule="auto"/>
      <w:jc w:val="left"/>
    </w:pPr>
    <w:rPr>
      <w:rFonts w:eastAsia="Times New Roman" w:cs="Times New Roman"/>
      <w:b/>
      <w:bCs/>
      <w:szCs w:val="20"/>
    </w:rPr>
  </w:style>
  <w:style w:type="paragraph" w:customStyle="1" w:styleId="Hesber">
    <w:name w:val="Hesber"/>
    <w:basedOn w:val="Normal"/>
    <w:rsid w:val="00AA5065"/>
    <w:pPr>
      <w:widowControl w:val="0"/>
      <w:autoSpaceDE w:val="0"/>
      <w:autoSpaceDN w:val="0"/>
      <w:adjustRightInd w:val="0"/>
      <w:snapToGrid w:val="0"/>
      <w:spacing w:line="360" w:lineRule="auto"/>
      <w:ind w:firstLine="340"/>
    </w:pPr>
    <w:rPr>
      <w:rFonts w:ascii="Arial" w:eastAsia="Arial Unicode MS" w:hAnsi="Arial" w:cs="Arial Unicode MS"/>
      <w:color w:val="000000"/>
      <w:szCs w:val="26"/>
      <w:lang w:eastAsia="ja-JP"/>
    </w:rPr>
  </w:style>
  <w:style w:type="character" w:customStyle="1" w:styleId="115">
    <w:name w:val="תו תו1"/>
    <w:basedOn w:val="DefaultParagraphFont"/>
    <w:locked/>
    <w:rsid w:val="00AA5065"/>
    <w:rPr>
      <w:noProof/>
      <w:sz w:val="24"/>
      <w:szCs w:val="24"/>
      <w:lang w:val="en-US" w:eastAsia="he-IL" w:bidi="he-IL"/>
    </w:rPr>
  </w:style>
  <w:style w:type="paragraph" w:customStyle="1" w:styleId="kot40">
    <w:name w:val="kot4"/>
    <w:basedOn w:val="Normal"/>
    <w:rsid w:val="00AA5065"/>
    <w:pPr>
      <w:keepNext/>
      <w:spacing w:after="240" w:line="300" w:lineRule="atLeast"/>
      <w:jc w:val="left"/>
    </w:pPr>
    <w:rPr>
      <w:rFonts w:eastAsia="Times New Roman" w:cs="Times New Roman"/>
      <w:b/>
      <w:bCs/>
      <w:sz w:val="26"/>
      <w:szCs w:val="26"/>
      <w:lang w:eastAsia="he-IL"/>
    </w:rPr>
  </w:style>
  <w:style w:type="character" w:customStyle="1" w:styleId="a64">
    <w:name w:val="מפת מסמך תו"/>
    <w:basedOn w:val="DefaultParagraphFont"/>
    <w:link w:val="DocumentMap"/>
    <w:semiHidden/>
    <w:rsid w:val="00AA5065"/>
    <w:rPr>
      <w:rFonts w:ascii="Tahoma" w:eastAsia="Times New Roman" w:hAnsi="Tahoma" w:cs="Tahoma"/>
      <w:noProof/>
      <w:szCs w:val="20"/>
      <w:shd w:val="clear" w:color="auto" w:fill="000080"/>
      <w:lang w:eastAsia="he-IL"/>
    </w:rPr>
  </w:style>
  <w:style w:type="paragraph" w:styleId="DocumentMap">
    <w:name w:val="Document Map"/>
    <w:basedOn w:val="Normal"/>
    <w:link w:val="a64"/>
    <w:semiHidden/>
    <w:rsid w:val="00AA5065"/>
    <w:pPr>
      <w:shd w:val="clear" w:color="auto" w:fill="000080"/>
      <w:spacing w:line="288" w:lineRule="auto"/>
    </w:pPr>
    <w:rPr>
      <w:rFonts w:ascii="Tahoma" w:eastAsia="Times New Roman" w:hAnsi="Tahoma" w:cs="Tahoma"/>
      <w:noProof/>
      <w:szCs w:val="20"/>
      <w:lang w:eastAsia="he-IL"/>
    </w:rPr>
  </w:style>
  <w:style w:type="character" w:customStyle="1" w:styleId="116">
    <w:name w:val="מפת מסמך תו1"/>
    <w:basedOn w:val="DefaultParagraphFont"/>
    <w:uiPriority w:val="99"/>
    <w:semiHidden/>
    <w:rsid w:val="00AA5065"/>
    <w:rPr>
      <w:rFonts w:ascii="Tahoma" w:hAnsi="Tahoma" w:cs="Tahoma"/>
      <w:sz w:val="16"/>
      <w:szCs w:val="16"/>
    </w:rPr>
  </w:style>
  <w:style w:type="paragraph" w:customStyle="1" w:styleId="117">
    <w:name w:val="כותרת תוכן עניינים1"/>
    <w:basedOn w:val="Heading1"/>
    <w:next w:val="Normal"/>
    <w:uiPriority w:val="39"/>
    <w:unhideWhenUsed/>
    <w:qFormat/>
    <w:rsid w:val="00AA5065"/>
    <w:pPr>
      <w:spacing w:before="240" w:line="259" w:lineRule="auto"/>
      <w:jc w:val="left"/>
      <w:outlineLvl w:val="9"/>
    </w:pPr>
    <w:rPr>
      <w:rFonts w:ascii="Cambria" w:hAnsi="Cambria" w:cs="Times New Roman"/>
      <w:bCs w:val="0"/>
      <w:color w:val="365F91"/>
      <w:sz w:val="32"/>
      <w:szCs w:val="32"/>
      <w:u w:val="none"/>
      <w:rtl/>
      <w:cs/>
    </w:rPr>
  </w:style>
  <w:style w:type="paragraph" w:customStyle="1" w:styleId="P00">
    <w:name w:val="P00"/>
    <w:basedOn w:val="Normal"/>
    <w:rsid w:val="00AA5065"/>
    <w:pPr>
      <w:autoSpaceDE w:val="0"/>
      <w:autoSpaceDN w:val="0"/>
      <w:spacing w:before="60" w:line="240" w:lineRule="auto"/>
      <w:ind w:left="2835"/>
    </w:pPr>
    <w:rPr>
      <w:rFonts w:cs="Times New Roman"/>
      <w:szCs w:val="20"/>
      <w:lang w:eastAsia="he-IL"/>
    </w:rPr>
  </w:style>
  <w:style w:type="character" w:customStyle="1" w:styleId="default">
    <w:name w:val="default"/>
    <w:basedOn w:val="DefaultParagraphFont"/>
    <w:rsid w:val="00AA5065"/>
    <w:rPr>
      <w:rFonts w:ascii="Times New Roman" w:hAnsi="Times New Roman" w:cs="Times New Roman" w:hint="default"/>
    </w:rPr>
  </w:style>
  <w:style w:type="paragraph" w:customStyle="1" w:styleId="xmsonormal">
    <w:name w:val="x_msonormal"/>
    <w:basedOn w:val="Normal"/>
    <w:rsid w:val="00AA5065"/>
    <w:pPr>
      <w:bidi w:val="0"/>
      <w:spacing w:line="240" w:lineRule="auto"/>
      <w:jc w:val="left"/>
    </w:pPr>
    <w:rPr>
      <w:rFonts w:cs="Times New Roman"/>
      <w:sz w:val="24"/>
    </w:rPr>
  </w:style>
  <w:style w:type="paragraph" w:customStyle="1" w:styleId="p000">
    <w:name w:val="p00"/>
    <w:basedOn w:val="Normal"/>
    <w:rsid w:val="00AA5065"/>
    <w:pPr>
      <w:bidi w:val="0"/>
      <w:spacing w:before="100" w:beforeAutospacing="1" w:after="100" w:afterAutospacing="1" w:line="240" w:lineRule="auto"/>
      <w:jc w:val="left"/>
    </w:pPr>
    <w:rPr>
      <w:rFonts w:eastAsia="Times New Roman" w:cs="Times New Roman"/>
      <w:sz w:val="24"/>
    </w:rPr>
  </w:style>
  <w:style w:type="character" w:customStyle="1" w:styleId="right">
    <w:name w:val="right"/>
    <w:basedOn w:val="DefaultParagraphFont"/>
    <w:rsid w:val="00AA5065"/>
  </w:style>
  <w:style w:type="paragraph" w:customStyle="1" w:styleId="style3">
    <w:name w:val="style3"/>
    <w:basedOn w:val="Normal"/>
    <w:rsid w:val="00AA5065"/>
    <w:pPr>
      <w:bidi w:val="0"/>
      <w:spacing w:before="100" w:beforeAutospacing="1" w:after="100" w:afterAutospacing="1" w:line="240" w:lineRule="auto"/>
      <w:jc w:val="left"/>
    </w:pPr>
    <w:rPr>
      <w:rFonts w:eastAsia="Times New Roman" w:cs="Times New Roman"/>
      <w:sz w:val="24"/>
    </w:rPr>
  </w:style>
  <w:style w:type="paragraph" w:styleId="TOC4">
    <w:name w:val="toc 4"/>
    <w:basedOn w:val="Normal"/>
    <w:next w:val="Normal"/>
    <w:autoRedefine/>
    <w:uiPriority w:val="39"/>
    <w:unhideWhenUsed/>
    <w:rsid w:val="00AA5065"/>
    <w:pPr>
      <w:spacing w:after="100"/>
      <w:ind w:left="600"/>
    </w:pPr>
  </w:style>
  <w:style w:type="paragraph" w:styleId="TOC6">
    <w:name w:val="toc 6"/>
    <w:basedOn w:val="Normal"/>
    <w:next w:val="Normal"/>
    <w:autoRedefine/>
    <w:uiPriority w:val="39"/>
    <w:unhideWhenUsed/>
    <w:rsid w:val="00AA5065"/>
    <w:pPr>
      <w:spacing w:after="100"/>
      <w:ind w:left="1000"/>
    </w:pPr>
  </w:style>
  <w:style w:type="paragraph" w:styleId="TOC5">
    <w:name w:val="toc 5"/>
    <w:basedOn w:val="Normal"/>
    <w:next w:val="Normal"/>
    <w:autoRedefine/>
    <w:uiPriority w:val="39"/>
    <w:unhideWhenUsed/>
    <w:rsid w:val="00AA5065"/>
    <w:pPr>
      <w:spacing w:after="100"/>
      <w:ind w:left="800"/>
    </w:pPr>
  </w:style>
  <w:style w:type="paragraph" w:customStyle="1" w:styleId="TOC71">
    <w:name w:val="TOC 71"/>
    <w:basedOn w:val="Normal"/>
    <w:next w:val="Normal"/>
    <w:autoRedefine/>
    <w:uiPriority w:val="39"/>
    <w:unhideWhenUsed/>
    <w:rsid w:val="00AA5065"/>
    <w:pPr>
      <w:spacing w:after="100" w:line="259" w:lineRule="auto"/>
      <w:ind w:left="1320"/>
      <w:jc w:val="left"/>
    </w:pPr>
    <w:rPr>
      <w:rFonts w:ascii="Calibri" w:eastAsia="Times New Roman" w:hAnsi="Calibri" w:cs="Arial"/>
      <w:sz w:val="22"/>
      <w:szCs w:val="22"/>
    </w:rPr>
  </w:style>
  <w:style w:type="paragraph" w:customStyle="1" w:styleId="TOC81">
    <w:name w:val="TOC 81"/>
    <w:basedOn w:val="Normal"/>
    <w:next w:val="Normal"/>
    <w:autoRedefine/>
    <w:uiPriority w:val="39"/>
    <w:unhideWhenUsed/>
    <w:rsid w:val="00AA5065"/>
    <w:pPr>
      <w:spacing w:after="100" w:line="259" w:lineRule="auto"/>
      <w:ind w:left="1540"/>
      <w:jc w:val="left"/>
    </w:pPr>
    <w:rPr>
      <w:rFonts w:ascii="Calibri" w:eastAsia="Times New Roman" w:hAnsi="Calibri" w:cs="Arial"/>
      <w:sz w:val="22"/>
      <w:szCs w:val="22"/>
    </w:rPr>
  </w:style>
  <w:style w:type="paragraph" w:customStyle="1" w:styleId="TOC91">
    <w:name w:val="TOC 91"/>
    <w:basedOn w:val="Normal"/>
    <w:next w:val="Normal"/>
    <w:autoRedefine/>
    <w:uiPriority w:val="39"/>
    <w:unhideWhenUsed/>
    <w:rsid w:val="00AA5065"/>
    <w:pPr>
      <w:spacing w:after="100" w:line="259" w:lineRule="auto"/>
      <w:ind w:left="1760"/>
      <w:jc w:val="left"/>
    </w:pPr>
    <w:rPr>
      <w:rFonts w:ascii="Calibri" w:eastAsia="Times New Roman" w:hAnsi="Calibri" w:cs="Arial"/>
      <w:sz w:val="22"/>
      <w:szCs w:val="22"/>
    </w:rPr>
  </w:style>
  <w:style w:type="paragraph" w:customStyle="1" w:styleId="msonormal">
    <w:name w:val="msonormal"/>
    <w:basedOn w:val="Normal"/>
    <w:rsid w:val="00AA5065"/>
    <w:pPr>
      <w:bidi w:val="0"/>
      <w:spacing w:before="100" w:beforeAutospacing="1" w:after="100" w:afterAutospacing="1" w:line="240" w:lineRule="auto"/>
      <w:jc w:val="left"/>
    </w:pPr>
    <w:rPr>
      <w:rFonts w:eastAsia="Times New Roman" w:cs="Times New Roman"/>
      <w:sz w:val="24"/>
    </w:rPr>
  </w:style>
  <w:style w:type="paragraph" w:customStyle="1" w:styleId="a65">
    <w:name w:val="בולט שלילי"/>
    <w:basedOn w:val="Normal"/>
    <w:rsid w:val="00AA5065"/>
    <w:pPr>
      <w:numPr>
        <w:numId w:val="11"/>
      </w:numPr>
      <w:ind w:left="1858"/>
    </w:pPr>
  </w:style>
  <w:style w:type="character" w:customStyle="1" w:styleId="Bodytext2David">
    <w:name w:val="Body text (2) + David"/>
    <w:aliases w:val="10 pt,11 pt,Bold"/>
    <w:basedOn w:val="Bodytext2"/>
    <w:rsid w:val="00AA5065"/>
    <w:rPr>
      <w:rFonts w:ascii="David" w:eastAsia="David" w:hAnsi="David" w:cs="David"/>
      <w:b/>
      <w:bCs/>
      <w:i w:val="0"/>
      <w:iCs w:val="0"/>
      <w:smallCaps w:val="0"/>
      <w:strike w:val="0"/>
      <w:color w:val="000000"/>
      <w:spacing w:val="0"/>
      <w:w w:val="100"/>
      <w:position w:val="0"/>
      <w:sz w:val="22"/>
      <w:szCs w:val="22"/>
      <w:u w:val="none"/>
      <w:shd w:val="clear" w:color="auto" w:fill="FFFFFF"/>
      <w:lang w:val="he-IL" w:eastAsia="he-IL" w:bidi="he-IL"/>
    </w:rPr>
  </w:style>
  <w:style w:type="paragraph" w:customStyle="1" w:styleId="KOT3N">
    <w:name w:val="KOT3N"/>
    <w:basedOn w:val="Normal"/>
    <w:qFormat/>
    <w:rsid w:val="00AA5065"/>
    <w:pPr>
      <w:spacing w:before="360" w:after="180" w:line="240" w:lineRule="atLeast"/>
      <w:jc w:val="left"/>
      <w:outlineLvl w:val="2"/>
    </w:pPr>
    <w:rPr>
      <w:rFonts w:ascii="Tahoma" w:eastAsia="Times New Roman" w:hAnsi="Tahoma" w:cs="Tahoma"/>
      <w:b/>
      <w:bCs/>
      <w:color w:val="00305F"/>
      <w:sz w:val="32"/>
      <w:szCs w:val="32"/>
    </w:rPr>
  </w:style>
  <w:style w:type="paragraph" w:customStyle="1" w:styleId="KOT4N">
    <w:name w:val="KOT4N"/>
    <w:basedOn w:val="Normal"/>
    <w:qFormat/>
    <w:rsid w:val="00AA5065"/>
    <w:pPr>
      <w:spacing w:before="240" w:after="180" w:line="240" w:lineRule="atLeast"/>
      <w:jc w:val="left"/>
      <w:outlineLvl w:val="2"/>
    </w:pPr>
    <w:rPr>
      <w:rFonts w:ascii="Tahoma" w:eastAsia="Times New Roman" w:hAnsi="Tahoma" w:cs="Tahoma"/>
      <w:b/>
      <w:bCs/>
      <w:color w:val="00305F"/>
      <w:sz w:val="28"/>
      <w:szCs w:val="28"/>
    </w:rPr>
  </w:style>
  <w:style w:type="paragraph" w:customStyle="1" w:styleId="KOT-TAB">
    <w:name w:val="KOT-TAB"/>
    <w:basedOn w:val="Normal"/>
    <w:qFormat/>
    <w:rsid w:val="00AA5065"/>
    <w:pPr>
      <w:keepNext/>
      <w:tabs>
        <w:tab w:val="left" w:pos="424"/>
      </w:tabs>
      <w:spacing w:before="240" w:after="240" w:line="260" w:lineRule="exact"/>
      <w:jc w:val="center"/>
    </w:pPr>
    <w:rPr>
      <w:rFonts w:ascii="Tahoma" w:eastAsia="Times New Roman" w:hAnsi="Tahoma" w:cs="Tahoma"/>
      <w:color w:val="0D0D0D"/>
      <w:szCs w:val="20"/>
    </w:rPr>
  </w:style>
  <w:style w:type="paragraph" w:customStyle="1" w:styleId="KOT-source">
    <w:name w:val="KOT-source"/>
    <w:basedOn w:val="Normal"/>
    <w:qFormat/>
    <w:rsid w:val="00AA5065"/>
    <w:pPr>
      <w:tabs>
        <w:tab w:val="left" w:pos="424"/>
      </w:tabs>
      <w:spacing w:after="240" w:line="260" w:lineRule="exact"/>
    </w:pPr>
    <w:rPr>
      <w:rFonts w:ascii="Tahoma" w:eastAsia="Times New Roman" w:hAnsi="Tahoma" w:cs="Tahoma"/>
      <w:color w:val="0D0D0D"/>
      <w:sz w:val="16"/>
      <w:szCs w:val="16"/>
    </w:rPr>
  </w:style>
  <w:style w:type="table" w:customStyle="1" w:styleId="-11">
    <w:name w:val="הצללה בהירה - הדגשה 11"/>
    <w:basedOn w:val="TableNormal"/>
    <w:next w:val="LightShadingAccent1"/>
    <w:uiPriority w:val="60"/>
    <w:rsid w:val="00AA5065"/>
    <w:pPr>
      <w:bidi/>
      <w:spacing w:after="0" w:line="240" w:lineRule="auto"/>
      <w:jc w:val="left"/>
    </w:pPr>
    <w:rPr>
      <w:rFonts w:ascii="Calibri" w:eastAsia="Times New Roman" w:hAnsi="Calibri" w:cs="Arial"/>
      <w:color w:val="365F91"/>
      <w:sz w:val="22"/>
      <w:szCs w:val="22"/>
      <w:rtl/>
      <w:c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
    <w:name w:val="רשימה בינונית 2 - הדגשה 11"/>
    <w:basedOn w:val="TableNormal"/>
    <w:next w:val="MediumList2Accent1"/>
    <w:uiPriority w:val="66"/>
    <w:rsid w:val="00AA5065"/>
    <w:pPr>
      <w:bidi/>
      <w:spacing w:after="0" w:line="240" w:lineRule="auto"/>
      <w:jc w:val="left"/>
    </w:pPr>
    <w:rPr>
      <w:rFonts w:ascii="Cambria" w:eastAsia="Times New Roman" w:hAnsi="Cambria" w:cs="Times New Roman"/>
      <w:color w:val="000000"/>
      <w:sz w:val="22"/>
      <w:szCs w:val="22"/>
      <w:rtl/>
      <w:c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31">
    <w:name w:val="רשימה בהירה - הדגשה 31"/>
    <w:basedOn w:val="TableNormal"/>
    <w:next w:val="LightListAccent3"/>
    <w:uiPriority w:val="61"/>
    <w:rsid w:val="00AA5065"/>
    <w:pPr>
      <w:bidi/>
      <w:spacing w:after="0" w:line="240" w:lineRule="auto"/>
      <w:jc w:val="left"/>
    </w:pPr>
    <w:rPr>
      <w:rFonts w:ascii="Calibri" w:eastAsia="Times New Roman" w:hAnsi="Calibri" w:cs="Arial"/>
      <w:sz w:val="22"/>
      <w:szCs w:val="22"/>
      <w:rtl/>
      <w:c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PlaceholderText">
    <w:name w:val="Placeholder Text"/>
    <w:basedOn w:val="DefaultParagraphFont"/>
    <w:uiPriority w:val="99"/>
    <w:semiHidden/>
    <w:rsid w:val="00AA5065"/>
    <w:rPr>
      <w:color w:val="808080"/>
    </w:rPr>
  </w:style>
  <w:style w:type="table" w:customStyle="1" w:styleId="70">
    <w:name w:val="רשת טבלה7"/>
    <w:basedOn w:val="TableNormal"/>
    <w:next w:val="TableGrid"/>
    <w:uiPriority w:val="59"/>
    <w:rsid w:val="00AA50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Simple3">
    <w:name w:val="Table Simple 3"/>
    <w:basedOn w:val="TableNormal"/>
    <w:rsid w:val="00AA5065"/>
    <w:pPr>
      <w:bidi/>
      <w:spacing w:after="0" w:line="288" w:lineRule="auto"/>
    </w:pPr>
    <w:rPr>
      <w:rFonts w:eastAsia="Times New Roman"/>
      <w:szCs w:val="20"/>
    </w:rPr>
    <w:tblPr>
      <w:tblBorders>
        <w:top w:val="single" w:sz="12" w:space="0" w:color="000000"/>
        <w:left w:val="single" w:sz="12" w:space="0" w:color="000000"/>
        <w:bottom w:val="single" w:sz="12" w:space="0" w:color="000000"/>
        <w:right w:val="single" w:sz="12" w:space="0" w:color="000000"/>
        <w:insideH w:val="nil"/>
        <w:insideV w:val="nil"/>
      </w:tblBorders>
    </w:tblPr>
    <w:tcPr>
      <w:shd w:val="clear" w:color="auto" w:fill="auto"/>
    </w:tcPr>
    <w:tblStylePr w:type="firstRow">
      <w:rPr>
        <w:b/>
        <w:bCs/>
        <w:color w:val="FFFFFF"/>
      </w:rPr>
      <w:tblPr/>
      <w:tcPr>
        <w:tcBorders>
          <w:tl2br w:val="nil"/>
          <w:tr2bl w:val="nil"/>
        </w:tcBorders>
        <w:shd w:val="solid" w:color="000000" w:fill="FFFFFF"/>
      </w:tcPr>
    </w:tblStylePr>
  </w:style>
  <w:style w:type="table" w:customStyle="1" w:styleId="5-11">
    <w:name w:val="טבלת רשת 5 כהה - הדגשה 11"/>
    <w:basedOn w:val="TableNormal"/>
    <w:next w:val="GridTable5DarkAccent1"/>
    <w:uiPriority w:val="50"/>
    <w:rsid w:val="00AA5065"/>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customStyle="1" w:styleId="737">
    <w:name w:val="73א כותרת 7 בתוך טקסט"/>
    <w:basedOn w:val="Normal"/>
    <w:link w:val="7370"/>
    <w:qFormat/>
    <w:rsid w:val="00AA5065"/>
    <w:pPr>
      <w:spacing w:after="180" w:line="260" w:lineRule="exact"/>
    </w:pPr>
    <w:rPr>
      <w:rFonts w:ascii="Tahoma" w:hAnsi="Tahoma" w:cs="Tahoma"/>
      <w:bCs/>
      <w:color w:val="0D0D0D"/>
      <w:sz w:val="18"/>
      <w:szCs w:val="18"/>
    </w:rPr>
  </w:style>
  <w:style w:type="character" w:customStyle="1" w:styleId="7370">
    <w:name w:val="73א כותרת 7 בתוך טקסט תו"/>
    <w:basedOn w:val="DefaultParagraphFont"/>
    <w:link w:val="737"/>
    <w:rsid w:val="00AA5065"/>
    <w:rPr>
      <w:rFonts w:ascii="Tahoma" w:hAnsi="Tahoma" w:cs="Tahoma"/>
      <w:bCs/>
      <w:color w:val="0D0D0D"/>
      <w:sz w:val="18"/>
      <w:szCs w:val="18"/>
    </w:rPr>
  </w:style>
  <w:style w:type="paragraph" w:customStyle="1" w:styleId="73">
    <w:name w:val="73א כותרת לבנה בתוך תבנית אדומה בתקציר"/>
    <w:basedOn w:val="Normal"/>
    <w:link w:val="730"/>
    <w:qFormat/>
    <w:rsid w:val="00AA5065"/>
    <w:pPr>
      <w:keepNext/>
      <w:keepLines/>
      <w:spacing w:line="240" w:lineRule="atLeast"/>
      <w:ind w:left="170" w:right="113"/>
      <w:jc w:val="left"/>
    </w:pPr>
    <w:rPr>
      <w:rFonts w:ascii="Tahoma" w:hAnsi="Tahoma" w:cs="Tahoma"/>
      <w:b/>
      <w:bCs/>
      <w:color w:val="FFFFFF"/>
      <w:sz w:val="22"/>
      <w:szCs w:val="22"/>
    </w:rPr>
  </w:style>
  <w:style w:type="character" w:customStyle="1" w:styleId="730">
    <w:name w:val="73א כותרת לבנה בתוך תבנית אדומה בתקציר תו"/>
    <w:basedOn w:val="DefaultParagraphFont"/>
    <w:link w:val="73"/>
    <w:rsid w:val="00AA5065"/>
    <w:rPr>
      <w:rFonts w:ascii="Tahoma" w:hAnsi="Tahoma" w:cs="Tahoma"/>
      <w:b/>
      <w:bCs/>
      <w:color w:val="FFFFFF"/>
      <w:sz w:val="22"/>
      <w:szCs w:val="22"/>
    </w:rPr>
  </w:style>
  <w:style w:type="paragraph" w:customStyle="1" w:styleId="731">
    <w:name w:val="73א תמונת המצב העולה מן הביקורת"/>
    <w:basedOn w:val="Normal"/>
    <w:link w:val="732"/>
    <w:qFormat/>
    <w:rsid w:val="00AA5065"/>
    <w:pPr>
      <w:keepNext/>
      <w:keepLines/>
      <w:pBdr>
        <w:top w:val="single" w:sz="12" w:space="5" w:color="auto"/>
      </w:pBdr>
      <w:spacing w:before="360" w:after="240" w:line="240" w:lineRule="atLeast"/>
      <w:jc w:val="left"/>
    </w:pPr>
    <w:rPr>
      <w:rFonts w:ascii="Tahoma" w:eastAsia="Times New Roman" w:hAnsi="Tahoma" w:cs="Tahoma"/>
      <w:bCs/>
      <w:color w:val="00305F"/>
      <w:sz w:val="31"/>
      <w:szCs w:val="31"/>
    </w:rPr>
  </w:style>
  <w:style w:type="character" w:customStyle="1" w:styleId="732">
    <w:name w:val="73א תמונת המצב העולה מן הביקורת תו"/>
    <w:basedOn w:val="DefaultParagraphFont"/>
    <w:link w:val="731"/>
    <w:rsid w:val="00AA5065"/>
    <w:rPr>
      <w:rFonts w:ascii="Tahoma" w:eastAsia="Times New Roman" w:hAnsi="Tahoma" w:cs="Tahoma"/>
      <w:bCs/>
      <w:color w:val="00305F"/>
      <w:sz w:val="31"/>
      <w:szCs w:val="31"/>
    </w:rPr>
  </w:style>
  <w:style w:type="paragraph" w:customStyle="1" w:styleId="733">
    <w:name w:val="73א פעולות ביקורת"/>
    <w:basedOn w:val="Normal"/>
    <w:qFormat/>
    <w:rsid w:val="00AA5065"/>
    <w:pPr>
      <w:keepNext/>
      <w:keepLines/>
      <w:pBdr>
        <w:top w:val="double" w:sz="12" w:space="5" w:color="auto"/>
      </w:pBdr>
      <w:spacing w:before="480" w:after="360" w:line="240" w:lineRule="atLeast"/>
      <w:jc w:val="left"/>
    </w:pPr>
    <w:rPr>
      <w:rFonts w:ascii="Tahoma" w:eastAsia="Times New Roman" w:hAnsi="Tahoma" w:cs="Tahoma"/>
      <w:b/>
      <w:bCs/>
      <w:noProof/>
      <w:color w:val="00305F"/>
      <w:sz w:val="31"/>
      <w:szCs w:val="31"/>
      <w:lang w:val="he-IL"/>
    </w:rPr>
  </w:style>
  <w:style w:type="paragraph" w:customStyle="1" w:styleId="734">
    <w:name w:val="73א מקרא+הערות לתרשים/לוח/תמונה"/>
    <w:basedOn w:val="Normal"/>
    <w:link w:val="736"/>
    <w:qFormat/>
    <w:rsid w:val="00AA5065"/>
    <w:pPr>
      <w:spacing w:before="120" w:after="240" w:line="260" w:lineRule="exact"/>
    </w:pPr>
    <w:rPr>
      <w:rFonts w:ascii="Tahoma" w:hAnsi="Tahoma" w:cs="Tahoma"/>
      <w:color w:val="0D0D0D"/>
      <w:sz w:val="16"/>
      <w:szCs w:val="16"/>
    </w:rPr>
  </w:style>
  <w:style w:type="paragraph" w:customStyle="1" w:styleId="735">
    <w:name w:val="73א הזחה ראשונה ללא מספר"/>
    <w:basedOn w:val="Normal"/>
    <w:qFormat/>
    <w:rsid w:val="00AA5065"/>
    <w:pPr>
      <w:spacing w:after="180" w:line="260" w:lineRule="exact"/>
      <w:ind w:left="397"/>
    </w:pPr>
    <w:rPr>
      <w:rFonts w:ascii="Tahoma" w:hAnsi="Tahoma" w:cs="Tahoma"/>
      <w:color w:val="0D0D0D"/>
      <w:sz w:val="18"/>
      <w:szCs w:val="18"/>
    </w:rPr>
  </w:style>
  <w:style w:type="character" w:customStyle="1" w:styleId="736">
    <w:name w:val="73א מקרא+הערות לתרשים/לוח/תמונה תו"/>
    <w:basedOn w:val="DefaultParagraphFont"/>
    <w:link w:val="734"/>
    <w:rsid w:val="00AA5065"/>
    <w:rPr>
      <w:rFonts w:ascii="Tahoma" w:hAnsi="Tahoma" w:cs="Tahoma"/>
      <w:color w:val="0D0D0D"/>
      <w:sz w:val="16"/>
      <w:szCs w:val="16"/>
    </w:rPr>
  </w:style>
  <w:style w:type="paragraph" w:customStyle="1" w:styleId="73R">
    <w:name w:val="73א טבלה טקסט R"/>
    <w:basedOn w:val="Normal"/>
    <w:qFormat/>
    <w:rsid w:val="00AA5065"/>
    <w:pPr>
      <w:keepLines/>
      <w:spacing w:before="120" w:after="120" w:line="180" w:lineRule="exact"/>
      <w:jc w:val="left"/>
    </w:pPr>
    <w:rPr>
      <w:rFonts w:ascii="Tahoma" w:eastAsia="Times New Roman" w:hAnsi="Tahoma" w:cs="Tahoma"/>
      <w:sz w:val="16"/>
      <w:szCs w:val="16"/>
    </w:rPr>
  </w:style>
  <w:style w:type="paragraph" w:customStyle="1" w:styleId="7310">
    <w:name w:val="73א כותרת 1"/>
    <w:qFormat/>
    <w:rsid w:val="00AA5065"/>
    <w:pPr>
      <w:keepNext/>
      <w:keepLines/>
      <w:pageBreakBefore/>
      <w:widowControl w:val="0"/>
      <w:spacing w:before="360" w:after="240" w:line="440" w:lineRule="exact"/>
      <w:jc w:val="center"/>
      <w:outlineLvl w:val="0"/>
    </w:pPr>
    <w:rPr>
      <w:rFonts w:ascii="Tahoma" w:hAnsi="Tahoma" w:cs="Tahoma"/>
      <w:b/>
      <w:bCs/>
      <w:noProof/>
      <w:color w:val="00305F"/>
      <w:sz w:val="40"/>
      <w:szCs w:val="36"/>
    </w:rPr>
  </w:style>
  <w:style w:type="paragraph" w:customStyle="1" w:styleId="733155">
    <w:name w:val="73א כותרת 3_15.5"/>
    <w:basedOn w:val="Heading3"/>
    <w:link w:val="7331550"/>
    <w:qFormat/>
    <w:rsid w:val="00AA5065"/>
    <w:pPr>
      <w:spacing w:before="360" w:after="180" w:line="240" w:lineRule="atLeast"/>
      <w:jc w:val="left"/>
    </w:pPr>
    <w:rPr>
      <w:rFonts w:ascii="Tahoma" w:eastAsia="Times New Roman" w:hAnsi="Tahoma" w:cs="Tahoma"/>
      <w:b/>
      <w:color w:val="00305F"/>
      <w:sz w:val="31"/>
      <w:szCs w:val="31"/>
      <w:u w:val="none"/>
    </w:rPr>
  </w:style>
  <w:style w:type="character" w:customStyle="1" w:styleId="7331550">
    <w:name w:val="73א כותרת 3_15.5 תו"/>
    <w:basedOn w:val="DefaultParagraphFont"/>
    <w:link w:val="733155"/>
    <w:rsid w:val="00AA5065"/>
    <w:rPr>
      <w:rFonts w:ascii="Tahoma" w:eastAsia="Times New Roman" w:hAnsi="Tahoma" w:cs="Tahoma"/>
      <w:b/>
      <w:bCs/>
      <w:color w:val="00305F"/>
      <w:sz w:val="31"/>
      <w:szCs w:val="31"/>
    </w:rPr>
  </w:style>
  <w:style w:type="paragraph" w:customStyle="1" w:styleId="-">
    <w:name w:val="עמוד שער פנימי - שם החטיבה"/>
    <w:basedOn w:val="Normal"/>
    <w:qFormat/>
    <w:rsid w:val="00AA5065"/>
    <w:pPr>
      <w:ind w:left="2268"/>
      <w:jc w:val="left"/>
    </w:pPr>
    <w:rPr>
      <w:rFonts w:ascii="Tahoma" w:eastAsia="Times New Roman" w:hAnsi="Tahoma" w:cs="Tahoma"/>
      <w:color w:val="FFFFFF"/>
      <w:sz w:val="28"/>
      <w:szCs w:val="28"/>
    </w:rPr>
  </w:style>
  <w:style w:type="paragraph" w:customStyle="1" w:styleId="a66">
    <w:name w:val="כותרת ראשית לדוח"/>
    <w:qFormat/>
    <w:rsid w:val="00AA5065"/>
    <w:pPr>
      <w:spacing w:before="360" w:line="600" w:lineRule="exact"/>
      <w:ind w:left="2268"/>
      <w:jc w:val="left"/>
    </w:pPr>
    <w:rPr>
      <w:rFonts w:ascii="Tahoma" w:hAnsi="Tahoma" w:cs="Tahoma"/>
      <w:b/>
      <w:bCs/>
      <w:sz w:val="44"/>
      <w:szCs w:val="44"/>
    </w:rPr>
  </w:style>
  <w:style w:type="paragraph" w:customStyle="1" w:styleId="a67">
    <w:name w:val="תאריך הדוח"/>
    <w:qFormat/>
    <w:rsid w:val="00AA5065"/>
    <w:pPr>
      <w:ind w:left="2268"/>
      <w:jc w:val="left"/>
    </w:pPr>
    <w:rPr>
      <w:rFonts w:ascii="Tahoma" w:hAnsi="Tahoma" w:cs="Tahoma"/>
      <w:sz w:val="18"/>
      <w:szCs w:val="18"/>
    </w:rPr>
  </w:style>
  <w:style w:type="paragraph" w:customStyle="1" w:styleId="0-">
    <w:name w:val="0-מידת תיקון הליקוי"/>
    <w:basedOn w:val="Normal"/>
    <w:link w:val="0-0"/>
    <w:qFormat/>
    <w:rsid w:val="00AA5065"/>
    <w:pPr>
      <w:keepNext/>
      <w:keepLines/>
      <w:spacing w:before="180" w:after="180" w:line="260" w:lineRule="exact"/>
      <w:jc w:val="center"/>
    </w:pPr>
    <w:rPr>
      <w:rFonts w:ascii="Tahoma" w:hAnsi="Tahoma" w:cs="Tahoma"/>
      <w:b/>
      <w:bCs/>
      <w:color w:val="0D0D0D"/>
      <w:sz w:val="18"/>
      <w:szCs w:val="18"/>
    </w:rPr>
  </w:style>
  <w:style w:type="character" w:customStyle="1" w:styleId="0-0">
    <w:name w:val="0-מידת תיקון הליקוי תו"/>
    <w:basedOn w:val="DefaultParagraphFont"/>
    <w:link w:val="0-"/>
    <w:rsid w:val="00AA5065"/>
    <w:rPr>
      <w:rFonts w:ascii="Tahoma" w:hAnsi="Tahoma" w:cs="Tahoma"/>
      <w:b/>
      <w:bCs/>
      <w:color w:val="0D0D0D"/>
      <w:sz w:val="18"/>
      <w:szCs w:val="18"/>
    </w:rPr>
  </w:style>
  <w:style w:type="character" w:customStyle="1" w:styleId="738">
    <w:name w:val="73א קוביה רצה תו"/>
    <w:basedOn w:val="DefaultParagraphFont"/>
    <w:link w:val="7311"/>
    <w:rsid w:val="00AA5065"/>
    <w:rPr>
      <w:rFonts w:ascii="Tahoma" w:eastAsia="Times New Roman" w:hAnsi="Tahoma" w:cs="Tahoma"/>
      <w:color w:val="0D0D0D"/>
      <w:sz w:val="18"/>
      <w:szCs w:val="18"/>
      <w:shd w:val="solid" w:color="CEEAF5" w:fill="auto"/>
      <w:lang w:eastAsia="he-IL"/>
    </w:rPr>
  </w:style>
  <w:style w:type="paragraph" w:customStyle="1" w:styleId="7311">
    <w:name w:val="73א קוביה רצה"/>
    <w:basedOn w:val="Normal"/>
    <w:link w:val="738"/>
    <w:qFormat/>
    <w:rsid w:val="00AA5065"/>
    <w:pPr>
      <w:keepLines/>
      <w:pBdr>
        <w:top w:val="single" w:sz="18" w:space="4" w:color="CEEAF5"/>
        <w:left w:val="single" w:sz="18" w:space="11" w:color="CEEAF5"/>
        <w:bottom w:val="single" w:sz="18" w:space="6" w:color="CEEAF5"/>
        <w:right w:val="single" w:sz="18" w:space="11" w:color="CEEAF5"/>
      </w:pBdr>
      <w:shd w:val="solid" w:color="CEEAF5" w:fill="auto"/>
      <w:tabs>
        <w:tab w:val="left" w:pos="624"/>
      </w:tabs>
      <w:spacing w:after="120" w:line="260" w:lineRule="exact"/>
      <w:ind w:left="227" w:right="227"/>
    </w:pPr>
    <w:rPr>
      <w:rFonts w:ascii="Tahoma" w:eastAsia="Times New Roman" w:hAnsi="Tahoma" w:cs="Tahoma"/>
      <w:color w:val="0D0D0D"/>
      <w:sz w:val="18"/>
      <w:szCs w:val="18"/>
      <w:lang w:eastAsia="he-IL"/>
    </w:rPr>
  </w:style>
  <w:style w:type="character" w:customStyle="1" w:styleId="KOT7N">
    <w:name w:val="KOT7N"/>
    <w:basedOn w:val="DefaultParagraphFont"/>
    <w:uiPriority w:val="1"/>
    <w:qFormat/>
    <w:rsid w:val="00AA5065"/>
    <w:rPr>
      <w:rFonts w:ascii="Tahoma" w:hAnsi="Tahoma" w:cs="Tahoma"/>
      <w:b/>
      <w:bCs/>
      <w:color w:val="00305F"/>
      <w:spacing w:val="20"/>
      <w:sz w:val="18"/>
      <w:szCs w:val="18"/>
    </w:rPr>
  </w:style>
  <w:style w:type="table" w:customStyle="1" w:styleId="118">
    <w:name w:val="רשת טבלה11"/>
    <w:basedOn w:val="TableNormal"/>
    <w:next w:val="TableGrid"/>
    <w:rsid w:val="00AA5065"/>
    <w:pPr>
      <w:spacing w:after="0" w:line="240" w:lineRule="auto"/>
      <w:jc w:val="right"/>
    </w:pPr>
    <w:rPr>
      <w:rFonts w:eastAsia="Times New Roman" w:cs="Times New Roman"/>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טבלת רשת 4 - הדגשה 11"/>
    <w:basedOn w:val="TableNormal"/>
    <w:next w:val="GridTable4Accent1"/>
    <w:uiPriority w:val="49"/>
    <w:rsid w:val="00AA5065"/>
    <w:pPr>
      <w:spacing w:after="0" w:line="240" w:lineRule="auto"/>
    </w:p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53">
    <w:name w:val="כותרת 5 תו3"/>
    <w:basedOn w:val="DefaultParagraphFont"/>
    <w:uiPriority w:val="1"/>
    <w:rsid w:val="00AA5065"/>
    <w:rPr>
      <w:rFonts w:ascii="Cambria" w:eastAsia="Times New Roman" w:hAnsi="Cambria" w:cs="Times New Roman"/>
      <w:color w:val="943634"/>
      <w:sz w:val="24"/>
      <w:szCs w:val="24"/>
    </w:rPr>
  </w:style>
  <w:style w:type="table" w:customStyle="1" w:styleId="120">
    <w:name w:val="רשת טבלה12"/>
    <w:basedOn w:val="TableNormal"/>
    <w:next w:val="TableGrid"/>
    <w:uiPriority w:val="59"/>
    <w:rsid w:val="00AA5065"/>
    <w:pPr>
      <w:spacing w:after="0" w:line="240" w:lineRule="auto"/>
      <w:jc w:val="left"/>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רשת טבלה3"/>
    <w:basedOn w:val="TableNormal"/>
    <w:next w:val="TableGrid"/>
    <w:uiPriority w:val="59"/>
    <w:rsid w:val="00AA5065"/>
    <w:pPr>
      <w:spacing w:after="0" w:line="240" w:lineRule="auto"/>
      <w:jc w:val="left"/>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רשת טבלה31"/>
    <w:basedOn w:val="TableNormal"/>
    <w:next w:val="TableGrid"/>
    <w:uiPriority w:val="59"/>
    <w:rsid w:val="00AA5065"/>
    <w:pPr>
      <w:spacing w:after="0" w:line="240" w:lineRule="auto"/>
      <w:jc w:val="left"/>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רשת טבלה4"/>
    <w:basedOn w:val="TableNormal"/>
    <w:next w:val="TableGrid"/>
    <w:uiPriority w:val="59"/>
    <w:rsid w:val="00AA5065"/>
    <w:pPr>
      <w:spacing w:after="0" w:line="240" w:lineRule="auto"/>
      <w:jc w:val="left"/>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רשת טבלה41"/>
    <w:basedOn w:val="TableNormal"/>
    <w:next w:val="TableGrid"/>
    <w:uiPriority w:val="59"/>
    <w:rsid w:val="00AA5065"/>
    <w:pPr>
      <w:spacing w:after="0" w:line="240" w:lineRule="auto"/>
      <w:jc w:val="left"/>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a53"/>
    <w:uiPriority w:val="99"/>
    <w:semiHidden/>
    <w:unhideWhenUsed/>
    <w:rsid w:val="00AA5065"/>
    <w:pPr>
      <w:spacing w:line="240" w:lineRule="auto"/>
    </w:pPr>
    <w:rPr>
      <w:rFonts w:ascii="Calibri" w:hAnsi="Calibri" w:cs="Arial"/>
      <w:sz w:val="22"/>
      <w:szCs w:val="21"/>
    </w:rPr>
  </w:style>
  <w:style w:type="character" w:customStyle="1" w:styleId="119">
    <w:name w:val="טקסט רגיל תו1"/>
    <w:basedOn w:val="DefaultParagraphFont"/>
    <w:uiPriority w:val="99"/>
    <w:semiHidden/>
    <w:rsid w:val="00AA5065"/>
    <w:rPr>
      <w:rFonts w:ascii="Consolas" w:hAnsi="Consolas"/>
      <w:sz w:val="21"/>
      <w:szCs w:val="21"/>
    </w:rPr>
  </w:style>
  <w:style w:type="table" w:styleId="LightShadingAccent1">
    <w:name w:val="Light Shading Accent 1"/>
    <w:basedOn w:val="TableNormal"/>
    <w:uiPriority w:val="60"/>
    <w:semiHidden/>
    <w:unhideWhenUsed/>
    <w:rsid w:val="00AA5065"/>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List2Accent1">
    <w:name w:val="Medium List 2 Accent 1"/>
    <w:basedOn w:val="TableNormal"/>
    <w:uiPriority w:val="66"/>
    <w:semiHidden/>
    <w:unhideWhenUsed/>
    <w:rsid w:val="00AA5065"/>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ListAccent3">
    <w:name w:val="Light List Accent 3"/>
    <w:basedOn w:val="TableNormal"/>
    <w:uiPriority w:val="61"/>
    <w:semiHidden/>
    <w:unhideWhenUsed/>
    <w:rsid w:val="00AA5065"/>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GridTable5DarkAccent1">
    <w:name w:val="Grid Table 5 Dark Accent 1"/>
    <w:basedOn w:val="TableNormal"/>
    <w:uiPriority w:val="50"/>
    <w:rsid w:val="00AA506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4Accent1">
    <w:name w:val="Grid Table 4 Accent 1"/>
    <w:basedOn w:val="TableNormal"/>
    <w:uiPriority w:val="49"/>
    <w:rsid w:val="00AA5065"/>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emf"/><Relationship Id="rId39" Type="http://schemas.openxmlformats.org/officeDocument/2006/relationships/header" Target="header1.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numbering" Target="numbering.xml"/><Relationship Id="rId7" Type="http://schemas.openxmlformats.org/officeDocument/2006/relationships/image" Target="media/image1.jpeg"/><Relationship Id="rId16" Type="http://schemas.openxmlformats.org/officeDocument/2006/relationships/image" Target="media/image10.jpeg"/><Relationship Id="rId2" Type="http://schemas.openxmlformats.org/officeDocument/2006/relationships/settings" Target="settings.xml"/><Relationship Id="rId29" Type="http://schemas.openxmlformats.org/officeDocument/2006/relationships/image" Target="media/image23.jpeg"/><Relationship Id="rId1"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emf"/><Relationship Id="rId40" Type="http://schemas.openxmlformats.org/officeDocument/2006/relationships/header" Target="header2.xml"/><Relationship Id="rId6" Type="http://schemas.openxmlformats.org/officeDocument/2006/relationships/hyperlink" Target="http://mvdocd2app.mevaker.loc/D2/?docbase=NM_PRD&amp;locateId=090bc09b8282a7b5" TargetMode="External"/><Relationship Id="rId45" Type="http://schemas.openxmlformats.org/officeDocument/2006/relationships/customXml" Target="../customXml/item3.xml"/><Relationship Id="rId15" Type="http://schemas.openxmlformats.org/officeDocument/2006/relationships/image" Target="media/image9.jpeg"/><Relationship Id="rId23" Type="http://schemas.openxmlformats.org/officeDocument/2006/relationships/image" Target="media/image17.emf"/><Relationship Id="rId28" Type="http://schemas.openxmlformats.org/officeDocument/2006/relationships/image" Target="media/image22.jpeg"/><Relationship Id="rId36" Type="http://schemas.openxmlformats.org/officeDocument/2006/relationships/image" Target="media/image30.emf"/><Relationship Id="rId5" Type="http://schemas.openxmlformats.org/officeDocument/2006/relationships/customXml" Target="../customXml/item1.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jpeg"/><Relationship Id="rId44" Type="http://schemas.openxmlformats.org/officeDocument/2006/relationships/customXml" Target="../customXml/item2.xm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 Type="http://schemas.openxmlformats.org/officeDocument/2006/relationships/fontTable" Target="fontTable.xml"/><Relationship Id="rId43" Type="http://schemas.openxmlformats.org/officeDocument/2006/relationships/styles" Target="styles.xml"/><Relationship Id="rId9" Type="http://schemas.openxmlformats.org/officeDocument/2006/relationships/image" Target="media/image3.jpeg"/><Relationship Id="rId8" Type="http://schemas.openxmlformats.org/officeDocument/2006/relationships/image" Target="media/image2.emf"/><Relationship Id="rId3" Type="http://schemas.openxmlformats.org/officeDocument/2006/relationships/webSettings" Target="webSettings.xml"/><Relationship Id="rId12" Type="http://schemas.openxmlformats.org/officeDocument/2006/relationships/image" Target="media/image6.emf"/><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hyperlink" Target="https://www.btl.gov.il/Laws1/00_0002_000000.pdf" TargetMode="External"/><Relationship Id="rId46" Type="http://schemas.openxmlformats.org/officeDocument/2006/relationships/customXml" Target="../customXml/item4.xml"/><Relationship Id="rId20" Type="http://schemas.openxmlformats.org/officeDocument/2006/relationships/image" Target="media/image14.jpeg"/><Relationship Id="rId41" Type="http://schemas.openxmlformats.org/officeDocument/2006/relationships/theme" Target="theme/theme1.xml"/></Relationships>
</file>

<file path=word/_rels/footnotes.xml.rels><?xml version="1.0" encoding="utf-8" standalone="yes"?><Relationships xmlns="http://schemas.openxmlformats.org/package/2006/relationships"><Relationship Id="rId1" Type="http://schemas.openxmlformats.org/officeDocument/2006/relationships/hyperlink" Target="file:///\\mvtanas\MVTANAS\Eco%20Division\Agaf_19\&#1514;&#1497;&#1511;&#1497;&#1493;&#1514;%20&#1506;&#1493;&#1489;&#1491;&#1497;&#1501;\&#1500;&#1497;&#1488;&#1493;&#1512;\&#1502;&#1496;&#1500;&#1492;%20-%20&#1491;&#1493;&#1495;%20&#1502;&#1506;&#1511;&#1489;%20&#1492;&#1497;&#1489;&#1496;&#1497;%20&#1502;&#1513;&#1497;&#1500;&#1493;&#1514;%20&#1489;&#1504;&#1490;&#1489;\&#1490;&#1512;&#1505;&#1488;&#1493;&#1514;%20&#1491;&#1493;&#1495;&#1493;&#1514;%20%20&#1492;&#1497;&#1489;&#1496;&#1497;%20&#1502;&#1513;&#1497;&#1500;&#1493;&#1514;%20&#1489;&#1504;&#1490;&#1489;%20-%20&#1500;&#1497;&#1488;&#1493;&#1512;\&#1500;&#1502;%2522&#1505;,%20&#1508;&#1512;&#1493;&#1508;&#1497;&#1500;%20&#1502;&#1493;&#1506;&#1510;&#1493;&#1514;%20&#1502;&#1511;&#1493;&#1502;&#1497;&#1493;&#1514;,%20&#1492;&#1512;&#1513;&#1493;&#1497;&#1493;&#1514;%20&#1492;&#1502;&#1511;&#1493;&#1502;&#1497;&#1493;&#1514;%20&#1489;&#1497;&#1513;&#1512;&#1488;&#1500;%202022,%20&#1508;&#1512;&#1505;&#1493;&#1501;%20&#1502;&#1505;'%201957.&#8207;" TargetMode="External" /></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התאמה אישית 2">
      <a:majorFont>
        <a:latin typeface="Calibri"/>
        <a:ea typeface=""/>
        <a:cs typeface="Calibri"/>
      </a:majorFont>
      <a:minorFont>
        <a:latin typeface="Calibri"/>
        <a:ea typeface=""/>
        <a:cs typeface="Calibr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מסמך" ma:contentTypeID="0x01010064D459DCDBE1C04FBE70D8D923394CD3" ma:contentTypeVersion="2" ma:contentTypeDescription="צור מסמך חדש." ma:contentTypeScope="" ma:versionID="3864389fd21ce9150964e53b9a8f1608">
  <xsd:schema xmlns:xsd="http://www.w3.org/2001/XMLSchema" xmlns:xs="http://www.w3.org/2001/XMLSchema" xmlns:p="http://schemas.microsoft.com/office/2006/metadata/properties" xmlns:ns1="http://schemas.microsoft.com/sharepoint/v3" xmlns:ns2="2427becb-8270-4354-8f06-4353a268df37" targetNamespace="http://schemas.microsoft.com/office/2006/metadata/properties" ma:root="true" ma:fieldsID="2e0a3e01fa184713ae5393162d4b5312" ns1:_="" ns2:_="">
    <xsd:import namespace="http://schemas.microsoft.com/sharepoint/v3"/>
    <xsd:import namespace="2427becb-8270-4354-8f06-4353a268df3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מתזמן תאריך התחלה" ma:description="'מתזמן תאריך התחלה' הוא עמודת אתר שיוצרת תכונת הפרסום. היא משמשת לציון התאריך והשעה שבהם יופיע הדף לראשונה בפני מבקרי האתר." ma:hidden="true" ma:internalName="PublishingStartDate">
      <xsd:simpleType>
        <xsd:restriction base="dms:Unknown"/>
      </xsd:simpleType>
    </xsd:element>
    <xsd:element name="PublishingExpirationDate" ma:index="9" nillable="true" ma:displayName="מתזמן תאריך סיום" ma:description="'תזמון תאריך הסיום' הוא עמודת אתר שיוצרת תכונת הפרסום. היא משמשת לציון התאריך והשעה שבהם הדף לא יופיע עוד בפני מבקרי האתר."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427becb-8270-4354-8f06-4353a268df37" elementFormDefault="qualified">
    <xsd:import namespace="http://schemas.microsoft.com/office/2006/documentManagement/types"/>
    <xsd:import namespace="http://schemas.microsoft.com/office/infopath/2007/PartnerControls"/>
    <xsd:element name="SharedWithUsers" ma:index="10"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F4683DA8-BD0C-471D-ABAB-26DC642987A7}">
  <ds:schemaRefs>
    <ds:schemaRef ds:uri="http://schemas.openxmlformats.org/officeDocument/2006/bibliography"/>
  </ds:schemaRefs>
</ds:datastoreItem>
</file>

<file path=customXml/itemProps2.xml><?xml version="1.0" encoding="utf-8"?>
<ds:datastoreItem xmlns:ds="http://schemas.openxmlformats.org/officeDocument/2006/customXml" ds:itemID="{53F928E2-BF80-47E7-91E8-ACC59E0EDE33}"/>
</file>

<file path=customXml/itemProps3.xml><?xml version="1.0" encoding="utf-8"?>
<ds:datastoreItem xmlns:ds="http://schemas.openxmlformats.org/officeDocument/2006/customXml" ds:itemID="{20A8BDC9-70E4-4DB8-9EC5-BE699484E284}"/>
</file>

<file path=customXml/itemProps4.xml><?xml version="1.0" encoding="utf-8"?>
<ds:datastoreItem xmlns:ds="http://schemas.openxmlformats.org/officeDocument/2006/customXml" ds:itemID="{4E15E412-7FE9-4D8D-8E37-95038A217562}"/>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0x01010064D459DCDBE1C04FBE70D8D923394CD3</vt:lpwstr>
  </property>
</Properties>
</file>