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8.0 -->
  <w:body>
    <w:p w:rsidR="005B126E" w:rsidRPr="00B97E44" w:rsidP="001916A9">
      <w:pPr>
        <w:pStyle w:val="Heading1"/>
        <w:spacing w:line="269" w:lineRule="auto"/>
        <w:rPr>
          <w:rtl/>
        </w:rPr>
      </w:pPr>
      <w:bookmarkStart w:id="0" w:name="_Hlk202791493"/>
      <w:bookmarkStart w:id="1" w:name="tempMark"/>
      <w:bookmarkStart w:id="2" w:name="_Hlk216353150"/>
      <w:bookmarkStart w:id="3" w:name="_Hlk176017532"/>
      <w:bookmarkStart w:id="4" w:name="_Hlk207701023"/>
      <w:bookmarkStart w:id="5" w:name="_Hlk208475882"/>
      <w:bookmarkStart w:id="6" w:name="_Hlk192594390"/>
      <w:bookmarkEnd w:id="0"/>
      <w:bookmarkEnd w:id="1"/>
      <w:r w:rsidRPr="00B97E44">
        <w:rPr>
          <w:rFonts w:hint="cs"/>
          <w:rtl/>
        </w:rPr>
        <w:t>הליכי השיקום והפיתוח של יישובי הנגב המערבי, קהילותיהם ותושביהם שנפגעו במתקפת שבעה באוקטובר</w:t>
      </w:r>
      <w:bookmarkEnd w:id="2"/>
    </w:p>
    <w:p w:rsidR="005B126E" w:rsidP="001916A9">
      <w:pPr>
        <w:spacing w:line="269" w:lineRule="auto"/>
        <w:rPr>
          <w:rtl/>
        </w:rPr>
      </w:pPr>
    </w:p>
    <w:p w:rsidR="005B126E" w:rsidRPr="00B97E44" w:rsidP="0018262A">
      <w:pPr>
        <w:pStyle w:val="Heading3"/>
        <w:rPr>
          <w:rtl/>
        </w:rPr>
      </w:pPr>
      <w:r w:rsidRPr="00B97E44">
        <w:rPr>
          <w:rFonts w:hint="cs"/>
          <w:rtl/>
        </w:rPr>
        <w:t>מבוא</w:t>
      </w:r>
    </w:p>
    <w:p w:rsidR="005B126E" w:rsidRPr="00B97E44" w:rsidP="001916A9">
      <w:pPr>
        <w:spacing w:line="269" w:lineRule="auto"/>
        <w:ind w:left="-567"/>
        <w:rPr>
          <w:szCs w:val="20"/>
          <w:rtl/>
          <w:lang w:eastAsia="he-IL"/>
        </w:rPr>
      </w:pPr>
    </w:p>
    <w:p w:rsidR="005B126E" w:rsidRPr="00B97E44" w:rsidP="001916A9">
      <w:pPr>
        <w:spacing w:line="269" w:lineRule="auto"/>
        <w:rPr>
          <w:rFonts w:eastAsiaTheme="majorEastAsia"/>
          <w:b/>
          <w:sz w:val="24"/>
          <w:rtl/>
        </w:rPr>
      </w:pPr>
      <w:bookmarkStart w:id="7" w:name="_Hlk207630259"/>
      <w:r w:rsidRPr="00B97E44">
        <w:rPr>
          <w:rFonts w:eastAsiaTheme="majorEastAsia"/>
          <w:b/>
          <w:sz w:val="24"/>
          <w:rtl/>
        </w:rPr>
        <w:t xml:space="preserve">ביום שמחת תורה, שבעה באוקטובר 2023, תקף ארגון הטרור חמאס את מדינת ישראל באמצעות ירי של אלפי </w:t>
      </w:r>
      <w:r w:rsidRPr="00B97E44">
        <w:rPr>
          <w:rFonts w:eastAsiaTheme="majorEastAsia" w:hint="cs"/>
          <w:b/>
          <w:sz w:val="24"/>
          <w:rtl/>
        </w:rPr>
        <w:t>רקטות</w:t>
      </w:r>
      <w:r w:rsidRPr="00B97E44">
        <w:rPr>
          <w:rFonts w:eastAsiaTheme="majorEastAsia"/>
          <w:b/>
          <w:sz w:val="24"/>
          <w:rtl/>
        </w:rPr>
        <w:t xml:space="preserve"> וחדירה של אלפי מחבלים לבסיסי צה"ל, לערים וליישובים בנגב המערבי. המחבלים הגיעו גם למסיבות מרובות משתתפים שהתקיימו סמוך לרצועת עזה. אלפי המחבלים ביצעו מעשים נוראים וקיצוניים באכזריותם; 415 חיילים ואנשי כוחות ביטחון נפלו בקרבות ו-905 אזרחים ישראלים וזרים נרצחו במתקפה. המחבלים ביצעו פשעים מחרידים בנשים, בגברים, בקשישים ובילדים, בחיילות ובחיילים. נוסף על כך הם פצעו אלפי בני אדם, ביצעו בקורבנות פגיעות מיניות קשות וחטפו לתוך רצועת עזה 251 נשים, גברים וילדים. המחבלים פגעו גם ברכוש - הרסו, שרפו והשמידו בתים בישובים, מפעלים וציוד (להלן - מתקפת הטרור).</w:t>
      </w:r>
      <w:bookmarkEnd w:id="7"/>
    </w:p>
    <w:p w:rsidR="005B126E" w:rsidRPr="00B97E44" w:rsidP="001916A9">
      <w:pPr>
        <w:spacing w:line="269" w:lineRule="auto"/>
        <w:ind w:left="-567"/>
        <w:rPr>
          <w:szCs w:val="20"/>
          <w:rtl/>
        </w:rPr>
      </w:pPr>
    </w:p>
    <w:p w:rsidR="005B126E" w:rsidRPr="00B97E44" w:rsidP="001916A9">
      <w:pPr>
        <w:spacing w:line="269" w:lineRule="auto"/>
        <w:rPr>
          <w:rFonts w:eastAsiaTheme="majorEastAsia"/>
          <w:b/>
          <w:sz w:val="24"/>
        </w:rPr>
      </w:pPr>
      <w:r w:rsidRPr="00B97E44">
        <w:rPr>
          <w:rFonts w:eastAsiaTheme="majorEastAsia" w:hint="cs"/>
          <w:b/>
          <w:sz w:val="24"/>
          <w:rtl/>
        </w:rPr>
        <w:t>יישובים ישראליים נכבשו ותושבים הסתתרו בבתיהם שעות ארוכות בעוד המחבלים פורעים ביישוביהם. במקרים רבים המתינו התושבים זמן ממושך לבואם של כוחות הביטחון. מאורעות אלו גרמו לפגיעה קשה באמון של תושבי היישובים הללו ברשויות המדינה ועוררו תחושה קשה כי הופקרו על ידי המדינה שהייתה אמורה לדאוג לביטחונם.</w:t>
      </w:r>
    </w:p>
    <w:p w:rsidR="005B126E" w:rsidRPr="00B97E44" w:rsidP="001916A9">
      <w:pPr>
        <w:spacing w:line="269" w:lineRule="auto"/>
        <w:ind w:left="-567"/>
        <w:rPr>
          <w:szCs w:val="20"/>
          <w:rtl/>
        </w:rPr>
      </w:pPr>
    </w:p>
    <w:p w:rsidR="005B126E" w:rsidRPr="00B97E44" w:rsidP="001916A9">
      <w:pPr>
        <w:spacing w:line="269" w:lineRule="auto"/>
        <w:rPr>
          <w:rFonts w:eastAsiaTheme="majorEastAsia"/>
          <w:b/>
          <w:sz w:val="24"/>
          <w:rtl/>
        </w:rPr>
      </w:pPr>
      <w:r w:rsidRPr="00B97E44">
        <w:rPr>
          <w:rFonts w:eastAsiaTheme="majorEastAsia"/>
          <w:b/>
          <w:sz w:val="24"/>
          <w:rtl/>
        </w:rPr>
        <w:t>הקהילות ספגו אבדות</w:t>
      </w:r>
      <w:r w:rsidRPr="00B97E44">
        <w:rPr>
          <w:rFonts w:eastAsiaTheme="majorEastAsia" w:hint="cs"/>
          <w:b/>
          <w:sz w:val="24"/>
          <w:rtl/>
        </w:rPr>
        <w:t xml:space="preserve"> רבות,</w:t>
      </w:r>
      <w:r w:rsidRPr="00B97E44">
        <w:rPr>
          <w:rFonts w:eastAsiaTheme="majorEastAsia"/>
          <w:b/>
          <w:sz w:val="24"/>
          <w:rtl/>
        </w:rPr>
        <w:t xml:space="preserve"> וחבריהן, יש מהם המתמודדים עם אובדן יקיריהם ועם פגיעות גופניות ונפשיות, יש שעודם חוששים לעתידם ולעתיד יישובם ויש שעברו ימים ארוכים ורבים של חוסר ודאות לגבי גורל קרוביהם וחבריהם. בשל המצב הביטחוני המתמשך, פונו מקהילות אלה עשרות אלפי </w:t>
      </w:r>
      <w:r w:rsidRPr="00B97E44">
        <w:rPr>
          <w:rFonts w:eastAsiaTheme="majorEastAsia" w:hint="cs"/>
          <w:b/>
          <w:sz w:val="24"/>
          <w:rtl/>
        </w:rPr>
        <w:t>תושבים</w:t>
      </w:r>
      <w:r w:rsidRPr="00B97E44">
        <w:rPr>
          <w:rFonts w:eastAsiaTheme="majorEastAsia"/>
          <w:b/>
          <w:sz w:val="24"/>
          <w:rtl/>
        </w:rPr>
        <w:t xml:space="preserve"> למגוון מוקדים ברחבי הארץ, </w:t>
      </w:r>
      <w:r w:rsidRPr="00B97E44">
        <w:rPr>
          <w:rFonts w:eastAsiaTheme="majorEastAsia" w:hint="cs"/>
          <w:b/>
          <w:sz w:val="24"/>
          <w:rtl/>
        </w:rPr>
        <w:t>בשעה שחלק מה</w:t>
      </w:r>
      <w:r w:rsidRPr="00B97E44">
        <w:rPr>
          <w:rFonts w:eastAsiaTheme="majorEastAsia"/>
          <w:b/>
          <w:sz w:val="24"/>
          <w:rtl/>
        </w:rPr>
        <w:t xml:space="preserve">תושבים נשארו </w:t>
      </w:r>
      <w:r w:rsidRPr="00B97E44">
        <w:rPr>
          <w:rFonts w:eastAsiaTheme="majorEastAsia" w:hint="cs"/>
          <w:b/>
          <w:sz w:val="24"/>
          <w:rtl/>
        </w:rPr>
        <w:t>ב</w:t>
      </w:r>
      <w:r w:rsidRPr="00B97E44">
        <w:rPr>
          <w:rFonts w:eastAsiaTheme="majorEastAsia"/>
          <w:b/>
          <w:sz w:val="24"/>
          <w:rtl/>
        </w:rPr>
        <w:t>יישובים בתחושת חוסר ביטחון וללא</w:t>
      </w:r>
      <w:r>
        <w:rPr>
          <w:rFonts w:eastAsiaTheme="majorEastAsia" w:hint="cs"/>
          <w:b/>
          <w:sz w:val="24"/>
          <w:rtl/>
        </w:rPr>
        <w:t xml:space="preserve"> תשתיות</w:t>
      </w:r>
      <w:r w:rsidRPr="00B97E44">
        <w:rPr>
          <w:rFonts w:eastAsiaTheme="majorEastAsia"/>
          <w:b/>
          <w:sz w:val="24"/>
          <w:rtl/>
        </w:rPr>
        <w:t xml:space="preserve"> </w:t>
      </w:r>
      <w:r>
        <w:rPr>
          <w:rFonts w:eastAsiaTheme="majorEastAsia" w:hint="cs"/>
          <w:b/>
          <w:sz w:val="24"/>
          <w:rtl/>
        </w:rPr>
        <w:t>ו</w:t>
      </w:r>
      <w:r w:rsidRPr="00B97E44">
        <w:rPr>
          <w:rFonts w:eastAsiaTheme="majorEastAsia"/>
          <w:b/>
          <w:sz w:val="24"/>
          <w:rtl/>
        </w:rPr>
        <w:t xml:space="preserve">שירותים </w:t>
      </w:r>
      <w:r w:rsidRPr="00B97E44">
        <w:rPr>
          <w:rFonts w:eastAsiaTheme="majorEastAsia" w:hint="cs"/>
          <w:b/>
          <w:sz w:val="24"/>
          <w:rtl/>
        </w:rPr>
        <w:t>ה</w:t>
      </w:r>
      <w:r w:rsidRPr="00B97E44">
        <w:rPr>
          <w:rFonts w:eastAsiaTheme="majorEastAsia"/>
          <w:b/>
          <w:sz w:val="24"/>
          <w:rtl/>
        </w:rPr>
        <w:t>מתפקדים באופן מלא</w:t>
      </w:r>
      <w:r w:rsidRPr="00B97E44">
        <w:rPr>
          <w:rFonts w:eastAsiaTheme="majorEastAsia" w:hint="cs"/>
          <w:b/>
          <w:sz w:val="24"/>
          <w:rtl/>
        </w:rPr>
        <w:t xml:space="preserve">. </w:t>
      </w:r>
    </w:p>
    <w:p w:rsidR="005B126E" w:rsidRPr="00B97E44" w:rsidP="001916A9">
      <w:pPr>
        <w:spacing w:line="269" w:lineRule="auto"/>
        <w:ind w:left="-567"/>
        <w:rPr>
          <w:szCs w:val="20"/>
          <w:rtl/>
        </w:rPr>
      </w:pPr>
    </w:p>
    <w:p w:rsidR="005B126E" w:rsidRPr="00B97E44" w:rsidP="001916A9">
      <w:pPr>
        <w:spacing w:line="269" w:lineRule="auto"/>
        <w:rPr>
          <w:rFonts w:eastAsiaTheme="majorEastAsia"/>
          <w:b/>
          <w:sz w:val="24"/>
        </w:rPr>
      </w:pPr>
      <w:r w:rsidRPr="00B97E44">
        <w:rPr>
          <w:rFonts w:eastAsiaTheme="majorEastAsia" w:hint="cs"/>
          <w:b/>
          <w:sz w:val="24"/>
          <w:rtl/>
        </w:rPr>
        <w:t>תושבי היישובים</w:t>
      </w:r>
      <w:r w:rsidRPr="00B97E44">
        <w:rPr>
          <w:rFonts w:eastAsiaTheme="majorEastAsia"/>
          <w:b/>
          <w:sz w:val="24"/>
          <w:rtl/>
        </w:rPr>
        <w:t xml:space="preserve"> המרוחקים </w:t>
      </w:r>
      <w:r w:rsidRPr="00B97E44">
        <w:rPr>
          <w:rFonts w:eastAsiaTheme="majorEastAsia" w:hint="cs"/>
          <w:b/>
          <w:sz w:val="24"/>
          <w:rtl/>
        </w:rPr>
        <w:t xml:space="preserve">עד </w:t>
      </w:r>
      <w:r w:rsidRPr="00B97E44">
        <w:rPr>
          <w:rFonts w:eastAsiaTheme="majorEastAsia"/>
          <w:b/>
          <w:sz w:val="24"/>
          <w:rtl/>
        </w:rPr>
        <w:t>7 ק"מ מגבול רצועת עזה</w:t>
      </w:r>
      <w:r w:rsidRPr="00B97E44">
        <w:rPr>
          <w:rFonts w:eastAsiaTheme="majorEastAsia" w:hint="cs"/>
          <w:b/>
          <w:sz w:val="24"/>
          <w:rtl/>
        </w:rPr>
        <w:t xml:space="preserve"> פונו מבתיהם</w:t>
      </w:r>
      <w:r w:rsidRPr="00B97E44">
        <w:rPr>
          <w:rFonts w:eastAsiaTheme="majorEastAsia"/>
          <w:b/>
          <w:sz w:val="24"/>
          <w:rtl/>
        </w:rPr>
        <w:t>. מפונים מיישובים אלו נחלקו קטגורית לשתי קבוצות: מפונים מזירות הלוחמה ביישובים הסמוכים לגבול רצועת עזה, שבתחום המועצות האזוריות, שביתם נהרס כליל ולא יוכלו לחזור אליו תקופה ארוכה, ומפונים מיישובים אחרים בקו העימות הדרומי</w:t>
      </w:r>
      <w:r w:rsidRPr="00B97E44">
        <w:rPr>
          <w:rFonts w:eastAsiaTheme="majorEastAsia" w:hint="cs"/>
          <w:b/>
          <w:sz w:val="24"/>
          <w:rtl/>
        </w:rPr>
        <w:t>,</w:t>
      </w:r>
      <w:r w:rsidRPr="00B97E44">
        <w:rPr>
          <w:rFonts w:eastAsiaTheme="majorEastAsia"/>
          <w:b/>
          <w:sz w:val="24"/>
          <w:rtl/>
        </w:rPr>
        <w:t xml:space="preserve"> ובכלל זה העיר </w:t>
      </w:r>
      <w:r w:rsidRPr="00B97E44">
        <w:rPr>
          <w:rFonts w:eastAsiaTheme="majorEastAsia"/>
          <w:bCs/>
          <w:sz w:val="24"/>
          <w:rtl/>
        </w:rPr>
        <w:t>שדרות</w:t>
      </w:r>
      <w:r w:rsidRPr="00B97E44">
        <w:rPr>
          <w:rFonts w:eastAsiaTheme="majorEastAsia" w:hint="cs"/>
          <w:b/>
          <w:sz w:val="24"/>
          <w:rtl/>
        </w:rPr>
        <w:t>,</w:t>
      </w:r>
      <w:r w:rsidRPr="00B97E44">
        <w:rPr>
          <w:rFonts w:eastAsiaTheme="majorEastAsia"/>
          <w:b/>
          <w:sz w:val="24"/>
          <w:rtl/>
        </w:rPr>
        <w:t xml:space="preserve"> שעזבו את ביתם בהתראה קצרה ושבו</w:t>
      </w:r>
      <w:r w:rsidRPr="00B97E44">
        <w:rPr>
          <w:rFonts w:eastAsiaTheme="majorEastAsia" w:hint="cs"/>
          <w:b/>
          <w:sz w:val="24"/>
          <w:rtl/>
        </w:rPr>
        <w:t xml:space="preserve"> אליו </w:t>
      </w:r>
      <w:r w:rsidRPr="00B97E44">
        <w:rPr>
          <w:rFonts w:eastAsiaTheme="majorEastAsia"/>
          <w:b/>
          <w:sz w:val="24"/>
          <w:rtl/>
        </w:rPr>
        <w:t xml:space="preserve">במהלך שנת 2024. </w:t>
      </w:r>
      <w:r w:rsidRPr="00B97E44">
        <w:rPr>
          <w:rFonts w:eastAsiaTheme="majorEastAsia" w:hint="cs"/>
          <w:b/>
          <w:sz w:val="24"/>
          <w:rtl/>
        </w:rPr>
        <w:t>פונו גם</w:t>
      </w:r>
      <w:r w:rsidRPr="00B97E44">
        <w:rPr>
          <w:rFonts w:eastAsiaTheme="majorEastAsia"/>
          <w:b/>
          <w:sz w:val="24"/>
          <w:rtl/>
        </w:rPr>
        <w:t xml:space="preserve"> אוכלוסיות ייעודיות </w:t>
      </w:r>
      <w:r w:rsidRPr="00B97E44">
        <w:rPr>
          <w:rFonts w:eastAsiaTheme="majorEastAsia" w:hint="cs"/>
          <w:b/>
          <w:sz w:val="24"/>
          <w:rtl/>
        </w:rPr>
        <w:t xml:space="preserve">מאזורים מרוחקים יותר - </w:t>
      </w:r>
      <w:r w:rsidRPr="00B97E44">
        <w:rPr>
          <w:rFonts w:eastAsiaTheme="majorEastAsia"/>
          <w:b/>
          <w:sz w:val="24"/>
          <w:rtl/>
        </w:rPr>
        <w:t>בע</w:t>
      </w:r>
      <w:r w:rsidRPr="00B97E44">
        <w:rPr>
          <w:rFonts w:eastAsiaTheme="majorEastAsia" w:hint="cs"/>
          <w:b/>
          <w:sz w:val="24"/>
          <w:rtl/>
        </w:rPr>
        <w:t>רים</w:t>
      </w:r>
      <w:r w:rsidRPr="00B97E44">
        <w:rPr>
          <w:rFonts w:eastAsiaTheme="majorEastAsia"/>
          <w:b/>
          <w:sz w:val="24"/>
          <w:rtl/>
        </w:rPr>
        <w:t xml:space="preserve"> </w:t>
      </w:r>
      <w:r w:rsidRPr="00B97E44">
        <w:rPr>
          <w:rFonts w:eastAsiaTheme="majorEastAsia"/>
          <w:bCs/>
          <w:sz w:val="24"/>
          <w:rtl/>
        </w:rPr>
        <w:t>אשקלון</w:t>
      </w:r>
      <w:r w:rsidRPr="00B97E44">
        <w:rPr>
          <w:rFonts w:eastAsiaTheme="majorEastAsia"/>
          <w:b/>
          <w:sz w:val="24"/>
          <w:rtl/>
        </w:rPr>
        <w:t xml:space="preserve"> </w:t>
      </w:r>
      <w:r w:rsidRPr="00B97E44">
        <w:rPr>
          <w:rFonts w:eastAsiaTheme="majorEastAsia" w:hint="cs"/>
          <w:b/>
          <w:sz w:val="24"/>
          <w:rtl/>
        </w:rPr>
        <w:t>ו</w:t>
      </w:r>
      <w:r w:rsidRPr="00B97E44">
        <w:rPr>
          <w:rFonts w:eastAsiaTheme="majorEastAsia" w:hint="eastAsia"/>
          <w:bCs/>
          <w:sz w:val="24"/>
          <w:rtl/>
        </w:rPr>
        <w:t>אופקים</w:t>
      </w:r>
      <w:r w:rsidRPr="00B97E44">
        <w:rPr>
          <w:rFonts w:eastAsiaTheme="majorEastAsia" w:hint="cs"/>
          <w:b/>
          <w:sz w:val="24"/>
          <w:rtl/>
        </w:rPr>
        <w:t xml:space="preserve"> פונו תושבים </w:t>
      </w:r>
      <w:r w:rsidRPr="00B97E44">
        <w:rPr>
          <w:rFonts w:eastAsiaTheme="majorEastAsia"/>
          <w:b/>
          <w:sz w:val="24"/>
          <w:rtl/>
        </w:rPr>
        <w:t>לתקופה קצובה לצורך ריענון והפוגה</w:t>
      </w:r>
      <w:r w:rsidRPr="00B97E44">
        <w:rPr>
          <w:rFonts w:eastAsiaTheme="majorEastAsia" w:hint="cs"/>
          <w:b/>
          <w:sz w:val="24"/>
          <w:rtl/>
        </w:rPr>
        <w:t>.</w:t>
      </w:r>
      <w:r w:rsidRPr="00B97E44">
        <w:rPr>
          <w:rFonts w:eastAsiaTheme="majorEastAsia"/>
          <w:b/>
          <w:sz w:val="24"/>
          <w:rtl/>
        </w:rPr>
        <w:t xml:space="preserve"> </w:t>
      </w:r>
    </w:p>
    <w:p w:rsidR="005B126E" w:rsidRPr="00B97E44" w:rsidP="001916A9">
      <w:pPr>
        <w:spacing w:line="269" w:lineRule="auto"/>
        <w:ind w:left="-567"/>
        <w:rPr>
          <w:szCs w:val="20"/>
          <w:rtl/>
        </w:rPr>
      </w:pPr>
    </w:p>
    <w:p w:rsidR="00707CCC" w:rsidP="001916A9">
      <w:pPr>
        <w:spacing w:line="269" w:lineRule="auto"/>
        <w:rPr>
          <w:rFonts w:eastAsiaTheme="majorEastAsia"/>
          <w:b/>
          <w:bCs/>
          <w:sz w:val="24"/>
          <w:rtl/>
        </w:rPr>
      </w:pPr>
      <w:bookmarkStart w:id="8" w:name="_Hlk207630291"/>
      <w:r w:rsidRPr="00B97E44">
        <w:rPr>
          <w:rFonts w:eastAsiaTheme="majorEastAsia"/>
          <w:b/>
          <w:sz w:val="24"/>
          <w:rtl/>
        </w:rPr>
        <w:t xml:space="preserve">בכמה החלטות ממשלה שקיבלה ממשלת ישראל מאז </w:t>
      </w:r>
      <w:r w:rsidRPr="00B97E44">
        <w:rPr>
          <w:rFonts w:eastAsiaTheme="majorEastAsia" w:hint="cs"/>
          <w:b/>
          <w:sz w:val="24"/>
          <w:rtl/>
        </w:rPr>
        <w:t>מתקפת הטרור</w:t>
      </w:r>
      <w:r w:rsidRPr="00B97E44">
        <w:rPr>
          <w:rFonts w:eastAsiaTheme="majorEastAsia"/>
          <w:b/>
          <w:sz w:val="24"/>
          <w:rtl/>
        </w:rPr>
        <w:t xml:space="preserve"> </w:t>
      </w:r>
      <w:r w:rsidRPr="00B97E44">
        <w:rPr>
          <w:rFonts w:eastAsiaTheme="majorEastAsia" w:hint="cs"/>
          <w:b/>
          <w:sz w:val="24"/>
          <w:rtl/>
        </w:rPr>
        <w:t>ב</w:t>
      </w:r>
      <w:r w:rsidRPr="00B97E44">
        <w:rPr>
          <w:rFonts w:eastAsiaTheme="majorEastAsia"/>
          <w:b/>
          <w:sz w:val="24"/>
          <w:rtl/>
        </w:rPr>
        <w:t>שבעה באוקטובר בנוגע ליישובים שהמרחק</w:t>
      </w:r>
      <w:r>
        <w:rPr>
          <w:rFonts w:eastAsiaTheme="majorEastAsia" w:hint="cs"/>
          <w:b/>
          <w:sz w:val="24"/>
          <w:rtl/>
        </w:rPr>
        <w:t xml:space="preserve"> </w:t>
      </w:r>
      <w:r w:rsidRPr="00B97E44">
        <w:rPr>
          <w:rFonts w:eastAsiaTheme="majorEastAsia"/>
          <w:b/>
          <w:sz w:val="24"/>
          <w:rtl/>
        </w:rPr>
        <w:t>בינם</w:t>
      </w:r>
      <w:r w:rsidR="003B3F5B">
        <w:rPr>
          <w:rFonts w:eastAsiaTheme="majorEastAsia" w:hint="cs"/>
          <w:b/>
          <w:sz w:val="24"/>
          <w:rtl/>
        </w:rPr>
        <w:t xml:space="preserve"> </w:t>
      </w:r>
      <w:r w:rsidRPr="00B97E44">
        <w:rPr>
          <w:rFonts w:eastAsiaTheme="majorEastAsia"/>
          <w:b/>
          <w:sz w:val="24"/>
          <w:rtl/>
        </w:rPr>
        <w:t>ובין</w:t>
      </w:r>
      <w:r w:rsidR="003B3F5B">
        <w:rPr>
          <w:rFonts w:eastAsiaTheme="majorEastAsia" w:hint="cs"/>
          <w:b/>
          <w:sz w:val="24"/>
          <w:rtl/>
        </w:rPr>
        <w:t xml:space="preserve"> </w:t>
      </w:r>
      <w:r w:rsidRPr="00B97E44">
        <w:rPr>
          <w:rFonts w:eastAsiaTheme="majorEastAsia"/>
          <w:b/>
          <w:sz w:val="24"/>
          <w:rtl/>
        </w:rPr>
        <w:t>גבול</w:t>
      </w:r>
      <w:r w:rsidR="003B3F5B">
        <w:rPr>
          <w:rFonts w:eastAsiaTheme="majorEastAsia" w:hint="cs"/>
          <w:b/>
          <w:sz w:val="24"/>
          <w:rtl/>
        </w:rPr>
        <w:t xml:space="preserve"> </w:t>
      </w:r>
      <w:r w:rsidRPr="00B97E44">
        <w:rPr>
          <w:rFonts w:eastAsiaTheme="majorEastAsia"/>
          <w:b/>
          <w:sz w:val="24"/>
          <w:rtl/>
        </w:rPr>
        <w:t>עזה</w:t>
      </w:r>
      <w:r w:rsidR="003B3F5B">
        <w:rPr>
          <w:rFonts w:eastAsiaTheme="majorEastAsia" w:hint="cs"/>
          <w:b/>
          <w:sz w:val="24"/>
          <w:rtl/>
        </w:rPr>
        <w:t xml:space="preserve"> </w:t>
      </w:r>
      <w:r w:rsidRPr="00B97E44">
        <w:rPr>
          <w:rFonts w:eastAsiaTheme="majorEastAsia"/>
          <w:b/>
          <w:sz w:val="24"/>
          <w:rtl/>
        </w:rPr>
        <w:t>הוא עד</w:t>
      </w:r>
      <w:r>
        <w:rPr>
          <w:rFonts w:eastAsiaTheme="majorEastAsia" w:hint="cs"/>
          <w:b/>
          <w:sz w:val="24"/>
          <w:rtl/>
        </w:rPr>
        <w:t xml:space="preserve"> </w:t>
      </w:r>
      <w:r w:rsidRPr="00B97E44">
        <w:rPr>
          <w:rFonts w:eastAsiaTheme="majorEastAsia"/>
          <w:b/>
          <w:sz w:val="24"/>
          <w:rtl/>
        </w:rPr>
        <w:t>7 ק"מ,</w:t>
      </w:r>
      <w:r>
        <w:rPr>
          <w:rFonts w:eastAsiaTheme="majorEastAsia" w:hint="cs"/>
          <w:b/>
          <w:sz w:val="24"/>
          <w:rtl/>
        </w:rPr>
        <w:t xml:space="preserve"> </w:t>
      </w:r>
      <w:r w:rsidRPr="00B97E44">
        <w:rPr>
          <w:rFonts w:eastAsiaTheme="majorEastAsia" w:hint="cs"/>
          <w:b/>
          <w:sz w:val="24"/>
          <w:rtl/>
        </w:rPr>
        <w:t>ה</w:t>
      </w:r>
      <w:r w:rsidRPr="00B97E44">
        <w:rPr>
          <w:rFonts w:eastAsiaTheme="majorEastAsia"/>
          <w:b/>
          <w:sz w:val="24"/>
          <w:rtl/>
        </w:rPr>
        <w:t>שוכנים בתחומי שיפוטן של המועצות</w:t>
      </w:r>
      <w:r w:rsidR="003B3F5B">
        <w:rPr>
          <w:rFonts w:eastAsiaTheme="majorEastAsia" w:hint="cs"/>
          <w:b/>
          <w:sz w:val="24"/>
          <w:rtl/>
        </w:rPr>
        <w:t xml:space="preserve"> </w:t>
      </w:r>
      <w:r w:rsidRPr="00B97E44">
        <w:rPr>
          <w:rFonts w:eastAsiaTheme="majorEastAsia"/>
          <w:b/>
          <w:sz w:val="24"/>
          <w:rtl/>
        </w:rPr>
        <w:t>האזוריות</w:t>
      </w:r>
      <w:r w:rsidR="003B3F5B">
        <w:rPr>
          <w:rFonts w:eastAsiaTheme="majorEastAsia" w:hint="cs"/>
          <w:b/>
          <w:sz w:val="24"/>
          <w:rtl/>
        </w:rPr>
        <w:t xml:space="preserve"> </w:t>
      </w:r>
      <w:r w:rsidRPr="00B97E44">
        <w:rPr>
          <w:rFonts w:eastAsiaTheme="majorEastAsia"/>
          <w:b/>
          <w:bCs/>
          <w:sz w:val="24"/>
          <w:rtl/>
        </w:rPr>
        <w:t xml:space="preserve">אשכול, </w:t>
      </w:r>
    </w:p>
    <w:p w:rsidR="005B126E" w:rsidRPr="00B97E44" w:rsidP="001916A9">
      <w:pPr>
        <w:spacing w:line="269" w:lineRule="auto"/>
        <w:rPr>
          <w:rFonts w:eastAsiaTheme="majorEastAsia"/>
          <w:b/>
          <w:sz w:val="24"/>
          <w:rtl/>
        </w:rPr>
      </w:pPr>
      <w:r>
        <w:rPr>
          <w:rFonts w:eastAsiaTheme="majorEastAsia" w:hint="cs"/>
          <w:b/>
          <w:bCs/>
          <w:sz w:val="24"/>
          <w:rtl/>
        </w:rPr>
        <w:t xml:space="preserve">חוף </w:t>
      </w:r>
      <w:r w:rsidRPr="00B97E44">
        <w:rPr>
          <w:rFonts w:eastAsiaTheme="majorEastAsia"/>
          <w:b/>
          <w:bCs/>
          <w:sz w:val="24"/>
          <w:rtl/>
        </w:rPr>
        <w:t xml:space="preserve">אשקלון, שדות נגב </w:t>
      </w:r>
      <w:r w:rsidRPr="00B97E44">
        <w:rPr>
          <w:rFonts w:eastAsiaTheme="majorEastAsia"/>
          <w:sz w:val="24"/>
          <w:rtl/>
        </w:rPr>
        <w:t>ו</w:t>
      </w:r>
      <w:r w:rsidRPr="00B97E44">
        <w:rPr>
          <w:rFonts w:eastAsiaTheme="majorEastAsia"/>
          <w:b/>
          <w:bCs/>
          <w:sz w:val="24"/>
          <w:rtl/>
        </w:rPr>
        <w:t xml:space="preserve">שער הנגב </w:t>
      </w:r>
      <w:r w:rsidRPr="00B97E44">
        <w:rPr>
          <w:rFonts w:eastAsiaTheme="majorEastAsia"/>
          <w:b/>
          <w:sz w:val="24"/>
          <w:rtl/>
        </w:rPr>
        <w:t xml:space="preserve">והעיר </w:t>
      </w:r>
      <w:r w:rsidRPr="00B97E44">
        <w:rPr>
          <w:rFonts w:eastAsiaTheme="majorEastAsia"/>
          <w:b/>
          <w:bCs/>
          <w:sz w:val="24"/>
          <w:rtl/>
        </w:rPr>
        <w:t>שדרות</w:t>
      </w:r>
      <w:r w:rsidRPr="00B97E44">
        <w:rPr>
          <w:rFonts w:eastAsiaTheme="majorEastAsia"/>
          <w:b/>
          <w:sz w:val="24"/>
          <w:rtl/>
        </w:rPr>
        <w:t xml:space="preserve"> (להלן </w:t>
      </w:r>
      <w:r w:rsidRPr="00B97E44">
        <w:rPr>
          <w:rFonts w:eastAsiaTheme="majorEastAsia" w:hint="cs"/>
          <w:b/>
          <w:sz w:val="24"/>
          <w:rtl/>
        </w:rPr>
        <w:t xml:space="preserve">גם </w:t>
      </w:r>
      <w:r w:rsidRPr="00B97E44">
        <w:rPr>
          <w:rFonts w:eastAsiaTheme="majorEastAsia"/>
          <w:b/>
          <w:sz w:val="24"/>
          <w:rtl/>
        </w:rPr>
        <w:t xml:space="preserve">- </w:t>
      </w:r>
      <w:r w:rsidRPr="00B97E44">
        <w:rPr>
          <w:rFonts w:eastAsiaTheme="majorEastAsia" w:hint="cs"/>
          <w:b/>
          <w:sz w:val="24"/>
          <w:rtl/>
        </w:rPr>
        <w:t>רשויות</w:t>
      </w:r>
      <w:r w:rsidRPr="00B97E44">
        <w:rPr>
          <w:rFonts w:eastAsiaTheme="majorEastAsia"/>
          <w:b/>
          <w:sz w:val="24"/>
          <w:rtl/>
        </w:rPr>
        <w:t xml:space="preserve"> חבל התקומה</w:t>
      </w:r>
      <w:r>
        <w:rPr>
          <w:rFonts w:eastAsiaTheme="majorEastAsia"/>
          <w:b/>
          <w:sz w:val="24"/>
          <w:vertAlign w:val="superscript"/>
          <w:rtl/>
        </w:rPr>
        <w:footnoteReference w:id="2"/>
      </w:r>
      <w:r w:rsidRPr="00B97E44">
        <w:rPr>
          <w:rFonts w:eastAsiaTheme="majorEastAsia"/>
          <w:b/>
          <w:sz w:val="24"/>
          <w:rtl/>
        </w:rPr>
        <w:t>), הכירה הממשלה בפגיעה החמורה שחלה במכלול תחומי החיים של תושבי</w:t>
      </w:r>
      <w:r w:rsidRPr="00B97E44">
        <w:rPr>
          <w:rFonts w:eastAsiaTheme="majorEastAsia" w:hint="cs"/>
          <w:b/>
          <w:sz w:val="24"/>
          <w:rtl/>
        </w:rPr>
        <w:t>הם</w:t>
      </w:r>
      <w:r w:rsidRPr="00B97E44">
        <w:rPr>
          <w:rFonts w:eastAsiaTheme="majorEastAsia"/>
          <w:b/>
          <w:sz w:val="24"/>
          <w:rtl/>
        </w:rPr>
        <w:t xml:space="preserve"> ובמחויבותה לשיקום, לחידוש ולפיתוח של חבל התקומה ואוכלוסייתו.</w:t>
      </w:r>
    </w:p>
    <w:bookmarkEnd w:id="8"/>
    <w:p w:rsidR="005B126E" w:rsidRPr="00B97E44" w:rsidP="001916A9">
      <w:pPr>
        <w:spacing w:line="269" w:lineRule="auto"/>
        <w:rPr>
          <w:szCs w:val="20"/>
          <w:rtl/>
        </w:rPr>
      </w:pPr>
    </w:p>
    <w:p w:rsidR="005B126E" w:rsidRPr="00B97E44" w:rsidP="001916A9">
      <w:pPr>
        <w:spacing w:line="269" w:lineRule="auto"/>
        <w:rPr>
          <w:rFonts w:eastAsiaTheme="majorEastAsia"/>
          <w:b/>
          <w:sz w:val="24"/>
          <w:rtl/>
        </w:rPr>
      </w:pPr>
      <w:bookmarkStart w:id="9" w:name="OLE_LINK1"/>
      <w:bookmarkStart w:id="10" w:name="OLE_LINK2"/>
      <w:r>
        <w:rPr>
          <w:rFonts w:eastAsiaTheme="majorEastAsia" w:hint="cs"/>
          <w:b/>
          <w:sz w:val="24"/>
          <w:rtl/>
        </w:rPr>
        <w:t>ב</w:t>
      </w:r>
      <w:r w:rsidRPr="00B97E44">
        <w:rPr>
          <w:rFonts w:eastAsiaTheme="majorEastAsia" w:hint="cs"/>
          <w:b/>
          <w:sz w:val="24"/>
          <w:rtl/>
        </w:rPr>
        <w:t xml:space="preserve">אוקטובר 2023 הקימה הממשלה מכוח החלטה 980 </w:t>
      </w:r>
      <w:r w:rsidRPr="00B97E44">
        <w:rPr>
          <w:rFonts w:eastAsiaTheme="majorEastAsia" w:hint="cs"/>
          <w:b/>
          <w:sz w:val="24"/>
          <w:rtl/>
        </w:rPr>
        <w:t>מינהלה</w:t>
      </w:r>
      <w:r w:rsidRPr="00B97E44">
        <w:rPr>
          <w:rFonts w:eastAsiaTheme="majorEastAsia" w:hint="cs"/>
          <w:b/>
          <w:sz w:val="24"/>
          <w:rtl/>
        </w:rPr>
        <w:t xml:space="preserve"> ייעודית לשיקום ולפיתוח חבל </w:t>
      </w:r>
      <w:r>
        <w:rPr>
          <w:rFonts w:eastAsiaTheme="majorEastAsia" w:hint="cs"/>
          <w:b/>
          <w:sz w:val="24"/>
          <w:rtl/>
        </w:rPr>
        <w:t>ה</w:t>
      </w:r>
      <w:r w:rsidRPr="00B97E44">
        <w:rPr>
          <w:rFonts w:eastAsiaTheme="majorEastAsia" w:hint="cs"/>
          <w:b/>
          <w:sz w:val="24"/>
          <w:rtl/>
        </w:rPr>
        <w:t xml:space="preserve">תקומה ואוכלוסייתו (להלן - מינהלת תקומה) </w:t>
      </w:r>
      <w:r w:rsidRPr="00B97E44">
        <w:rPr>
          <w:rFonts w:eastAsiaTheme="majorEastAsia" w:hint="eastAsia"/>
          <w:b/>
          <w:sz w:val="24"/>
          <w:rtl/>
        </w:rPr>
        <w:t>כדי</w:t>
      </w:r>
      <w:r w:rsidRPr="00B97E44">
        <w:rPr>
          <w:rFonts w:eastAsiaTheme="majorEastAsia"/>
          <w:b/>
          <w:sz w:val="24"/>
          <w:rtl/>
        </w:rPr>
        <w:t xml:space="preserve"> </w:t>
      </w:r>
      <w:r w:rsidRPr="00B97E44">
        <w:rPr>
          <w:rFonts w:eastAsiaTheme="majorEastAsia" w:hint="eastAsia"/>
          <w:b/>
          <w:sz w:val="24"/>
          <w:rtl/>
        </w:rPr>
        <w:t>להוביל</w:t>
      </w:r>
      <w:r w:rsidRPr="00B97E44">
        <w:rPr>
          <w:rFonts w:eastAsiaTheme="majorEastAsia"/>
          <w:b/>
          <w:sz w:val="24"/>
          <w:rtl/>
        </w:rPr>
        <w:t xml:space="preserve"> </w:t>
      </w:r>
      <w:r w:rsidRPr="00B97E44">
        <w:rPr>
          <w:rFonts w:eastAsiaTheme="majorEastAsia" w:hint="eastAsia"/>
          <w:b/>
          <w:sz w:val="24"/>
          <w:rtl/>
        </w:rPr>
        <w:t>את</w:t>
      </w:r>
      <w:r w:rsidRPr="00B97E44">
        <w:rPr>
          <w:rFonts w:eastAsiaTheme="majorEastAsia"/>
          <w:b/>
          <w:sz w:val="24"/>
          <w:rtl/>
        </w:rPr>
        <w:t xml:space="preserve"> </w:t>
      </w:r>
      <w:r w:rsidRPr="00B97E44">
        <w:rPr>
          <w:rFonts w:eastAsiaTheme="majorEastAsia" w:hint="eastAsia"/>
          <w:b/>
          <w:sz w:val="24"/>
          <w:rtl/>
        </w:rPr>
        <w:t>המאמץ</w:t>
      </w:r>
      <w:r w:rsidRPr="00B97E44">
        <w:rPr>
          <w:rFonts w:eastAsiaTheme="majorEastAsia"/>
          <w:b/>
          <w:sz w:val="24"/>
          <w:rtl/>
        </w:rPr>
        <w:t xml:space="preserve"> </w:t>
      </w:r>
      <w:r w:rsidRPr="00B97E44">
        <w:rPr>
          <w:rFonts w:eastAsiaTheme="majorEastAsia" w:hint="eastAsia"/>
          <w:b/>
          <w:sz w:val="24"/>
          <w:rtl/>
        </w:rPr>
        <w:t>הלאומי</w:t>
      </w:r>
      <w:r w:rsidRPr="00B97E44">
        <w:rPr>
          <w:rFonts w:eastAsiaTheme="majorEastAsia"/>
          <w:b/>
          <w:sz w:val="24"/>
          <w:rtl/>
        </w:rPr>
        <w:t xml:space="preserve"> </w:t>
      </w:r>
      <w:r w:rsidRPr="00B97E44">
        <w:rPr>
          <w:rFonts w:eastAsiaTheme="majorEastAsia" w:hint="eastAsia"/>
          <w:b/>
          <w:sz w:val="24"/>
          <w:rtl/>
        </w:rPr>
        <w:t>לשיקום</w:t>
      </w:r>
      <w:r w:rsidRPr="00B97E44">
        <w:rPr>
          <w:rFonts w:eastAsiaTheme="majorEastAsia"/>
          <w:b/>
          <w:sz w:val="24"/>
          <w:rtl/>
        </w:rPr>
        <w:t xml:space="preserve"> </w:t>
      </w:r>
      <w:r w:rsidRPr="00B97E44">
        <w:rPr>
          <w:rFonts w:eastAsiaTheme="majorEastAsia" w:hint="eastAsia"/>
          <w:b/>
          <w:sz w:val="24"/>
          <w:rtl/>
        </w:rPr>
        <w:t>ולפיתוח</w:t>
      </w:r>
      <w:r w:rsidRPr="00B97E44">
        <w:rPr>
          <w:rFonts w:eastAsiaTheme="majorEastAsia"/>
          <w:b/>
          <w:sz w:val="24"/>
          <w:rtl/>
        </w:rPr>
        <w:t xml:space="preserve"> </w:t>
      </w:r>
      <w:r>
        <w:rPr>
          <w:rFonts w:eastAsiaTheme="majorEastAsia" w:hint="cs"/>
          <w:b/>
          <w:sz w:val="24"/>
          <w:rtl/>
        </w:rPr>
        <w:t>ש</w:t>
      </w:r>
      <w:r w:rsidRPr="00B97E44">
        <w:rPr>
          <w:rFonts w:eastAsiaTheme="majorEastAsia" w:hint="eastAsia"/>
          <w:b/>
          <w:sz w:val="24"/>
          <w:rtl/>
        </w:rPr>
        <w:t>ל</w:t>
      </w:r>
      <w:r w:rsidRPr="00B97E44">
        <w:rPr>
          <w:rFonts w:eastAsiaTheme="majorEastAsia"/>
          <w:b/>
          <w:sz w:val="24"/>
          <w:rtl/>
        </w:rPr>
        <w:t xml:space="preserve"> </w:t>
      </w:r>
      <w:r w:rsidRPr="00B97E44">
        <w:rPr>
          <w:rFonts w:eastAsiaTheme="majorEastAsia" w:hint="eastAsia"/>
          <w:b/>
          <w:sz w:val="24"/>
          <w:rtl/>
        </w:rPr>
        <w:t>חבל</w:t>
      </w:r>
      <w:r w:rsidRPr="00B97E44">
        <w:rPr>
          <w:rFonts w:eastAsiaTheme="majorEastAsia"/>
          <w:b/>
          <w:sz w:val="24"/>
          <w:rtl/>
        </w:rPr>
        <w:t xml:space="preserve"> </w:t>
      </w:r>
      <w:r w:rsidRPr="00B97E44">
        <w:rPr>
          <w:rFonts w:eastAsiaTheme="majorEastAsia" w:hint="eastAsia"/>
          <w:b/>
          <w:sz w:val="24"/>
          <w:rtl/>
        </w:rPr>
        <w:t>התקומה</w:t>
      </w:r>
      <w:r w:rsidRPr="00B97E44">
        <w:rPr>
          <w:rFonts w:eastAsiaTheme="majorEastAsia"/>
          <w:b/>
          <w:sz w:val="24"/>
          <w:rtl/>
        </w:rPr>
        <w:t xml:space="preserve"> </w:t>
      </w:r>
      <w:r w:rsidRPr="00B97E44">
        <w:rPr>
          <w:rFonts w:eastAsiaTheme="majorEastAsia" w:hint="cs"/>
          <w:b/>
          <w:sz w:val="24"/>
          <w:rtl/>
        </w:rPr>
        <w:t xml:space="preserve">(האזור שכונה עד אז "עוטף עזה") </w:t>
      </w:r>
      <w:r w:rsidRPr="00B97E44">
        <w:rPr>
          <w:rFonts w:eastAsiaTheme="majorEastAsia"/>
          <w:b/>
          <w:sz w:val="24"/>
          <w:rtl/>
        </w:rPr>
        <w:t xml:space="preserve">ותושביו </w:t>
      </w:r>
      <w:r w:rsidRPr="00B97E44">
        <w:rPr>
          <w:rFonts w:eastAsiaTheme="majorEastAsia" w:hint="eastAsia"/>
          <w:b/>
          <w:sz w:val="24"/>
          <w:rtl/>
        </w:rPr>
        <w:t>ולגבש</w:t>
      </w:r>
      <w:r w:rsidRPr="00B97E44">
        <w:rPr>
          <w:rFonts w:eastAsiaTheme="majorEastAsia"/>
          <w:b/>
          <w:sz w:val="24"/>
          <w:rtl/>
        </w:rPr>
        <w:t xml:space="preserve"> </w:t>
      </w:r>
      <w:r w:rsidRPr="00B97E44">
        <w:rPr>
          <w:rFonts w:eastAsiaTheme="majorEastAsia" w:hint="eastAsia"/>
          <w:b/>
          <w:sz w:val="24"/>
          <w:rtl/>
        </w:rPr>
        <w:t>את</w:t>
      </w:r>
      <w:r w:rsidRPr="00B97E44">
        <w:rPr>
          <w:rFonts w:eastAsiaTheme="majorEastAsia"/>
          <w:b/>
          <w:sz w:val="24"/>
          <w:rtl/>
        </w:rPr>
        <w:t xml:space="preserve"> </w:t>
      </w:r>
      <w:r w:rsidRPr="00B97E44">
        <w:rPr>
          <w:rFonts w:eastAsiaTheme="majorEastAsia" w:hint="cs"/>
          <w:b/>
          <w:sz w:val="24"/>
          <w:rtl/>
        </w:rPr>
        <w:t xml:space="preserve">הפתרונות ודרכי הפעולה </w:t>
      </w:r>
      <w:r>
        <w:rPr>
          <w:rFonts w:eastAsiaTheme="majorEastAsia" w:hint="cs"/>
          <w:b/>
          <w:sz w:val="24"/>
          <w:rtl/>
        </w:rPr>
        <w:t>ה</w:t>
      </w:r>
      <w:r w:rsidRPr="00B97E44">
        <w:rPr>
          <w:rFonts w:eastAsiaTheme="majorEastAsia" w:hint="cs"/>
          <w:b/>
          <w:sz w:val="24"/>
          <w:rtl/>
        </w:rPr>
        <w:t xml:space="preserve">דרושים </w:t>
      </w:r>
      <w:r w:rsidRPr="00B97E44">
        <w:rPr>
          <w:rFonts w:eastAsiaTheme="majorEastAsia" w:hint="eastAsia"/>
          <w:b/>
          <w:sz w:val="24"/>
          <w:rtl/>
        </w:rPr>
        <w:t>לשם</w:t>
      </w:r>
      <w:r w:rsidRPr="00B97E44">
        <w:rPr>
          <w:rFonts w:eastAsiaTheme="majorEastAsia"/>
          <w:b/>
          <w:sz w:val="24"/>
          <w:rtl/>
        </w:rPr>
        <w:t xml:space="preserve"> </w:t>
      </w:r>
      <w:r w:rsidRPr="00B97E44">
        <w:rPr>
          <w:rFonts w:eastAsiaTheme="majorEastAsia" w:hint="eastAsia"/>
          <w:b/>
          <w:sz w:val="24"/>
          <w:rtl/>
        </w:rPr>
        <w:t>השבת</w:t>
      </w:r>
      <w:r w:rsidRPr="00B97E44">
        <w:rPr>
          <w:rFonts w:eastAsiaTheme="majorEastAsia"/>
          <w:b/>
          <w:sz w:val="24"/>
          <w:rtl/>
        </w:rPr>
        <w:t xml:space="preserve"> </w:t>
      </w:r>
      <w:r w:rsidRPr="00B97E44">
        <w:rPr>
          <w:rFonts w:eastAsiaTheme="majorEastAsia" w:hint="eastAsia"/>
          <w:b/>
          <w:sz w:val="24"/>
          <w:rtl/>
        </w:rPr>
        <w:t>מסלול</w:t>
      </w:r>
      <w:r w:rsidRPr="00B97E44">
        <w:rPr>
          <w:rFonts w:eastAsiaTheme="majorEastAsia"/>
          <w:b/>
          <w:sz w:val="24"/>
          <w:rtl/>
        </w:rPr>
        <w:t xml:space="preserve"> </w:t>
      </w:r>
      <w:r w:rsidRPr="00B97E44">
        <w:rPr>
          <w:rFonts w:eastAsiaTheme="majorEastAsia" w:hint="eastAsia"/>
          <w:b/>
          <w:sz w:val="24"/>
          <w:rtl/>
        </w:rPr>
        <w:t>החיים</w:t>
      </w:r>
      <w:r w:rsidRPr="00B97E44">
        <w:rPr>
          <w:rFonts w:eastAsiaTheme="majorEastAsia"/>
          <w:b/>
          <w:sz w:val="24"/>
          <w:rtl/>
        </w:rPr>
        <w:t xml:space="preserve"> </w:t>
      </w:r>
      <w:r w:rsidRPr="00B97E44">
        <w:rPr>
          <w:rFonts w:eastAsiaTheme="majorEastAsia" w:hint="eastAsia"/>
          <w:b/>
          <w:sz w:val="24"/>
          <w:rtl/>
        </w:rPr>
        <w:t>התקין</w:t>
      </w:r>
      <w:r w:rsidRPr="00B97E44">
        <w:rPr>
          <w:rFonts w:eastAsiaTheme="majorEastAsia"/>
          <w:b/>
          <w:sz w:val="24"/>
          <w:rtl/>
        </w:rPr>
        <w:t xml:space="preserve"> </w:t>
      </w:r>
      <w:r w:rsidRPr="00B97E44">
        <w:rPr>
          <w:rFonts w:eastAsiaTheme="majorEastAsia" w:hint="eastAsia"/>
          <w:b/>
          <w:sz w:val="24"/>
          <w:rtl/>
        </w:rPr>
        <w:t>והרגיל</w:t>
      </w:r>
      <w:r w:rsidRPr="00B97E44">
        <w:rPr>
          <w:rFonts w:eastAsiaTheme="majorEastAsia"/>
          <w:b/>
          <w:sz w:val="24"/>
          <w:rtl/>
        </w:rPr>
        <w:t xml:space="preserve"> </w:t>
      </w:r>
      <w:r w:rsidRPr="00B97E44">
        <w:rPr>
          <w:rFonts w:eastAsiaTheme="majorEastAsia" w:hint="eastAsia"/>
          <w:b/>
          <w:sz w:val="24"/>
          <w:rtl/>
        </w:rPr>
        <w:t>של</w:t>
      </w:r>
      <w:r w:rsidRPr="00B97E44">
        <w:rPr>
          <w:rFonts w:eastAsiaTheme="majorEastAsia"/>
          <w:b/>
          <w:sz w:val="24"/>
          <w:rtl/>
        </w:rPr>
        <w:t xml:space="preserve"> </w:t>
      </w:r>
      <w:r w:rsidRPr="00B97E44">
        <w:rPr>
          <w:rFonts w:eastAsiaTheme="majorEastAsia" w:hint="eastAsia"/>
          <w:b/>
          <w:sz w:val="24"/>
          <w:rtl/>
        </w:rPr>
        <w:t>יישובי</w:t>
      </w:r>
      <w:r w:rsidRPr="00B97E44">
        <w:rPr>
          <w:rFonts w:eastAsiaTheme="majorEastAsia"/>
          <w:b/>
          <w:sz w:val="24"/>
          <w:rtl/>
        </w:rPr>
        <w:t xml:space="preserve"> </w:t>
      </w:r>
      <w:r w:rsidRPr="00B97E44">
        <w:rPr>
          <w:rFonts w:eastAsiaTheme="majorEastAsia" w:hint="eastAsia"/>
          <w:b/>
          <w:sz w:val="24"/>
          <w:rtl/>
        </w:rPr>
        <w:t>החבל</w:t>
      </w:r>
      <w:r w:rsidRPr="00B97E44">
        <w:rPr>
          <w:rFonts w:eastAsiaTheme="majorEastAsia"/>
          <w:b/>
          <w:sz w:val="24"/>
          <w:rtl/>
        </w:rPr>
        <w:t xml:space="preserve"> </w:t>
      </w:r>
      <w:r w:rsidRPr="00B97E44">
        <w:rPr>
          <w:rFonts w:eastAsiaTheme="majorEastAsia" w:hint="eastAsia"/>
          <w:b/>
          <w:sz w:val="24"/>
          <w:rtl/>
        </w:rPr>
        <w:t>ותושביו</w:t>
      </w:r>
      <w:r w:rsidRPr="00B97E44">
        <w:rPr>
          <w:rFonts w:eastAsiaTheme="majorEastAsia"/>
          <w:b/>
          <w:sz w:val="24"/>
          <w:rtl/>
        </w:rPr>
        <w:t>.</w:t>
      </w:r>
    </w:p>
    <w:bookmarkEnd w:id="9"/>
    <w:bookmarkEnd w:id="10"/>
    <w:p w:rsidR="005B126E" w:rsidRPr="00B97E44" w:rsidP="001916A9">
      <w:pPr>
        <w:spacing w:line="269" w:lineRule="auto"/>
        <w:ind w:left="-567"/>
        <w:rPr>
          <w:szCs w:val="20"/>
          <w:rtl/>
        </w:rPr>
      </w:pPr>
    </w:p>
    <w:p w:rsidR="005B126E" w:rsidRPr="00B97E44" w:rsidP="001916A9">
      <w:pPr>
        <w:spacing w:line="269" w:lineRule="auto"/>
        <w:rPr>
          <w:rFonts w:eastAsiaTheme="majorEastAsia"/>
          <w:b/>
          <w:sz w:val="24"/>
          <w:rtl/>
        </w:rPr>
      </w:pPr>
      <w:bookmarkStart w:id="11" w:name="_Hlk188868081"/>
      <w:r>
        <w:rPr>
          <w:rFonts w:eastAsiaTheme="majorEastAsia" w:hint="cs"/>
          <w:b/>
          <w:sz w:val="24"/>
          <w:rtl/>
        </w:rPr>
        <w:t>ב</w:t>
      </w:r>
      <w:r w:rsidRPr="00B97E44">
        <w:rPr>
          <w:rFonts w:eastAsiaTheme="majorEastAsia" w:hint="cs"/>
          <w:b/>
          <w:sz w:val="24"/>
          <w:rtl/>
        </w:rPr>
        <w:t xml:space="preserve">תחילת נובמבר 2024 מונה חבר הכנסת זאב </w:t>
      </w:r>
      <w:r w:rsidRPr="00B97E44">
        <w:rPr>
          <w:rFonts w:eastAsiaTheme="majorEastAsia" w:hint="cs"/>
          <w:b/>
          <w:sz w:val="24"/>
          <w:rtl/>
        </w:rPr>
        <w:t>אלקין</w:t>
      </w:r>
      <w:r w:rsidRPr="00B97E44">
        <w:rPr>
          <w:rFonts w:eastAsiaTheme="majorEastAsia" w:hint="cs"/>
          <w:b/>
          <w:sz w:val="24"/>
          <w:rtl/>
        </w:rPr>
        <w:t xml:space="preserve"> לשר במשרד האוצר</w:t>
      </w:r>
      <w:r w:rsidRPr="00B97E44">
        <w:rPr>
          <w:rFonts w:eastAsiaTheme="majorEastAsia"/>
          <w:b/>
          <w:sz w:val="24"/>
          <w:rtl/>
        </w:rPr>
        <w:t xml:space="preserve"> </w:t>
      </w:r>
      <w:r w:rsidRPr="00B97E44">
        <w:rPr>
          <w:rFonts w:eastAsiaTheme="majorEastAsia" w:hint="cs"/>
          <w:b/>
          <w:sz w:val="24"/>
          <w:rtl/>
        </w:rPr>
        <w:t xml:space="preserve">ונקבע כי הוא יהיה </w:t>
      </w:r>
      <w:r w:rsidRPr="00B97E44">
        <w:rPr>
          <w:rFonts w:eastAsiaTheme="majorEastAsia"/>
          <w:b/>
          <w:sz w:val="24"/>
          <w:rtl/>
        </w:rPr>
        <w:t xml:space="preserve">אחראי </w:t>
      </w:r>
      <w:r>
        <w:rPr>
          <w:rFonts w:eastAsiaTheme="majorEastAsia" w:hint="cs"/>
          <w:b/>
          <w:sz w:val="24"/>
          <w:rtl/>
        </w:rPr>
        <w:t>ל</w:t>
      </w:r>
      <w:r w:rsidRPr="00B97E44">
        <w:rPr>
          <w:rFonts w:eastAsiaTheme="majorEastAsia"/>
          <w:b/>
          <w:sz w:val="24"/>
          <w:rtl/>
        </w:rPr>
        <w:t>תחומי הפעילות של מ</w:t>
      </w:r>
      <w:r w:rsidRPr="00B97E44">
        <w:rPr>
          <w:rFonts w:eastAsiaTheme="majorEastAsia" w:hint="cs"/>
          <w:b/>
          <w:sz w:val="24"/>
          <w:rtl/>
        </w:rPr>
        <w:t>י</w:t>
      </w:r>
      <w:r w:rsidRPr="00B97E44">
        <w:rPr>
          <w:rFonts w:eastAsiaTheme="majorEastAsia"/>
          <w:b/>
          <w:sz w:val="24"/>
          <w:rtl/>
        </w:rPr>
        <w:t>נהלת תקומה ו</w:t>
      </w:r>
      <w:r w:rsidRPr="00B97E44">
        <w:rPr>
          <w:rFonts w:eastAsiaTheme="majorEastAsia" w:hint="cs"/>
          <w:b/>
          <w:sz w:val="24"/>
          <w:rtl/>
        </w:rPr>
        <w:t xml:space="preserve">של </w:t>
      </w:r>
      <w:r w:rsidRPr="00B97E44">
        <w:rPr>
          <w:rFonts w:eastAsiaTheme="majorEastAsia"/>
          <w:b/>
          <w:sz w:val="24"/>
          <w:rtl/>
        </w:rPr>
        <w:t>מ</w:t>
      </w:r>
      <w:r w:rsidRPr="00B97E44">
        <w:rPr>
          <w:rFonts w:eastAsiaTheme="majorEastAsia" w:hint="cs"/>
          <w:b/>
          <w:sz w:val="24"/>
          <w:rtl/>
        </w:rPr>
        <w:t>י</w:t>
      </w:r>
      <w:r w:rsidRPr="00B97E44">
        <w:rPr>
          <w:rFonts w:eastAsiaTheme="majorEastAsia"/>
          <w:b/>
          <w:sz w:val="24"/>
          <w:rtl/>
        </w:rPr>
        <w:t>נהלת שיקום הצפון</w:t>
      </w:r>
      <w:r w:rsidRPr="00B97E44">
        <w:rPr>
          <w:rFonts w:eastAsiaTheme="majorEastAsia" w:hint="cs"/>
          <w:b/>
          <w:sz w:val="24"/>
          <w:rtl/>
        </w:rPr>
        <w:t xml:space="preserve"> (להלן - השר במשרד האוצר),</w:t>
      </w:r>
      <w:r w:rsidRPr="00B97E44">
        <w:rPr>
          <w:rFonts w:eastAsiaTheme="majorEastAsia"/>
          <w:b/>
          <w:sz w:val="24"/>
          <w:rtl/>
        </w:rPr>
        <w:t xml:space="preserve"> </w:t>
      </w:r>
      <w:r>
        <w:rPr>
          <w:rFonts w:eastAsiaTheme="majorEastAsia" w:hint="cs"/>
          <w:b/>
          <w:sz w:val="24"/>
          <w:rtl/>
        </w:rPr>
        <w:t>ש</w:t>
      </w:r>
      <w:r w:rsidRPr="00B97E44">
        <w:rPr>
          <w:rFonts w:eastAsiaTheme="majorEastAsia" w:hint="cs"/>
          <w:b/>
          <w:sz w:val="24"/>
          <w:rtl/>
        </w:rPr>
        <w:t>ה</w:t>
      </w:r>
      <w:r w:rsidRPr="00B97E44">
        <w:rPr>
          <w:rFonts w:eastAsiaTheme="majorEastAsia"/>
          <w:b/>
          <w:sz w:val="24"/>
          <w:rtl/>
        </w:rPr>
        <w:t>ועברו מ</w:t>
      </w:r>
      <w:r w:rsidRPr="00B97E44">
        <w:rPr>
          <w:rFonts w:eastAsiaTheme="majorEastAsia" w:hint="cs"/>
          <w:b/>
          <w:sz w:val="24"/>
          <w:rtl/>
        </w:rPr>
        <w:t xml:space="preserve">אחריות </w:t>
      </w:r>
      <w:r w:rsidRPr="00B97E44">
        <w:rPr>
          <w:rFonts w:eastAsiaTheme="majorEastAsia"/>
          <w:b/>
          <w:sz w:val="24"/>
          <w:rtl/>
        </w:rPr>
        <w:t>משרד ראש הממשלה ל</w:t>
      </w:r>
      <w:r w:rsidRPr="00B97E44">
        <w:rPr>
          <w:rFonts w:eastAsiaTheme="majorEastAsia" w:hint="eastAsia"/>
          <w:b/>
          <w:sz w:val="24"/>
          <w:rtl/>
        </w:rPr>
        <w:t>אחריות</w:t>
      </w:r>
      <w:r w:rsidRPr="00B97E44">
        <w:rPr>
          <w:rFonts w:eastAsiaTheme="majorEastAsia" w:hint="cs"/>
          <w:b/>
          <w:sz w:val="24"/>
          <w:rtl/>
        </w:rPr>
        <w:t xml:space="preserve"> </w:t>
      </w:r>
      <w:r w:rsidRPr="00B97E44">
        <w:rPr>
          <w:rFonts w:eastAsiaTheme="majorEastAsia"/>
          <w:b/>
          <w:sz w:val="24"/>
          <w:rtl/>
        </w:rPr>
        <w:t>משרד האו</w:t>
      </w:r>
      <w:r w:rsidRPr="00B97E44">
        <w:rPr>
          <w:rFonts w:eastAsiaTheme="majorEastAsia" w:hint="cs"/>
          <w:b/>
          <w:sz w:val="24"/>
          <w:rtl/>
        </w:rPr>
        <w:t>צר</w:t>
      </w:r>
      <w:r>
        <w:rPr>
          <w:rFonts w:eastAsiaTheme="majorEastAsia"/>
          <w:b/>
          <w:sz w:val="24"/>
          <w:vertAlign w:val="superscript"/>
          <w:rtl/>
        </w:rPr>
        <w:footnoteReference w:id="3"/>
      </w:r>
      <w:r w:rsidRPr="00B97E44">
        <w:rPr>
          <w:rFonts w:eastAsiaTheme="majorEastAsia" w:hint="cs"/>
          <w:b/>
          <w:sz w:val="24"/>
          <w:rtl/>
        </w:rPr>
        <w:t>.</w:t>
      </w:r>
      <w:r w:rsidRPr="00B97E44">
        <w:rPr>
          <w:rFonts w:eastAsiaTheme="majorEastAsia"/>
          <w:b/>
          <w:sz w:val="24"/>
          <w:rtl/>
        </w:rPr>
        <w:t xml:space="preserve"> </w:t>
      </w:r>
    </w:p>
    <w:p w:rsidR="005B126E" w:rsidRPr="00B97E44" w:rsidP="001916A9">
      <w:pPr>
        <w:spacing w:line="269" w:lineRule="auto"/>
        <w:ind w:left="-567"/>
        <w:rPr>
          <w:szCs w:val="20"/>
          <w:rtl/>
        </w:rPr>
      </w:pPr>
    </w:p>
    <w:p w:rsidR="005B126E" w:rsidRPr="00B97E44" w:rsidP="001916A9">
      <w:pPr>
        <w:spacing w:line="269" w:lineRule="auto"/>
        <w:rPr>
          <w:rtl/>
        </w:rPr>
      </w:pPr>
      <w:bookmarkStart w:id="12" w:name="_Hlk207631047"/>
      <w:bookmarkStart w:id="13" w:name="_Hlk205372004"/>
      <w:r>
        <w:rPr>
          <w:rFonts w:hint="cs"/>
          <w:rtl/>
        </w:rPr>
        <w:t>ב</w:t>
      </w:r>
      <w:r w:rsidRPr="00B97E44">
        <w:rPr>
          <w:rFonts w:hint="cs"/>
          <w:rtl/>
        </w:rPr>
        <w:t xml:space="preserve">תחילת אפריל 2025 פורסם חוק שיקום נרחב לחבל התקומה כאזור מיקוד לאומי וסיוע ליישובים </w:t>
      </w:r>
      <w:r>
        <w:rPr>
          <w:rFonts w:hint="cs"/>
          <w:rtl/>
        </w:rPr>
        <w:t>ה</w:t>
      </w:r>
      <w:r w:rsidRPr="00B97E44">
        <w:rPr>
          <w:rFonts w:hint="cs"/>
          <w:rtl/>
        </w:rPr>
        <w:t>סמוכים אליו, התשפ"ה-2025 (להלן</w:t>
      </w:r>
      <w:r>
        <w:rPr>
          <w:rFonts w:hint="cs"/>
          <w:rtl/>
        </w:rPr>
        <w:t xml:space="preserve"> -</w:t>
      </w:r>
      <w:r w:rsidRPr="00B97E44">
        <w:rPr>
          <w:rFonts w:hint="cs"/>
          <w:rtl/>
        </w:rPr>
        <w:t xml:space="preserve"> חוק השיקום הנרחב או החוק). החוק הגדיר את </w:t>
      </w:r>
      <w:bookmarkStart w:id="14" w:name="_Hlk216351728"/>
      <w:r w:rsidRPr="00B97E44">
        <w:rPr>
          <w:rtl/>
        </w:rPr>
        <w:t xml:space="preserve">חבל </w:t>
      </w:r>
      <w:r>
        <w:rPr>
          <w:rFonts w:hint="cs"/>
          <w:rtl/>
        </w:rPr>
        <w:t>ה</w:t>
      </w:r>
      <w:r w:rsidRPr="00B97E44">
        <w:rPr>
          <w:rtl/>
        </w:rPr>
        <w:t xml:space="preserve">תקומה בהתאם להגדרת החבל בהחלטת ממשלה 980: שדרות, היישובים במועצות האזוריות </w:t>
      </w:r>
      <w:r>
        <w:rPr>
          <w:rFonts w:hint="cs"/>
          <w:rtl/>
        </w:rPr>
        <w:t>א</w:t>
      </w:r>
      <w:r w:rsidRPr="00B97E44">
        <w:rPr>
          <w:rtl/>
        </w:rPr>
        <w:t xml:space="preserve">שכול, חוף אשקלון, שדות נגב ושער הנגב, והאזורים בתחומי הרשויות המקומיות האמורות, </w:t>
      </w:r>
      <w:r>
        <w:rPr>
          <w:rFonts w:hint="cs"/>
          <w:rtl/>
        </w:rPr>
        <w:t>ש</w:t>
      </w:r>
      <w:r w:rsidRPr="00B97E44">
        <w:rPr>
          <w:rtl/>
        </w:rPr>
        <w:t>נמצאים בטווח של עד 7 ק</w:t>
      </w:r>
      <w:r>
        <w:rPr>
          <w:rFonts w:hint="cs"/>
          <w:rtl/>
        </w:rPr>
        <w:t>"מ</w:t>
      </w:r>
      <w:r w:rsidRPr="00B97E44">
        <w:rPr>
          <w:rtl/>
        </w:rPr>
        <w:t xml:space="preserve"> מרצועת עזה בהתאם להחלטת ממשלה 462 מאפריל 2023 וכן </w:t>
      </w:r>
      <w:r>
        <w:rPr>
          <w:rFonts w:hint="cs"/>
          <w:rtl/>
        </w:rPr>
        <w:t>ב</w:t>
      </w:r>
      <w:r w:rsidRPr="00B97E44">
        <w:rPr>
          <w:rtl/>
        </w:rPr>
        <w:t>התאם לרשימת היישובים המנויים בתוספת הראשונה לחוק</w:t>
      </w:r>
      <w:bookmarkEnd w:id="14"/>
      <w:r w:rsidRPr="00B97E44">
        <w:rPr>
          <w:rFonts w:hint="cs"/>
          <w:rtl/>
        </w:rPr>
        <w:t xml:space="preserve">. החוק קובע כי </w:t>
      </w:r>
      <w:bookmarkStart w:id="15" w:name="_Hlk205394034"/>
      <w:r w:rsidRPr="00B97E44">
        <w:rPr>
          <w:rFonts w:hint="cs"/>
          <w:rtl/>
        </w:rPr>
        <w:t xml:space="preserve">חבל התקומה יהיה </w:t>
      </w:r>
      <w:r>
        <w:rPr>
          <w:rFonts w:hint="cs"/>
          <w:rtl/>
        </w:rPr>
        <w:t>א</w:t>
      </w:r>
      <w:r w:rsidRPr="00B97E44">
        <w:rPr>
          <w:rFonts w:hint="cs"/>
          <w:rtl/>
        </w:rPr>
        <w:t>זור מיקוד לאומי שהממשלה תפעל לשיקומו הנרחב באופן מואץ</w:t>
      </w:r>
      <w:bookmarkEnd w:id="15"/>
      <w:r w:rsidRPr="00B97E44">
        <w:rPr>
          <w:rFonts w:hint="cs"/>
          <w:rtl/>
        </w:rPr>
        <w:t xml:space="preserve">. "שיקום נרחב" הוגדר בחוק </w:t>
      </w:r>
      <w:r>
        <w:rPr>
          <w:rFonts w:hint="cs"/>
          <w:rtl/>
        </w:rPr>
        <w:t>כ</w:t>
      </w:r>
      <w:r w:rsidRPr="00B97E44">
        <w:rPr>
          <w:rFonts w:hint="cs"/>
          <w:rtl/>
        </w:rPr>
        <w:t xml:space="preserve">פעולות בכלל תחומי החיים שמטרתן חזרה מלאה, מהירה ומיטבית לשגרה בחבל התקומה, וכן </w:t>
      </w:r>
      <w:r>
        <w:rPr>
          <w:rFonts w:hint="cs"/>
          <w:rtl/>
        </w:rPr>
        <w:t>ע</w:t>
      </w:r>
      <w:r w:rsidRPr="00B97E44">
        <w:rPr>
          <w:rFonts w:hint="cs"/>
          <w:rtl/>
        </w:rPr>
        <w:t xml:space="preserve">ידוד צמיחה ופיתוח בו, שיינקטו לטובת הרשויות המקומיות שבחבל התקומה והיישובים </w:t>
      </w:r>
      <w:r>
        <w:rPr>
          <w:rFonts w:hint="cs"/>
          <w:rtl/>
        </w:rPr>
        <w:t>ו</w:t>
      </w:r>
      <w:r w:rsidRPr="00B97E44">
        <w:rPr>
          <w:rFonts w:hint="cs"/>
          <w:rtl/>
        </w:rPr>
        <w:t>התושבים בו, ובכלל זה מתן הטבות, הקצאת משאבים והשקעה במחוללי צמיחה</w:t>
      </w:r>
      <w:bookmarkEnd w:id="12"/>
      <w:r w:rsidRPr="00B97E44">
        <w:rPr>
          <w:rFonts w:hint="cs"/>
          <w:rtl/>
        </w:rPr>
        <w:t xml:space="preserve"> ופיתוח.</w:t>
      </w:r>
    </w:p>
    <w:p w:rsidR="005B126E" w:rsidRPr="00B97E44" w:rsidP="001916A9">
      <w:pPr>
        <w:spacing w:line="269" w:lineRule="auto"/>
        <w:ind w:left="-567"/>
        <w:rPr>
          <w:szCs w:val="20"/>
          <w:rtl/>
        </w:rPr>
      </w:pPr>
    </w:p>
    <w:p w:rsidR="005B126E" w:rsidRPr="00B97E44" w:rsidP="001916A9">
      <w:pPr>
        <w:spacing w:line="269" w:lineRule="auto"/>
        <w:rPr>
          <w:rtl/>
        </w:rPr>
      </w:pPr>
      <w:r>
        <w:rPr>
          <w:rFonts w:hint="cs"/>
          <w:rtl/>
        </w:rPr>
        <w:t>ה</w:t>
      </w:r>
      <w:r w:rsidRPr="00B97E44">
        <w:rPr>
          <w:rFonts w:hint="cs"/>
          <w:rtl/>
        </w:rPr>
        <w:t xml:space="preserve">חוק מסמיך את הממשלה בהחלטתה ושר משרי הממשלה בשטח משטחי הפעולה של משרדו ככל </w:t>
      </w:r>
      <w:r>
        <w:rPr>
          <w:rFonts w:hint="cs"/>
          <w:rtl/>
        </w:rPr>
        <w:t>ש</w:t>
      </w:r>
      <w:r w:rsidRPr="00B97E44">
        <w:rPr>
          <w:rFonts w:hint="cs"/>
          <w:rtl/>
        </w:rPr>
        <w:t xml:space="preserve">הוא נוגע לעניין, לפעול לביצוע פעולות לשיקום נרחב של חבל התקומה, והכול בהתאם לצורך </w:t>
      </w:r>
      <w:r>
        <w:rPr>
          <w:rFonts w:hint="cs"/>
          <w:rtl/>
        </w:rPr>
        <w:t>ו</w:t>
      </w:r>
      <w:r w:rsidRPr="00B97E44">
        <w:rPr>
          <w:rFonts w:hint="cs"/>
          <w:rtl/>
        </w:rPr>
        <w:t xml:space="preserve">לנסיבות העניין. </w:t>
      </w:r>
      <w:bookmarkStart w:id="16" w:name="_Hlk218664828"/>
      <w:r w:rsidRPr="00B97E44">
        <w:rPr>
          <w:rFonts w:hint="cs"/>
          <w:rtl/>
        </w:rPr>
        <w:t xml:space="preserve">עוד קובע החוק כי הממשלה תקצה משאבים לשם פעולות סיוע שיבצעו משרדי </w:t>
      </w:r>
      <w:r>
        <w:rPr>
          <w:rFonts w:hint="cs"/>
          <w:rtl/>
        </w:rPr>
        <w:t>ה</w:t>
      </w:r>
      <w:r w:rsidRPr="00B97E44">
        <w:rPr>
          <w:rFonts w:hint="cs"/>
          <w:rtl/>
        </w:rPr>
        <w:t xml:space="preserve">ממשלה בהתאם לתפקידיהם וסמכויותיהם לפי דין לטובת הרשויות המקומיות ביישובים </w:t>
      </w:r>
      <w:r>
        <w:rPr>
          <w:rFonts w:hint="cs"/>
          <w:rtl/>
        </w:rPr>
        <w:t>ה</w:t>
      </w:r>
      <w:r w:rsidRPr="00B97E44">
        <w:rPr>
          <w:rFonts w:hint="cs"/>
          <w:rtl/>
        </w:rPr>
        <w:t>סמוכים לחבל התקומה</w:t>
      </w:r>
      <w:r>
        <w:rPr>
          <w:vertAlign w:val="superscript"/>
          <w:rtl/>
        </w:rPr>
        <w:footnoteReference w:id="4"/>
      </w:r>
      <w:r w:rsidRPr="00B97E44">
        <w:rPr>
          <w:rFonts w:hint="cs"/>
          <w:rtl/>
        </w:rPr>
        <w:t xml:space="preserve"> ולטובת תושביהן</w:t>
      </w:r>
      <w:bookmarkEnd w:id="16"/>
      <w:r w:rsidRPr="00B97E44">
        <w:rPr>
          <w:rFonts w:hint="cs"/>
          <w:rtl/>
        </w:rPr>
        <w:t xml:space="preserve">. פעולות הסיוע ייקבעו ויינתנו </w:t>
      </w:r>
      <w:r w:rsidRPr="00B97E44">
        <w:rPr>
          <w:rFonts w:hint="eastAsia"/>
          <w:rtl/>
        </w:rPr>
        <w:t>בהתאם</w:t>
      </w:r>
      <w:r w:rsidRPr="00B97E44">
        <w:rPr>
          <w:rtl/>
        </w:rPr>
        <w:t xml:space="preserve"> </w:t>
      </w:r>
      <w:r w:rsidRPr="00B97E44">
        <w:rPr>
          <w:rFonts w:hint="eastAsia"/>
          <w:rtl/>
        </w:rPr>
        <w:t>לצורכיהם</w:t>
      </w:r>
      <w:r w:rsidRPr="00B97E44">
        <w:rPr>
          <w:rtl/>
        </w:rPr>
        <w:t xml:space="preserve"> </w:t>
      </w:r>
      <w:r w:rsidRPr="00B97E44">
        <w:rPr>
          <w:rFonts w:hint="cs"/>
          <w:rtl/>
        </w:rPr>
        <w:t xml:space="preserve">של </w:t>
      </w:r>
      <w:r>
        <w:rPr>
          <w:rFonts w:hint="cs"/>
          <w:rtl/>
        </w:rPr>
        <w:t>ה</w:t>
      </w:r>
      <w:r w:rsidRPr="00B97E44">
        <w:rPr>
          <w:rFonts w:hint="cs"/>
          <w:rtl/>
        </w:rPr>
        <w:t xml:space="preserve">יישובים, </w:t>
      </w:r>
      <w:r w:rsidRPr="00B97E44">
        <w:rPr>
          <w:rFonts w:hint="eastAsia"/>
          <w:rtl/>
        </w:rPr>
        <w:t>בהתאם</w:t>
      </w:r>
      <w:r w:rsidRPr="00B97E44">
        <w:rPr>
          <w:rtl/>
        </w:rPr>
        <w:t xml:space="preserve"> </w:t>
      </w:r>
      <w:r w:rsidRPr="00B97E44">
        <w:rPr>
          <w:rFonts w:hint="eastAsia"/>
          <w:rtl/>
        </w:rPr>
        <w:t>לרמת</w:t>
      </w:r>
      <w:r w:rsidRPr="00B97E44">
        <w:rPr>
          <w:rtl/>
        </w:rPr>
        <w:t xml:space="preserve"> </w:t>
      </w:r>
      <w:r w:rsidRPr="00B97E44">
        <w:rPr>
          <w:rFonts w:hint="eastAsia"/>
          <w:rtl/>
        </w:rPr>
        <w:t>הפגיעה</w:t>
      </w:r>
      <w:r w:rsidRPr="00B97E44">
        <w:rPr>
          <w:rFonts w:hint="cs"/>
          <w:rtl/>
        </w:rPr>
        <w:t xml:space="preserve"> בהם במתקפת הטרור בשבעה באוקטובר ולמאפייניהם </w:t>
      </w:r>
      <w:r>
        <w:rPr>
          <w:rFonts w:hint="cs"/>
          <w:rtl/>
        </w:rPr>
        <w:t>ה</w:t>
      </w:r>
      <w:r w:rsidRPr="00B97E44">
        <w:rPr>
          <w:rFonts w:hint="cs"/>
          <w:rtl/>
        </w:rPr>
        <w:t xml:space="preserve">ייחודיים. לעניין זה "פעולות סיוע" הוגדרו בחוק כפעולות שיקום ופיתוח, ובכלל זה מתן הטבות, </w:t>
      </w:r>
      <w:r>
        <w:rPr>
          <w:rFonts w:hint="cs"/>
          <w:rtl/>
        </w:rPr>
        <w:t>ה</w:t>
      </w:r>
      <w:r w:rsidRPr="00B97E44">
        <w:rPr>
          <w:rFonts w:hint="cs"/>
          <w:rtl/>
        </w:rPr>
        <w:t xml:space="preserve">קצאת משאבים והשקעה במחוללי צמיחה ופיתוח. </w:t>
      </w:r>
    </w:p>
    <w:bookmarkEnd w:id="11"/>
    <w:bookmarkEnd w:id="13"/>
    <w:p w:rsidR="005B126E" w:rsidRPr="00B97E44" w:rsidP="001916A9">
      <w:pPr>
        <w:spacing w:line="269" w:lineRule="auto"/>
        <w:ind w:left="-567"/>
        <w:rPr>
          <w:szCs w:val="20"/>
          <w:rtl/>
        </w:rPr>
      </w:pPr>
    </w:p>
    <w:p w:rsidR="005B126E" w:rsidRPr="00B97E44" w:rsidP="001916A9">
      <w:pPr>
        <w:spacing w:line="269" w:lineRule="auto"/>
        <w:rPr>
          <w:rFonts w:ascii="Rubik-Regular" w:hAnsi="Rubik-Regular"/>
          <w:shd w:val="clear" w:color="auto" w:fill="FFFFFF"/>
          <w:rtl/>
        </w:rPr>
      </w:pPr>
      <w:bookmarkStart w:id="17" w:name="_Hlk207631092"/>
      <w:r>
        <w:rPr>
          <w:rFonts w:ascii="Rubik-Regular" w:hAnsi="Rubik-Regular" w:hint="cs"/>
          <w:shd w:val="clear" w:color="auto" w:fill="FFFFFF"/>
          <w:rtl/>
        </w:rPr>
        <w:t>נ</w:t>
      </w:r>
      <w:r w:rsidRPr="00B97E44">
        <w:rPr>
          <w:rFonts w:ascii="Rubik-Regular" w:hAnsi="Rubik-Regular" w:hint="eastAsia"/>
          <w:shd w:val="clear" w:color="auto" w:fill="FFFFFF"/>
          <w:rtl/>
        </w:rPr>
        <w:t>כון</w:t>
      </w:r>
      <w:r w:rsidRPr="00B97E44">
        <w:rPr>
          <w:rFonts w:ascii="Rubik-Regular" w:hAnsi="Rubik-Regular"/>
          <w:shd w:val="clear" w:color="auto" w:fill="FFFFFF"/>
          <w:rtl/>
        </w:rPr>
        <w:t xml:space="preserve"> </w:t>
      </w:r>
      <w:r w:rsidRPr="00B97E44">
        <w:rPr>
          <w:rFonts w:ascii="Rubik-Regular" w:hAnsi="Rubik-Regular" w:hint="eastAsia"/>
          <w:shd w:val="clear" w:color="auto" w:fill="FFFFFF"/>
          <w:rtl/>
        </w:rPr>
        <w:t>למאי</w:t>
      </w:r>
      <w:r w:rsidRPr="00B97E44">
        <w:rPr>
          <w:rFonts w:ascii="Rubik-Regular" w:hAnsi="Rubik-Regular"/>
          <w:shd w:val="clear" w:color="auto" w:fill="FFFFFF"/>
          <w:rtl/>
        </w:rPr>
        <w:t xml:space="preserve"> 2025 </w:t>
      </w:r>
      <w:r w:rsidRPr="00B97E44">
        <w:rPr>
          <w:rFonts w:ascii="Rubik-Regular" w:hAnsi="Rubik-Regular" w:hint="eastAsia"/>
          <w:shd w:val="clear" w:color="auto" w:fill="FFFFFF"/>
          <w:rtl/>
        </w:rPr>
        <w:t>חזרו</w:t>
      </w:r>
      <w:r w:rsidRPr="00B97E44">
        <w:rPr>
          <w:rFonts w:ascii="Rubik-Regular" w:hAnsi="Rubik-Regular"/>
          <w:shd w:val="clear" w:color="auto" w:fill="FFFFFF"/>
          <w:rtl/>
        </w:rPr>
        <w:t xml:space="preserve"> </w:t>
      </w:r>
      <w:r w:rsidRPr="00B97E44">
        <w:rPr>
          <w:rFonts w:ascii="Rubik-Regular" w:hAnsi="Rubik-Regular" w:hint="eastAsia"/>
          <w:shd w:val="clear" w:color="auto" w:fill="FFFFFF"/>
          <w:rtl/>
        </w:rPr>
        <w:t>לבתיהם יותר</w:t>
      </w:r>
      <w:r w:rsidRPr="00B97E44">
        <w:rPr>
          <w:rFonts w:ascii="Rubik-Regular" w:hAnsi="Rubik-Regular"/>
          <w:shd w:val="clear" w:color="auto" w:fill="FFFFFF"/>
          <w:rtl/>
        </w:rPr>
        <w:t xml:space="preserve"> </w:t>
      </w:r>
      <w:r w:rsidRPr="00B97E44">
        <w:rPr>
          <w:rFonts w:ascii="Rubik-Regular" w:hAnsi="Rubik-Regular" w:hint="eastAsia"/>
          <w:shd w:val="clear" w:color="auto" w:fill="FFFFFF"/>
          <w:rtl/>
        </w:rPr>
        <w:t>מ</w:t>
      </w:r>
      <w:r w:rsidRPr="00B97E44">
        <w:rPr>
          <w:rFonts w:ascii="Rubik-Regular" w:hAnsi="Rubik-Regular"/>
          <w:shd w:val="clear" w:color="auto" w:fill="FFFFFF"/>
          <w:rtl/>
        </w:rPr>
        <w:t xml:space="preserve">-59,000 </w:t>
      </w:r>
      <w:r w:rsidRPr="00B97E44">
        <w:rPr>
          <w:rFonts w:ascii="Rubik-Regular" w:hAnsi="Rubik-Regular" w:hint="eastAsia"/>
          <w:shd w:val="clear" w:color="auto" w:fill="FFFFFF"/>
          <w:rtl/>
        </w:rPr>
        <w:t>מתוך</w:t>
      </w:r>
      <w:r>
        <w:rPr>
          <w:rFonts w:ascii="Rubik-Regular" w:hAnsi="Rubik-Regular" w:hint="cs"/>
          <w:shd w:val="clear" w:color="auto" w:fill="FFFFFF"/>
          <w:rtl/>
        </w:rPr>
        <w:t xml:space="preserve"> כ-</w:t>
      </w:r>
      <w:r w:rsidRPr="00B97E44">
        <w:rPr>
          <w:rFonts w:ascii="Rubik-Regular" w:hAnsi="Rubik-Regular"/>
          <w:shd w:val="clear" w:color="auto" w:fill="FFFFFF"/>
          <w:rtl/>
        </w:rPr>
        <w:t xml:space="preserve">64,000 </w:t>
      </w:r>
      <w:r w:rsidRPr="00B97E44">
        <w:rPr>
          <w:rFonts w:ascii="Rubik-Regular" w:hAnsi="Rubik-Regular" w:hint="eastAsia"/>
          <w:shd w:val="clear" w:color="auto" w:fill="FFFFFF"/>
          <w:rtl/>
        </w:rPr>
        <w:t>תושבי</w:t>
      </w:r>
      <w:r w:rsidRPr="00B97E44">
        <w:rPr>
          <w:rFonts w:ascii="Rubik-Regular" w:hAnsi="Rubik-Regular"/>
          <w:shd w:val="clear" w:color="auto" w:fill="FFFFFF"/>
          <w:rtl/>
        </w:rPr>
        <w:t xml:space="preserve"> </w:t>
      </w:r>
      <w:r w:rsidRPr="00B97E44">
        <w:rPr>
          <w:rFonts w:ascii="Rubik-Regular" w:hAnsi="Rubik-Regular" w:hint="eastAsia"/>
          <w:shd w:val="clear" w:color="auto" w:fill="FFFFFF"/>
          <w:rtl/>
        </w:rPr>
        <w:t>חבל</w:t>
      </w:r>
      <w:r w:rsidRPr="00B97E44">
        <w:rPr>
          <w:rFonts w:ascii="Rubik-Regular" w:hAnsi="Rubik-Regular"/>
          <w:shd w:val="clear" w:color="auto" w:fill="FFFFFF"/>
          <w:rtl/>
        </w:rPr>
        <w:t xml:space="preserve"> </w:t>
      </w:r>
      <w:r w:rsidRPr="00B97E44">
        <w:rPr>
          <w:rFonts w:ascii="Rubik-Regular" w:hAnsi="Rubik-Regular" w:hint="eastAsia"/>
          <w:shd w:val="clear" w:color="auto" w:fill="FFFFFF"/>
          <w:rtl/>
        </w:rPr>
        <w:t>התקומה</w:t>
      </w:r>
      <w:r w:rsidRPr="00B97E44">
        <w:rPr>
          <w:rFonts w:ascii="Rubik-Regular" w:hAnsi="Rubik-Regular"/>
          <w:shd w:val="clear" w:color="auto" w:fill="FFFFFF"/>
          <w:rtl/>
        </w:rPr>
        <w:t xml:space="preserve"> (</w:t>
      </w:r>
      <w:r w:rsidRPr="00B97E44">
        <w:rPr>
          <w:rFonts w:ascii="Rubik-Regular" w:hAnsi="Rubik-Regular" w:hint="eastAsia"/>
          <w:shd w:val="clear" w:color="auto" w:fill="FFFFFF"/>
          <w:rtl/>
        </w:rPr>
        <w:t>כ</w:t>
      </w:r>
      <w:r w:rsidRPr="00B97E44">
        <w:rPr>
          <w:rFonts w:ascii="Rubik-Regular" w:hAnsi="Rubik-Regular"/>
          <w:shd w:val="clear" w:color="auto" w:fill="FFFFFF"/>
          <w:rtl/>
        </w:rPr>
        <w:t xml:space="preserve">-92%). </w:t>
      </w:r>
      <w:r>
        <w:rPr>
          <w:rFonts w:ascii="Rubik-Regular" w:hAnsi="Rubik-Regular" w:hint="cs"/>
          <w:shd w:val="clear" w:color="auto" w:fill="FFFFFF"/>
          <w:rtl/>
        </w:rPr>
        <w:t>ב</w:t>
      </w:r>
      <w:r w:rsidRPr="00B97E44">
        <w:rPr>
          <w:rFonts w:ascii="Rubik-Regular" w:hAnsi="Rubik-Regular" w:hint="eastAsia"/>
          <w:shd w:val="clear" w:color="auto" w:fill="FFFFFF"/>
          <w:rtl/>
        </w:rPr>
        <w:t>כללם</w:t>
      </w:r>
      <w:r w:rsidRPr="00B97E44">
        <w:rPr>
          <w:rFonts w:ascii="Rubik-Regular" w:hAnsi="Rubik-Regular"/>
          <w:shd w:val="clear" w:color="auto" w:fill="FFFFFF"/>
          <w:rtl/>
        </w:rPr>
        <w:t xml:space="preserve"> </w:t>
      </w:r>
      <w:r w:rsidRPr="00B97E44">
        <w:rPr>
          <w:rFonts w:ascii="Rubik-Regular" w:hAnsi="Rubik-Regular" w:hint="cs"/>
          <w:shd w:val="clear" w:color="auto" w:fill="FFFFFF"/>
          <w:rtl/>
        </w:rPr>
        <w:t>תושבים שחזרו לארבעה</w:t>
      </w:r>
      <w:r w:rsidRPr="00B97E44">
        <w:rPr>
          <w:rFonts w:ascii="Rubik-Regular" w:hAnsi="Rubik-Regular"/>
          <w:shd w:val="clear" w:color="auto" w:fill="FFFFFF"/>
          <w:rtl/>
        </w:rPr>
        <w:t xml:space="preserve"> </w:t>
      </w:r>
      <w:r w:rsidRPr="00B97E44">
        <w:rPr>
          <w:rFonts w:ascii="Rubik-Regular" w:hAnsi="Rubik-Regular" w:hint="eastAsia"/>
          <w:shd w:val="clear" w:color="auto" w:fill="FFFFFF"/>
          <w:rtl/>
        </w:rPr>
        <w:t>מתוך</w:t>
      </w:r>
      <w:r w:rsidRPr="00B97E44">
        <w:rPr>
          <w:rFonts w:ascii="Rubik-Regular" w:hAnsi="Rubik-Regular"/>
          <w:shd w:val="clear" w:color="auto" w:fill="FFFFFF"/>
          <w:rtl/>
        </w:rPr>
        <w:t xml:space="preserve"> </w:t>
      </w:r>
      <w:r w:rsidRPr="00B97E44">
        <w:rPr>
          <w:rFonts w:ascii="Rubik-Regular" w:hAnsi="Rubik-Regular" w:hint="eastAsia"/>
          <w:shd w:val="clear" w:color="auto" w:fill="FFFFFF"/>
          <w:rtl/>
        </w:rPr>
        <w:t>עשרה</w:t>
      </w:r>
      <w:r w:rsidRPr="00B97E44">
        <w:rPr>
          <w:rFonts w:ascii="Rubik-Regular" w:hAnsi="Rubik-Regular"/>
          <w:shd w:val="clear" w:color="auto" w:fill="FFFFFF"/>
          <w:rtl/>
        </w:rPr>
        <w:t xml:space="preserve"> </w:t>
      </w:r>
      <w:r w:rsidRPr="00B97E44">
        <w:rPr>
          <w:rFonts w:ascii="Rubik-Regular" w:hAnsi="Rubik-Regular" w:hint="eastAsia"/>
          <w:shd w:val="clear" w:color="auto" w:fill="FFFFFF"/>
          <w:rtl/>
        </w:rPr>
        <w:t>היישובים</w:t>
      </w:r>
      <w:r w:rsidRPr="00B97E44">
        <w:rPr>
          <w:rFonts w:ascii="Rubik-Regular" w:hAnsi="Rubik-Regular"/>
          <w:shd w:val="clear" w:color="auto" w:fill="FFFFFF"/>
          <w:rtl/>
        </w:rPr>
        <w:t xml:space="preserve"> </w:t>
      </w:r>
      <w:r w:rsidRPr="00B97E44">
        <w:rPr>
          <w:rFonts w:ascii="Rubik-Regular" w:hAnsi="Rubik-Regular" w:hint="eastAsia"/>
          <w:shd w:val="clear" w:color="auto" w:fill="FFFFFF"/>
          <w:rtl/>
        </w:rPr>
        <w:t>שספגו</w:t>
      </w:r>
      <w:r w:rsidRPr="00B97E44">
        <w:rPr>
          <w:rFonts w:ascii="Rubik-Regular" w:hAnsi="Rubik-Regular"/>
          <w:shd w:val="clear" w:color="auto" w:fill="FFFFFF"/>
          <w:rtl/>
        </w:rPr>
        <w:t xml:space="preserve"> </w:t>
      </w:r>
      <w:r w:rsidRPr="00B97E44">
        <w:rPr>
          <w:rFonts w:ascii="Rubik-Regular" w:hAnsi="Rubik-Regular" w:hint="eastAsia"/>
          <w:shd w:val="clear" w:color="auto" w:fill="FFFFFF"/>
          <w:rtl/>
        </w:rPr>
        <w:t>את</w:t>
      </w:r>
      <w:r w:rsidRPr="00B97E44">
        <w:rPr>
          <w:rFonts w:ascii="Rubik-Regular" w:hAnsi="Rubik-Regular"/>
          <w:shd w:val="clear" w:color="auto" w:fill="FFFFFF"/>
          <w:rtl/>
        </w:rPr>
        <w:t xml:space="preserve"> </w:t>
      </w:r>
      <w:r w:rsidRPr="00B97E44">
        <w:rPr>
          <w:rFonts w:ascii="Rubik-Regular" w:hAnsi="Rubik-Regular" w:hint="eastAsia"/>
          <w:shd w:val="clear" w:color="auto" w:fill="FFFFFF"/>
          <w:rtl/>
        </w:rPr>
        <w:t>הפגיעה</w:t>
      </w:r>
      <w:r w:rsidRPr="00B97E44">
        <w:rPr>
          <w:rFonts w:ascii="Rubik-Regular" w:hAnsi="Rubik-Regular"/>
          <w:shd w:val="clear" w:color="auto" w:fill="FFFFFF"/>
          <w:rtl/>
        </w:rPr>
        <w:t xml:space="preserve"> </w:t>
      </w:r>
      <w:r w:rsidRPr="00B97E44">
        <w:rPr>
          <w:rFonts w:ascii="Rubik-Regular" w:hAnsi="Rubik-Regular" w:hint="eastAsia"/>
          <w:shd w:val="clear" w:color="auto" w:fill="FFFFFF"/>
          <w:rtl/>
        </w:rPr>
        <w:t>הקשה</w:t>
      </w:r>
      <w:r w:rsidRPr="00B97E44">
        <w:rPr>
          <w:rFonts w:ascii="Rubik-Regular" w:hAnsi="Rubik-Regular"/>
          <w:shd w:val="clear" w:color="auto" w:fill="FFFFFF"/>
          <w:rtl/>
        </w:rPr>
        <w:t xml:space="preserve"> </w:t>
      </w:r>
      <w:r w:rsidRPr="00B97E44">
        <w:rPr>
          <w:rFonts w:ascii="Rubik-Regular" w:hAnsi="Rubik-Regular" w:hint="eastAsia"/>
          <w:shd w:val="clear" w:color="auto" w:fill="FFFFFF"/>
          <w:rtl/>
        </w:rPr>
        <w:t>ביותר</w:t>
      </w:r>
      <w:r w:rsidRPr="00B97E44">
        <w:rPr>
          <w:rFonts w:ascii="Rubik-Regular" w:hAnsi="Rubik-Regular"/>
          <w:shd w:val="clear" w:color="auto" w:fill="FFFFFF"/>
          <w:rtl/>
        </w:rPr>
        <w:t xml:space="preserve"> </w:t>
      </w:r>
      <w:r w:rsidRPr="00B97E44">
        <w:rPr>
          <w:rFonts w:ascii="Rubik-Regular" w:hAnsi="Rubik-Regular" w:hint="eastAsia"/>
          <w:shd w:val="clear" w:color="auto" w:fill="FFFFFF"/>
          <w:rtl/>
        </w:rPr>
        <w:t>ושבהם</w:t>
      </w:r>
      <w:r w:rsidRPr="00B97E44">
        <w:rPr>
          <w:rFonts w:ascii="Rubik-Regular" w:hAnsi="Rubik-Regular"/>
          <w:shd w:val="clear" w:color="auto" w:fill="FFFFFF"/>
          <w:rtl/>
        </w:rPr>
        <w:t xml:space="preserve"> </w:t>
      </w:r>
      <w:r>
        <w:rPr>
          <w:rFonts w:ascii="Rubik-Regular" w:hAnsi="Rubik-Regular" w:hint="cs"/>
          <w:shd w:val="clear" w:color="auto" w:fill="FFFFFF"/>
          <w:rtl/>
        </w:rPr>
        <w:t>ה</w:t>
      </w:r>
      <w:r w:rsidRPr="00B97E44">
        <w:rPr>
          <w:rFonts w:ascii="Rubik-Regular" w:hAnsi="Rubik-Regular" w:hint="eastAsia"/>
          <w:shd w:val="clear" w:color="auto" w:fill="FFFFFF"/>
          <w:rtl/>
        </w:rPr>
        <w:t>ושלמו</w:t>
      </w:r>
      <w:r w:rsidRPr="00B97E44">
        <w:rPr>
          <w:rFonts w:ascii="Rubik-Regular" w:hAnsi="Rubik-Regular"/>
          <w:shd w:val="clear" w:color="auto" w:fill="FFFFFF"/>
          <w:rtl/>
        </w:rPr>
        <w:t xml:space="preserve"> </w:t>
      </w:r>
      <w:r w:rsidRPr="00B97E44">
        <w:rPr>
          <w:rFonts w:ascii="Rubik-Regular" w:hAnsi="Rubik-Regular" w:hint="eastAsia"/>
          <w:shd w:val="clear" w:color="auto" w:fill="FFFFFF"/>
          <w:rtl/>
        </w:rPr>
        <w:t>עבודות</w:t>
      </w:r>
      <w:r w:rsidRPr="00B97E44">
        <w:rPr>
          <w:rFonts w:ascii="Rubik-Regular" w:hAnsi="Rubik-Regular"/>
          <w:shd w:val="clear" w:color="auto" w:fill="FFFFFF"/>
          <w:rtl/>
        </w:rPr>
        <w:t xml:space="preserve"> </w:t>
      </w:r>
      <w:r w:rsidRPr="00B97E44">
        <w:rPr>
          <w:rFonts w:ascii="Rubik-Regular" w:hAnsi="Rubik-Regular" w:hint="eastAsia"/>
          <w:shd w:val="clear" w:color="auto" w:fill="FFFFFF"/>
          <w:rtl/>
        </w:rPr>
        <w:t>השיפוץ</w:t>
      </w:r>
      <w:r w:rsidRPr="00B97E44">
        <w:rPr>
          <w:rFonts w:ascii="Rubik-Regular" w:hAnsi="Rubik-Regular"/>
          <w:shd w:val="clear" w:color="auto" w:fill="FFFFFF"/>
          <w:rtl/>
        </w:rPr>
        <w:t xml:space="preserve"> </w:t>
      </w:r>
      <w:r w:rsidRPr="00B97E44">
        <w:rPr>
          <w:rFonts w:ascii="Rubik-Regular" w:hAnsi="Rubik-Regular" w:hint="eastAsia"/>
          <w:shd w:val="clear" w:color="auto" w:fill="FFFFFF"/>
          <w:rtl/>
        </w:rPr>
        <w:t>הקריטיות</w:t>
      </w:r>
      <w:r w:rsidRPr="00B97E44">
        <w:rPr>
          <w:rFonts w:ascii="Rubik-Regular" w:hAnsi="Rubik-Regular"/>
          <w:shd w:val="clear" w:color="auto" w:fill="FFFFFF"/>
          <w:rtl/>
        </w:rPr>
        <w:t xml:space="preserve"> </w:t>
      </w:r>
      <w:r w:rsidRPr="00B97E44">
        <w:rPr>
          <w:rFonts w:ascii="Rubik-Regular" w:hAnsi="Rubik-Regular" w:hint="eastAsia"/>
          <w:shd w:val="clear" w:color="auto" w:fill="FFFFFF"/>
          <w:rtl/>
        </w:rPr>
        <w:t>לחזרת התושבים</w:t>
      </w:r>
      <w:bookmarkEnd w:id="17"/>
      <w:r>
        <w:rPr>
          <w:rFonts w:ascii="Rubik-Regular" w:hAnsi="Rubik-Regular"/>
          <w:shd w:val="clear" w:color="auto" w:fill="FFFFFF"/>
          <w:vertAlign w:val="superscript"/>
          <w:rtl/>
        </w:rPr>
        <w:footnoteReference w:id="5"/>
      </w:r>
      <w:r w:rsidRPr="00B97E44">
        <w:rPr>
          <w:rFonts w:ascii="Rubik-Regular" w:hAnsi="Rubik-Regular"/>
          <w:shd w:val="clear" w:color="auto" w:fill="FFFFFF"/>
        </w:rPr>
        <w:t>.</w:t>
      </w:r>
      <w:r w:rsidRPr="00B97E44">
        <w:rPr>
          <w:rFonts w:ascii="Rubik-Regular" w:hAnsi="Rubik-Regular"/>
          <w:rtl/>
        </w:rPr>
        <w:t xml:space="preserve"> </w:t>
      </w:r>
    </w:p>
    <w:p w:rsidR="005B126E" w:rsidRPr="00B97E44" w:rsidP="001916A9">
      <w:pPr>
        <w:spacing w:line="269" w:lineRule="auto"/>
        <w:ind w:left="-567"/>
        <w:rPr>
          <w:szCs w:val="20"/>
          <w:shd w:val="clear" w:color="auto" w:fill="FFFFFF"/>
          <w:rtl/>
        </w:rPr>
      </w:pPr>
    </w:p>
    <w:p w:rsidR="005B126E" w:rsidRPr="00B97E44" w:rsidP="0018262A">
      <w:pPr>
        <w:pStyle w:val="Heading3"/>
        <w:rPr>
          <w:rtl/>
        </w:rPr>
      </w:pPr>
      <w:r>
        <w:rPr>
          <w:rFonts w:hint="cs"/>
          <w:rtl/>
        </w:rPr>
        <w:t>פ</w:t>
      </w:r>
      <w:r w:rsidRPr="00B97E44">
        <w:rPr>
          <w:rFonts w:hint="cs"/>
          <w:rtl/>
        </w:rPr>
        <w:t xml:space="preserve">עולות </w:t>
      </w:r>
      <w:r w:rsidRPr="0018262A">
        <w:rPr>
          <w:rFonts w:hint="cs"/>
          <w:sz w:val="28"/>
          <w:rtl/>
        </w:rPr>
        <w:t>הביקורת</w:t>
      </w:r>
    </w:p>
    <w:p w:rsidR="005B126E" w:rsidRPr="00B97E44" w:rsidP="001916A9">
      <w:pPr>
        <w:spacing w:line="269" w:lineRule="auto"/>
        <w:ind w:left="-567"/>
        <w:rPr>
          <w:szCs w:val="20"/>
          <w:rtl/>
        </w:rPr>
      </w:pPr>
    </w:p>
    <w:p w:rsidR="005B126E" w:rsidRPr="00B97E44" w:rsidP="001916A9">
      <w:pPr>
        <w:spacing w:line="269" w:lineRule="auto"/>
        <w:rPr>
          <w:b/>
          <w:bCs/>
          <w:rtl/>
        </w:rPr>
      </w:pPr>
      <w:r>
        <w:rPr>
          <w:rFonts w:hint="cs"/>
          <w:rtl/>
        </w:rPr>
        <w:t>ב</w:t>
      </w:r>
      <w:r w:rsidRPr="00B97E44">
        <w:rPr>
          <w:rFonts w:hint="cs"/>
          <w:rtl/>
        </w:rPr>
        <w:t xml:space="preserve">חודשים ינואר 2024 עד אוגוסט 2025 בדק משרד מבקר המדינה לסירוגין את פעולותיהם של </w:t>
      </w:r>
      <w:r>
        <w:rPr>
          <w:rFonts w:hint="cs"/>
          <w:rtl/>
        </w:rPr>
        <w:t>ה</w:t>
      </w:r>
      <w:r w:rsidRPr="00B97E44">
        <w:rPr>
          <w:rFonts w:hint="cs"/>
          <w:rtl/>
        </w:rPr>
        <w:t xml:space="preserve">רשויות המקומיות וגופי האסדרה השלטוניים </w:t>
      </w:r>
      <w:bookmarkStart w:id="18" w:name="_Ref163137737"/>
      <w:r w:rsidRPr="00B97E44">
        <w:rPr>
          <w:rFonts w:hint="cs"/>
          <w:rtl/>
        </w:rPr>
        <w:t>לשיקום</w:t>
      </w:r>
      <w:bookmarkEnd w:id="18"/>
      <w:r w:rsidRPr="00B97E44">
        <w:rPr>
          <w:rFonts w:hint="cs"/>
          <w:rtl/>
        </w:rPr>
        <w:t xml:space="preserve"> היישובים והרשויות המקומיות בנגב </w:t>
      </w:r>
      <w:r>
        <w:rPr>
          <w:rFonts w:hint="cs"/>
          <w:rtl/>
        </w:rPr>
        <w:t>ה</w:t>
      </w:r>
      <w:r w:rsidRPr="00B97E44">
        <w:rPr>
          <w:rFonts w:hint="cs"/>
          <w:rtl/>
        </w:rPr>
        <w:t>מערבי בעקבות מתקפת הטרור</w:t>
      </w:r>
      <w:r>
        <w:rPr>
          <w:rFonts w:hint="cs"/>
          <w:rtl/>
        </w:rPr>
        <w:t xml:space="preserve"> </w:t>
      </w:r>
      <w:r w:rsidRPr="00B97E44">
        <w:rPr>
          <w:rFonts w:hint="cs"/>
          <w:rtl/>
        </w:rPr>
        <w:t xml:space="preserve">בשבעה באוקטובר. הביקורת העלתה ליקויים הנוגעים </w:t>
      </w:r>
      <w:r>
        <w:rPr>
          <w:rFonts w:hint="cs"/>
          <w:rtl/>
        </w:rPr>
        <w:t>ל</w:t>
      </w:r>
      <w:r w:rsidRPr="00B97E44">
        <w:rPr>
          <w:rFonts w:hint="cs"/>
          <w:rtl/>
        </w:rPr>
        <w:t xml:space="preserve">פעולותיהם של גופי השלטון המרכזי והרשויות המקומיות אשר יש לתקנם בלא דיחוי, ולפיכך </w:t>
      </w:r>
      <w:r>
        <w:rPr>
          <w:rFonts w:hint="cs"/>
          <w:rtl/>
        </w:rPr>
        <w:t>כ</w:t>
      </w:r>
      <w:r w:rsidRPr="00B97E44">
        <w:rPr>
          <w:rFonts w:hint="cs"/>
          <w:rtl/>
        </w:rPr>
        <w:t>בר בפברואר 2025 פרסם משרד מבקר המדינה דוח ביניים מיוחד בנושא "</w:t>
      </w:r>
      <w:r w:rsidRPr="00B97E44">
        <w:rPr>
          <w:rtl/>
        </w:rPr>
        <w:t>הליכי השיקום של י</w:t>
      </w:r>
      <w:r>
        <w:rPr>
          <w:rFonts w:hint="cs"/>
          <w:rtl/>
        </w:rPr>
        <w:t>י</w:t>
      </w:r>
      <w:r w:rsidRPr="00B97E44">
        <w:rPr>
          <w:rtl/>
        </w:rPr>
        <w:t xml:space="preserve">שובי הנגב המערבי, קהילותיהם ותושביהם שנפגעו </w:t>
      </w:r>
      <w:r w:rsidRPr="00B97E44">
        <w:rPr>
          <w:rFonts w:hint="cs"/>
          <w:rtl/>
        </w:rPr>
        <w:t xml:space="preserve">באירועי </w:t>
      </w:r>
      <w:r w:rsidRPr="00B97E44">
        <w:rPr>
          <w:rtl/>
        </w:rPr>
        <w:t>שבעה באוקטובר</w:t>
      </w:r>
      <w:r w:rsidRPr="00B97E44">
        <w:rPr>
          <w:rFonts w:hint="cs"/>
          <w:rtl/>
        </w:rPr>
        <w:t xml:space="preserve">" (להלן - דוח </w:t>
      </w:r>
      <w:r>
        <w:rPr>
          <w:rFonts w:hint="cs"/>
          <w:rtl/>
        </w:rPr>
        <w:t>ה</w:t>
      </w:r>
      <w:r w:rsidRPr="00B97E44">
        <w:rPr>
          <w:rFonts w:hint="cs"/>
          <w:rtl/>
        </w:rPr>
        <w:t xml:space="preserve">ביניים). דוח הביניים עסק בליקויים בהגדרת הגבולות של חבל התקומה; בתקצוב הרשויות </w:t>
      </w:r>
      <w:r>
        <w:rPr>
          <w:rFonts w:hint="cs"/>
          <w:rtl/>
        </w:rPr>
        <w:t>ה</w:t>
      </w:r>
      <w:r w:rsidRPr="00B97E44">
        <w:rPr>
          <w:rFonts w:hint="cs"/>
          <w:rtl/>
        </w:rPr>
        <w:t xml:space="preserve">מקומיות; בהיעדר ראש קבוע </w:t>
      </w:r>
      <w:r w:rsidRPr="00B97E44">
        <w:rPr>
          <w:rFonts w:hint="cs"/>
          <w:rtl/>
        </w:rPr>
        <w:t>למינהלת</w:t>
      </w:r>
      <w:r w:rsidRPr="00B97E44">
        <w:rPr>
          <w:rFonts w:hint="cs"/>
          <w:rtl/>
        </w:rPr>
        <w:t xml:space="preserve"> תקומה; בנושא הנצחת הנרצחים והנופלים, המעלה </w:t>
      </w:r>
      <w:r>
        <w:rPr>
          <w:rFonts w:hint="cs"/>
          <w:rtl/>
        </w:rPr>
        <w:t>ס</w:t>
      </w:r>
      <w:r w:rsidRPr="00B97E44">
        <w:rPr>
          <w:rFonts w:hint="cs"/>
          <w:rtl/>
        </w:rPr>
        <w:t xml:space="preserve">וגיות בטיחותיות ואחרות; ובצורכיהם של תושבי העיר </w:t>
      </w:r>
      <w:r w:rsidRPr="00B97E44">
        <w:rPr>
          <w:rFonts w:hint="cs"/>
          <w:b/>
          <w:bCs/>
          <w:rtl/>
        </w:rPr>
        <w:t>אופקים</w:t>
      </w:r>
      <w:r w:rsidRPr="00B97E44">
        <w:rPr>
          <w:rFonts w:hint="cs"/>
          <w:rtl/>
        </w:rPr>
        <w:t xml:space="preserve"> בעקבות מתקפת הטרור בשבעה </w:t>
      </w:r>
      <w:r>
        <w:rPr>
          <w:rFonts w:hint="cs"/>
          <w:rtl/>
        </w:rPr>
        <w:t>ב</w:t>
      </w:r>
      <w:r w:rsidRPr="00B97E44">
        <w:rPr>
          <w:rFonts w:hint="cs"/>
          <w:rtl/>
        </w:rPr>
        <w:t>אוקטובר</w:t>
      </w:r>
      <w:r>
        <w:rPr>
          <w:vertAlign w:val="superscript"/>
          <w:rtl/>
        </w:rPr>
        <w:footnoteReference w:id="6"/>
      </w:r>
      <w:r w:rsidRPr="00B97E44">
        <w:rPr>
          <w:rFonts w:hint="cs"/>
          <w:rtl/>
        </w:rPr>
        <w:t xml:space="preserve">. </w:t>
      </w:r>
    </w:p>
    <w:p w:rsidR="005B126E" w:rsidRPr="00B97E44" w:rsidP="001916A9">
      <w:pPr>
        <w:spacing w:line="269" w:lineRule="auto"/>
        <w:ind w:left="-567"/>
        <w:rPr>
          <w:szCs w:val="20"/>
          <w:rtl/>
        </w:rPr>
      </w:pPr>
    </w:p>
    <w:p w:rsidR="005B126E" w:rsidRPr="00B97E44" w:rsidP="001916A9">
      <w:pPr>
        <w:spacing w:line="269" w:lineRule="auto"/>
        <w:rPr>
          <w:b/>
          <w:bCs/>
          <w:rtl/>
        </w:rPr>
      </w:pPr>
      <w:r>
        <w:rPr>
          <w:rFonts w:hint="cs"/>
          <w:b/>
          <w:bCs/>
          <w:rtl/>
        </w:rPr>
        <w:t>ב</w:t>
      </w:r>
      <w:r w:rsidRPr="00B97E44">
        <w:rPr>
          <w:rFonts w:hint="eastAsia"/>
          <w:b/>
          <w:bCs/>
          <w:rtl/>
        </w:rPr>
        <w:t>דוח</w:t>
      </w:r>
      <w:r w:rsidRPr="00B97E44">
        <w:rPr>
          <w:b/>
          <w:bCs/>
          <w:rtl/>
        </w:rPr>
        <w:t xml:space="preserve"> הביניים צוין לחיוב כי במהלך הביקורת ניכר היה כי צוותי</w:t>
      </w:r>
      <w:r w:rsidRPr="00B97E44">
        <w:rPr>
          <w:rFonts w:hint="cs"/>
          <w:b/>
          <w:bCs/>
          <w:rtl/>
        </w:rPr>
        <w:t>ה של</w:t>
      </w:r>
      <w:r w:rsidRPr="00B97E44">
        <w:rPr>
          <w:b/>
          <w:bCs/>
          <w:rtl/>
        </w:rPr>
        <w:t xml:space="preserve"> מ</w:t>
      </w:r>
      <w:r w:rsidRPr="00B97E44">
        <w:rPr>
          <w:rFonts w:hint="cs"/>
          <w:b/>
          <w:bCs/>
          <w:rtl/>
        </w:rPr>
        <w:t>י</w:t>
      </w:r>
      <w:r w:rsidRPr="00B97E44">
        <w:rPr>
          <w:b/>
          <w:bCs/>
          <w:rtl/>
        </w:rPr>
        <w:t>נהלת</w:t>
      </w:r>
      <w:r w:rsidRPr="00B97E44">
        <w:rPr>
          <w:rFonts w:hint="cs"/>
          <w:b/>
          <w:bCs/>
          <w:rtl/>
        </w:rPr>
        <w:t xml:space="preserve"> תקומה</w:t>
      </w:r>
      <w:r w:rsidRPr="00B97E44">
        <w:rPr>
          <w:b/>
          <w:bCs/>
          <w:rtl/>
        </w:rPr>
        <w:t xml:space="preserve"> פועלים </w:t>
      </w:r>
      <w:r>
        <w:rPr>
          <w:rFonts w:hint="cs"/>
          <w:b/>
          <w:bCs/>
          <w:rtl/>
        </w:rPr>
        <w:t>ל</w:t>
      </w:r>
      <w:r w:rsidRPr="00B97E44">
        <w:rPr>
          <w:b/>
          <w:bCs/>
          <w:rtl/>
        </w:rPr>
        <w:t xml:space="preserve">לא לאות ומתוך תחושת שליחות ציבורית כדי למלא את ייעודם ולסייע לתושבים שפונו </w:t>
      </w:r>
      <w:r>
        <w:rPr>
          <w:rFonts w:hint="cs"/>
          <w:b/>
          <w:bCs/>
          <w:rtl/>
        </w:rPr>
        <w:t>מ</w:t>
      </w:r>
      <w:r w:rsidRPr="00B97E44">
        <w:rPr>
          <w:b/>
          <w:bCs/>
          <w:rtl/>
        </w:rPr>
        <w:t>בתיהם</w:t>
      </w:r>
      <w:r w:rsidRPr="00B97E44">
        <w:rPr>
          <w:b/>
          <w:bCs/>
        </w:rPr>
        <w:t>.</w:t>
      </w:r>
    </w:p>
    <w:p w:rsidR="005B126E" w:rsidRPr="00B97E44" w:rsidP="001916A9">
      <w:pPr>
        <w:spacing w:line="269" w:lineRule="auto"/>
        <w:ind w:left="-567"/>
        <w:rPr>
          <w:szCs w:val="20"/>
          <w:rtl/>
        </w:rPr>
      </w:pPr>
    </w:p>
    <w:p w:rsidR="005B126E" w:rsidP="001916A9">
      <w:pPr>
        <w:spacing w:line="269" w:lineRule="auto"/>
        <w:rPr>
          <w:rtl/>
        </w:rPr>
      </w:pPr>
      <w:r>
        <w:rPr>
          <w:rFonts w:hint="cs"/>
          <w:rtl/>
        </w:rPr>
        <w:t>ב</w:t>
      </w:r>
      <w:r w:rsidRPr="00B97E44">
        <w:rPr>
          <w:rFonts w:hint="cs"/>
          <w:rtl/>
        </w:rPr>
        <w:t>ביקורת נבדקו ההליכים לשיקום ולפיתוח יישובי חבל התקומה במועצות האזוריות</w:t>
      </w:r>
      <w:r w:rsidRPr="00B97E44">
        <w:rPr>
          <w:rFonts w:hint="cs"/>
          <w:b/>
          <w:bCs/>
          <w:rtl/>
        </w:rPr>
        <w:t xml:space="preserve"> אשכול</w:t>
      </w:r>
      <w:r w:rsidRPr="00B97E44">
        <w:rPr>
          <w:rtl/>
        </w:rPr>
        <w:t>,</w:t>
      </w:r>
      <w:r w:rsidRPr="00B97E44">
        <w:rPr>
          <w:rFonts w:hint="cs"/>
          <w:b/>
          <w:bCs/>
          <w:rtl/>
        </w:rPr>
        <w:t xml:space="preserve"> חוף </w:t>
      </w:r>
      <w:r>
        <w:rPr>
          <w:rFonts w:hint="cs"/>
          <w:b/>
          <w:bCs/>
          <w:rtl/>
        </w:rPr>
        <w:t>א</w:t>
      </w:r>
      <w:r w:rsidRPr="00B97E44">
        <w:rPr>
          <w:rFonts w:hint="cs"/>
          <w:b/>
          <w:bCs/>
          <w:rtl/>
        </w:rPr>
        <w:t>שקלון</w:t>
      </w:r>
      <w:r w:rsidRPr="00B97E44">
        <w:rPr>
          <w:rtl/>
        </w:rPr>
        <w:t>,</w:t>
      </w:r>
      <w:r w:rsidRPr="00B97E44">
        <w:rPr>
          <w:rFonts w:hint="cs"/>
          <w:b/>
          <w:bCs/>
          <w:rtl/>
        </w:rPr>
        <w:t xml:space="preserve"> שדות נגב</w:t>
      </w:r>
      <w:r w:rsidRPr="00B97E44">
        <w:rPr>
          <w:rFonts w:hint="cs"/>
          <w:rtl/>
        </w:rPr>
        <w:t xml:space="preserve"> ו</w:t>
      </w:r>
      <w:r w:rsidRPr="00B97E44">
        <w:rPr>
          <w:rFonts w:hint="cs"/>
          <w:b/>
          <w:bCs/>
          <w:rtl/>
        </w:rPr>
        <w:t>שער הנגב</w:t>
      </w:r>
      <w:r w:rsidRPr="00B97E44">
        <w:rPr>
          <w:rFonts w:hint="cs"/>
          <w:rtl/>
        </w:rPr>
        <w:t xml:space="preserve"> ובעיריית </w:t>
      </w:r>
      <w:r w:rsidRPr="00B97E44">
        <w:rPr>
          <w:rFonts w:hint="cs"/>
          <w:b/>
          <w:bCs/>
          <w:rtl/>
        </w:rPr>
        <w:t xml:space="preserve">שדרות </w:t>
      </w:r>
      <w:r w:rsidRPr="00B97E44">
        <w:rPr>
          <w:rFonts w:hint="cs"/>
          <w:rtl/>
        </w:rPr>
        <w:t xml:space="preserve">והשפעתם על הרשויות הסמוכות - </w:t>
      </w:r>
      <w:r w:rsidRPr="00B97E44">
        <w:rPr>
          <w:rFonts w:hint="cs"/>
          <w:b/>
          <w:bCs/>
          <w:rtl/>
        </w:rPr>
        <w:t>אופקים</w:t>
      </w:r>
      <w:r w:rsidRPr="00B97E44">
        <w:rPr>
          <w:rtl/>
        </w:rPr>
        <w:t>,</w:t>
      </w:r>
      <w:r w:rsidRPr="00B97E44">
        <w:rPr>
          <w:rFonts w:hint="cs"/>
          <w:b/>
          <w:bCs/>
          <w:rtl/>
        </w:rPr>
        <w:t xml:space="preserve"> </w:t>
      </w:r>
      <w:r>
        <w:rPr>
          <w:rFonts w:hint="cs"/>
          <w:b/>
          <w:bCs/>
          <w:rtl/>
        </w:rPr>
        <w:t>נ</w:t>
      </w:r>
      <w:r w:rsidRPr="00B97E44">
        <w:rPr>
          <w:rFonts w:hint="cs"/>
          <w:b/>
          <w:bCs/>
          <w:rtl/>
        </w:rPr>
        <w:t xml:space="preserve">תיבות </w:t>
      </w:r>
      <w:r w:rsidRPr="00B97E44">
        <w:rPr>
          <w:rFonts w:hint="cs"/>
          <w:rtl/>
        </w:rPr>
        <w:t>ו</w:t>
      </w:r>
      <w:r w:rsidRPr="00B97E44">
        <w:rPr>
          <w:rFonts w:hint="cs"/>
          <w:b/>
          <w:bCs/>
          <w:rtl/>
        </w:rPr>
        <w:t>מרחבים</w:t>
      </w:r>
      <w:r w:rsidRPr="00B97E44">
        <w:rPr>
          <w:rFonts w:hint="cs"/>
          <w:rtl/>
        </w:rPr>
        <w:t>. הביקורת התמקדה בעבודתה של מינהלת תקומה בהיבטים שונים של ה</w:t>
      </w:r>
      <w:r w:rsidRPr="00B97E44">
        <w:rPr>
          <w:rFonts w:hint="cs"/>
          <w:b/>
          <w:rtl/>
        </w:rPr>
        <w:t xml:space="preserve">תוכנית </w:t>
      </w:r>
      <w:r>
        <w:rPr>
          <w:rFonts w:hint="cs"/>
          <w:b/>
          <w:rtl/>
        </w:rPr>
        <w:t>ה</w:t>
      </w:r>
      <w:r w:rsidRPr="00B97E44">
        <w:rPr>
          <w:rFonts w:hint="cs"/>
          <w:b/>
          <w:rtl/>
        </w:rPr>
        <w:t>אסטרטגית הרב-שנתית לשיקום ולפיתוח חבל התקומה ואוכלוסייתו</w:t>
      </w:r>
      <w:r w:rsidRPr="00B97E44">
        <w:rPr>
          <w:rFonts w:hint="cs"/>
          <w:rtl/>
        </w:rPr>
        <w:t xml:space="preserve"> (להלן - תוכנית החומש) </w:t>
      </w:r>
      <w:r>
        <w:rPr>
          <w:rFonts w:hint="cs"/>
          <w:rtl/>
        </w:rPr>
        <w:t>ו</w:t>
      </w:r>
      <w:r w:rsidRPr="00B97E44">
        <w:rPr>
          <w:rFonts w:hint="cs"/>
          <w:rtl/>
        </w:rPr>
        <w:t xml:space="preserve">בהם חינוך, קהילה, סביבה ושלטון מקומי. ביקורת נערכה גם במשרדי ממשלה שהיו שותפים </w:t>
      </w:r>
      <w:r>
        <w:rPr>
          <w:rFonts w:hint="cs"/>
          <w:rtl/>
        </w:rPr>
        <w:t>ב</w:t>
      </w:r>
      <w:r w:rsidRPr="00B97E44">
        <w:rPr>
          <w:rFonts w:hint="cs"/>
          <w:rtl/>
        </w:rPr>
        <w:t xml:space="preserve">גיבוש התוכנית וביישומה: משרד ראש הממשלה, משרד האוצר, משרד החינוך, משרד הרווחה </w:t>
      </w:r>
      <w:r>
        <w:rPr>
          <w:rFonts w:hint="cs"/>
          <w:rtl/>
        </w:rPr>
        <w:t>ו</w:t>
      </w:r>
      <w:r w:rsidRPr="00B97E44">
        <w:rPr>
          <w:rFonts w:hint="cs"/>
          <w:rtl/>
        </w:rPr>
        <w:t xml:space="preserve">הביטחון החברתי (להלן - משרד הרווחה), משרד הפנים, המשרד להגנת הסביבה, משרד הנגב, </w:t>
      </w:r>
      <w:r>
        <w:rPr>
          <w:rFonts w:hint="cs"/>
          <w:rtl/>
        </w:rPr>
        <w:t>ה</w:t>
      </w:r>
      <w:r w:rsidRPr="00B97E44">
        <w:rPr>
          <w:rFonts w:hint="cs"/>
          <w:rtl/>
        </w:rPr>
        <w:t xml:space="preserve">גליל והחוסן הלאומי (להלן - משרד הנגב והגליל), מערך </w:t>
      </w:r>
      <w:r w:rsidRPr="00B97E44">
        <w:rPr>
          <w:rFonts w:hint="cs"/>
          <w:rtl/>
        </w:rPr>
        <w:t>הדיגיטל</w:t>
      </w:r>
      <w:r w:rsidRPr="00B97E44">
        <w:rPr>
          <w:rFonts w:hint="cs"/>
          <w:rtl/>
        </w:rPr>
        <w:t xml:space="preserve"> הלאומי והחטיבה להתיישבות</w:t>
      </w:r>
      <w:r>
        <w:rPr>
          <w:vertAlign w:val="superscript"/>
          <w:rtl/>
        </w:rPr>
        <w:footnoteReference w:id="7"/>
      </w:r>
      <w:r w:rsidRPr="00B97E44">
        <w:rPr>
          <w:rFonts w:hint="cs"/>
          <w:rtl/>
        </w:rPr>
        <w:t xml:space="preserve">. </w:t>
      </w:r>
      <w:r>
        <w:rPr>
          <w:rFonts w:hint="cs"/>
          <w:rtl/>
        </w:rPr>
        <w:t>ב</w:t>
      </w:r>
      <w:r w:rsidRPr="00B97E44">
        <w:rPr>
          <w:rFonts w:hint="cs"/>
          <w:rtl/>
        </w:rPr>
        <w:t xml:space="preserve">דיקות השלמה נעשו בעיריית </w:t>
      </w:r>
      <w:r w:rsidRPr="00B97E44">
        <w:rPr>
          <w:rFonts w:hint="cs"/>
          <w:b/>
          <w:bCs/>
          <w:rtl/>
        </w:rPr>
        <w:t>באר שבע</w:t>
      </w:r>
      <w:r w:rsidRPr="00B97E44">
        <w:rPr>
          <w:rFonts w:hint="cs"/>
          <w:rtl/>
        </w:rPr>
        <w:t>, ברשות מקרקעי ישראל</w:t>
      </w:r>
      <w:r>
        <w:rPr>
          <w:rFonts w:hint="cs"/>
          <w:rtl/>
        </w:rPr>
        <w:t xml:space="preserve"> (להלן - </w:t>
      </w:r>
      <w:r>
        <w:rPr>
          <w:rFonts w:hint="cs"/>
          <w:rtl/>
        </w:rPr>
        <w:t>רמ"י</w:t>
      </w:r>
      <w:r>
        <w:rPr>
          <w:rFonts w:hint="cs"/>
          <w:rtl/>
        </w:rPr>
        <w:t>)</w:t>
      </w:r>
      <w:r w:rsidRPr="00B97E44">
        <w:rPr>
          <w:rFonts w:hint="cs"/>
          <w:rtl/>
        </w:rPr>
        <w:t xml:space="preserve">, </w:t>
      </w:r>
      <w:r w:rsidRPr="00B97E44">
        <w:rPr>
          <w:rFonts w:hint="cs"/>
          <w:rtl/>
        </w:rPr>
        <w:t>במינהל</w:t>
      </w:r>
      <w:r w:rsidRPr="00B97E44">
        <w:rPr>
          <w:rFonts w:hint="cs"/>
          <w:rtl/>
        </w:rPr>
        <w:t xml:space="preserve"> התכנון </w:t>
      </w:r>
      <w:r>
        <w:rPr>
          <w:rFonts w:hint="cs"/>
          <w:rtl/>
        </w:rPr>
        <w:t>ו</w:t>
      </w:r>
      <w:r w:rsidRPr="00B97E44">
        <w:rPr>
          <w:rFonts w:hint="cs"/>
          <w:rtl/>
        </w:rPr>
        <w:t xml:space="preserve">ברשות הטבע והגנים. </w:t>
      </w:r>
    </w:p>
    <w:p w:rsidR="00E66397" w:rsidRPr="00E66397" w:rsidP="001916A9">
      <w:pPr>
        <w:spacing w:line="269" w:lineRule="auto"/>
        <w:rPr>
          <w:rtl/>
        </w:rPr>
      </w:pPr>
    </w:p>
    <w:p w:rsidR="00E66397" w:rsidP="001916A9">
      <w:pPr>
        <w:spacing w:line="269" w:lineRule="auto"/>
        <w:rPr>
          <w:rtl/>
        </w:rPr>
      </w:pPr>
      <w:r w:rsidRPr="00B97E44">
        <w:rPr>
          <w:rFonts w:hint="cs"/>
          <w:rtl/>
        </w:rPr>
        <w:t>בביקורת נבדק גם תיקון ליקויים בשלושה תחומים שנמצאו בדוח הביניים: ליקויים במבנים הזמניים שהוקמו בעבור קהילות הקיבוצים בארי, חולית וכפר עזה, ליקויים שנמצאו בתחום ההנצחה והמיגון ב</w:t>
      </w:r>
      <w:r w:rsidRPr="00B97E44">
        <w:rPr>
          <w:rFonts w:hint="eastAsia"/>
          <w:b/>
          <w:bCs/>
          <w:rtl/>
        </w:rPr>
        <w:t>אופקים</w:t>
      </w:r>
      <w:r w:rsidRPr="00B97E44">
        <w:rPr>
          <w:rFonts w:hint="cs"/>
          <w:rtl/>
        </w:rPr>
        <w:t xml:space="preserve"> וכן ליקויים בתחום הטיפול בתושבי אופקים.</w:t>
      </w:r>
      <w:r w:rsidRPr="00B97E44">
        <w:rPr>
          <w:rtl/>
        </w:rPr>
        <w:t xml:space="preserve"> </w:t>
      </w:r>
    </w:p>
    <w:p w:rsidR="00E66397" w:rsidP="001916A9">
      <w:pPr>
        <w:spacing w:line="269" w:lineRule="auto"/>
        <w:rPr>
          <w:rtl/>
        </w:rPr>
      </w:pPr>
    </w:p>
    <w:p w:rsidR="00E66397" w:rsidP="001916A9">
      <w:pPr>
        <w:keepNext/>
        <w:keepLines/>
        <w:spacing w:line="269" w:lineRule="auto"/>
        <w:jc w:val="center"/>
        <w:rPr>
          <w:rtl/>
        </w:rPr>
      </w:pPr>
      <w:r w:rsidRPr="00B97E44">
        <w:rPr>
          <w:rFonts w:hint="cs"/>
          <w:rtl/>
        </w:rPr>
        <w:t>לוח 1</w:t>
      </w:r>
      <w:r w:rsidRPr="00B97E44">
        <w:rPr>
          <w:rtl/>
        </w:rPr>
        <w:t>:</w:t>
      </w:r>
      <w:r w:rsidRPr="00B97E44">
        <w:rPr>
          <w:b/>
          <w:bCs/>
          <w:rtl/>
        </w:rPr>
        <w:t xml:space="preserve"> הרשויות המקומיות שנבדקו - נתונים כלליים</w:t>
      </w:r>
      <w:r w:rsidRPr="00B97E44">
        <w:rPr>
          <w:rFonts w:hint="cs"/>
          <w:b/>
          <w:bCs/>
          <w:rtl/>
        </w:rPr>
        <w:t>, נכון למועד סיום הביקורת (אוגוסט 2025)</w:t>
      </w:r>
    </w:p>
    <w:tbl>
      <w:tblPr>
        <w:bidiVisual/>
        <w:tblW w:w="9077" w:type="dxa"/>
        <w:jc w:val="center"/>
        <w:tblBorders>
          <w:insideH w:val="single" w:sz="12" w:space="0" w:color="F8F8F8"/>
        </w:tblBorders>
        <w:shd w:val="clear" w:color="auto" w:fill="FFFFFF" w:themeFill="background1"/>
        <w:tblLayout w:type="fixed"/>
        <w:tblCellMar>
          <w:left w:w="0" w:type="dxa"/>
          <w:right w:w="0" w:type="dxa"/>
        </w:tblCellMar>
        <w:tblLook w:val="04A0"/>
      </w:tblPr>
      <w:tblGrid>
        <w:gridCol w:w="567"/>
        <w:gridCol w:w="1275"/>
        <w:gridCol w:w="851"/>
        <w:gridCol w:w="850"/>
        <w:gridCol w:w="851"/>
        <w:gridCol w:w="992"/>
        <w:gridCol w:w="851"/>
        <w:gridCol w:w="850"/>
        <w:gridCol w:w="992"/>
        <w:gridCol w:w="998"/>
      </w:tblGrid>
      <w:tr w:rsidTr="00902020">
        <w:tblPrEx>
          <w:tblW w:w="9077" w:type="dxa"/>
          <w:jc w:val="center"/>
          <w:tblBorders>
            <w:insideH w:val="single" w:sz="12" w:space="0" w:color="F8F8F8"/>
          </w:tblBorders>
          <w:shd w:val="clear" w:color="auto" w:fill="FFFFFF" w:themeFill="background1"/>
          <w:tblLayout w:type="fixed"/>
          <w:tblCellMar>
            <w:left w:w="0" w:type="dxa"/>
            <w:right w:w="0" w:type="dxa"/>
          </w:tblCellMar>
          <w:tblLook w:val="04A0"/>
        </w:tblPrEx>
        <w:trPr>
          <w:trHeight w:hRule="exact" w:val="993"/>
          <w:tblHeader/>
          <w:jc w:val="center"/>
        </w:trPr>
        <w:tc>
          <w:tcPr>
            <w:tcW w:w="567" w:type="dxa"/>
            <w:tcBorders>
              <w:top w:val="nil"/>
              <w:left w:val="nil"/>
              <w:bottom w:val="single" w:sz="12" w:space="0" w:color="EEECE1" w:themeColor="background2"/>
              <w:right w:val="nil"/>
            </w:tcBorders>
            <w:shd w:val="clear" w:color="auto" w:fill="FFFFFF" w:themeFill="background1"/>
          </w:tcPr>
          <w:p w:rsidR="001A346B" w:rsidRPr="00B97E44" w:rsidP="001916A9">
            <w:pPr>
              <w:spacing w:line="269" w:lineRule="auto"/>
              <w:jc w:val="center"/>
              <w:rPr>
                <w:rFonts w:ascii="Tahoma" w:eastAsia="Times New Roman" w:hAnsi="Tahoma" w:cs="Tahoma"/>
                <w:color w:val="222222"/>
                <w:sz w:val="16"/>
                <w:szCs w:val="16"/>
              </w:rPr>
            </w:pPr>
          </w:p>
        </w:tc>
        <w:tc>
          <w:tcPr>
            <w:tcW w:w="1275" w:type="dxa"/>
            <w:tcBorders>
              <w:left w:val="nil"/>
              <w:bottom w:val="single" w:sz="12" w:space="0" w:color="EEECE1" w:themeColor="background2"/>
            </w:tcBorders>
            <w:shd w:val="clear" w:color="auto" w:fill="FFFFFF" w:themeFill="background1"/>
            <w:tcMar>
              <w:top w:w="0" w:type="dxa"/>
              <w:left w:w="108" w:type="dxa"/>
              <w:bottom w:w="0" w:type="dxa"/>
              <w:right w:w="108" w:type="dxa"/>
            </w:tcMar>
            <w:vAlign w:val="center"/>
            <w:hideMark/>
          </w:tcPr>
          <w:p w:rsidR="001A346B" w:rsidRPr="001916A9" w:rsidP="001916A9">
            <w:pPr>
              <w:spacing w:line="269" w:lineRule="auto"/>
              <w:rPr>
                <w:rFonts w:ascii="David" w:eastAsia="Times New Roman" w:hAnsi="David"/>
                <w:color w:val="222222"/>
                <w:szCs w:val="20"/>
              </w:rPr>
            </w:pPr>
          </w:p>
        </w:tc>
        <w:tc>
          <w:tcPr>
            <w:tcW w:w="851" w:type="dxa"/>
            <w:tcBorders>
              <w:bottom w:val="single" w:sz="12" w:space="0" w:color="EEECE1" w:themeColor="background2"/>
            </w:tcBorders>
            <w:shd w:val="clear" w:color="auto" w:fill="FFFFFF" w:themeFill="background1"/>
          </w:tcPr>
          <w:p w:rsidR="001A346B" w:rsidRPr="001916A9" w:rsidP="001916A9">
            <w:pPr>
              <w:spacing w:line="269" w:lineRule="auto"/>
              <w:jc w:val="center"/>
              <w:rPr>
                <w:rFonts w:ascii="David" w:eastAsia="Times New Roman" w:hAnsi="David"/>
                <w:b/>
                <w:bCs/>
                <w:color w:val="4F81BD" w:themeColor="accent1"/>
                <w:szCs w:val="20"/>
                <w:rtl/>
              </w:rPr>
            </w:pPr>
            <w:r w:rsidRPr="001916A9">
              <w:rPr>
                <w:rFonts w:ascii="David" w:eastAsia="Times New Roman" w:hAnsi="David"/>
                <w:b/>
                <w:bCs/>
                <w:color w:val="4F81BD" w:themeColor="accent1"/>
                <w:szCs w:val="20"/>
                <w:rtl/>
              </w:rPr>
              <w:t>עיריית אופקים</w:t>
            </w:r>
          </w:p>
        </w:tc>
        <w:tc>
          <w:tcPr>
            <w:tcW w:w="850" w:type="dxa"/>
            <w:tcBorders>
              <w:bottom w:val="single" w:sz="12" w:space="0" w:color="EEECE1" w:themeColor="background2"/>
            </w:tcBorders>
            <w:shd w:val="clear" w:color="auto" w:fill="FFFFFF" w:themeFill="background1"/>
          </w:tcPr>
          <w:p w:rsidR="001A346B" w:rsidRPr="001916A9" w:rsidP="001916A9">
            <w:pPr>
              <w:spacing w:line="269" w:lineRule="auto"/>
              <w:jc w:val="center"/>
              <w:rPr>
                <w:rFonts w:ascii="David" w:eastAsia="Times New Roman" w:hAnsi="David"/>
                <w:b/>
                <w:bCs/>
                <w:color w:val="4F81BD" w:themeColor="accent1"/>
                <w:szCs w:val="20"/>
                <w:rtl/>
              </w:rPr>
            </w:pPr>
            <w:r w:rsidRPr="001916A9">
              <w:rPr>
                <w:rFonts w:ascii="David" w:eastAsia="Times New Roman" w:hAnsi="David"/>
                <w:b/>
                <w:bCs/>
                <w:color w:val="4F81BD" w:themeColor="accent1"/>
                <w:szCs w:val="20"/>
                <w:rtl/>
              </w:rPr>
              <w:t>עיריית נתיבות</w:t>
            </w:r>
          </w:p>
        </w:tc>
        <w:tc>
          <w:tcPr>
            <w:tcW w:w="851" w:type="dxa"/>
            <w:tcBorders>
              <w:bottom w:val="single" w:sz="12" w:space="0" w:color="EEECE1" w:themeColor="background2"/>
            </w:tcBorders>
            <w:shd w:val="clear" w:color="auto" w:fill="FFFFFF" w:themeFill="background1"/>
          </w:tcPr>
          <w:p w:rsidR="0018262A" w:rsidP="001916A9">
            <w:pPr>
              <w:spacing w:line="269" w:lineRule="auto"/>
              <w:jc w:val="center"/>
              <w:rPr>
                <w:rFonts w:ascii="David" w:eastAsia="Times New Roman" w:hAnsi="David"/>
                <w:b/>
                <w:bCs/>
                <w:color w:val="4F81BD" w:themeColor="accent1"/>
                <w:szCs w:val="20"/>
                <w:rtl/>
              </w:rPr>
            </w:pPr>
            <w:r w:rsidRPr="001916A9">
              <w:rPr>
                <w:rFonts w:ascii="David" w:eastAsia="Times New Roman" w:hAnsi="David"/>
                <w:b/>
                <w:bCs/>
                <w:color w:val="4F81BD" w:themeColor="accent1"/>
                <w:szCs w:val="20"/>
                <w:rtl/>
              </w:rPr>
              <w:t xml:space="preserve">עיריית </w:t>
            </w:r>
          </w:p>
          <w:p w:rsidR="001A346B" w:rsidRPr="001916A9" w:rsidP="001916A9">
            <w:pPr>
              <w:spacing w:line="269" w:lineRule="auto"/>
              <w:jc w:val="center"/>
              <w:rPr>
                <w:rFonts w:ascii="David" w:eastAsia="Times New Roman" w:hAnsi="David"/>
                <w:b/>
                <w:bCs/>
                <w:color w:val="4F81BD" w:themeColor="accent1"/>
                <w:szCs w:val="20"/>
                <w:rtl/>
              </w:rPr>
            </w:pPr>
            <w:r w:rsidRPr="001916A9">
              <w:rPr>
                <w:rFonts w:ascii="David" w:eastAsia="Times New Roman" w:hAnsi="David"/>
                <w:b/>
                <w:bCs/>
                <w:color w:val="4F81BD" w:themeColor="accent1"/>
                <w:szCs w:val="20"/>
                <w:rtl/>
              </w:rPr>
              <w:t>שדרות</w:t>
            </w:r>
          </w:p>
        </w:tc>
        <w:tc>
          <w:tcPr>
            <w:tcW w:w="992" w:type="dxa"/>
            <w:tcBorders>
              <w:bottom w:val="single" w:sz="12" w:space="0" w:color="EEECE1" w:themeColor="background2"/>
            </w:tcBorders>
            <w:shd w:val="clear" w:color="auto" w:fill="FFFFFF" w:themeFill="background1"/>
            <w:tcMar>
              <w:top w:w="0" w:type="dxa"/>
              <w:left w:w="108" w:type="dxa"/>
              <w:bottom w:w="0" w:type="dxa"/>
              <w:right w:w="108" w:type="dxa"/>
            </w:tcMar>
            <w:hideMark/>
          </w:tcPr>
          <w:p w:rsidR="001A346B" w:rsidRPr="001916A9" w:rsidP="001916A9">
            <w:pPr>
              <w:spacing w:line="269" w:lineRule="auto"/>
              <w:jc w:val="center"/>
              <w:rPr>
                <w:rFonts w:ascii="David" w:eastAsia="Times New Roman" w:hAnsi="David"/>
                <w:b/>
                <w:bCs/>
                <w:color w:val="4F81BD" w:themeColor="accent1"/>
                <w:szCs w:val="20"/>
              </w:rPr>
            </w:pPr>
            <w:r w:rsidRPr="001916A9">
              <w:rPr>
                <w:rFonts w:ascii="David" w:eastAsia="Times New Roman" w:hAnsi="David"/>
                <w:b/>
                <w:bCs/>
                <w:color w:val="4F81BD" w:themeColor="accent1"/>
                <w:szCs w:val="20"/>
                <w:rtl/>
              </w:rPr>
              <w:t>המועצה האזורית אשכול</w:t>
            </w:r>
          </w:p>
        </w:tc>
        <w:tc>
          <w:tcPr>
            <w:tcW w:w="851" w:type="dxa"/>
            <w:tcBorders>
              <w:bottom w:val="single" w:sz="12" w:space="0" w:color="EEECE1" w:themeColor="background2"/>
            </w:tcBorders>
            <w:shd w:val="clear" w:color="auto" w:fill="FFFFFF" w:themeFill="background1"/>
            <w:tcMar>
              <w:top w:w="0" w:type="dxa"/>
              <w:left w:w="108" w:type="dxa"/>
              <w:bottom w:w="0" w:type="dxa"/>
              <w:right w:w="108" w:type="dxa"/>
            </w:tcMar>
            <w:hideMark/>
          </w:tcPr>
          <w:p w:rsidR="001A346B" w:rsidRPr="001916A9" w:rsidP="001916A9">
            <w:pPr>
              <w:spacing w:line="269" w:lineRule="auto"/>
              <w:jc w:val="center"/>
              <w:rPr>
                <w:rFonts w:ascii="David" w:eastAsia="Times New Roman" w:hAnsi="David"/>
                <w:b/>
                <w:bCs/>
                <w:color w:val="4F81BD" w:themeColor="accent1"/>
                <w:szCs w:val="20"/>
                <w:rtl/>
              </w:rPr>
            </w:pPr>
            <w:r w:rsidRPr="001916A9">
              <w:rPr>
                <w:rFonts w:ascii="David" w:eastAsia="Times New Roman" w:hAnsi="David"/>
                <w:b/>
                <w:bCs/>
                <w:color w:val="4F81BD" w:themeColor="accent1"/>
                <w:szCs w:val="20"/>
                <w:rtl/>
              </w:rPr>
              <w:t>המועצה האזורית חוף אשקלון</w:t>
            </w:r>
          </w:p>
          <w:p w:rsidR="001A346B" w:rsidRPr="001916A9" w:rsidP="001916A9">
            <w:pPr>
              <w:spacing w:line="269" w:lineRule="auto"/>
              <w:jc w:val="center"/>
              <w:rPr>
                <w:rFonts w:ascii="David" w:eastAsia="Times New Roman" w:hAnsi="David"/>
                <w:b/>
                <w:bCs/>
                <w:color w:val="4F81BD" w:themeColor="accent1"/>
                <w:szCs w:val="20"/>
              </w:rPr>
            </w:pPr>
          </w:p>
        </w:tc>
        <w:tc>
          <w:tcPr>
            <w:tcW w:w="850" w:type="dxa"/>
            <w:tcBorders>
              <w:bottom w:val="single" w:sz="12" w:space="0" w:color="EEECE1" w:themeColor="background2"/>
            </w:tcBorders>
            <w:shd w:val="clear" w:color="auto" w:fill="FFFFFF" w:themeFill="background1"/>
          </w:tcPr>
          <w:p w:rsidR="001A346B" w:rsidRPr="001916A9" w:rsidP="001916A9">
            <w:pPr>
              <w:spacing w:line="269" w:lineRule="auto"/>
              <w:jc w:val="center"/>
              <w:rPr>
                <w:rFonts w:ascii="David" w:eastAsia="Times New Roman" w:hAnsi="David"/>
                <w:b/>
                <w:bCs/>
                <w:color w:val="4F81BD" w:themeColor="accent1"/>
                <w:szCs w:val="20"/>
                <w:rtl/>
              </w:rPr>
            </w:pPr>
            <w:r w:rsidRPr="001916A9">
              <w:rPr>
                <w:rFonts w:ascii="David" w:eastAsia="Times New Roman" w:hAnsi="David"/>
                <w:b/>
                <w:bCs/>
                <w:color w:val="4F81BD" w:themeColor="accent1"/>
                <w:szCs w:val="20"/>
                <w:rtl/>
              </w:rPr>
              <w:t>המועצה האזורית מרחבים</w:t>
            </w:r>
          </w:p>
        </w:tc>
        <w:tc>
          <w:tcPr>
            <w:tcW w:w="992" w:type="dxa"/>
            <w:tcBorders>
              <w:bottom w:val="single" w:sz="12" w:space="0" w:color="EEECE1" w:themeColor="background2"/>
            </w:tcBorders>
            <w:shd w:val="clear" w:color="auto" w:fill="FFFFFF" w:themeFill="background1"/>
            <w:tcMar>
              <w:top w:w="0" w:type="dxa"/>
              <w:left w:w="108" w:type="dxa"/>
              <w:bottom w:w="0" w:type="dxa"/>
              <w:right w:w="108" w:type="dxa"/>
            </w:tcMar>
            <w:hideMark/>
          </w:tcPr>
          <w:p w:rsidR="001A346B" w:rsidRPr="001916A9" w:rsidP="001916A9">
            <w:pPr>
              <w:spacing w:line="269" w:lineRule="auto"/>
              <w:jc w:val="center"/>
              <w:rPr>
                <w:rFonts w:ascii="David" w:eastAsia="Times New Roman" w:hAnsi="David"/>
                <w:b/>
                <w:bCs/>
                <w:color w:val="4F81BD" w:themeColor="accent1"/>
                <w:szCs w:val="20"/>
              </w:rPr>
            </w:pPr>
            <w:r w:rsidRPr="001916A9">
              <w:rPr>
                <w:rFonts w:ascii="David" w:eastAsia="Times New Roman" w:hAnsi="David"/>
                <w:b/>
                <w:bCs/>
                <w:color w:val="4F81BD" w:themeColor="accent1"/>
                <w:szCs w:val="20"/>
                <w:rtl/>
              </w:rPr>
              <w:t>המועצה האזורית שדות נגב</w:t>
            </w:r>
          </w:p>
        </w:tc>
        <w:tc>
          <w:tcPr>
            <w:tcW w:w="998" w:type="dxa"/>
            <w:tcBorders>
              <w:bottom w:val="single" w:sz="12" w:space="0" w:color="EEECE1" w:themeColor="background2"/>
            </w:tcBorders>
            <w:shd w:val="clear" w:color="auto" w:fill="FFFFFF" w:themeFill="background1"/>
            <w:tcMar>
              <w:top w:w="0" w:type="dxa"/>
              <w:left w:w="108" w:type="dxa"/>
              <w:bottom w:w="0" w:type="dxa"/>
              <w:right w:w="108" w:type="dxa"/>
            </w:tcMar>
            <w:hideMark/>
          </w:tcPr>
          <w:p w:rsidR="001A346B" w:rsidRPr="001916A9" w:rsidP="001916A9">
            <w:pPr>
              <w:spacing w:line="269" w:lineRule="auto"/>
              <w:jc w:val="center"/>
              <w:rPr>
                <w:rFonts w:ascii="David" w:eastAsia="Times New Roman" w:hAnsi="David"/>
                <w:b/>
                <w:bCs/>
                <w:color w:val="4F81BD" w:themeColor="accent1"/>
                <w:szCs w:val="20"/>
              </w:rPr>
            </w:pPr>
            <w:r w:rsidRPr="001916A9">
              <w:rPr>
                <w:rFonts w:ascii="David" w:eastAsia="Times New Roman" w:hAnsi="David"/>
                <w:b/>
                <w:bCs/>
                <w:color w:val="4F81BD" w:themeColor="accent1"/>
                <w:szCs w:val="20"/>
                <w:rtl/>
              </w:rPr>
              <w:t>המועצה האזורית שער הנגב</w:t>
            </w:r>
          </w:p>
        </w:tc>
      </w:tr>
      <w:tr w:rsidTr="00902020">
        <w:tblPrEx>
          <w:tblW w:w="9077" w:type="dxa"/>
          <w:jc w:val="center"/>
          <w:shd w:val="clear" w:color="auto" w:fill="FFFFFF" w:themeFill="background1"/>
          <w:tblLayout w:type="fixed"/>
          <w:tblCellMar>
            <w:left w:w="0" w:type="dxa"/>
            <w:right w:w="0" w:type="dxa"/>
          </w:tblCellMar>
          <w:tblLook w:val="04A0"/>
        </w:tblPrEx>
        <w:trPr>
          <w:trHeight w:hRule="exact" w:val="741"/>
          <w:jc w:val="center"/>
        </w:trPr>
        <w:tc>
          <w:tcPr>
            <w:tcW w:w="567" w:type="dxa"/>
            <w:tcBorders>
              <w:top w:val="single" w:sz="12" w:space="0" w:color="EEECE1" w:themeColor="background2"/>
              <w:left w:val="nil"/>
              <w:bottom w:val="single" w:sz="12" w:space="0" w:color="EEECE1" w:themeColor="background2"/>
              <w:right w:val="nil"/>
            </w:tcBorders>
            <w:shd w:val="clear" w:color="auto" w:fill="F0F6FE"/>
          </w:tcPr>
          <w:p w:rsidR="001A346B" w:rsidRPr="00B97E44" w:rsidP="001916A9">
            <w:pPr>
              <w:spacing w:line="269" w:lineRule="auto"/>
              <w:rPr>
                <w:rFonts w:ascii="Tahoma" w:eastAsia="Times New Roman" w:hAnsi="Tahoma" w:cs="Tahoma"/>
                <w:color w:val="A6A6A6" w:themeColor="background1" w:themeShade="A6"/>
                <w:sz w:val="16"/>
                <w:szCs w:val="16"/>
                <w:rtl/>
              </w:rPr>
            </w:pPr>
            <w:r w:rsidRPr="00B97E44">
              <w:rPr>
                <w:noProof/>
              </w:rPr>
              <w:drawing>
                <wp:anchor distT="0" distB="0" distL="114300" distR="114300" simplePos="0" relativeHeight="251672576" behindDoc="0" locked="0" layoutInCell="1" allowOverlap="1">
                  <wp:simplePos x="0" y="0"/>
                  <wp:positionH relativeFrom="column">
                    <wp:posOffset>40640</wp:posOffset>
                  </wp:positionH>
                  <wp:positionV relativeFrom="paragraph">
                    <wp:posOffset>80010</wp:posOffset>
                  </wp:positionV>
                  <wp:extent cx="259080" cy="259080"/>
                  <wp:effectExtent l="0" t="0" r="7620" b="7620"/>
                  <wp:wrapNone/>
                  <wp:docPr id="54" name="תמונה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64"/>
                          <pic:cNvPicPr>
                            <a:picLocks noChangeAspect="1" noChangeArrowheads="1"/>
                          </pic:cNvPicPr>
                        </pic:nvPicPr>
                        <pic:blipFill>
                          <a:blip xmlns:r="http://schemas.openxmlformats.org/officeDocument/2006/relationships" r:embed="rId6" cstate="screen">
                            <a:clrChange>
                              <a:clrFrom>
                                <a:srgbClr val="F4F8FD"/>
                              </a:clrFrom>
                              <a:clrTo>
                                <a:srgbClr val="F4F8FD">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75" w:type="dxa"/>
            <w:tcBorders>
              <w:top w:val="single" w:sz="12" w:space="0" w:color="EEECE1" w:themeColor="background2"/>
              <w:left w:val="nil"/>
              <w:bottom w:val="single" w:sz="12" w:space="0" w:color="EEECE1" w:themeColor="background2"/>
            </w:tcBorders>
            <w:shd w:val="clear" w:color="auto" w:fill="F0F6FE"/>
            <w:tcMar>
              <w:top w:w="0" w:type="dxa"/>
              <w:left w:w="108" w:type="dxa"/>
              <w:bottom w:w="0" w:type="dxa"/>
              <w:right w:w="108" w:type="dxa"/>
            </w:tcMar>
            <w:vAlign w:val="center"/>
            <w:hideMark/>
          </w:tcPr>
          <w:p w:rsidR="001A346B" w:rsidRPr="001916A9" w:rsidP="001916A9">
            <w:pPr>
              <w:spacing w:line="269" w:lineRule="auto"/>
              <w:jc w:val="center"/>
              <w:rPr>
                <w:rFonts w:ascii="David" w:eastAsia="Times New Roman" w:hAnsi="David"/>
                <w:color w:val="808080" w:themeColor="background1" w:themeShade="80"/>
                <w:szCs w:val="20"/>
                <w:rtl/>
              </w:rPr>
            </w:pPr>
            <w:r w:rsidRPr="001916A9">
              <w:rPr>
                <w:rFonts w:ascii="David" w:eastAsia="Times New Roman" w:hAnsi="David"/>
                <w:color w:val="808080" w:themeColor="background1" w:themeShade="80"/>
                <w:szCs w:val="20"/>
                <w:rtl/>
              </w:rPr>
              <w:t xml:space="preserve">מספר </w:t>
            </w:r>
            <w:r w:rsidRPr="001916A9">
              <w:rPr>
                <w:rFonts w:ascii="David" w:eastAsia="Times New Roman" w:hAnsi="David"/>
                <w:color w:val="808080" w:themeColor="background1" w:themeShade="80"/>
                <w:szCs w:val="20"/>
                <w:rtl/>
              </w:rPr>
              <w:br/>
              <w:t>התושבים</w:t>
            </w:r>
          </w:p>
        </w:tc>
        <w:tc>
          <w:tcPr>
            <w:tcW w:w="851" w:type="dxa"/>
            <w:tcBorders>
              <w:top w:val="single" w:sz="12" w:space="0" w:color="EEECE1" w:themeColor="background2"/>
              <w:bottom w:val="single" w:sz="12" w:space="0" w:color="EEECE1" w:themeColor="background2"/>
            </w:tcBorders>
            <w:shd w:val="clear" w:color="auto" w:fill="FFFFFF" w:themeFill="background1"/>
          </w:tcPr>
          <w:p w:rsidR="001A346B" w:rsidRPr="001916A9" w:rsidP="001916A9">
            <w:pPr>
              <w:spacing w:line="269" w:lineRule="auto"/>
              <w:jc w:val="left"/>
              <w:rPr>
                <w:rFonts w:ascii="David" w:eastAsia="Times New Roman" w:hAnsi="David"/>
                <w:color w:val="222222"/>
                <w:szCs w:val="20"/>
                <w:rtl/>
              </w:rPr>
            </w:pPr>
            <w:r w:rsidRPr="001916A9">
              <w:rPr>
                <w:rFonts w:ascii="David" w:hAnsi="David"/>
                <w:color w:val="000000"/>
                <w:szCs w:val="20"/>
                <w:rtl/>
              </w:rPr>
              <w:t>37,838</w:t>
            </w:r>
          </w:p>
        </w:tc>
        <w:tc>
          <w:tcPr>
            <w:tcW w:w="850" w:type="dxa"/>
            <w:tcBorders>
              <w:top w:val="single" w:sz="12" w:space="0" w:color="EEECE1" w:themeColor="background2"/>
              <w:bottom w:val="single" w:sz="12" w:space="0" w:color="EEECE1" w:themeColor="background2"/>
            </w:tcBorders>
            <w:shd w:val="clear" w:color="auto" w:fill="FFFFFF" w:themeFill="background1"/>
          </w:tcPr>
          <w:p w:rsidR="001A346B" w:rsidRPr="001916A9" w:rsidP="001916A9">
            <w:pPr>
              <w:spacing w:line="269" w:lineRule="auto"/>
              <w:jc w:val="left"/>
              <w:rPr>
                <w:rFonts w:ascii="David" w:eastAsia="Times New Roman" w:hAnsi="David"/>
                <w:color w:val="222222"/>
                <w:szCs w:val="20"/>
                <w:rtl/>
              </w:rPr>
            </w:pPr>
            <w:r w:rsidRPr="001916A9">
              <w:rPr>
                <w:rFonts w:ascii="David" w:hAnsi="David"/>
                <w:color w:val="000000"/>
                <w:szCs w:val="20"/>
                <w:rtl/>
              </w:rPr>
              <w:t>52,877</w:t>
            </w:r>
          </w:p>
        </w:tc>
        <w:tc>
          <w:tcPr>
            <w:tcW w:w="851" w:type="dxa"/>
            <w:tcBorders>
              <w:top w:val="single" w:sz="12" w:space="0" w:color="EEECE1" w:themeColor="background2"/>
              <w:bottom w:val="single" w:sz="12" w:space="0" w:color="EEECE1" w:themeColor="background2"/>
            </w:tcBorders>
            <w:shd w:val="clear" w:color="auto" w:fill="FFFFFF" w:themeFill="background1"/>
          </w:tcPr>
          <w:p w:rsidR="001A346B" w:rsidRPr="001916A9" w:rsidP="001916A9">
            <w:pPr>
              <w:spacing w:line="269" w:lineRule="auto"/>
              <w:jc w:val="left"/>
              <w:rPr>
                <w:rFonts w:ascii="David" w:eastAsia="Times New Roman" w:hAnsi="David"/>
                <w:color w:val="222222"/>
                <w:szCs w:val="20"/>
                <w:rtl/>
              </w:rPr>
            </w:pPr>
            <w:r w:rsidRPr="001916A9">
              <w:rPr>
                <w:rFonts w:ascii="David" w:hAnsi="David"/>
                <w:color w:val="000000"/>
                <w:szCs w:val="20"/>
                <w:rtl/>
              </w:rPr>
              <w:t>35,477</w:t>
            </w:r>
          </w:p>
        </w:tc>
        <w:tc>
          <w:tcPr>
            <w:tcW w:w="992"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tcPr>
          <w:p w:rsidR="001A346B" w:rsidRPr="001916A9" w:rsidP="001916A9">
            <w:pPr>
              <w:spacing w:line="269" w:lineRule="auto"/>
              <w:jc w:val="left"/>
              <w:rPr>
                <w:rFonts w:ascii="David" w:eastAsia="Times New Roman" w:hAnsi="David"/>
                <w:color w:val="222222"/>
                <w:szCs w:val="20"/>
                <w:rtl/>
              </w:rPr>
            </w:pPr>
            <w:r w:rsidRPr="001916A9">
              <w:rPr>
                <w:rFonts w:ascii="David" w:hAnsi="David"/>
                <w:color w:val="000000"/>
                <w:szCs w:val="20"/>
                <w:rtl/>
              </w:rPr>
              <w:t>18,520</w:t>
            </w:r>
          </w:p>
        </w:tc>
        <w:tc>
          <w:tcPr>
            <w:tcW w:w="851"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tcPr>
          <w:p w:rsidR="001A346B" w:rsidRPr="001916A9" w:rsidP="001916A9">
            <w:pPr>
              <w:spacing w:line="269" w:lineRule="auto"/>
              <w:jc w:val="left"/>
              <w:rPr>
                <w:rFonts w:ascii="David" w:eastAsia="Times New Roman" w:hAnsi="David"/>
                <w:color w:val="222222"/>
                <w:szCs w:val="20"/>
                <w:rtl/>
              </w:rPr>
            </w:pPr>
            <w:r w:rsidRPr="001916A9">
              <w:rPr>
                <w:rFonts w:ascii="David" w:hAnsi="David"/>
                <w:color w:val="000000"/>
                <w:szCs w:val="20"/>
                <w:rtl/>
              </w:rPr>
              <w:t>20,570</w:t>
            </w:r>
          </w:p>
        </w:tc>
        <w:tc>
          <w:tcPr>
            <w:tcW w:w="850" w:type="dxa"/>
            <w:tcBorders>
              <w:top w:val="single" w:sz="12" w:space="0" w:color="EEECE1" w:themeColor="background2"/>
              <w:bottom w:val="single" w:sz="12" w:space="0" w:color="EEECE1" w:themeColor="background2"/>
            </w:tcBorders>
            <w:shd w:val="clear" w:color="auto" w:fill="FFFFFF" w:themeFill="background1"/>
          </w:tcPr>
          <w:p w:rsidR="001A346B" w:rsidRPr="001916A9" w:rsidP="001916A9">
            <w:pPr>
              <w:spacing w:line="269" w:lineRule="auto"/>
              <w:jc w:val="left"/>
              <w:rPr>
                <w:rFonts w:ascii="David" w:eastAsia="Times New Roman" w:hAnsi="David"/>
                <w:color w:val="222222"/>
                <w:szCs w:val="20"/>
                <w:rtl/>
              </w:rPr>
            </w:pPr>
            <w:r w:rsidRPr="001916A9">
              <w:rPr>
                <w:rFonts w:ascii="David" w:hAnsi="David"/>
                <w:color w:val="000000"/>
                <w:szCs w:val="20"/>
                <w:rtl/>
              </w:rPr>
              <w:t>15,589</w:t>
            </w:r>
          </w:p>
        </w:tc>
        <w:tc>
          <w:tcPr>
            <w:tcW w:w="992"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tcPr>
          <w:p w:rsidR="001A346B" w:rsidRPr="001916A9" w:rsidP="001916A9">
            <w:pPr>
              <w:spacing w:line="269" w:lineRule="auto"/>
              <w:jc w:val="left"/>
              <w:rPr>
                <w:rFonts w:ascii="David" w:eastAsia="Times New Roman" w:hAnsi="David"/>
                <w:color w:val="222222"/>
                <w:szCs w:val="20"/>
                <w:rtl/>
              </w:rPr>
            </w:pPr>
            <w:r w:rsidRPr="001916A9">
              <w:rPr>
                <w:rFonts w:ascii="David" w:hAnsi="David"/>
                <w:color w:val="000000"/>
                <w:szCs w:val="20"/>
                <w:rtl/>
              </w:rPr>
              <w:t>12,017</w:t>
            </w:r>
          </w:p>
        </w:tc>
        <w:tc>
          <w:tcPr>
            <w:tcW w:w="998"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tcPr>
          <w:p w:rsidR="001A346B" w:rsidRPr="001916A9" w:rsidP="001916A9">
            <w:pPr>
              <w:spacing w:line="269" w:lineRule="auto"/>
              <w:jc w:val="left"/>
              <w:rPr>
                <w:rFonts w:ascii="David" w:eastAsia="Times New Roman" w:hAnsi="David"/>
                <w:color w:val="222222"/>
                <w:szCs w:val="20"/>
                <w:rtl/>
              </w:rPr>
            </w:pPr>
            <w:r w:rsidRPr="001916A9">
              <w:rPr>
                <w:rFonts w:ascii="David" w:hAnsi="David"/>
                <w:color w:val="000000"/>
                <w:szCs w:val="20"/>
                <w:rtl/>
              </w:rPr>
              <w:t>9,937</w:t>
            </w:r>
          </w:p>
        </w:tc>
      </w:tr>
      <w:tr w:rsidTr="00902020">
        <w:tblPrEx>
          <w:tblW w:w="9077" w:type="dxa"/>
          <w:jc w:val="center"/>
          <w:shd w:val="clear" w:color="auto" w:fill="FFFFFF" w:themeFill="background1"/>
          <w:tblLayout w:type="fixed"/>
          <w:tblCellMar>
            <w:left w:w="0" w:type="dxa"/>
            <w:right w:w="0" w:type="dxa"/>
          </w:tblCellMar>
          <w:tblLook w:val="04A0"/>
        </w:tblPrEx>
        <w:trPr>
          <w:trHeight w:hRule="exact" w:val="801"/>
          <w:jc w:val="center"/>
        </w:trPr>
        <w:tc>
          <w:tcPr>
            <w:tcW w:w="567" w:type="dxa"/>
            <w:tcBorders>
              <w:top w:val="single" w:sz="12" w:space="0" w:color="EEECE1" w:themeColor="background2"/>
              <w:left w:val="nil"/>
              <w:bottom w:val="single" w:sz="12" w:space="0" w:color="EEECE1" w:themeColor="background2"/>
              <w:right w:val="nil"/>
            </w:tcBorders>
            <w:shd w:val="clear" w:color="auto" w:fill="F0F6FE"/>
          </w:tcPr>
          <w:p w:rsidR="001A346B" w:rsidRPr="00B97E44" w:rsidP="001916A9">
            <w:pPr>
              <w:spacing w:line="269" w:lineRule="auto"/>
              <w:rPr>
                <w:rFonts w:ascii="Tahoma" w:eastAsia="Times New Roman" w:hAnsi="Tahoma" w:cs="Tahoma"/>
                <w:color w:val="A6A6A6" w:themeColor="background1" w:themeShade="A6"/>
                <w:sz w:val="16"/>
                <w:szCs w:val="16"/>
                <w:rtl/>
              </w:rPr>
            </w:pPr>
            <w:r w:rsidRPr="00B97E44">
              <w:rPr>
                <w:noProof/>
              </w:rPr>
              <w:drawing>
                <wp:anchor distT="0" distB="0" distL="114300" distR="114300" simplePos="0" relativeHeight="251665408" behindDoc="0" locked="0" layoutInCell="1" allowOverlap="1">
                  <wp:simplePos x="0" y="0"/>
                  <wp:positionH relativeFrom="column">
                    <wp:posOffset>41910</wp:posOffset>
                  </wp:positionH>
                  <wp:positionV relativeFrom="paragraph">
                    <wp:posOffset>81280</wp:posOffset>
                  </wp:positionV>
                  <wp:extent cx="259080" cy="259080"/>
                  <wp:effectExtent l="0" t="0" r="7620" b="7620"/>
                  <wp:wrapNone/>
                  <wp:docPr id="55" name="תמונה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60"/>
                          <pic:cNvPicPr>
                            <a:picLocks noChangeAspect="1" noChangeArrowheads="1"/>
                          </pic:cNvPicPr>
                        </pic:nvPicPr>
                        <pic:blipFill>
                          <a:blip xmlns:r="http://schemas.openxmlformats.org/officeDocument/2006/relationships" r:embed="rId7" cstate="screen">
                            <a:clrChange>
                              <a:clrFrom>
                                <a:srgbClr val="F4F8FD"/>
                              </a:clrFrom>
                              <a:clrTo>
                                <a:srgbClr val="F4F8FD">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275" w:type="dxa"/>
            <w:tcBorders>
              <w:top w:val="single" w:sz="12" w:space="0" w:color="EEECE1" w:themeColor="background2"/>
              <w:left w:val="nil"/>
              <w:bottom w:val="single" w:sz="12" w:space="0" w:color="EEECE1" w:themeColor="background2"/>
            </w:tcBorders>
            <w:shd w:val="clear" w:color="auto" w:fill="F0F6FE"/>
            <w:tcMar>
              <w:top w:w="0" w:type="dxa"/>
              <w:left w:w="108" w:type="dxa"/>
              <w:bottom w:w="0" w:type="dxa"/>
              <w:right w:w="108" w:type="dxa"/>
            </w:tcMar>
            <w:vAlign w:val="center"/>
            <w:hideMark/>
          </w:tcPr>
          <w:p w:rsidR="001A346B" w:rsidRPr="001916A9" w:rsidP="001916A9">
            <w:pPr>
              <w:spacing w:line="269" w:lineRule="auto"/>
              <w:jc w:val="center"/>
              <w:rPr>
                <w:rFonts w:ascii="David" w:eastAsia="Times New Roman" w:hAnsi="David"/>
                <w:color w:val="808080" w:themeColor="background1" w:themeShade="80"/>
                <w:szCs w:val="20"/>
                <w:rtl/>
              </w:rPr>
            </w:pPr>
            <w:r w:rsidRPr="001916A9">
              <w:rPr>
                <w:rFonts w:ascii="David" w:eastAsia="Times New Roman" w:hAnsi="David"/>
                <w:color w:val="808080" w:themeColor="background1" w:themeShade="80"/>
                <w:szCs w:val="20"/>
                <w:rtl/>
              </w:rPr>
              <w:t xml:space="preserve">האשכול </w:t>
            </w:r>
            <w:r w:rsidRPr="001916A9">
              <w:rPr>
                <w:rFonts w:ascii="David" w:eastAsia="Times New Roman" w:hAnsi="David"/>
                <w:color w:val="808080" w:themeColor="background1" w:themeShade="80"/>
                <w:szCs w:val="20"/>
                <w:rtl/>
              </w:rPr>
              <w:br/>
              <w:t>החברתי-כלכלי</w:t>
            </w:r>
          </w:p>
        </w:tc>
        <w:tc>
          <w:tcPr>
            <w:tcW w:w="851" w:type="dxa"/>
            <w:tcBorders>
              <w:top w:val="single" w:sz="12" w:space="0" w:color="EEECE1" w:themeColor="background2"/>
              <w:bottom w:val="single" w:sz="12" w:space="0" w:color="EEECE1" w:themeColor="background2"/>
            </w:tcBorders>
            <w:shd w:val="clear" w:color="auto" w:fill="FFFFFF" w:themeFill="background1"/>
          </w:tcPr>
          <w:p w:rsidR="001A346B" w:rsidRPr="001916A9" w:rsidP="001916A9">
            <w:pPr>
              <w:spacing w:line="269" w:lineRule="auto"/>
              <w:jc w:val="left"/>
              <w:rPr>
                <w:rFonts w:ascii="David" w:eastAsia="Times New Roman" w:hAnsi="David"/>
                <w:color w:val="222222"/>
                <w:szCs w:val="20"/>
                <w:rtl/>
              </w:rPr>
            </w:pPr>
            <w:r w:rsidRPr="001916A9">
              <w:rPr>
                <w:rFonts w:ascii="David" w:eastAsia="Times New Roman" w:hAnsi="David"/>
                <w:color w:val="222222"/>
                <w:szCs w:val="20"/>
                <w:rtl/>
              </w:rPr>
              <w:t>3</w:t>
            </w:r>
          </w:p>
          <w:p w:rsidR="001A346B" w:rsidRPr="001916A9" w:rsidP="001916A9">
            <w:pPr>
              <w:spacing w:line="269" w:lineRule="auto"/>
              <w:jc w:val="left"/>
              <w:rPr>
                <w:rFonts w:ascii="David" w:eastAsia="Times New Roman" w:hAnsi="David"/>
                <w:color w:val="222222"/>
                <w:szCs w:val="20"/>
                <w:rtl/>
              </w:rPr>
            </w:pPr>
            <w:r w:rsidRPr="001916A9">
              <w:rPr>
                <w:rFonts w:ascii="David" w:eastAsia="Times New Roman" w:hAnsi="David"/>
                <w:color w:val="222222"/>
                <w:szCs w:val="20"/>
                <w:rtl/>
              </w:rPr>
              <w:t>(נמוך)</w:t>
            </w:r>
          </w:p>
        </w:tc>
        <w:tc>
          <w:tcPr>
            <w:tcW w:w="850" w:type="dxa"/>
            <w:tcBorders>
              <w:top w:val="single" w:sz="12" w:space="0" w:color="EEECE1" w:themeColor="background2"/>
              <w:bottom w:val="single" w:sz="12" w:space="0" w:color="EEECE1" w:themeColor="background2"/>
            </w:tcBorders>
            <w:shd w:val="clear" w:color="auto" w:fill="FFFFFF" w:themeFill="background1"/>
          </w:tcPr>
          <w:p w:rsidR="001A346B" w:rsidRPr="001916A9" w:rsidP="001916A9">
            <w:pPr>
              <w:spacing w:line="269" w:lineRule="auto"/>
              <w:jc w:val="left"/>
              <w:rPr>
                <w:rFonts w:ascii="David" w:eastAsia="Times New Roman" w:hAnsi="David"/>
                <w:color w:val="222222"/>
                <w:szCs w:val="20"/>
                <w:rtl/>
              </w:rPr>
            </w:pPr>
            <w:r w:rsidRPr="001916A9">
              <w:rPr>
                <w:rFonts w:ascii="David" w:eastAsia="Times New Roman" w:hAnsi="David"/>
                <w:color w:val="222222"/>
                <w:szCs w:val="20"/>
                <w:rtl/>
              </w:rPr>
              <w:t>3</w:t>
            </w:r>
          </w:p>
          <w:p w:rsidR="001A346B" w:rsidRPr="001916A9" w:rsidP="001916A9">
            <w:pPr>
              <w:spacing w:line="269" w:lineRule="auto"/>
              <w:jc w:val="left"/>
              <w:rPr>
                <w:rFonts w:ascii="David" w:eastAsia="Times New Roman" w:hAnsi="David"/>
                <w:color w:val="222222"/>
                <w:szCs w:val="20"/>
                <w:rtl/>
              </w:rPr>
            </w:pPr>
            <w:r w:rsidRPr="001916A9">
              <w:rPr>
                <w:rFonts w:ascii="David" w:eastAsia="Times New Roman" w:hAnsi="David"/>
                <w:color w:val="222222"/>
                <w:szCs w:val="20"/>
                <w:rtl/>
              </w:rPr>
              <w:t>(נמוך)</w:t>
            </w:r>
          </w:p>
        </w:tc>
        <w:tc>
          <w:tcPr>
            <w:tcW w:w="851" w:type="dxa"/>
            <w:tcBorders>
              <w:top w:val="single" w:sz="12" w:space="0" w:color="EEECE1" w:themeColor="background2"/>
              <w:bottom w:val="single" w:sz="12" w:space="0" w:color="EEECE1" w:themeColor="background2"/>
            </w:tcBorders>
            <w:shd w:val="clear" w:color="auto" w:fill="FFFFFF" w:themeFill="background1"/>
          </w:tcPr>
          <w:p w:rsidR="001A346B" w:rsidRPr="001916A9" w:rsidP="001916A9">
            <w:pPr>
              <w:spacing w:line="269" w:lineRule="auto"/>
              <w:jc w:val="left"/>
              <w:rPr>
                <w:rFonts w:ascii="David" w:eastAsia="Times New Roman" w:hAnsi="David"/>
                <w:color w:val="222222"/>
                <w:szCs w:val="20"/>
                <w:rtl/>
              </w:rPr>
            </w:pPr>
            <w:r w:rsidRPr="001916A9">
              <w:rPr>
                <w:rFonts w:ascii="David" w:eastAsia="Times New Roman" w:hAnsi="David"/>
                <w:color w:val="222222"/>
                <w:szCs w:val="20"/>
                <w:rtl/>
              </w:rPr>
              <w:t>5</w:t>
            </w:r>
          </w:p>
          <w:p w:rsidR="001A346B" w:rsidRPr="001916A9" w:rsidP="001916A9">
            <w:pPr>
              <w:spacing w:line="269" w:lineRule="auto"/>
              <w:jc w:val="left"/>
              <w:rPr>
                <w:rFonts w:ascii="David" w:eastAsia="Times New Roman" w:hAnsi="David"/>
                <w:color w:val="222222"/>
                <w:szCs w:val="20"/>
                <w:rtl/>
              </w:rPr>
            </w:pPr>
            <w:r w:rsidRPr="001916A9">
              <w:rPr>
                <w:rFonts w:ascii="David" w:eastAsia="Times New Roman" w:hAnsi="David"/>
                <w:color w:val="222222"/>
                <w:szCs w:val="20"/>
                <w:rtl/>
              </w:rPr>
              <w:t>(בינוני)</w:t>
            </w:r>
          </w:p>
        </w:tc>
        <w:tc>
          <w:tcPr>
            <w:tcW w:w="992"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tcPr>
          <w:p w:rsidR="001A346B" w:rsidRPr="001916A9" w:rsidP="001916A9">
            <w:pPr>
              <w:spacing w:line="269" w:lineRule="auto"/>
              <w:jc w:val="left"/>
              <w:rPr>
                <w:rFonts w:ascii="David" w:eastAsia="Times New Roman" w:hAnsi="David"/>
                <w:color w:val="222222"/>
                <w:szCs w:val="20"/>
              </w:rPr>
            </w:pPr>
            <w:r w:rsidRPr="001916A9">
              <w:rPr>
                <w:rFonts w:ascii="David" w:eastAsia="Times New Roman" w:hAnsi="David"/>
                <w:color w:val="222222"/>
                <w:szCs w:val="20"/>
                <w:rtl/>
              </w:rPr>
              <w:t>6</w:t>
            </w:r>
          </w:p>
          <w:p w:rsidR="001A346B" w:rsidRPr="001916A9" w:rsidP="001916A9">
            <w:pPr>
              <w:spacing w:line="269" w:lineRule="auto"/>
              <w:jc w:val="left"/>
              <w:rPr>
                <w:rFonts w:ascii="David" w:eastAsia="Times New Roman" w:hAnsi="David"/>
                <w:color w:val="222222"/>
                <w:szCs w:val="20"/>
                <w:rtl/>
              </w:rPr>
            </w:pPr>
            <w:r w:rsidRPr="001916A9">
              <w:rPr>
                <w:rFonts w:ascii="David" w:eastAsia="Times New Roman" w:hAnsi="David"/>
                <w:color w:val="222222"/>
                <w:szCs w:val="20"/>
                <w:rtl/>
              </w:rPr>
              <w:t>(בינוני)</w:t>
            </w:r>
          </w:p>
        </w:tc>
        <w:tc>
          <w:tcPr>
            <w:tcW w:w="851"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tcPr>
          <w:p w:rsidR="001A346B" w:rsidRPr="001916A9" w:rsidP="001916A9">
            <w:pPr>
              <w:spacing w:line="269" w:lineRule="auto"/>
              <w:jc w:val="left"/>
              <w:rPr>
                <w:rFonts w:ascii="David" w:eastAsia="Times New Roman" w:hAnsi="David"/>
                <w:color w:val="222222"/>
                <w:szCs w:val="20"/>
              </w:rPr>
            </w:pPr>
            <w:r w:rsidRPr="001916A9">
              <w:rPr>
                <w:rFonts w:ascii="David" w:eastAsia="Times New Roman" w:hAnsi="David"/>
                <w:color w:val="222222"/>
                <w:szCs w:val="20"/>
                <w:rtl/>
              </w:rPr>
              <w:t xml:space="preserve">7 </w:t>
            </w:r>
          </w:p>
          <w:p w:rsidR="001A346B" w:rsidRPr="001916A9" w:rsidP="001916A9">
            <w:pPr>
              <w:spacing w:line="269" w:lineRule="auto"/>
              <w:jc w:val="left"/>
              <w:rPr>
                <w:rFonts w:ascii="David" w:eastAsia="Times New Roman" w:hAnsi="David"/>
                <w:color w:val="222222"/>
                <w:szCs w:val="20"/>
                <w:rtl/>
              </w:rPr>
            </w:pPr>
            <w:r w:rsidRPr="001916A9">
              <w:rPr>
                <w:rFonts w:ascii="David" w:eastAsia="Times New Roman" w:hAnsi="David"/>
                <w:color w:val="222222"/>
                <w:szCs w:val="20"/>
                <w:rtl/>
              </w:rPr>
              <w:t>(בינוני)</w:t>
            </w:r>
          </w:p>
        </w:tc>
        <w:tc>
          <w:tcPr>
            <w:tcW w:w="850" w:type="dxa"/>
            <w:tcBorders>
              <w:top w:val="single" w:sz="12" w:space="0" w:color="EEECE1" w:themeColor="background2"/>
              <w:bottom w:val="single" w:sz="12" w:space="0" w:color="EEECE1" w:themeColor="background2"/>
            </w:tcBorders>
            <w:shd w:val="clear" w:color="auto" w:fill="FFFFFF" w:themeFill="background1"/>
          </w:tcPr>
          <w:p w:rsidR="001A346B" w:rsidRPr="001916A9" w:rsidP="001916A9">
            <w:pPr>
              <w:spacing w:line="269" w:lineRule="auto"/>
              <w:jc w:val="left"/>
              <w:rPr>
                <w:rFonts w:ascii="David" w:eastAsia="Times New Roman" w:hAnsi="David"/>
                <w:color w:val="222222"/>
                <w:szCs w:val="20"/>
                <w:rtl/>
              </w:rPr>
            </w:pPr>
            <w:r w:rsidRPr="001916A9">
              <w:rPr>
                <w:rFonts w:ascii="David" w:eastAsia="Times New Roman" w:hAnsi="David"/>
                <w:color w:val="222222"/>
                <w:szCs w:val="20"/>
                <w:rtl/>
              </w:rPr>
              <w:t>6</w:t>
            </w:r>
          </w:p>
          <w:p w:rsidR="001A346B" w:rsidRPr="001916A9" w:rsidP="001916A9">
            <w:pPr>
              <w:spacing w:line="269" w:lineRule="auto"/>
              <w:jc w:val="left"/>
              <w:rPr>
                <w:rFonts w:ascii="David" w:eastAsia="Times New Roman" w:hAnsi="David"/>
                <w:color w:val="222222"/>
                <w:szCs w:val="20"/>
                <w:rtl/>
              </w:rPr>
            </w:pPr>
            <w:r w:rsidRPr="001916A9">
              <w:rPr>
                <w:rFonts w:ascii="David" w:eastAsia="Times New Roman" w:hAnsi="David"/>
                <w:color w:val="222222"/>
                <w:szCs w:val="20"/>
                <w:rtl/>
              </w:rPr>
              <w:t>(בינוני)</w:t>
            </w:r>
          </w:p>
        </w:tc>
        <w:tc>
          <w:tcPr>
            <w:tcW w:w="992"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tcPr>
          <w:p w:rsidR="001A346B" w:rsidRPr="001916A9" w:rsidP="001916A9">
            <w:pPr>
              <w:spacing w:line="269" w:lineRule="auto"/>
              <w:jc w:val="left"/>
              <w:rPr>
                <w:rFonts w:ascii="David" w:eastAsia="Times New Roman" w:hAnsi="David"/>
                <w:color w:val="222222"/>
                <w:szCs w:val="20"/>
              </w:rPr>
            </w:pPr>
            <w:r w:rsidRPr="001916A9">
              <w:rPr>
                <w:rFonts w:ascii="David" w:eastAsia="Times New Roman" w:hAnsi="David"/>
                <w:color w:val="222222"/>
                <w:szCs w:val="20"/>
                <w:rtl/>
              </w:rPr>
              <w:t xml:space="preserve">6 </w:t>
            </w:r>
          </w:p>
          <w:p w:rsidR="001A346B" w:rsidRPr="001916A9" w:rsidP="001916A9">
            <w:pPr>
              <w:spacing w:line="269" w:lineRule="auto"/>
              <w:jc w:val="left"/>
              <w:rPr>
                <w:rFonts w:ascii="David" w:eastAsia="Times New Roman" w:hAnsi="David"/>
                <w:color w:val="222222"/>
                <w:szCs w:val="20"/>
                <w:rtl/>
              </w:rPr>
            </w:pPr>
            <w:r w:rsidRPr="001916A9">
              <w:rPr>
                <w:rFonts w:ascii="David" w:eastAsia="Times New Roman" w:hAnsi="David"/>
                <w:color w:val="222222"/>
                <w:szCs w:val="20"/>
                <w:rtl/>
              </w:rPr>
              <w:t>(בינוני)</w:t>
            </w:r>
          </w:p>
        </w:tc>
        <w:tc>
          <w:tcPr>
            <w:tcW w:w="998"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tcPr>
          <w:p w:rsidR="001A346B" w:rsidRPr="001916A9" w:rsidP="001916A9">
            <w:pPr>
              <w:spacing w:line="269" w:lineRule="auto"/>
              <w:jc w:val="left"/>
              <w:rPr>
                <w:rFonts w:ascii="David" w:eastAsia="Times New Roman" w:hAnsi="David"/>
                <w:color w:val="222222"/>
                <w:szCs w:val="20"/>
              </w:rPr>
            </w:pPr>
            <w:r w:rsidRPr="001916A9">
              <w:rPr>
                <w:rFonts w:ascii="David" w:eastAsia="Times New Roman" w:hAnsi="David"/>
                <w:color w:val="222222"/>
                <w:szCs w:val="20"/>
                <w:rtl/>
              </w:rPr>
              <w:t xml:space="preserve">7 </w:t>
            </w:r>
          </w:p>
          <w:p w:rsidR="001A346B" w:rsidRPr="001916A9" w:rsidP="001916A9">
            <w:pPr>
              <w:spacing w:line="269" w:lineRule="auto"/>
              <w:jc w:val="left"/>
              <w:rPr>
                <w:rFonts w:ascii="David" w:eastAsia="Times New Roman" w:hAnsi="David"/>
                <w:color w:val="222222"/>
                <w:szCs w:val="20"/>
                <w:rtl/>
              </w:rPr>
            </w:pPr>
            <w:r w:rsidRPr="001916A9">
              <w:rPr>
                <w:rFonts w:ascii="David" w:eastAsia="Times New Roman" w:hAnsi="David"/>
                <w:color w:val="222222"/>
                <w:szCs w:val="20"/>
                <w:rtl/>
              </w:rPr>
              <w:t>(בינוני)</w:t>
            </w:r>
          </w:p>
        </w:tc>
      </w:tr>
      <w:tr w:rsidTr="00902020">
        <w:tblPrEx>
          <w:tblW w:w="9077" w:type="dxa"/>
          <w:jc w:val="center"/>
          <w:shd w:val="clear" w:color="auto" w:fill="FFFFFF" w:themeFill="background1"/>
          <w:tblLayout w:type="fixed"/>
          <w:tblCellMar>
            <w:left w:w="0" w:type="dxa"/>
            <w:right w:w="0" w:type="dxa"/>
          </w:tblCellMar>
          <w:tblLook w:val="04A0"/>
        </w:tblPrEx>
        <w:trPr>
          <w:trHeight w:hRule="exact" w:val="891"/>
          <w:jc w:val="center"/>
        </w:trPr>
        <w:tc>
          <w:tcPr>
            <w:tcW w:w="567" w:type="dxa"/>
            <w:tcBorders>
              <w:top w:val="single" w:sz="12" w:space="0" w:color="EEECE1" w:themeColor="background2"/>
              <w:left w:val="nil"/>
              <w:bottom w:val="single" w:sz="12" w:space="0" w:color="EEECE1" w:themeColor="background2"/>
              <w:right w:val="nil"/>
            </w:tcBorders>
            <w:shd w:val="clear" w:color="auto" w:fill="F0F6FE"/>
          </w:tcPr>
          <w:p w:rsidR="001A346B" w:rsidRPr="00B97E44" w:rsidP="001916A9">
            <w:pPr>
              <w:spacing w:line="269" w:lineRule="auto"/>
              <w:rPr>
                <w:rFonts w:ascii="Tahoma" w:eastAsia="Times New Roman" w:hAnsi="Tahoma" w:cs="Tahoma"/>
                <w:color w:val="A6A6A6" w:themeColor="background1" w:themeShade="A6"/>
                <w:sz w:val="16"/>
                <w:szCs w:val="16"/>
              </w:rPr>
            </w:pPr>
            <w:r w:rsidRPr="00B97E44">
              <w:rPr>
                <w:noProof/>
              </w:rPr>
              <w:drawing>
                <wp:anchor distT="0" distB="0" distL="114300" distR="114300" simplePos="0" relativeHeight="251661312" behindDoc="0" locked="0" layoutInCell="1" allowOverlap="1">
                  <wp:simplePos x="0" y="0"/>
                  <wp:positionH relativeFrom="column">
                    <wp:posOffset>38100</wp:posOffset>
                  </wp:positionH>
                  <wp:positionV relativeFrom="paragraph">
                    <wp:posOffset>85090</wp:posOffset>
                  </wp:positionV>
                  <wp:extent cx="259080" cy="259080"/>
                  <wp:effectExtent l="0" t="0" r="7620" b="7620"/>
                  <wp:wrapNone/>
                  <wp:docPr id="56" name="תמונה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65"/>
                          <pic:cNvPicPr>
                            <a:picLocks noChangeAspect="1" noChangeArrowheads="1"/>
                          </pic:cNvPicPr>
                        </pic:nvPicPr>
                        <pic:blipFill>
                          <a:blip xmlns:r="http://schemas.openxmlformats.org/officeDocument/2006/relationships" r:embed="rId8" cstate="screen">
                            <a:clrChange>
                              <a:clrFrom>
                                <a:srgbClr val="F4F8FD"/>
                              </a:clrFrom>
                              <a:clrTo>
                                <a:srgbClr val="F4F8FD">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75" w:type="dxa"/>
            <w:tcBorders>
              <w:top w:val="single" w:sz="12" w:space="0" w:color="EEECE1" w:themeColor="background2"/>
              <w:left w:val="nil"/>
              <w:bottom w:val="single" w:sz="12" w:space="0" w:color="EEECE1" w:themeColor="background2"/>
            </w:tcBorders>
            <w:shd w:val="clear" w:color="auto" w:fill="F0F6FE"/>
            <w:tcMar>
              <w:top w:w="0" w:type="dxa"/>
              <w:left w:w="108" w:type="dxa"/>
              <w:bottom w:w="0" w:type="dxa"/>
              <w:right w:w="108" w:type="dxa"/>
            </w:tcMar>
            <w:vAlign w:val="center"/>
            <w:hideMark/>
          </w:tcPr>
          <w:p w:rsidR="001A346B" w:rsidRPr="001916A9" w:rsidP="001916A9">
            <w:pPr>
              <w:spacing w:line="269" w:lineRule="auto"/>
              <w:jc w:val="center"/>
              <w:rPr>
                <w:rFonts w:ascii="David" w:eastAsia="Times New Roman" w:hAnsi="David"/>
                <w:color w:val="808080" w:themeColor="background1" w:themeShade="80"/>
                <w:szCs w:val="20"/>
                <w:rtl/>
              </w:rPr>
            </w:pPr>
            <w:r w:rsidRPr="001916A9">
              <w:rPr>
                <w:rFonts w:ascii="David" w:eastAsia="Times New Roman" w:hAnsi="David"/>
                <w:color w:val="808080" w:themeColor="background1" w:themeShade="80"/>
                <w:szCs w:val="20"/>
                <w:rtl/>
              </w:rPr>
              <w:t xml:space="preserve">אשכול </w:t>
            </w:r>
            <w:r w:rsidRPr="001916A9">
              <w:rPr>
                <w:rFonts w:ascii="David" w:eastAsia="Times New Roman" w:hAnsi="David"/>
                <w:color w:val="808080" w:themeColor="background1" w:themeShade="80"/>
                <w:szCs w:val="20"/>
                <w:rtl/>
              </w:rPr>
              <w:br/>
              <w:t>הפריפריאליות</w:t>
            </w:r>
          </w:p>
        </w:tc>
        <w:tc>
          <w:tcPr>
            <w:tcW w:w="851" w:type="dxa"/>
            <w:tcBorders>
              <w:top w:val="single" w:sz="12" w:space="0" w:color="EEECE1" w:themeColor="background2"/>
              <w:bottom w:val="single" w:sz="12" w:space="0" w:color="EEECE1" w:themeColor="background2"/>
            </w:tcBorders>
            <w:shd w:val="clear" w:color="auto" w:fill="FFFFFF" w:themeFill="background1"/>
          </w:tcPr>
          <w:p w:rsidR="001A346B" w:rsidRPr="001916A9" w:rsidP="001916A9">
            <w:pPr>
              <w:spacing w:line="269" w:lineRule="auto"/>
              <w:jc w:val="left"/>
              <w:rPr>
                <w:rFonts w:ascii="David" w:eastAsia="Times New Roman" w:hAnsi="David"/>
                <w:color w:val="222222"/>
                <w:szCs w:val="20"/>
              </w:rPr>
            </w:pPr>
            <w:r w:rsidRPr="001916A9">
              <w:rPr>
                <w:rFonts w:ascii="David" w:eastAsia="Times New Roman" w:hAnsi="David"/>
                <w:color w:val="222222"/>
                <w:szCs w:val="20"/>
                <w:rtl/>
              </w:rPr>
              <w:t>3</w:t>
            </w:r>
          </w:p>
          <w:p w:rsidR="001A346B" w:rsidRPr="001916A9" w:rsidP="001916A9">
            <w:pPr>
              <w:spacing w:line="269" w:lineRule="auto"/>
              <w:jc w:val="left"/>
              <w:rPr>
                <w:rFonts w:ascii="David" w:eastAsia="Times New Roman" w:hAnsi="David"/>
                <w:color w:val="222222"/>
                <w:szCs w:val="20"/>
                <w:rtl/>
              </w:rPr>
            </w:pPr>
            <w:r w:rsidRPr="00902020">
              <w:rPr>
                <w:rFonts w:ascii="David" w:eastAsia="Times New Roman" w:hAnsi="David"/>
                <w:color w:val="222222"/>
                <w:sz w:val="18"/>
                <w:szCs w:val="18"/>
                <w:rtl/>
              </w:rPr>
              <w:t>(פריפריאלי)</w:t>
            </w:r>
          </w:p>
        </w:tc>
        <w:tc>
          <w:tcPr>
            <w:tcW w:w="850" w:type="dxa"/>
            <w:tcBorders>
              <w:top w:val="single" w:sz="12" w:space="0" w:color="EEECE1" w:themeColor="background2"/>
              <w:bottom w:val="single" w:sz="12" w:space="0" w:color="EEECE1" w:themeColor="background2"/>
            </w:tcBorders>
            <w:shd w:val="clear" w:color="auto" w:fill="FFFFFF" w:themeFill="background1"/>
          </w:tcPr>
          <w:p w:rsidR="001A346B" w:rsidRPr="001916A9" w:rsidP="001916A9">
            <w:pPr>
              <w:spacing w:line="269" w:lineRule="auto"/>
              <w:jc w:val="left"/>
              <w:rPr>
                <w:rFonts w:ascii="David" w:eastAsia="Times New Roman" w:hAnsi="David"/>
                <w:color w:val="222222"/>
                <w:szCs w:val="20"/>
              </w:rPr>
            </w:pPr>
            <w:r w:rsidRPr="001916A9">
              <w:rPr>
                <w:rFonts w:ascii="David" w:eastAsia="Times New Roman" w:hAnsi="David"/>
                <w:color w:val="222222"/>
                <w:szCs w:val="20"/>
                <w:rtl/>
              </w:rPr>
              <w:t>4</w:t>
            </w:r>
          </w:p>
          <w:p w:rsidR="001A346B" w:rsidRPr="001916A9" w:rsidP="001916A9">
            <w:pPr>
              <w:spacing w:line="269" w:lineRule="auto"/>
              <w:jc w:val="left"/>
              <w:rPr>
                <w:rFonts w:ascii="David" w:eastAsia="Times New Roman" w:hAnsi="David"/>
                <w:color w:val="222222"/>
                <w:szCs w:val="20"/>
                <w:rtl/>
              </w:rPr>
            </w:pPr>
            <w:r w:rsidRPr="00902020">
              <w:rPr>
                <w:rFonts w:ascii="David" w:eastAsia="Times New Roman" w:hAnsi="David"/>
                <w:color w:val="222222"/>
                <w:sz w:val="18"/>
                <w:szCs w:val="18"/>
                <w:rtl/>
              </w:rPr>
              <w:t>(פריפריאלי)</w:t>
            </w:r>
          </w:p>
        </w:tc>
        <w:tc>
          <w:tcPr>
            <w:tcW w:w="851" w:type="dxa"/>
            <w:tcBorders>
              <w:top w:val="single" w:sz="12" w:space="0" w:color="EEECE1" w:themeColor="background2"/>
              <w:bottom w:val="single" w:sz="12" w:space="0" w:color="EEECE1" w:themeColor="background2"/>
            </w:tcBorders>
            <w:shd w:val="clear" w:color="auto" w:fill="FFFFFF" w:themeFill="background1"/>
          </w:tcPr>
          <w:p w:rsidR="001A346B" w:rsidRPr="001916A9" w:rsidP="001916A9">
            <w:pPr>
              <w:spacing w:line="269" w:lineRule="auto"/>
              <w:jc w:val="left"/>
              <w:rPr>
                <w:rFonts w:ascii="David" w:eastAsia="Times New Roman" w:hAnsi="David"/>
                <w:color w:val="222222"/>
                <w:szCs w:val="20"/>
              </w:rPr>
            </w:pPr>
            <w:r w:rsidRPr="001916A9">
              <w:rPr>
                <w:rFonts w:ascii="David" w:eastAsia="Times New Roman" w:hAnsi="David"/>
                <w:color w:val="222222"/>
                <w:szCs w:val="20"/>
                <w:rtl/>
              </w:rPr>
              <w:t>4</w:t>
            </w:r>
          </w:p>
          <w:p w:rsidR="001A346B" w:rsidRPr="001916A9" w:rsidP="001916A9">
            <w:pPr>
              <w:spacing w:line="269" w:lineRule="auto"/>
              <w:jc w:val="left"/>
              <w:rPr>
                <w:rFonts w:ascii="David" w:eastAsia="Times New Roman" w:hAnsi="David"/>
                <w:color w:val="222222"/>
                <w:szCs w:val="20"/>
                <w:rtl/>
              </w:rPr>
            </w:pPr>
            <w:r w:rsidRPr="00902020">
              <w:rPr>
                <w:rFonts w:ascii="David" w:eastAsia="Times New Roman" w:hAnsi="David"/>
                <w:color w:val="222222"/>
                <w:sz w:val="18"/>
                <w:szCs w:val="18"/>
                <w:rtl/>
              </w:rPr>
              <w:t>(פריפריאלי - בינוני)</w:t>
            </w:r>
          </w:p>
        </w:tc>
        <w:tc>
          <w:tcPr>
            <w:tcW w:w="992"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tcPr>
          <w:p w:rsidR="001A346B" w:rsidRPr="001916A9" w:rsidP="001916A9">
            <w:pPr>
              <w:spacing w:line="269" w:lineRule="auto"/>
              <w:jc w:val="left"/>
              <w:rPr>
                <w:rFonts w:ascii="David" w:eastAsia="Times New Roman" w:hAnsi="David"/>
                <w:color w:val="222222"/>
                <w:szCs w:val="20"/>
              </w:rPr>
            </w:pPr>
            <w:r w:rsidRPr="001916A9">
              <w:rPr>
                <w:rFonts w:ascii="David" w:eastAsia="Times New Roman" w:hAnsi="David"/>
                <w:color w:val="222222"/>
                <w:szCs w:val="20"/>
                <w:rtl/>
              </w:rPr>
              <w:t>2</w:t>
            </w:r>
          </w:p>
          <w:p w:rsidR="001A346B" w:rsidRPr="001916A9" w:rsidP="001916A9">
            <w:pPr>
              <w:spacing w:line="269" w:lineRule="auto"/>
              <w:jc w:val="left"/>
              <w:rPr>
                <w:rFonts w:ascii="David" w:eastAsia="Times New Roman" w:hAnsi="David"/>
                <w:color w:val="222222"/>
                <w:szCs w:val="20"/>
                <w:rtl/>
              </w:rPr>
            </w:pPr>
            <w:r w:rsidRPr="00902020">
              <w:rPr>
                <w:rFonts w:ascii="David" w:eastAsia="Times New Roman" w:hAnsi="David"/>
                <w:color w:val="222222"/>
                <w:sz w:val="18"/>
                <w:szCs w:val="18"/>
                <w:rtl/>
              </w:rPr>
              <w:t>(פריפריאלי)</w:t>
            </w:r>
          </w:p>
        </w:tc>
        <w:tc>
          <w:tcPr>
            <w:tcW w:w="851"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tcPr>
          <w:p w:rsidR="001A346B" w:rsidRPr="001916A9" w:rsidP="001916A9">
            <w:pPr>
              <w:spacing w:line="269" w:lineRule="auto"/>
              <w:jc w:val="left"/>
              <w:rPr>
                <w:rFonts w:ascii="David" w:eastAsia="Times New Roman" w:hAnsi="David"/>
                <w:color w:val="222222"/>
                <w:szCs w:val="20"/>
              </w:rPr>
            </w:pPr>
            <w:r w:rsidRPr="001916A9">
              <w:rPr>
                <w:rFonts w:ascii="David" w:eastAsia="Times New Roman" w:hAnsi="David"/>
                <w:color w:val="222222"/>
                <w:szCs w:val="20"/>
                <w:rtl/>
              </w:rPr>
              <w:t xml:space="preserve">5 </w:t>
            </w:r>
          </w:p>
          <w:p w:rsidR="001A346B" w:rsidRPr="001916A9" w:rsidP="001916A9">
            <w:pPr>
              <w:spacing w:line="269" w:lineRule="auto"/>
              <w:jc w:val="left"/>
              <w:rPr>
                <w:rFonts w:ascii="David" w:eastAsia="Times New Roman" w:hAnsi="David"/>
                <w:color w:val="222222"/>
                <w:szCs w:val="20"/>
                <w:rtl/>
              </w:rPr>
            </w:pPr>
            <w:r w:rsidRPr="00902020">
              <w:rPr>
                <w:rFonts w:ascii="David" w:eastAsia="Times New Roman" w:hAnsi="David"/>
                <w:color w:val="222222"/>
                <w:sz w:val="18"/>
                <w:szCs w:val="18"/>
                <w:rtl/>
              </w:rPr>
              <w:t>(בינוני)</w:t>
            </w:r>
          </w:p>
        </w:tc>
        <w:tc>
          <w:tcPr>
            <w:tcW w:w="850" w:type="dxa"/>
            <w:tcBorders>
              <w:top w:val="single" w:sz="12" w:space="0" w:color="EEECE1" w:themeColor="background2"/>
              <w:bottom w:val="single" w:sz="12" w:space="0" w:color="EEECE1" w:themeColor="background2"/>
            </w:tcBorders>
            <w:shd w:val="clear" w:color="auto" w:fill="FFFFFF" w:themeFill="background1"/>
          </w:tcPr>
          <w:p w:rsidR="001A346B" w:rsidRPr="001916A9" w:rsidP="001916A9">
            <w:pPr>
              <w:spacing w:line="269" w:lineRule="auto"/>
              <w:jc w:val="left"/>
              <w:rPr>
                <w:rFonts w:ascii="David" w:eastAsia="Times New Roman" w:hAnsi="David"/>
                <w:color w:val="222222"/>
                <w:szCs w:val="20"/>
              </w:rPr>
            </w:pPr>
            <w:r w:rsidRPr="001916A9">
              <w:rPr>
                <w:rFonts w:ascii="David" w:eastAsia="Times New Roman" w:hAnsi="David"/>
                <w:color w:val="222222"/>
                <w:szCs w:val="20"/>
                <w:rtl/>
              </w:rPr>
              <w:t xml:space="preserve">3 </w:t>
            </w:r>
          </w:p>
          <w:p w:rsidR="001A346B" w:rsidRPr="001916A9" w:rsidP="001916A9">
            <w:pPr>
              <w:spacing w:line="269" w:lineRule="auto"/>
              <w:jc w:val="left"/>
              <w:rPr>
                <w:rFonts w:ascii="David" w:eastAsia="Times New Roman" w:hAnsi="David"/>
                <w:color w:val="222222"/>
                <w:szCs w:val="20"/>
                <w:rtl/>
              </w:rPr>
            </w:pPr>
            <w:r w:rsidRPr="00902020">
              <w:rPr>
                <w:rFonts w:ascii="David" w:eastAsia="Times New Roman" w:hAnsi="David"/>
                <w:color w:val="222222"/>
                <w:sz w:val="18"/>
                <w:szCs w:val="18"/>
                <w:rtl/>
              </w:rPr>
              <w:t>(פריפריאלי)</w:t>
            </w:r>
          </w:p>
        </w:tc>
        <w:tc>
          <w:tcPr>
            <w:tcW w:w="992"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tcPr>
          <w:p w:rsidR="001A346B" w:rsidRPr="001916A9" w:rsidP="001916A9">
            <w:pPr>
              <w:spacing w:line="269" w:lineRule="auto"/>
              <w:jc w:val="left"/>
              <w:rPr>
                <w:rFonts w:ascii="David" w:eastAsia="Times New Roman" w:hAnsi="David"/>
                <w:color w:val="222222"/>
                <w:szCs w:val="20"/>
              </w:rPr>
            </w:pPr>
            <w:r w:rsidRPr="001916A9">
              <w:rPr>
                <w:rFonts w:ascii="David" w:eastAsia="Times New Roman" w:hAnsi="David"/>
                <w:color w:val="222222"/>
                <w:szCs w:val="20"/>
                <w:rtl/>
              </w:rPr>
              <w:t xml:space="preserve">3 </w:t>
            </w:r>
          </w:p>
          <w:p w:rsidR="001A346B" w:rsidRPr="001916A9" w:rsidP="001916A9">
            <w:pPr>
              <w:spacing w:line="269" w:lineRule="auto"/>
              <w:jc w:val="left"/>
              <w:rPr>
                <w:rFonts w:ascii="David" w:eastAsia="Times New Roman" w:hAnsi="David"/>
                <w:color w:val="222222"/>
                <w:szCs w:val="20"/>
                <w:rtl/>
              </w:rPr>
            </w:pPr>
            <w:r w:rsidRPr="00902020">
              <w:rPr>
                <w:rFonts w:ascii="David" w:eastAsia="Times New Roman" w:hAnsi="David"/>
                <w:color w:val="222222"/>
                <w:sz w:val="18"/>
                <w:szCs w:val="18"/>
                <w:rtl/>
              </w:rPr>
              <w:t>(פריפריאל</w:t>
            </w:r>
            <w:r w:rsidRPr="00902020">
              <w:rPr>
                <w:rFonts w:ascii="David" w:eastAsia="Times New Roman" w:hAnsi="David" w:hint="cs"/>
                <w:color w:val="222222"/>
                <w:sz w:val="18"/>
                <w:szCs w:val="18"/>
                <w:rtl/>
              </w:rPr>
              <w:t>י</w:t>
            </w:r>
            <w:r w:rsidRPr="00902020">
              <w:rPr>
                <w:rFonts w:ascii="David" w:eastAsia="Times New Roman" w:hAnsi="David"/>
                <w:color w:val="222222"/>
                <w:sz w:val="18"/>
                <w:szCs w:val="18"/>
                <w:rtl/>
              </w:rPr>
              <w:t>)</w:t>
            </w:r>
          </w:p>
        </w:tc>
        <w:tc>
          <w:tcPr>
            <w:tcW w:w="998"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tcPr>
          <w:p w:rsidR="001A346B" w:rsidRPr="001916A9" w:rsidP="001916A9">
            <w:pPr>
              <w:spacing w:line="269" w:lineRule="auto"/>
              <w:jc w:val="left"/>
              <w:rPr>
                <w:rFonts w:ascii="David" w:eastAsia="Times New Roman" w:hAnsi="David"/>
                <w:color w:val="222222"/>
                <w:szCs w:val="20"/>
              </w:rPr>
            </w:pPr>
            <w:r w:rsidRPr="001916A9">
              <w:rPr>
                <w:rFonts w:ascii="David" w:eastAsia="Times New Roman" w:hAnsi="David"/>
                <w:color w:val="222222"/>
                <w:szCs w:val="20"/>
                <w:rtl/>
              </w:rPr>
              <w:t xml:space="preserve">4 </w:t>
            </w:r>
          </w:p>
          <w:p w:rsidR="001A346B" w:rsidRPr="00902020" w:rsidP="001916A9">
            <w:pPr>
              <w:spacing w:line="269" w:lineRule="auto"/>
              <w:jc w:val="left"/>
              <w:rPr>
                <w:rFonts w:ascii="David" w:eastAsia="Times New Roman" w:hAnsi="David"/>
                <w:color w:val="222222"/>
                <w:sz w:val="18"/>
                <w:szCs w:val="18"/>
                <w:rtl/>
              </w:rPr>
            </w:pPr>
            <w:r w:rsidRPr="00902020">
              <w:rPr>
                <w:rFonts w:ascii="David" w:eastAsia="Times New Roman" w:hAnsi="David"/>
                <w:color w:val="222222"/>
                <w:sz w:val="18"/>
                <w:szCs w:val="18"/>
                <w:rtl/>
              </w:rPr>
              <w:t>(פריפריאלי - בינוני)</w:t>
            </w:r>
          </w:p>
          <w:p w:rsidR="001A346B" w:rsidRPr="001916A9" w:rsidP="001916A9">
            <w:pPr>
              <w:spacing w:line="269" w:lineRule="auto"/>
              <w:jc w:val="left"/>
              <w:rPr>
                <w:rFonts w:ascii="David" w:eastAsia="Times New Roman" w:hAnsi="David"/>
                <w:color w:val="222222"/>
                <w:szCs w:val="20"/>
                <w:rtl/>
              </w:rPr>
            </w:pPr>
          </w:p>
        </w:tc>
      </w:tr>
      <w:tr w:rsidTr="00902020">
        <w:tblPrEx>
          <w:tblW w:w="9077" w:type="dxa"/>
          <w:jc w:val="center"/>
          <w:shd w:val="clear" w:color="auto" w:fill="FFFFFF" w:themeFill="background1"/>
          <w:tblLayout w:type="fixed"/>
          <w:tblCellMar>
            <w:left w:w="0" w:type="dxa"/>
            <w:right w:w="0" w:type="dxa"/>
          </w:tblCellMar>
          <w:tblLook w:val="04A0"/>
        </w:tblPrEx>
        <w:trPr>
          <w:trHeight w:hRule="exact" w:val="779"/>
          <w:jc w:val="center"/>
        </w:trPr>
        <w:tc>
          <w:tcPr>
            <w:tcW w:w="567" w:type="dxa"/>
            <w:tcBorders>
              <w:top w:val="single" w:sz="12" w:space="0" w:color="EEECE1" w:themeColor="background2"/>
              <w:left w:val="nil"/>
              <w:bottom w:val="single" w:sz="12" w:space="0" w:color="EEECE1" w:themeColor="background2"/>
              <w:right w:val="nil"/>
            </w:tcBorders>
            <w:shd w:val="clear" w:color="auto" w:fill="F0F6FE"/>
          </w:tcPr>
          <w:p w:rsidR="001A346B" w:rsidRPr="00B97E44" w:rsidP="001916A9">
            <w:pPr>
              <w:spacing w:line="269" w:lineRule="auto"/>
              <w:rPr>
                <w:rFonts w:ascii="Tahoma" w:eastAsia="Times New Roman" w:hAnsi="Tahoma" w:cs="Tahoma"/>
                <w:color w:val="A6A6A6" w:themeColor="background1" w:themeShade="A6"/>
                <w:sz w:val="16"/>
                <w:szCs w:val="16"/>
                <w:rtl/>
              </w:rPr>
            </w:pPr>
            <w:r w:rsidRPr="00B97E44">
              <w:rPr>
                <w:noProof/>
              </w:rPr>
              <w:drawing>
                <wp:anchor distT="0" distB="0" distL="114300" distR="114300" simplePos="0" relativeHeight="251667456" behindDoc="0" locked="0" layoutInCell="1" allowOverlap="1">
                  <wp:simplePos x="0" y="0"/>
                  <wp:positionH relativeFrom="column">
                    <wp:posOffset>36195</wp:posOffset>
                  </wp:positionH>
                  <wp:positionV relativeFrom="paragraph">
                    <wp:posOffset>88265</wp:posOffset>
                  </wp:positionV>
                  <wp:extent cx="260985" cy="259080"/>
                  <wp:effectExtent l="0" t="0" r="5715" b="7620"/>
                  <wp:wrapNone/>
                  <wp:docPr id="57" name="תמונה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8"/>
                          <pic:cNvPicPr>
                            <a:picLocks noChangeAspect="1" noChangeArrowheads="1"/>
                          </pic:cNvPicPr>
                        </pic:nvPicPr>
                        <pic:blipFill>
                          <a:blip xmlns:r="http://schemas.openxmlformats.org/officeDocument/2006/relationships" r:embed="rId9" cstate="screen">
                            <a:clrChange>
                              <a:clrFrom>
                                <a:srgbClr val="F4F8FD"/>
                              </a:clrFrom>
                              <a:clrTo>
                                <a:srgbClr val="F4F8FD">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260985" cy="2590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275" w:type="dxa"/>
            <w:tcBorders>
              <w:top w:val="single" w:sz="12" w:space="0" w:color="EEECE1" w:themeColor="background2"/>
              <w:left w:val="nil"/>
              <w:bottom w:val="single" w:sz="12" w:space="0" w:color="EEECE1" w:themeColor="background2"/>
            </w:tcBorders>
            <w:shd w:val="clear" w:color="auto" w:fill="F0F6FE"/>
            <w:tcMar>
              <w:top w:w="0" w:type="dxa"/>
              <w:left w:w="108" w:type="dxa"/>
              <w:bottom w:w="0" w:type="dxa"/>
              <w:right w:w="108" w:type="dxa"/>
            </w:tcMar>
            <w:vAlign w:val="center"/>
            <w:hideMark/>
          </w:tcPr>
          <w:p w:rsidR="001A346B" w:rsidRPr="001916A9" w:rsidP="001916A9">
            <w:pPr>
              <w:spacing w:line="269" w:lineRule="auto"/>
              <w:jc w:val="center"/>
              <w:rPr>
                <w:rFonts w:ascii="David" w:eastAsia="Times New Roman" w:hAnsi="David"/>
                <w:color w:val="808080" w:themeColor="background1" w:themeShade="80"/>
                <w:szCs w:val="20"/>
                <w:rtl/>
              </w:rPr>
            </w:pPr>
            <w:r w:rsidRPr="001916A9">
              <w:rPr>
                <w:rFonts w:ascii="David" w:eastAsia="Times New Roman" w:hAnsi="David"/>
                <w:color w:val="808080" w:themeColor="background1" w:themeShade="80"/>
                <w:szCs w:val="20"/>
                <w:rtl/>
              </w:rPr>
              <w:t>סיווג הרשות המקומית</w:t>
            </w:r>
          </w:p>
        </w:tc>
        <w:tc>
          <w:tcPr>
            <w:tcW w:w="851" w:type="dxa"/>
            <w:tcBorders>
              <w:top w:val="single" w:sz="12" w:space="0" w:color="EEECE1" w:themeColor="background2"/>
              <w:bottom w:val="single" w:sz="12" w:space="0" w:color="EEECE1" w:themeColor="background2"/>
            </w:tcBorders>
            <w:shd w:val="clear" w:color="auto" w:fill="FFFFFF" w:themeFill="background1"/>
          </w:tcPr>
          <w:p w:rsidR="001A346B" w:rsidRPr="001916A9" w:rsidP="001916A9">
            <w:pPr>
              <w:spacing w:line="269" w:lineRule="auto"/>
              <w:jc w:val="left"/>
              <w:rPr>
                <w:rFonts w:ascii="David" w:eastAsia="Times New Roman" w:hAnsi="David"/>
                <w:color w:val="222222"/>
                <w:szCs w:val="20"/>
                <w:rtl/>
              </w:rPr>
            </w:pPr>
            <w:r w:rsidRPr="001916A9">
              <w:rPr>
                <w:rFonts w:ascii="David" w:eastAsia="Times New Roman" w:hAnsi="David"/>
                <w:color w:val="222222"/>
                <w:szCs w:val="20"/>
                <w:rtl/>
              </w:rPr>
              <w:t>יציבה</w:t>
            </w:r>
          </w:p>
        </w:tc>
        <w:tc>
          <w:tcPr>
            <w:tcW w:w="850" w:type="dxa"/>
            <w:tcBorders>
              <w:top w:val="single" w:sz="12" w:space="0" w:color="EEECE1" w:themeColor="background2"/>
              <w:bottom w:val="single" w:sz="12" w:space="0" w:color="EEECE1" w:themeColor="background2"/>
            </w:tcBorders>
            <w:shd w:val="clear" w:color="auto" w:fill="FFFFFF" w:themeFill="background1"/>
          </w:tcPr>
          <w:p w:rsidR="001A346B" w:rsidRPr="001916A9" w:rsidP="001916A9">
            <w:pPr>
              <w:spacing w:line="269" w:lineRule="auto"/>
              <w:jc w:val="left"/>
              <w:rPr>
                <w:rFonts w:ascii="David" w:eastAsia="Times New Roman" w:hAnsi="David"/>
                <w:color w:val="222222"/>
                <w:szCs w:val="20"/>
                <w:rtl/>
              </w:rPr>
            </w:pPr>
            <w:r w:rsidRPr="001916A9">
              <w:rPr>
                <w:rFonts w:ascii="David" w:eastAsia="Times New Roman" w:hAnsi="David"/>
                <w:color w:val="222222"/>
                <w:szCs w:val="20"/>
                <w:rtl/>
              </w:rPr>
              <w:t>ביניים</w:t>
            </w:r>
          </w:p>
        </w:tc>
        <w:tc>
          <w:tcPr>
            <w:tcW w:w="851" w:type="dxa"/>
            <w:tcBorders>
              <w:top w:val="single" w:sz="12" w:space="0" w:color="EEECE1" w:themeColor="background2"/>
              <w:bottom w:val="single" w:sz="12" w:space="0" w:color="EEECE1" w:themeColor="background2"/>
            </w:tcBorders>
            <w:shd w:val="clear" w:color="auto" w:fill="FFFFFF" w:themeFill="background1"/>
          </w:tcPr>
          <w:p w:rsidR="001A346B" w:rsidRPr="001916A9" w:rsidP="001916A9">
            <w:pPr>
              <w:spacing w:line="269" w:lineRule="auto"/>
              <w:jc w:val="left"/>
              <w:rPr>
                <w:rFonts w:ascii="David" w:eastAsia="Times New Roman" w:hAnsi="David"/>
                <w:color w:val="222222"/>
                <w:szCs w:val="20"/>
                <w:rtl/>
              </w:rPr>
            </w:pPr>
            <w:r w:rsidRPr="001916A9">
              <w:rPr>
                <w:rFonts w:ascii="David" w:eastAsia="Times New Roman" w:hAnsi="David"/>
                <w:color w:val="222222"/>
                <w:szCs w:val="20"/>
                <w:rtl/>
              </w:rPr>
              <w:t>ביניים</w:t>
            </w:r>
          </w:p>
        </w:tc>
        <w:tc>
          <w:tcPr>
            <w:tcW w:w="992"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tcPr>
          <w:p w:rsidR="001A346B" w:rsidRPr="001916A9" w:rsidP="001916A9">
            <w:pPr>
              <w:spacing w:line="269" w:lineRule="auto"/>
              <w:jc w:val="left"/>
              <w:rPr>
                <w:rFonts w:ascii="David" w:eastAsia="Times New Roman" w:hAnsi="David"/>
                <w:color w:val="222222"/>
                <w:szCs w:val="20"/>
                <w:rtl/>
              </w:rPr>
            </w:pPr>
            <w:r w:rsidRPr="001916A9">
              <w:rPr>
                <w:rFonts w:ascii="David" w:eastAsia="Times New Roman" w:hAnsi="David"/>
                <w:color w:val="222222"/>
                <w:szCs w:val="20"/>
                <w:rtl/>
              </w:rPr>
              <w:t>יציבה</w:t>
            </w:r>
          </w:p>
        </w:tc>
        <w:tc>
          <w:tcPr>
            <w:tcW w:w="851"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tcPr>
          <w:p w:rsidR="001A346B" w:rsidRPr="001916A9" w:rsidP="001916A9">
            <w:pPr>
              <w:spacing w:line="269" w:lineRule="auto"/>
              <w:jc w:val="left"/>
              <w:rPr>
                <w:rFonts w:ascii="David" w:eastAsia="Times New Roman" w:hAnsi="David"/>
                <w:color w:val="222222"/>
                <w:szCs w:val="20"/>
                <w:rtl/>
              </w:rPr>
            </w:pPr>
            <w:r w:rsidRPr="001916A9">
              <w:rPr>
                <w:rFonts w:ascii="David" w:eastAsia="Times New Roman" w:hAnsi="David"/>
                <w:color w:val="222222"/>
                <w:szCs w:val="20"/>
                <w:rtl/>
              </w:rPr>
              <w:t>ביניים</w:t>
            </w:r>
          </w:p>
        </w:tc>
        <w:tc>
          <w:tcPr>
            <w:tcW w:w="850" w:type="dxa"/>
            <w:tcBorders>
              <w:top w:val="single" w:sz="12" w:space="0" w:color="EEECE1" w:themeColor="background2"/>
              <w:bottom w:val="single" w:sz="12" w:space="0" w:color="EEECE1" w:themeColor="background2"/>
            </w:tcBorders>
            <w:shd w:val="clear" w:color="auto" w:fill="FFFFFF" w:themeFill="background1"/>
          </w:tcPr>
          <w:p w:rsidR="001A346B" w:rsidRPr="001916A9" w:rsidP="001916A9">
            <w:pPr>
              <w:spacing w:line="269" w:lineRule="auto"/>
              <w:jc w:val="left"/>
              <w:rPr>
                <w:rFonts w:ascii="David" w:eastAsia="Times New Roman" w:hAnsi="David"/>
                <w:color w:val="222222"/>
                <w:szCs w:val="20"/>
                <w:rtl/>
              </w:rPr>
            </w:pPr>
            <w:r w:rsidRPr="001916A9">
              <w:rPr>
                <w:rFonts w:ascii="David" w:eastAsia="Times New Roman" w:hAnsi="David"/>
                <w:color w:val="222222"/>
                <w:szCs w:val="20"/>
                <w:rtl/>
              </w:rPr>
              <w:t>יציבה</w:t>
            </w:r>
          </w:p>
        </w:tc>
        <w:tc>
          <w:tcPr>
            <w:tcW w:w="992"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tcPr>
          <w:p w:rsidR="001A346B" w:rsidRPr="001916A9" w:rsidP="001916A9">
            <w:pPr>
              <w:spacing w:line="269" w:lineRule="auto"/>
              <w:jc w:val="left"/>
              <w:rPr>
                <w:rFonts w:ascii="David" w:eastAsia="Times New Roman" w:hAnsi="David"/>
                <w:color w:val="222222"/>
                <w:szCs w:val="20"/>
                <w:rtl/>
              </w:rPr>
            </w:pPr>
            <w:r w:rsidRPr="001916A9">
              <w:rPr>
                <w:rFonts w:ascii="David" w:eastAsia="Times New Roman" w:hAnsi="David"/>
                <w:color w:val="222222"/>
                <w:szCs w:val="20"/>
                <w:rtl/>
              </w:rPr>
              <w:t>יציבה</w:t>
            </w:r>
          </w:p>
        </w:tc>
        <w:tc>
          <w:tcPr>
            <w:tcW w:w="998"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tcPr>
          <w:p w:rsidR="001A346B" w:rsidRPr="001916A9" w:rsidP="001916A9">
            <w:pPr>
              <w:spacing w:line="269" w:lineRule="auto"/>
              <w:jc w:val="left"/>
              <w:rPr>
                <w:rFonts w:ascii="David" w:eastAsia="Times New Roman" w:hAnsi="David"/>
                <w:color w:val="222222"/>
                <w:szCs w:val="20"/>
                <w:rtl/>
              </w:rPr>
            </w:pPr>
            <w:r w:rsidRPr="001916A9">
              <w:rPr>
                <w:rFonts w:ascii="David" w:eastAsia="Times New Roman" w:hAnsi="David"/>
                <w:color w:val="222222"/>
                <w:szCs w:val="20"/>
                <w:rtl/>
              </w:rPr>
              <w:t>יציבה</w:t>
            </w:r>
          </w:p>
        </w:tc>
      </w:tr>
      <w:tr w:rsidTr="00902020">
        <w:tblPrEx>
          <w:tblW w:w="9077" w:type="dxa"/>
          <w:jc w:val="center"/>
          <w:shd w:val="clear" w:color="auto" w:fill="FFFFFF" w:themeFill="background1"/>
          <w:tblLayout w:type="fixed"/>
          <w:tblCellMar>
            <w:left w:w="0" w:type="dxa"/>
            <w:right w:w="0" w:type="dxa"/>
          </w:tblCellMar>
          <w:tblLook w:val="04A0"/>
        </w:tblPrEx>
        <w:trPr>
          <w:trHeight w:hRule="exact" w:val="953"/>
          <w:jc w:val="center"/>
        </w:trPr>
        <w:tc>
          <w:tcPr>
            <w:tcW w:w="567" w:type="dxa"/>
            <w:tcBorders>
              <w:top w:val="single" w:sz="12" w:space="0" w:color="EEECE1" w:themeColor="background2"/>
              <w:left w:val="nil"/>
              <w:bottom w:val="single" w:sz="12" w:space="0" w:color="EEECE1" w:themeColor="background2"/>
              <w:right w:val="nil"/>
            </w:tcBorders>
            <w:shd w:val="clear" w:color="auto" w:fill="F0F6FE"/>
          </w:tcPr>
          <w:p w:rsidR="001A346B" w:rsidRPr="00B97E44" w:rsidP="001916A9">
            <w:pPr>
              <w:spacing w:line="269" w:lineRule="auto"/>
              <w:rPr>
                <w:rFonts w:ascii="Tahoma" w:eastAsia="Times New Roman" w:hAnsi="Tahoma" w:cs="Tahoma"/>
                <w:color w:val="A6A6A6" w:themeColor="background1" w:themeShade="A6"/>
                <w:sz w:val="16"/>
                <w:szCs w:val="16"/>
                <w:rtl/>
              </w:rPr>
            </w:pPr>
            <w:r w:rsidRPr="00B97E44">
              <w:rPr>
                <w:noProof/>
              </w:rPr>
              <w:drawing>
                <wp:anchor distT="0" distB="0" distL="114300" distR="114300" simplePos="0" relativeHeight="251663360" behindDoc="0" locked="0" layoutInCell="1" allowOverlap="1">
                  <wp:simplePos x="0" y="0"/>
                  <wp:positionH relativeFrom="column">
                    <wp:posOffset>37465</wp:posOffset>
                  </wp:positionH>
                  <wp:positionV relativeFrom="paragraph">
                    <wp:posOffset>91440</wp:posOffset>
                  </wp:positionV>
                  <wp:extent cx="259080" cy="259080"/>
                  <wp:effectExtent l="0" t="0" r="7620" b="7620"/>
                  <wp:wrapNone/>
                  <wp:docPr id="58" name="תמונה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62"/>
                          <pic:cNvPicPr>
                            <a:picLocks noChangeAspect="1" noChangeArrowheads="1"/>
                          </pic:cNvPicPr>
                        </pic:nvPicPr>
                        <pic:blipFill>
                          <a:blip xmlns:r="http://schemas.openxmlformats.org/officeDocument/2006/relationships" r:embed="rId10" cstate="screen">
                            <a:clrChange>
                              <a:clrFrom>
                                <a:srgbClr val="F4F8FD"/>
                              </a:clrFrom>
                              <a:clrTo>
                                <a:srgbClr val="F4F8FD">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275" w:type="dxa"/>
            <w:tcBorders>
              <w:top w:val="single" w:sz="12" w:space="0" w:color="EEECE1" w:themeColor="background2"/>
              <w:left w:val="nil"/>
              <w:bottom w:val="single" w:sz="12" w:space="0" w:color="EEECE1" w:themeColor="background2"/>
            </w:tcBorders>
            <w:shd w:val="clear" w:color="auto" w:fill="F0F6FE"/>
            <w:tcMar>
              <w:top w:w="0" w:type="dxa"/>
              <w:left w:w="108" w:type="dxa"/>
              <w:bottom w:w="0" w:type="dxa"/>
              <w:right w:w="108" w:type="dxa"/>
            </w:tcMar>
            <w:vAlign w:val="center"/>
            <w:hideMark/>
          </w:tcPr>
          <w:p w:rsidR="001A346B" w:rsidRPr="001916A9" w:rsidP="001916A9">
            <w:pPr>
              <w:spacing w:line="269" w:lineRule="auto"/>
              <w:jc w:val="center"/>
              <w:rPr>
                <w:rFonts w:ascii="David" w:eastAsia="Times New Roman" w:hAnsi="David"/>
                <w:color w:val="808080" w:themeColor="background1" w:themeShade="80"/>
                <w:szCs w:val="20"/>
                <w:rtl/>
              </w:rPr>
            </w:pPr>
            <w:r w:rsidRPr="001916A9">
              <w:rPr>
                <w:rFonts w:ascii="David" w:eastAsia="Times New Roman" w:hAnsi="David"/>
                <w:color w:val="808080" w:themeColor="background1" w:themeShade="80"/>
                <w:szCs w:val="20"/>
                <w:rtl/>
              </w:rPr>
              <w:t>ביצוע ההכנסות</w:t>
            </w:r>
          </w:p>
          <w:p w:rsidR="001A346B" w:rsidRPr="001916A9" w:rsidP="001916A9">
            <w:pPr>
              <w:spacing w:line="269" w:lineRule="auto"/>
              <w:jc w:val="center"/>
              <w:rPr>
                <w:rFonts w:ascii="David" w:eastAsia="Times New Roman" w:hAnsi="David"/>
                <w:color w:val="808080" w:themeColor="background1" w:themeShade="80"/>
                <w:szCs w:val="20"/>
                <w:rtl/>
              </w:rPr>
            </w:pPr>
            <w:r w:rsidRPr="001916A9">
              <w:rPr>
                <w:rFonts w:ascii="David" w:eastAsia="Times New Roman" w:hAnsi="David"/>
                <w:color w:val="808080" w:themeColor="background1" w:themeShade="80"/>
                <w:szCs w:val="20"/>
                <w:rtl/>
              </w:rPr>
              <w:t>(באלפי ש"ח)</w:t>
            </w:r>
          </w:p>
        </w:tc>
        <w:tc>
          <w:tcPr>
            <w:tcW w:w="851" w:type="dxa"/>
            <w:tcBorders>
              <w:top w:val="single" w:sz="12" w:space="0" w:color="EEECE1" w:themeColor="background2"/>
              <w:bottom w:val="single" w:sz="12" w:space="0" w:color="EEECE1" w:themeColor="background2"/>
            </w:tcBorders>
            <w:shd w:val="clear" w:color="auto" w:fill="FFFFFF" w:themeFill="background1"/>
          </w:tcPr>
          <w:p w:rsidR="001A346B" w:rsidRPr="001916A9" w:rsidP="001916A9">
            <w:pPr>
              <w:spacing w:line="269" w:lineRule="auto"/>
              <w:jc w:val="left"/>
              <w:rPr>
                <w:rFonts w:ascii="David" w:eastAsia="Times New Roman" w:hAnsi="David"/>
                <w:color w:val="000000" w:themeColor="text1"/>
                <w:szCs w:val="20"/>
                <w:rtl/>
              </w:rPr>
            </w:pPr>
            <w:r w:rsidRPr="001916A9">
              <w:rPr>
                <w:rFonts w:ascii="David" w:eastAsia="Times New Roman" w:hAnsi="David"/>
                <w:color w:val="000000" w:themeColor="text1"/>
                <w:szCs w:val="20"/>
                <w:rtl/>
              </w:rPr>
              <w:t>300,789</w:t>
            </w:r>
          </w:p>
        </w:tc>
        <w:tc>
          <w:tcPr>
            <w:tcW w:w="850" w:type="dxa"/>
            <w:tcBorders>
              <w:top w:val="single" w:sz="12" w:space="0" w:color="EEECE1" w:themeColor="background2"/>
              <w:bottom w:val="single" w:sz="12" w:space="0" w:color="EEECE1" w:themeColor="background2"/>
            </w:tcBorders>
            <w:shd w:val="clear" w:color="auto" w:fill="FFFFFF" w:themeFill="background1"/>
          </w:tcPr>
          <w:p w:rsidR="001A346B" w:rsidRPr="001916A9" w:rsidP="001916A9">
            <w:pPr>
              <w:spacing w:line="269" w:lineRule="auto"/>
              <w:jc w:val="left"/>
              <w:rPr>
                <w:rFonts w:ascii="David" w:eastAsia="Times New Roman" w:hAnsi="David"/>
                <w:color w:val="000000" w:themeColor="text1"/>
                <w:szCs w:val="20"/>
                <w:rtl/>
              </w:rPr>
            </w:pPr>
            <w:r w:rsidRPr="001916A9">
              <w:rPr>
                <w:rFonts w:ascii="David" w:eastAsia="Times New Roman" w:hAnsi="David"/>
                <w:color w:val="000000" w:themeColor="text1"/>
                <w:szCs w:val="20"/>
                <w:rtl/>
              </w:rPr>
              <w:t>344,733</w:t>
            </w:r>
          </w:p>
        </w:tc>
        <w:tc>
          <w:tcPr>
            <w:tcW w:w="851" w:type="dxa"/>
            <w:tcBorders>
              <w:top w:val="single" w:sz="12" w:space="0" w:color="EEECE1" w:themeColor="background2"/>
              <w:bottom w:val="single" w:sz="12" w:space="0" w:color="EEECE1" w:themeColor="background2"/>
            </w:tcBorders>
            <w:shd w:val="clear" w:color="auto" w:fill="FFFFFF" w:themeFill="background1"/>
          </w:tcPr>
          <w:p w:rsidR="001A346B" w:rsidRPr="001916A9" w:rsidP="001916A9">
            <w:pPr>
              <w:spacing w:line="269" w:lineRule="auto"/>
              <w:jc w:val="left"/>
              <w:rPr>
                <w:rFonts w:ascii="David" w:eastAsia="Times New Roman" w:hAnsi="David"/>
                <w:color w:val="000000" w:themeColor="text1"/>
                <w:szCs w:val="20"/>
                <w:rtl/>
              </w:rPr>
            </w:pPr>
            <w:r w:rsidRPr="001916A9">
              <w:rPr>
                <w:rFonts w:ascii="David" w:eastAsia="Times New Roman" w:hAnsi="David"/>
                <w:color w:val="000000" w:themeColor="text1"/>
                <w:szCs w:val="20"/>
                <w:rtl/>
              </w:rPr>
              <w:t>703,105</w:t>
            </w:r>
          </w:p>
        </w:tc>
        <w:tc>
          <w:tcPr>
            <w:tcW w:w="992"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tcPr>
          <w:p w:rsidR="001A346B" w:rsidRPr="001916A9" w:rsidP="001916A9">
            <w:pPr>
              <w:spacing w:line="269" w:lineRule="auto"/>
              <w:jc w:val="left"/>
              <w:rPr>
                <w:rFonts w:ascii="David" w:eastAsia="Times New Roman" w:hAnsi="David"/>
                <w:color w:val="000000" w:themeColor="text1"/>
                <w:szCs w:val="20"/>
                <w:rtl/>
              </w:rPr>
            </w:pPr>
            <w:r w:rsidRPr="001916A9">
              <w:rPr>
                <w:rFonts w:ascii="David" w:eastAsia="Times New Roman" w:hAnsi="David"/>
                <w:color w:val="000000" w:themeColor="text1"/>
                <w:szCs w:val="20"/>
                <w:rtl/>
              </w:rPr>
              <w:t>458,854</w:t>
            </w:r>
          </w:p>
        </w:tc>
        <w:tc>
          <w:tcPr>
            <w:tcW w:w="851"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tcPr>
          <w:p w:rsidR="001A346B" w:rsidRPr="001916A9" w:rsidP="001916A9">
            <w:pPr>
              <w:spacing w:line="269" w:lineRule="auto"/>
              <w:jc w:val="left"/>
              <w:rPr>
                <w:rFonts w:ascii="David" w:eastAsia="Times New Roman" w:hAnsi="David"/>
                <w:color w:val="000000" w:themeColor="text1"/>
                <w:szCs w:val="20"/>
                <w:rtl/>
              </w:rPr>
            </w:pPr>
            <w:r w:rsidRPr="001916A9">
              <w:rPr>
                <w:rFonts w:ascii="David" w:eastAsia="Times New Roman" w:hAnsi="David"/>
                <w:color w:val="000000" w:themeColor="text1"/>
                <w:szCs w:val="20"/>
                <w:rtl/>
              </w:rPr>
              <w:t>245,427</w:t>
            </w:r>
          </w:p>
        </w:tc>
        <w:tc>
          <w:tcPr>
            <w:tcW w:w="850" w:type="dxa"/>
            <w:tcBorders>
              <w:top w:val="single" w:sz="12" w:space="0" w:color="EEECE1" w:themeColor="background2"/>
              <w:bottom w:val="single" w:sz="12" w:space="0" w:color="EEECE1" w:themeColor="background2"/>
            </w:tcBorders>
            <w:shd w:val="clear" w:color="auto" w:fill="FFFFFF" w:themeFill="background1"/>
          </w:tcPr>
          <w:p w:rsidR="001A346B" w:rsidRPr="001916A9" w:rsidP="001916A9">
            <w:pPr>
              <w:spacing w:line="269" w:lineRule="auto"/>
              <w:jc w:val="left"/>
              <w:rPr>
                <w:rFonts w:ascii="David" w:eastAsia="Times New Roman" w:hAnsi="David"/>
                <w:color w:val="000000" w:themeColor="text1"/>
                <w:szCs w:val="20"/>
                <w:rtl/>
              </w:rPr>
            </w:pPr>
            <w:r w:rsidRPr="001916A9">
              <w:rPr>
                <w:rFonts w:ascii="David" w:eastAsia="Times New Roman" w:hAnsi="David"/>
                <w:color w:val="000000" w:themeColor="text1"/>
                <w:szCs w:val="20"/>
                <w:rtl/>
              </w:rPr>
              <w:t>192,335</w:t>
            </w:r>
          </w:p>
        </w:tc>
        <w:tc>
          <w:tcPr>
            <w:tcW w:w="992"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tcPr>
          <w:p w:rsidR="001A346B" w:rsidRPr="001916A9" w:rsidP="001916A9">
            <w:pPr>
              <w:spacing w:line="269" w:lineRule="auto"/>
              <w:jc w:val="left"/>
              <w:rPr>
                <w:rFonts w:ascii="David" w:eastAsia="Times New Roman" w:hAnsi="David"/>
                <w:color w:val="000000" w:themeColor="text1"/>
                <w:szCs w:val="20"/>
                <w:rtl/>
              </w:rPr>
            </w:pPr>
            <w:r w:rsidRPr="001916A9">
              <w:rPr>
                <w:rFonts w:ascii="David" w:eastAsia="Times New Roman" w:hAnsi="David"/>
                <w:color w:val="000000" w:themeColor="text1"/>
                <w:szCs w:val="20"/>
                <w:rtl/>
              </w:rPr>
              <w:t>140,223</w:t>
            </w:r>
          </w:p>
        </w:tc>
        <w:tc>
          <w:tcPr>
            <w:tcW w:w="998"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tcPr>
          <w:p w:rsidR="001A346B" w:rsidRPr="001916A9" w:rsidP="001916A9">
            <w:pPr>
              <w:spacing w:line="269" w:lineRule="auto"/>
              <w:jc w:val="left"/>
              <w:rPr>
                <w:rFonts w:ascii="David" w:eastAsia="Times New Roman" w:hAnsi="David"/>
                <w:color w:val="000000" w:themeColor="text1"/>
                <w:szCs w:val="20"/>
                <w:rtl/>
              </w:rPr>
            </w:pPr>
            <w:r w:rsidRPr="001916A9">
              <w:rPr>
                <w:rFonts w:ascii="David" w:eastAsia="Times New Roman" w:hAnsi="David"/>
                <w:color w:val="000000" w:themeColor="text1"/>
                <w:szCs w:val="20"/>
                <w:rtl/>
              </w:rPr>
              <w:t>215,967</w:t>
            </w:r>
          </w:p>
        </w:tc>
      </w:tr>
      <w:tr w:rsidTr="00902020">
        <w:tblPrEx>
          <w:tblW w:w="9077" w:type="dxa"/>
          <w:jc w:val="center"/>
          <w:shd w:val="clear" w:color="auto" w:fill="FFFFFF" w:themeFill="background1"/>
          <w:tblLayout w:type="fixed"/>
          <w:tblCellMar>
            <w:left w:w="0" w:type="dxa"/>
            <w:right w:w="0" w:type="dxa"/>
          </w:tblCellMar>
          <w:tblLook w:val="04A0"/>
        </w:tblPrEx>
        <w:trPr>
          <w:trHeight w:hRule="exact" w:val="970"/>
          <w:jc w:val="center"/>
        </w:trPr>
        <w:tc>
          <w:tcPr>
            <w:tcW w:w="567" w:type="dxa"/>
            <w:tcBorders>
              <w:top w:val="single" w:sz="12" w:space="0" w:color="EEECE1" w:themeColor="background2"/>
              <w:left w:val="nil"/>
              <w:bottom w:val="single" w:sz="12" w:space="0" w:color="EEECE1" w:themeColor="background2"/>
              <w:right w:val="nil"/>
            </w:tcBorders>
            <w:shd w:val="clear" w:color="auto" w:fill="F0F6FE"/>
          </w:tcPr>
          <w:p w:rsidR="001A346B" w:rsidRPr="00B97E44" w:rsidP="001916A9">
            <w:pPr>
              <w:spacing w:line="269" w:lineRule="auto"/>
              <w:rPr>
                <w:rFonts w:ascii="Tahoma" w:eastAsia="Times New Roman" w:hAnsi="Tahoma" w:cs="Tahoma"/>
                <w:color w:val="A6A6A6" w:themeColor="background1" w:themeShade="A6"/>
                <w:sz w:val="16"/>
                <w:szCs w:val="16"/>
                <w:rtl/>
              </w:rPr>
            </w:pPr>
            <w:r w:rsidRPr="00B97E44">
              <w:rPr>
                <w:noProof/>
              </w:rPr>
              <w:drawing>
                <wp:anchor distT="0" distB="0" distL="114300" distR="114300" simplePos="0" relativeHeight="251664384" behindDoc="0" locked="0" layoutInCell="1" allowOverlap="1">
                  <wp:simplePos x="0" y="0"/>
                  <wp:positionH relativeFrom="column">
                    <wp:posOffset>38735</wp:posOffset>
                  </wp:positionH>
                  <wp:positionV relativeFrom="paragraph">
                    <wp:posOffset>95250</wp:posOffset>
                  </wp:positionV>
                  <wp:extent cx="259080" cy="259080"/>
                  <wp:effectExtent l="0" t="0" r="7620" b="7620"/>
                  <wp:wrapNone/>
                  <wp:docPr id="59" name="תמונה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61"/>
                          <pic:cNvPicPr>
                            <a:picLocks noChangeAspect="1" noChangeArrowheads="1"/>
                          </pic:cNvPicPr>
                        </pic:nvPicPr>
                        <pic:blipFill>
                          <a:blip xmlns:r="http://schemas.openxmlformats.org/officeDocument/2006/relationships" r:embed="rId11" cstate="screen">
                            <a:clrChange>
                              <a:clrFrom>
                                <a:srgbClr val="F4F8FD"/>
                              </a:clrFrom>
                              <a:clrTo>
                                <a:srgbClr val="F4F8FD">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275" w:type="dxa"/>
            <w:tcBorders>
              <w:top w:val="single" w:sz="12" w:space="0" w:color="EEECE1" w:themeColor="background2"/>
              <w:left w:val="nil"/>
              <w:bottom w:val="single" w:sz="12" w:space="0" w:color="EEECE1" w:themeColor="background2"/>
            </w:tcBorders>
            <w:shd w:val="clear" w:color="auto" w:fill="F0F6FE"/>
            <w:tcMar>
              <w:top w:w="0" w:type="dxa"/>
              <w:left w:w="108" w:type="dxa"/>
              <w:bottom w:w="0" w:type="dxa"/>
              <w:right w:w="108" w:type="dxa"/>
            </w:tcMar>
            <w:vAlign w:val="center"/>
            <w:hideMark/>
          </w:tcPr>
          <w:p w:rsidR="001A346B" w:rsidRPr="001916A9" w:rsidP="001916A9">
            <w:pPr>
              <w:spacing w:line="269" w:lineRule="auto"/>
              <w:jc w:val="center"/>
              <w:rPr>
                <w:rFonts w:ascii="David" w:eastAsia="Times New Roman" w:hAnsi="David"/>
                <w:color w:val="808080" w:themeColor="background1" w:themeShade="80"/>
                <w:szCs w:val="20"/>
                <w:rtl/>
              </w:rPr>
            </w:pPr>
            <w:r w:rsidRPr="001916A9">
              <w:rPr>
                <w:rFonts w:ascii="David" w:eastAsia="Times New Roman" w:hAnsi="David"/>
                <w:color w:val="808080" w:themeColor="background1" w:themeShade="80"/>
                <w:szCs w:val="20"/>
                <w:rtl/>
              </w:rPr>
              <w:t xml:space="preserve">ביצוע ההוצאות </w:t>
            </w:r>
            <w:r w:rsidRPr="001916A9">
              <w:rPr>
                <w:rFonts w:ascii="David" w:eastAsia="Times New Roman" w:hAnsi="David"/>
                <w:color w:val="808080" w:themeColor="background1" w:themeShade="80"/>
                <w:szCs w:val="20"/>
                <w:rtl/>
              </w:rPr>
              <w:br/>
              <w:t>(באלפי ש"ח)</w:t>
            </w:r>
          </w:p>
        </w:tc>
        <w:tc>
          <w:tcPr>
            <w:tcW w:w="851" w:type="dxa"/>
            <w:tcBorders>
              <w:top w:val="single" w:sz="12" w:space="0" w:color="EEECE1" w:themeColor="background2"/>
              <w:bottom w:val="single" w:sz="12" w:space="0" w:color="EEECE1" w:themeColor="background2"/>
            </w:tcBorders>
            <w:shd w:val="clear" w:color="auto" w:fill="FFFFFF" w:themeFill="background1"/>
          </w:tcPr>
          <w:p w:rsidR="001A346B" w:rsidRPr="001916A9" w:rsidP="001916A9">
            <w:pPr>
              <w:spacing w:line="269" w:lineRule="auto"/>
              <w:jc w:val="left"/>
              <w:rPr>
                <w:rFonts w:ascii="David" w:eastAsia="Times New Roman" w:hAnsi="David"/>
                <w:color w:val="000000" w:themeColor="text1"/>
                <w:szCs w:val="20"/>
                <w:rtl/>
              </w:rPr>
            </w:pPr>
            <w:r w:rsidRPr="001916A9">
              <w:rPr>
                <w:rFonts w:ascii="David" w:eastAsia="Times New Roman" w:hAnsi="David"/>
                <w:color w:val="000000" w:themeColor="text1"/>
                <w:szCs w:val="20"/>
                <w:rtl/>
              </w:rPr>
              <w:t>300,793</w:t>
            </w:r>
          </w:p>
        </w:tc>
        <w:tc>
          <w:tcPr>
            <w:tcW w:w="850" w:type="dxa"/>
            <w:tcBorders>
              <w:top w:val="single" w:sz="12" w:space="0" w:color="EEECE1" w:themeColor="background2"/>
              <w:bottom w:val="single" w:sz="12" w:space="0" w:color="EEECE1" w:themeColor="background2"/>
            </w:tcBorders>
            <w:shd w:val="clear" w:color="auto" w:fill="FFFFFF" w:themeFill="background1"/>
          </w:tcPr>
          <w:p w:rsidR="001A346B" w:rsidRPr="001916A9" w:rsidP="001916A9">
            <w:pPr>
              <w:spacing w:line="269" w:lineRule="auto"/>
              <w:jc w:val="left"/>
              <w:rPr>
                <w:rFonts w:ascii="David" w:eastAsia="Times New Roman" w:hAnsi="David"/>
                <w:color w:val="000000" w:themeColor="text1"/>
                <w:szCs w:val="20"/>
                <w:rtl/>
              </w:rPr>
            </w:pPr>
            <w:r w:rsidRPr="001916A9">
              <w:rPr>
                <w:rFonts w:ascii="David" w:eastAsia="Times New Roman" w:hAnsi="David"/>
                <w:color w:val="000000" w:themeColor="text1"/>
                <w:szCs w:val="20"/>
                <w:rtl/>
              </w:rPr>
              <w:t>345,034</w:t>
            </w:r>
          </w:p>
        </w:tc>
        <w:tc>
          <w:tcPr>
            <w:tcW w:w="851" w:type="dxa"/>
            <w:tcBorders>
              <w:top w:val="single" w:sz="12" w:space="0" w:color="EEECE1" w:themeColor="background2"/>
              <w:bottom w:val="single" w:sz="12" w:space="0" w:color="EEECE1" w:themeColor="background2"/>
            </w:tcBorders>
            <w:shd w:val="clear" w:color="auto" w:fill="FFFFFF" w:themeFill="background1"/>
          </w:tcPr>
          <w:p w:rsidR="001A346B" w:rsidRPr="001916A9" w:rsidP="001916A9">
            <w:pPr>
              <w:spacing w:line="269" w:lineRule="auto"/>
              <w:jc w:val="left"/>
              <w:rPr>
                <w:rFonts w:ascii="David" w:eastAsia="Times New Roman" w:hAnsi="David"/>
                <w:color w:val="000000" w:themeColor="text1"/>
                <w:szCs w:val="20"/>
                <w:rtl/>
              </w:rPr>
            </w:pPr>
            <w:r w:rsidRPr="001916A9">
              <w:rPr>
                <w:rFonts w:ascii="David" w:eastAsia="Times New Roman" w:hAnsi="David"/>
                <w:color w:val="000000" w:themeColor="text1"/>
                <w:szCs w:val="20"/>
                <w:rtl/>
              </w:rPr>
              <w:t>703,063</w:t>
            </w:r>
          </w:p>
        </w:tc>
        <w:tc>
          <w:tcPr>
            <w:tcW w:w="992"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tcPr>
          <w:p w:rsidR="001A346B" w:rsidRPr="001916A9" w:rsidP="001916A9">
            <w:pPr>
              <w:spacing w:line="269" w:lineRule="auto"/>
              <w:jc w:val="left"/>
              <w:rPr>
                <w:rFonts w:ascii="David" w:eastAsia="Times New Roman" w:hAnsi="David"/>
                <w:color w:val="000000" w:themeColor="text1"/>
                <w:szCs w:val="20"/>
                <w:rtl/>
              </w:rPr>
            </w:pPr>
            <w:r w:rsidRPr="001916A9">
              <w:rPr>
                <w:rFonts w:ascii="David" w:eastAsia="Times New Roman" w:hAnsi="David"/>
                <w:color w:val="000000" w:themeColor="text1"/>
                <w:szCs w:val="20"/>
                <w:rtl/>
              </w:rPr>
              <w:t>457,650</w:t>
            </w:r>
          </w:p>
        </w:tc>
        <w:tc>
          <w:tcPr>
            <w:tcW w:w="851"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tcPr>
          <w:p w:rsidR="001A346B" w:rsidRPr="001916A9" w:rsidP="001916A9">
            <w:pPr>
              <w:spacing w:line="269" w:lineRule="auto"/>
              <w:jc w:val="left"/>
              <w:rPr>
                <w:rFonts w:ascii="David" w:eastAsia="Times New Roman" w:hAnsi="David"/>
                <w:color w:val="000000" w:themeColor="text1"/>
                <w:szCs w:val="20"/>
                <w:rtl/>
              </w:rPr>
            </w:pPr>
            <w:r w:rsidRPr="001916A9">
              <w:rPr>
                <w:rFonts w:ascii="David" w:eastAsia="Times New Roman" w:hAnsi="David"/>
                <w:color w:val="000000" w:themeColor="text1"/>
                <w:szCs w:val="20"/>
                <w:rtl/>
              </w:rPr>
              <w:t>244,877</w:t>
            </w:r>
          </w:p>
        </w:tc>
        <w:tc>
          <w:tcPr>
            <w:tcW w:w="850" w:type="dxa"/>
            <w:tcBorders>
              <w:top w:val="single" w:sz="12" w:space="0" w:color="EEECE1" w:themeColor="background2"/>
              <w:bottom w:val="single" w:sz="12" w:space="0" w:color="EEECE1" w:themeColor="background2"/>
            </w:tcBorders>
            <w:shd w:val="clear" w:color="auto" w:fill="FFFFFF" w:themeFill="background1"/>
          </w:tcPr>
          <w:p w:rsidR="001A346B" w:rsidRPr="001916A9" w:rsidP="001916A9">
            <w:pPr>
              <w:spacing w:line="269" w:lineRule="auto"/>
              <w:jc w:val="left"/>
              <w:rPr>
                <w:rFonts w:ascii="David" w:eastAsia="Times New Roman" w:hAnsi="David"/>
                <w:color w:val="000000" w:themeColor="text1"/>
                <w:szCs w:val="20"/>
                <w:rtl/>
              </w:rPr>
            </w:pPr>
            <w:r w:rsidRPr="001916A9">
              <w:rPr>
                <w:rFonts w:ascii="David" w:eastAsia="Times New Roman" w:hAnsi="David"/>
                <w:color w:val="000000" w:themeColor="text1"/>
                <w:szCs w:val="20"/>
                <w:rtl/>
              </w:rPr>
              <w:t>192,211</w:t>
            </w:r>
          </w:p>
        </w:tc>
        <w:tc>
          <w:tcPr>
            <w:tcW w:w="992"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tcPr>
          <w:p w:rsidR="001A346B" w:rsidRPr="001916A9" w:rsidP="001916A9">
            <w:pPr>
              <w:spacing w:line="269" w:lineRule="auto"/>
              <w:jc w:val="left"/>
              <w:rPr>
                <w:rFonts w:ascii="David" w:eastAsia="Times New Roman" w:hAnsi="David"/>
                <w:color w:val="000000" w:themeColor="text1"/>
                <w:szCs w:val="20"/>
                <w:rtl/>
              </w:rPr>
            </w:pPr>
            <w:r w:rsidRPr="001916A9">
              <w:rPr>
                <w:rFonts w:ascii="David" w:eastAsia="Times New Roman" w:hAnsi="David"/>
                <w:color w:val="000000" w:themeColor="text1"/>
                <w:szCs w:val="20"/>
                <w:rtl/>
              </w:rPr>
              <w:t>140,210</w:t>
            </w:r>
          </w:p>
        </w:tc>
        <w:tc>
          <w:tcPr>
            <w:tcW w:w="998"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tcPr>
          <w:p w:rsidR="001A346B" w:rsidRPr="001916A9" w:rsidP="001916A9">
            <w:pPr>
              <w:spacing w:line="269" w:lineRule="auto"/>
              <w:jc w:val="left"/>
              <w:rPr>
                <w:rFonts w:ascii="David" w:eastAsia="Times New Roman" w:hAnsi="David"/>
                <w:color w:val="000000" w:themeColor="text1"/>
                <w:szCs w:val="20"/>
                <w:rtl/>
              </w:rPr>
            </w:pPr>
            <w:r w:rsidRPr="001916A9">
              <w:rPr>
                <w:rFonts w:ascii="David" w:eastAsia="Times New Roman" w:hAnsi="David"/>
                <w:color w:val="000000" w:themeColor="text1"/>
                <w:szCs w:val="20"/>
                <w:rtl/>
              </w:rPr>
              <w:t>199,776</w:t>
            </w:r>
          </w:p>
        </w:tc>
      </w:tr>
      <w:tr w:rsidTr="00902020">
        <w:tblPrEx>
          <w:tblW w:w="9077" w:type="dxa"/>
          <w:jc w:val="center"/>
          <w:shd w:val="clear" w:color="auto" w:fill="FFFFFF" w:themeFill="background1"/>
          <w:tblLayout w:type="fixed"/>
          <w:tblCellMar>
            <w:left w:w="0" w:type="dxa"/>
            <w:right w:w="0" w:type="dxa"/>
          </w:tblCellMar>
          <w:tblLook w:val="04A0"/>
        </w:tblPrEx>
        <w:trPr>
          <w:trHeight w:hRule="exact" w:val="1268"/>
          <w:jc w:val="center"/>
        </w:trPr>
        <w:tc>
          <w:tcPr>
            <w:tcW w:w="567" w:type="dxa"/>
            <w:tcBorders>
              <w:top w:val="single" w:sz="12" w:space="0" w:color="EEECE1" w:themeColor="background2"/>
              <w:left w:val="nil"/>
              <w:bottom w:val="single" w:sz="12" w:space="0" w:color="EEECE1" w:themeColor="background2"/>
              <w:right w:val="nil"/>
            </w:tcBorders>
            <w:shd w:val="clear" w:color="auto" w:fill="F0F6FE"/>
          </w:tcPr>
          <w:p w:rsidR="001A346B" w:rsidRPr="00B97E44" w:rsidP="001916A9">
            <w:pPr>
              <w:spacing w:line="269" w:lineRule="auto"/>
              <w:rPr>
                <w:rFonts w:ascii="Tahoma" w:eastAsia="Times New Roman" w:hAnsi="Tahoma" w:cs="Tahoma"/>
                <w:color w:val="A6A6A6" w:themeColor="background1" w:themeShade="A6"/>
                <w:sz w:val="16"/>
                <w:szCs w:val="16"/>
                <w:rtl/>
              </w:rPr>
            </w:pPr>
            <w:r w:rsidRPr="00B97E44">
              <w:rPr>
                <w:noProof/>
              </w:rPr>
              <w:drawing>
                <wp:anchor distT="0" distB="0" distL="114300" distR="114300" simplePos="0" relativeHeight="251666432" behindDoc="0" locked="0" layoutInCell="1" allowOverlap="1">
                  <wp:simplePos x="0" y="0"/>
                  <wp:positionH relativeFrom="column">
                    <wp:posOffset>38100</wp:posOffset>
                  </wp:positionH>
                  <wp:positionV relativeFrom="paragraph">
                    <wp:posOffset>98425</wp:posOffset>
                  </wp:positionV>
                  <wp:extent cx="259080" cy="259080"/>
                  <wp:effectExtent l="0" t="0" r="7620" b="7620"/>
                  <wp:wrapNone/>
                  <wp:docPr id="62" name="תמונה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59"/>
                          <pic:cNvPicPr>
                            <a:picLocks noChangeAspect="1" noChangeArrowheads="1"/>
                          </pic:cNvPicPr>
                        </pic:nvPicPr>
                        <pic:blipFill>
                          <a:blip xmlns:r="http://schemas.openxmlformats.org/officeDocument/2006/relationships" r:embed="rId12" cstate="screen">
                            <a:clrChange>
                              <a:clrFrom>
                                <a:srgbClr val="F4F8FD"/>
                              </a:clrFrom>
                              <a:clrTo>
                                <a:srgbClr val="F4F8FD">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275" w:type="dxa"/>
            <w:tcBorders>
              <w:top w:val="single" w:sz="12" w:space="0" w:color="EEECE1" w:themeColor="background2"/>
              <w:left w:val="nil"/>
              <w:bottom w:val="single" w:sz="12" w:space="0" w:color="EEECE1" w:themeColor="background2"/>
            </w:tcBorders>
            <w:shd w:val="clear" w:color="auto" w:fill="F0F6FE"/>
            <w:tcMar>
              <w:top w:w="0" w:type="dxa"/>
              <w:left w:w="108" w:type="dxa"/>
              <w:bottom w:w="0" w:type="dxa"/>
              <w:right w:w="108" w:type="dxa"/>
            </w:tcMar>
            <w:vAlign w:val="center"/>
            <w:hideMark/>
          </w:tcPr>
          <w:p w:rsidR="001A346B" w:rsidRPr="001916A9" w:rsidP="001916A9">
            <w:pPr>
              <w:spacing w:line="269" w:lineRule="auto"/>
              <w:jc w:val="center"/>
              <w:rPr>
                <w:rFonts w:ascii="David" w:eastAsia="Times New Roman" w:hAnsi="David"/>
                <w:color w:val="808080" w:themeColor="background1" w:themeShade="80"/>
                <w:szCs w:val="20"/>
                <w:rtl/>
              </w:rPr>
            </w:pPr>
            <w:r w:rsidRPr="001916A9">
              <w:rPr>
                <w:rFonts w:ascii="David" w:eastAsia="Times New Roman" w:hAnsi="David"/>
                <w:color w:val="808080" w:themeColor="background1" w:themeShade="80"/>
                <w:szCs w:val="20"/>
                <w:rtl/>
              </w:rPr>
              <w:t>העודף (או הגירעון) השוטף (באלפי ש"ח)</w:t>
            </w:r>
          </w:p>
        </w:tc>
        <w:tc>
          <w:tcPr>
            <w:tcW w:w="851" w:type="dxa"/>
            <w:tcBorders>
              <w:top w:val="single" w:sz="12" w:space="0" w:color="EEECE1" w:themeColor="background2"/>
              <w:bottom w:val="single" w:sz="12" w:space="0" w:color="EEECE1" w:themeColor="background2"/>
            </w:tcBorders>
            <w:shd w:val="clear" w:color="auto" w:fill="FFFFFF" w:themeFill="background1"/>
          </w:tcPr>
          <w:p w:rsidR="001A346B" w:rsidRPr="001916A9" w:rsidP="001916A9">
            <w:pPr>
              <w:spacing w:line="269" w:lineRule="auto"/>
              <w:jc w:val="left"/>
              <w:rPr>
                <w:rFonts w:ascii="David" w:eastAsia="Times New Roman" w:hAnsi="David"/>
                <w:color w:val="000000" w:themeColor="text1"/>
                <w:szCs w:val="20"/>
                <w:rtl/>
              </w:rPr>
            </w:pPr>
            <w:r w:rsidRPr="001916A9">
              <w:rPr>
                <w:rFonts w:ascii="David" w:eastAsia="Times New Roman" w:hAnsi="David"/>
                <w:color w:val="000000" w:themeColor="text1"/>
                <w:szCs w:val="20"/>
                <w:rtl/>
              </w:rPr>
              <w:t>(4)</w:t>
            </w:r>
          </w:p>
        </w:tc>
        <w:tc>
          <w:tcPr>
            <w:tcW w:w="850" w:type="dxa"/>
            <w:tcBorders>
              <w:top w:val="single" w:sz="12" w:space="0" w:color="EEECE1" w:themeColor="background2"/>
              <w:bottom w:val="single" w:sz="12" w:space="0" w:color="EEECE1" w:themeColor="background2"/>
            </w:tcBorders>
            <w:shd w:val="clear" w:color="auto" w:fill="FFFFFF" w:themeFill="background1"/>
          </w:tcPr>
          <w:p w:rsidR="001A346B" w:rsidRPr="001916A9" w:rsidP="001916A9">
            <w:pPr>
              <w:spacing w:line="269" w:lineRule="auto"/>
              <w:jc w:val="left"/>
              <w:rPr>
                <w:rFonts w:ascii="David" w:eastAsia="Times New Roman" w:hAnsi="David"/>
                <w:color w:val="000000" w:themeColor="text1"/>
                <w:szCs w:val="20"/>
                <w:rtl/>
              </w:rPr>
            </w:pPr>
            <w:r w:rsidRPr="001916A9">
              <w:rPr>
                <w:rFonts w:ascii="David" w:eastAsia="Times New Roman" w:hAnsi="David"/>
                <w:color w:val="000000" w:themeColor="text1"/>
                <w:szCs w:val="20"/>
                <w:rtl/>
              </w:rPr>
              <w:t>(301)</w:t>
            </w:r>
          </w:p>
          <w:p w:rsidR="001A346B" w:rsidRPr="001916A9" w:rsidP="001916A9">
            <w:pPr>
              <w:spacing w:line="269" w:lineRule="auto"/>
              <w:jc w:val="left"/>
              <w:rPr>
                <w:rFonts w:ascii="David" w:eastAsia="Times New Roman" w:hAnsi="David"/>
                <w:color w:val="000000" w:themeColor="text1"/>
                <w:szCs w:val="20"/>
                <w:rtl/>
              </w:rPr>
            </w:pPr>
          </w:p>
          <w:p w:rsidR="001A346B" w:rsidRPr="001916A9" w:rsidP="001916A9">
            <w:pPr>
              <w:spacing w:line="269" w:lineRule="auto"/>
              <w:jc w:val="left"/>
              <w:rPr>
                <w:rFonts w:ascii="David" w:eastAsia="Times New Roman" w:hAnsi="David"/>
                <w:color w:val="000000" w:themeColor="text1"/>
                <w:szCs w:val="20"/>
                <w:rtl/>
              </w:rPr>
            </w:pPr>
          </w:p>
        </w:tc>
        <w:tc>
          <w:tcPr>
            <w:tcW w:w="851" w:type="dxa"/>
            <w:tcBorders>
              <w:top w:val="single" w:sz="12" w:space="0" w:color="EEECE1" w:themeColor="background2"/>
              <w:bottom w:val="single" w:sz="12" w:space="0" w:color="EEECE1" w:themeColor="background2"/>
            </w:tcBorders>
            <w:shd w:val="clear" w:color="auto" w:fill="FFFFFF" w:themeFill="background1"/>
          </w:tcPr>
          <w:p w:rsidR="001A346B" w:rsidRPr="001916A9" w:rsidP="001916A9">
            <w:pPr>
              <w:spacing w:line="269" w:lineRule="auto"/>
              <w:jc w:val="left"/>
              <w:rPr>
                <w:rFonts w:ascii="David" w:eastAsia="Times New Roman" w:hAnsi="David"/>
                <w:color w:val="000000" w:themeColor="text1"/>
                <w:szCs w:val="20"/>
                <w:rtl/>
              </w:rPr>
            </w:pPr>
            <w:r w:rsidRPr="001916A9">
              <w:rPr>
                <w:rFonts w:ascii="David" w:eastAsia="Times New Roman" w:hAnsi="David"/>
                <w:color w:val="000000" w:themeColor="text1"/>
                <w:szCs w:val="20"/>
                <w:rtl/>
              </w:rPr>
              <w:t>42</w:t>
            </w:r>
          </w:p>
        </w:tc>
        <w:tc>
          <w:tcPr>
            <w:tcW w:w="992"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tcPr>
          <w:p w:rsidR="001A346B" w:rsidRPr="001916A9" w:rsidP="001916A9">
            <w:pPr>
              <w:spacing w:line="269" w:lineRule="auto"/>
              <w:jc w:val="left"/>
              <w:rPr>
                <w:rFonts w:ascii="David" w:eastAsia="Times New Roman" w:hAnsi="David"/>
                <w:color w:val="000000" w:themeColor="text1"/>
                <w:szCs w:val="20"/>
                <w:rtl/>
              </w:rPr>
            </w:pPr>
            <w:r w:rsidRPr="001916A9">
              <w:rPr>
                <w:rFonts w:ascii="David" w:eastAsia="Times New Roman" w:hAnsi="David"/>
                <w:color w:val="000000" w:themeColor="text1"/>
                <w:szCs w:val="20"/>
                <w:rtl/>
              </w:rPr>
              <w:t>1,204</w:t>
            </w:r>
          </w:p>
        </w:tc>
        <w:tc>
          <w:tcPr>
            <w:tcW w:w="851"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tcPr>
          <w:p w:rsidR="001A346B" w:rsidRPr="001916A9" w:rsidP="001916A9">
            <w:pPr>
              <w:spacing w:line="269" w:lineRule="auto"/>
              <w:jc w:val="left"/>
              <w:rPr>
                <w:rFonts w:ascii="David" w:eastAsia="Times New Roman" w:hAnsi="David"/>
                <w:color w:val="000000" w:themeColor="text1"/>
                <w:szCs w:val="20"/>
                <w:rtl/>
              </w:rPr>
            </w:pPr>
            <w:r w:rsidRPr="001916A9">
              <w:rPr>
                <w:rFonts w:ascii="David" w:eastAsia="Times New Roman" w:hAnsi="David"/>
                <w:color w:val="000000" w:themeColor="text1"/>
                <w:szCs w:val="20"/>
                <w:rtl/>
              </w:rPr>
              <w:t>550</w:t>
            </w:r>
          </w:p>
        </w:tc>
        <w:tc>
          <w:tcPr>
            <w:tcW w:w="850" w:type="dxa"/>
            <w:tcBorders>
              <w:top w:val="single" w:sz="12" w:space="0" w:color="EEECE1" w:themeColor="background2"/>
              <w:bottom w:val="single" w:sz="12" w:space="0" w:color="EEECE1" w:themeColor="background2"/>
            </w:tcBorders>
            <w:shd w:val="clear" w:color="auto" w:fill="FFFFFF" w:themeFill="background1"/>
          </w:tcPr>
          <w:p w:rsidR="001A346B" w:rsidRPr="001916A9" w:rsidP="001916A9">
            <w:pPr>
              <w:spacing w:line="269" w:lineRule="auto"/>
              <w:jc w:val="left"/>
              <w:rPr>
                <w:rFonts w:ascii="David" w:eastAsia="Times New Roman" w:hAnsi="David"/>
                <w:color w:val="000000" w:themeColor="text1"/>
                <w:szCs w:val="20"/>
                <w:rtl/>
              </w:rPr>
            </w:pPr>
            <w:r w:rsidRPr="001916A9">
              <w:rPr>
                <w:rFonts w:ascii="David" w:eastAsia="Times New Roman" w:hAnsi="David"/>
                <w:color w:val="000000" w:themeColor="text1"/>
                <w:szCs w:val="20"/>
                <w:rtl/>
              </w:rPr>
              <w:t>124</w:t>
            </w:r>
          </w:p>
          <w:p w:rsidR="001A346B" w:rsidRPr="001916A9" w:rsidP="001916A9">
            <w:pPr>
              <w:spacing w:line="269" w:lineRule="auto"/>
              <w:jc w:val="left"/>
              <w:rPr>
                <w:rFonts w:ascii="David" w:eastAsia="Times New Roman" w:hAnsi="David"/>
                <w:color w:val="000000" w:themeColor="text1"/>
                <w:szCs w:val="20"/>
                <w:rtl/>
              </w:rPr>
            </w:pPr>
          </w:p>
          <w:p w:rsidR="001A346B" w:rsidRPr="001916A9" w:rsidP="001916A9">
            <w:pPr>
              <w:spacing w:line="269" w:lineRule="auto"/>
              <w:jc w:val="left"/>
              <w:rPr>
                <w:rFonts w:ascii="David" w:eastAsia="Times New Roman" w:hAnsi="David"/>
                <w:color w:val="000000" w:themeColor="text1"/>
                <w:szCs w:val="20"/>
                <w:rtl/>
              </w:rPr>
            </w:pPr>
          </w:p>
        </w:tc>
        <w:tc>
          <w:tcPr>
            <w:tcW w:w="992"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tcPr>
          <w:p w:rsidR="001A346B" w:rsidRPr="001916A9" w:rsidP="001916A9">
            <w:pPr>
              <w:spacing w:line="269" w:lineRule="auto"/>
              <w:jc w:val="left"/>
              <w:rPr>
                <w:rFonts w:ascii="David" w:eastAsia="Times New Roman" w:hAnsi="David"/>
                <w:color w:val="000000" w:themeColor="text1"/>
                <w:szCs w:val="20"/>
                <w:rtl/>
              </w:rPr>
            </w:pPr>
            <w:r w:rsidRPr="001916A9">
              <w:rPr>
                <w:rFonts w:ascii="David" w:eastAsia="Times New Roman" w:hAnsi="David"/>
                <w:color w:val="000000" w:themeColor="text1"/>
                <w:szCs w:val="20"/>
                <w:rtl/>
              </w:rPr>
              <w:t>13</w:t>
            </w:r>
          </w:p>
        </w:tc>
        <w:tc>
          <w:tcPr>
            <w:tcW w:w="998"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tcPr>
          <w:p w:rsidR="001A346B" w:rsidRPr="001916A9" w:rsidP="001916A9">
            <w:pPr>
              <w:spacing w:line="269" w:lineRule="auto"/>
              <w:jc w:val="left"/>
              <w:rPr>
                <w:rFonts w:ascii="David" w:eastAsia="Times New Roman" w:hAnsi="David"/>
                <w:color w:val="000000" w:themeColor="text1"/>
                <w:szCs w:val="20"/>
                <w:rtl/>
              </w:rPr>
            </w:pPr>
            <w:r w:rsidRPr="001916A9">
              <w:rPr>
                <w:rFonts w:ascii="David" w:eastAsia="Times New Roman" w:hAnsi="David"/>
                <w:color w:val="000000" w:themeColor="text1"/>
                <w:szCs w:val="20"/>
                <w:rtl/>
              </w:rPr>
              <w:t>16,191</w:t>
            </w:r>
          </w:p>
        </w:tc>
      </w:tr>
      <w:tr w:rsidTr="00902020">
        <w:tblPrEx>
          <w:tblW w:w="9077" w:type="dxa"/>
          <w:jc w:val="center"/>
          <w:shd w:val="clear" w:color="auto" w:fill="FFFFFF" w:themeFill="background1"/>
          <w:tblLayout w:type="fixed"/>
          <w:tblCellMar>
            <w:left w:w="0" w:type="dxa"/>
            <w:right w:w="0" w:type="dxa"/>
          </w:tblCellMar>
          <w:tblLook w:val="04A0"/>
        </w:tblPrEx>
        <w:trPr>
          <w:trHeight w:hRule="exact" w:val="1271"/>
          <w:jc w:val="center"/>
        </w:trPr>
        <w:tc>
          <w:tcPr>
            <w:tcW w:w="567" w:type="dxa"/>
            <w:tcBorders>
              <w:top w:val="single" w:sz="12" w:space="0" w:color="EEECE1" w:themeColor="background2"/>
              <w:left w:val="nil"/>
              <w:bottom w:val="single" w:sz="12" w:space="0" w:color="EEECE1" w:themeColor="background2"/>
              <w:right w:val="nil"/>
            </w:tcBorders>
            <w:shd w:val="clear" w:color="auto" w:fill="F0F6FE"/>
          </w:tcPr>
          <w:p w:rsidR="001A346B" w:rsidRPr="00B97E44" w:rsidP="001916A9">
            <w:pPr>
              <w:spacing w:line="269" w:lineRule="auto"/>
              <w:rPr>
                <w:rFonts w:ascii="Tahoma" w:eastAsia="Times New Roman" w:hAnsi="Tahoma" w:cs="Tahoma"/>
                <w:color w:val="A6A6A6" w:themeColor="background1" w:themeShade="A6"/>
                <w:sz w:val="16"/>
                <w:szCs w:val="16"/>
                <w:rtl/>
              </w:rPr>
            </w:pPr>
            <w:r w:rsidRPr="00B97E44">
              <w:rPr>
                <w:noProof/>
              </w:rPr>
              <w:drawing>
                <wp:anchor distT="0" distB="0" distL="114300" distR="114300" simplePos="0" relativeHeight="251668480" behindDoc="0" locked="0" layoutInCell="1" allowOverlap="1">
                  <wp:simplePos x="0" y="0"/>
                  <wp:positionH relativeFrom="column">
                    <wp:posOffset>36830</wp:posOffset>
                  </wp:positionH>
                  <wp:positionV relativeFrom="paragraph">
                    <wp:posOffset>101600</wp:posOffset>
                  </wp:positionV>
                  <wp:extent cx="260985" cy="259080"/>
                  <wp:effectExtent l="0" t="0" r="5715" b="7620"/>
                  <wp:wrapNone/>
                  <wp:docPr id="63" name="תמונה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57"/>
                          <pic:cNvPicPr>
                            <a:picLocks noChangeAspect="1" noChangeArrowheads="1"/>
                          </pic:cNvPicPr>
                        </pic:nvPicPr>
                        <pic:blipFill>
                          <a:blip xmlns:r="http://schemas.openxmlformats.org/officeDocument/2006/relationships" r:embed="rId13" cstate="screen">
                            <a:clrChange>
                              <a:clrFrom>
                                <a:srgbClr val="F4F8FD"/>
                              </a:clrFrom>
                              <a:clrTo>
                                <a:srgbClr val="F4F8FD">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260985" cy="2590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275" w:type="dxa"/>
            <w:tcBorders>
              <w:top w:val="single" w:sz="12" w:space="0" w:color="EEECE1" w:themeColor="background2"/>
              <w:left w:val="nil"/>
              <w:bottom w:val="single" w:sz="12" w:space="0" w:color="EEECE1" w:themeColor="background2"/>
            </w:tcBorders>
            <w:shd w:val="clear" w:color="auto" w:fill="F0F6FE"/>
            <w:tcMar>
              <w:top w:w="0" w:type="dxa"/>
              <w:left w:w="108" w:type="dxa"/>
              <w:bottom w:w="0" w:type="dxa"/>
              <w:right w:w="108" w:type="dxa"/>
            </w:tcMar>
            <w:vAlign w:val="center"/>
            <w:hideMark/>
          </w:tcPr>
          <w:p w:rsidR="001A346B" w:rsidRPr="001916A9" w:rsidP="001916A9">
            <w:pPr>
              <w:spacing w:line="269" w:lineRule="auto"/>
              <w:jc w:val="center"/>
              <w:rPr>
                <w:rFonts w:ascii="David" w:eastAsia="Times New Roman" w:hAnsi="David"/>
                <w:color w:val="808080" w:themeColor="background1" w:themeShade="80"/>
                <w:szCs w:val="20"/>
                <w:rtl/>
              </w:rPr>
            </w:pPr>
            <w:r w:rsidRPr="001916A9">
              <w:rPr>
                <w:rFonts w:ascii="David" w:eastAsia="Times New Roman" w:hAnsi="David"/>
                <w:color w:val="808080" w:themeColor="background1" w:themeShade="80"/>
                <w:szCs w:val="20"/>
                <w:rtl/>
              </w:rPr>
              <w:t>העודף (או הגירעון) המצטבר (באלפי ש"ח)</w:t>
            </w:r>
          </w:p>
        </w:tc>
        <w:tc>
          <w:tcPr>
            <w:tcW w:w="851" w:type="dxa"/>
            <w:tcBorders>
              <w:top w:val="single" w:sz="12" w:space="0" w:color="EEECE1" w:themeColor="background2"/>
              <w:bottom w:val="single" w:sz="12" w:space="0" w:color="EEECE1" w:themeColor="background2"/>
            </w:tcBorders>
            <w:shd w:val="clear" w:color="auto" w:fill="FFFFFF" w:themeFill="background1"/>
          </w:tcPr>
          <w:p w:rsidR="001A346B" w:rsidRPr="001916A9" w:rsidP="001916A9">
            <w:pPr>
              <w:spacing w:line="269" w:lineRule="auto"/>
              <w:jc w:val="left"/>
              <w:rPr>
                <w:rFonts w:ascii="David" w:eastAsia="Times New Roman" w:hAnsi="David"/>
                <w:color w:val="000000" w:themeColor="text1"/>
                <w:szCs w:val="20"/>
                <w:rtl/>
              </w:rPr>
            </w:pPr>
            <w:r w:rsidRPr="001916A9">
              <w:rPr>
                <w:rFonts w:ascii="David" w:eastAsia="Times New Roman" w:hAnsi="David"/>
                <w:color w:val="000000" w:themeColor="text1"/>
                <w:szCs w:val="20"/>
                <w:rtl/>
              </w:rPr>
              <w:t>(14,440)</w:t>
            </w:r>
          </w:p>
        </w:tc>
        <w:tc>
          <w:tcPr>
            <w:tcW w:w="850" w:type="dxa"/>
            <w:tcBorders>
              <w:top w:val="single" w:sz="12" w:space="0" w:color="EEECE1" w:themeColor="background2"/>
              <w:bottom w:val="single" w:sz="12" w:space="0" w:color="EEECE1" w:themeColor="background2"/>
            </w:tcBorders>
            <w:shd w:val="clear" w:color="auto" w:fill="FFFFFF" w:themeFill="background1"/>
          </w:tcPr>
          <w:p w:rsidR="001A346B" w:rsidRPr="001916A9" w:rsidP="001916A9">
            <w:pPr>
              <w:spacing w:line="269" w:lineRule="auto"/>
              <w:jc w:val="left"/>
              <w:rPr>
                <w:rFonts w:ascii="David" w:eastAsia="Times New Roman" w:hAnsi="David"/>
                <w:color w:val="000000" w:themeColor="text1"/>
                <w:szCs w:val="20"/>
                <w:rtl/>
              </w:rPr>
            </w:pPr>
            <w:r w:rsidRPr="001916A9">
              <w:rPr>
                <w:rFonts w:ascii="David" w:eastAsia="Times New Roman" w:hAnsi="David"/>
                <w:color w:val="000000" w:themeColor="text1"/>
                <w:szCs w:val="20"/>
                <w:rtl/>
              </w:rPr>
              <w:t>(10,914)</w:t>
            </w:r>
          </w:p>
        </w:tc>
        <w:tc>
          <w:tcPr>
            <w:tcW w:w="851" w:type="dxa"/>
            <w:tcBorders>
              <w:top w:val="single" w:sz="12" w:space="0" w:color="EEECE1" w:themeColor="background2"/>
              <w:bottom w:val="single" w:sz="12" w:space="0" w:color="EEECE1" w:themeColor="background2"/>
            </w:tcBorders>
            <w:shd w:val="clear" w:color="auto" w:fill="FFFFFF" w:themeFill="background1"/>
          </w:tcPr>
          <w:p w:rsidR="001A346B" w:rsidRPr="001916A9" w:rsidP="001916A9">
            <w:pPr>
              <w:spacing w:line="269" w:lineRule="auto"/>
              <w:jc w:val="left"/>
              <w:rPr>
                <w:rFonts w:ascii="David" w:eastAsia="Times New Roman" w:hAnsi="David"/>
                <w:color w:val="000000" w:themeColor="text1"/>
                <w:szCs w:val="20"/>
                <w:rtl/>
              </w:rPr>
            </w:pPr>
            <w:r w:rsidRPr="001916A9">
              <w:rPr>
                <w:rFonts w:ascii="David" w:eastAsia="Times New Roman" w:hAnsi="David"/>
                <w:color w:val="000000" w:themeColor="text1"/>
                <w:szCs w:val="20"/>
                <w:rtl/>
              </w:rPr>
              <w:t>(23,399)</w:t>
            </w:r>
          </w:p>
        </w:tc>
        <w:tc>
          <w:tcPr>
            <w:tcW w:w="992"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tcPr>
          <w:p w:rsidR="001A346B" w:rsidRPr="001916A9" w:rsidP="001916A9">
            <w:pPr>
              <w:spacing w:line="269" w:lineRule="auto"/>
              <w:jc w:val="left"/>
              <w:rPr>
                <w:rFonts w:ascii="David" w:eastAsia="Times New Roman" w:hAnsi="David"/>
                <w:color w:val="000000" w:themeColor="text1"/>
                <w:szCs w:val="20"/>
                <w:rtl/>
              </w:rPr>
            </w:pPr>
            <w:r w:rsidRPr="001916A9">
              <w:rPr>
                <w:rFonts w:ascii="David" w:eastAsia="Times New Roman" w:hAnsi="David"/>
                <w:color w:val="000000" w:themeColor="text1"/>
                <w:szCs w:val="20"/>
                <w:rtl/>
              </w:rPr>
              <w:t>(9,003)</w:t>
            </w:r>
          </w:p>
        </w:tc>
        <w:tc>
          <w:tcPr>
            <w:tcW w:w="851"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tcPr>
          <w:p w:rsidR="001A346B" w:rsidRPr="001916A9" w:rsidP="001916A9">
            <w:pPr>
              <w:spacing w:line="269" w:lineRule="auto"/>
              <w:jc w:val="left"/>
              <w:rPr>
                <w:rFonts w:ascii="David" w:eastAsia="Times New Roman" w:hAnsi="David"/>
                <w:color w:val="000000" w:themeColor="text1"/>
                <w:szCs w:val="20"/>
                <w:rtl/>
              </w:rPr>
            </w:pPr>
            <w:r w:rsidRPr="001916A9">
              <w:rPr>
                <w:rFonts w:ascii="David" w:eastAsia="Times New Roman" w:hAnsi="David"/>
                <w:color w:val="000000" w:themeColor="text1"/>
                <w:szCs w:val="20"/>
                <w:rtl/>
              </w:rPr>
              <w:t>(10,274)</w:t>
            </w:r>
          </w:p>
        </w:tc>
        <w:tc>
          <w:tcPr>
            <w:tcW w:w="850" w:type="dxa"/>
            <w:tcBorders>
              <w:top w:val="single" w:sz="12" w:space="0" w:color="EEECE1" w:themeColor="background2"/>
              <w:bottom w:val="single" w:sz="12" w:space="0" w:color="EEECE1" w:themeColor="background2"/>
            </w:tcBorders>
            <w:shd w:val="clear" w:color="auto" w:fill="FFFFFF" w:themeFill="background1"/>
          </w:tcPr>
          <w:p w:rsidR="001A346B" w:rsidRPr="001916A9" w:rsidP="001916A9">
            <w:pPr>
              <w:spacing w:line="269" w:lineRule="auto"/>
              <w:jc w:val="left"/>
              <w:rPr>
                <w:rFonts w:ascii="David" w:hAnsi="David"/>
                <w:color w:val="000000" w:themeColor="text1"/>
                <w:szCs w:val="20"/>
                <w:rtl/>
              </w:rPr>
            </w:pPr>
            <w:r w:rsidRPr="001916A9">
              <w:rPr>
                <w:rFonts w:ascii="David" w:hAnsi="David"/>
                <w:color w:val="000000" w:themeColor="text1"/>
                <w:szCs w:val="20"/>
                <w:rtl/>
              </w:rPr>
              <w:t>6,181</w:t>
            </w:r>
          </w:p>
          <w:p w:rsidR="001A346B" w:rsidRPr="001916A9" w:rsidP="001916A9">
            <w:pPr>
              <w:spacing w:line="269" w:lineRule="auto"/>
              <w:jc w:val="left"/>
              <w:rPr>
                <w:rFonts w:ascii="David" w:eastAsia="Times New Roman" w:hAnsi="David"/>
                <w:color w:val="000000" w:themeColor="text1"/>
                <w:szCs w:val="20"/>
                <w:rtl/>
              </w:rPr>
            </w:pPr>
          </w:p>
        </w:tc>
        <w:tc>
          <w:tcPr>
            <w:tcW w:w="992"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tcPr>
          <w:p w:rsidR="001A346B" w:rsidRPr="001916A9" w:rsidP="001916A9">
            <w:pPr>
              <w:spacing w:line="269" w:lineRule="auto"/>
              <w:jc w:val="left"/>
              <w:rPr>
                <w:rFonts w:ascii="David" w:eastAsia="Times New Roman" w:hAnsi="David"/>
                <w:color w:val="000000" w:themeColor="text1"/>
                <w:szCs w:val="20"/>
                <w:rtl/>
              </w:rPr>
            </w:pPr>
            <w:r w:rsidRPr="001916A9">
              <w:rPr>
                <w:rFonts w:ascii="David" w:eastAsia="Times New Roman" w:hAnsi="David"/>
                <w:color w:val="000000" w:themeColor="text1"/>
                <w:szCs w:val="20"/>
                <w:rtl/>
              </w:rPr>
              <w:t>-</w:t>
            </w:r>
          </w:p>
        </w:tc>
        <w:tc>
          <w:tcPr>
            <w:tcW w:w="998"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tcPr>
          <w:p w:rsidR="001A346B" w:rsidRPr="001916A9" w:rsidP="001916A9">
            <w:pPr>
              <w:spacing w:line="269" w:lineRule="auto"/>
              <w:jc w:val="left"/>
              <w:rPr>
                <w:rFonts w:ascii="David" w:hAnsi="David"/>
                <w:color w:val="000000" w:themeColor="text1"/>
                <w:szCs w:val="20"/>
                <w:rtl/>
              </w:rPr>
            </w:pPr>
            <w:r w:rsidRPr="001916A9">
              <w:rPr>
                <w:rFonts w:ascii="David" w:hAnsi="David"/>
                <w:color w:val="000000" w:themeColor="text1"/>
                <w:szCs w:val="20"/>
                <w:rtl/>
              </w:rPr>
              <w:t>24,389</w:t>
            </w:r>
          </w:p>
        </w:tc>
      </w:tr>
      <w:tr w:rsidTr="00902020">
        <w:tblPrEx>
          <w:tblW w:w="9077" w:type="dxa"/>
          <w:jc w:val="center"/>
          <w:shd w:val="clear" w:color="auto" w:fill="FFFFFF" w:themeFill="background1"/>
          <w:tblLayout w:type="fixed"/>
          <w:tblCellMar>
            <w:left w:w="0" w:type="dxa"/>
            <w:right w:w="0" w:type="dxa"/>
          </w:tblCellMar>
          <w:tblLook w:val="04A0"/>
        </w:tblPrEx>
        <w:trPr>
          <w:trHeight w:hRule="exact" w:val="851"/>
          <w:jc w:val="center"/>
        </w:trPr>
        <w:tc>
          <w:tcPr>
            <w:tcW w:w="567" w:type="dxa"/>
            <w:tcBorders>
              <w:top w:val="single" w:sz="12" w:space="0" w:color="EEECE1" w:themeColor="background2"/>
              <w:left w:val="nil"/>
              <w:bottom w:val="single" w:sz="12" w:space="0" w:color="EEECE1" w:themeColor="background2"/>
              <w:right w:val="nil"/>
            </w:tcBorders>
            <w:shd w:val="clear" w:color="auto" w:fill="F0F6FE"/>
          </w:tcPr>
          <w:p w:rsidR="001A346B" w:rsidRPr="00B97E44" w:rsidP="001916A9">
            <w:pPr>
              <w:spacing w:line="269" w:lineRule="auto"/>
              <w:rPr>
                <w:noProof/>
                <w:rtl/>
              </w:rPr>
            </w:pPr>
            <w:r w:rsidRPr="00B97E44">
              <w:rPr>
                <w:noProof/>
              </w:rPr>
              <w:drawing>
                <wp:anchor distT="0" distB="0" distL="114300" distR="114300" simplePos="0" relativeHeight="251662336" behindDoc="0" locked="0" layoutInCell="1" allowOverlap="1">
                  <wp:simplePos x="0" y="0"/>
                  <wp:positionH relativeFrom="column">
                    <wp:posOffset>37465</wp:posOffset>
                  </wp:positionH>
                  <wp:positionV relativeFrom="paragraph">
                    <wp:posOffset>103505</wp:posOffset>
                  </wp:positionV>
                  <wp:extent cx="259080" cy="259080"/>
                  <wp:effectExtent l="0" t="0" r="7620" b="7620"/>
                  <wp:wrapNone/>
                  <wp:docPr id="64" name="תמונה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3"/>
                          <pic:cNvPicPr>
                            <a:picLocks noChangeAspect="1" noChangeArrowheads="1"/>
                          </pic:cNvPicPr>
                        </pic:nvPicPr>
                        <pic:blipFill>
                          <a:blip xmlns:r="http://schemas.openxmlformats.org/officeDocument/2006/relationships" r:embed="rId14" cstate="screen">
                            <a:clrChange>
                              <a:clrFrom>
                                <a:srgbClr val="F4F8FD"/>
                              </a:clrFrom>
                              <a:clrTo>
                                <a:srgbClr val="F4F8FD">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346B" w:rsidRPr="00B97E44" w:rsidP="001916A9">
            <w:pPr>
              <w:spacing w:line="269" w:lineRule="auto"/>
              <w:rPr>
                <w:rFonts w:ascii="Tahoma" w:eastAsia="Times New Roman" w:hAnsi="Tahoma" w:cs="Tahoma"/>
                <w:color w:val="A6A6A6" w:themeColor="background1" w:themeShade="A6"/>
                <w:sz w:val="16"/>
                <w:szCs w:val="16"/>
                <w:rtl/>
              </w:rPr>
            </w:pPr>
          </w:p>
          <w:p w:rsidR="001A346B" w:rsidRPr="00B97E44" w:rsidP="001916A9">
            <w:pPr>
              <w:spacing w:line="269" w:lineRule="auto"/>
              <w:rPr>
                <w:rFonts w:ascii="Tahoma" w:eastAsia="Times New Roman" w:hAnsi="Tahoma" w:cs="Tahoma"/>
                <w:color w:val="A6A6A6" w:themeColor="background1" w:themeShade="A6"/>
                <w:sz w:val="16"/>
                <w:szCs w:val="16"/>
                <w:rtl/>
              </w:rPr>
            </w:pPr>
          </w:p>
          <w:p w:rsidR="001A346B" w:rsidRPr="00B97E44" w:rsidP="001916A9">
            <w:pPr>
              <w:spacing w:line="269" w:lineRule="auto"/>
              <w:rPr>
                <w:rFonts w:ascii="Tahoma" w:eastAsia="Times New Roman" w:hAnsi="Tahoma" w:cs="Tahoma"/>
                <w:color w:val="A6A6A6" w:themeColor="background1" w:themeShade="A6"/>
                <w:sz w:val="16"/>
                <w:szCs w:val="16"/>
                <w:rtl/>
              </w:rPr>
            </w:pPr>
          </w:p>
          <w:p w:rsidR="001A346B" w:rsidRPr="00B97E44" w:rsidP="001916A9">
            <w:pPr>
              <w:spacing w:line="269" w:lineRule="auto"/>
              <w:rPr>
                <w:rFonts w:ascii="Tahoma" w:eastAsia="Times New Roman" w:hAnsi="Tahoma" w:cs="Tahoma"/>
                <w:color w:val="A6A6A6" w:themeColor="background1" w:themeShade="A6"/>
                <w:sz w:val="16"/>
                <w:szCs w:val="16"/>
                <w:rtl/>
              </w:rPr>
            </w:pPr>
          </w:p>
          <w:p w:rsidR="001A346B" w:rsidRPr="00B97E44" w:rsidP="001916A9">
            <w:pPr>
              <w:spacing w:line="269" w:lineRule="auto"/>
              <w:rPr>
                <w:rFonts w:ascii="Tahoma" w:eastAsia="Times New Roman" w:hAnsi="Tahoma" w:cs="Tahoma"/>
                <w:color w:val="A6A6A6" w:themeColor="background1" w:themeShade="A6"/>
                <w:sz w:val="16"/>
                <w:szCs w:val="16"/>
                <w:rtl/>
              </w:rPr>
            </w:pPr>
          </w:p>
          <w:p w:rsidR="001A346B" w:rsidRPr="00B97E44" w:rsidP="001916A9">
            <w:pPr>
              <w:spacing w:line="269" w:lineRule="auto"/>
              <w:rPr>
                <w:rFonts w:ascii="Tahoma" w:eastAsia="Times New Roman" w:hAnsi="Tahoma" w:cs="Tahoma"/>
                <w:color w:val="A6A6A6" w:themeColor="background1" w:themeShade="A6"/>
                <w:sz w:val="16"/>
                <w:szCs w:val="16"/>
                <w:rtl/>
              </w:rPr>
            </w:pPr>
          </w:p>
          <w:p w:rsidR="001A346B" w:rsidRPr="00B97E44" w:rsidP="001916A9">
            <w:pPr>
              <w:spacing w:line="269" w:lineRule="auto"/>
              <w:rPr>
                <w:rFonts w:ascii="Tahoma" w:eastAsia="Times New Roman" w:hAnsi="Tahoma" w:cs="Tahoma"/>
                <w:color w:val="A6A6A6" w:themeColor="background1" w:themeShade="A6"/>
                <w:sz w:val="16"/>
                <w:szCs w:val="16"/>
                <w:rtl/>
              </w:rPr>
            </w:pPr>
          </w:p>
          <w:p w:rsidR="001A346B" w:rsidRPr="00B97E44" w:rsidP="001916A9">
            <w:pPr>
              <w:spacing w:line="269" w:lineRule="auto"/>
              <w:rPr>
                <w:rFonts w:ascii="Tahoma" w:eastAsia="Times New Roman" w:hAnsi="Tahoma" w:cs="Tahoma"/>
                <w:color w:val="A6A6A6" w:themeColor="background1" w:themeShade="A6"/>
                <w:sz w:val="16"/>
                <w:szCs w:val="16"/>
                <w:rtl/>
              </w:rPr>
            </w:pPr>
          </w:p>
        </w:tc>
        <w:tc>
          <w:tcPr>
            <w:tcW w:w="1275" w:type="dxa"/>
            <w:tcBorders>
              <w:top w:val="single" w:sz="12" w:space="0" w:color="EEECE1" w:themeColor="background2"/>
              <w:left w:val="nil"/>
              <w:bottom w:val="single" w:sz="12" w:space="0" w:color="EEECE1" w:themeColor="background2"/>
            </w:tcBorders>
            <w:shd w:val="clear" w:color="auto" w:fill="F0F6FE"/>
            <w:tcMar>
              <w:top w:w="0" w:type="dxa"/>
              <w:left w:w="108" w:type="dxa"/>
              <w:bottom w:w="0" w:type="dxa"/>
              <w:right w:w="108" w:type="dxa"/>
            </w:tcMar>
            <w:vAlign w:val="center"/>
            <w:hideMark/>
          </w:tcPr>
          <w:p w:rsidR="001A346B" w:rsidRPr="001916A9" w:rsidP="001916A9">
            <w:pPr>
              <w:spacing w:line="269" w:lineRule="auto"/>
              <w:jc w:val="center"/>
              <w:rPr>
                <w:rFonts w:ascii="David" w:eastAsia="Times New Roman" w:hAnsi="David"/>
                <w:color w:val="808080" w:themeColor="background1" w:themeShade="80"/>
                <w:szCs w:val="20"/>
                <w:rtl/>
              </w:rPr>
            </w:pPr>
            <w:r w:rsidRPr="001916A9">
              <w:rPr>
                <w:rFonts w:ascii="David" w:eastAsia="Times New Roman" w:hAnsi="David"/>
                <w:color w:val="808080" w:themeColor="background1" w:themeShade="80"/>
                <w:szCs w:val="20"/>
                <w:rtl/>
              </w:rPr>
              <w:t>שיעור הגירעון</w:t>
            </w:r>
            <w:r w:rsidRPr="001916A9">
              <w:rPr>
                <w:rFonts w:ascii="David" w:eastAsia="Times New Roman" w:hAnsi="David"/>
                <w:color w:val="808080" w:themeColor="background1" w:themeShade="80"/>
                <w:szCs w:val="20"/>
                <w:rtl/>
              </w:rPr>
              <w:br/>
              <w:t>המצטבר</w:t>
            </w:r>
          </w:p>
        </w:tc>
        <w:tc>
          <w:tcPr>
            <w:tcW w:w="851" w:type="dxa"/>
            <w:tcBorders>
              <w:top w:val="single" w:sz="12" w:space="0" w:color="EEECE1" w:themeColor="background2"/>
              <w:bottom w:val="single" w:sz="12" w:space="0" w:color="EEECE1" w:themeColor="background2"/>
            </w:tcBorders>
            <w:shd w:val="clear" w:color="auto" w:fill="FFFFFF" w:themeFill="background1"/>
          </w:tcPr>
          <w:p w:rsidR="001A346B" w:rsidRPr="001916A9" w:rsidP="001916A9">
            <w:pPr>
              <w:spacing w:line="269" w:lineRule="auto"/>
              <w:jc w:val="left"/>
              <w:rPr>
                <w:rFonts w:ascii="David" w:eastAsia="Times New Roman" w:hAnsi="David"/>
                <w:color w:val="222222"/>
                <w:szCs w:val="20"/>
                <w:rtl/>
              </w:rPr>
            </w:pPr>
            <w:r w:rsidRPr="001916A9">
              <w:rPr>
                <w:rFonts w:ascii="David" w:eastAsia="Times New Roman" w:hAnsi="David"/>
                <w:color w:val="222222"/>
                <w:szCs w:val="20"/>
                <w:rtl/>
              </w:rPr>
              <w:t>5.1%</w:t>
            </w:r>
          </w:p>
        </w:tc>
        <w:tc>
          <w:tcPr>
            <w:tcW w:w="850" w:type="dxa"/>
            <w:tcBorders>
              <w:top w:val="single" w:sz="12" w:space="0" w:color="EEECE1" w:themeColor="background2"/>
              <w:bottom w:val="single" w:sz="12" w:space="0" w:color="EEECE1" w:themeColor="background2"/>
            </w:tcBorders>
            <w:shd w:val="clear" w:color="auto" w:fill="FFFFFF" w:themeFill="background1"/>
          </w:tcPr>
          <w:p w:rsidR="001A346B" w:rsidRPr="001916A9" w:rsidP="001916A9">
            <w:pPr>
              <w:spacing w:line="269" w:lineRule="auto"/>
              <w:jc w:val="left"/>
              <w:rPr>
                <w:rFonts w:ascii="David" w:eastAsia="Times New Roman" w:hAnsi="David"/>
                <w:color w:val="222222"/>
                <w:szCs w:val="20"/>
                <w:rtl/>
              </w:rPr>
            </w:pPr>
            <w:r w:rsidRPr="001916A9">
              <w:rPr>
                <w:rFonts w:ascii="David" w:eastAsia="Times New Roman" w:hAnsi="David"/>
                <w:color w:val="222222"/>
                <w:szCs w:val="20"/>
                <w:rtl/>
              </w:rPr>
              <w:t>3.4%</w:t>
            </w:r>
          </w:p>
        </w:tc>
        <w:tc>
          <w:tcPr>
            <w:tcW w:w="851" w:type="dxa"/>
            <w:tcBorders>
              <w:top w:val="single" w:sz="12" w:space="0" w:color="EEECE1" w:themeColor="background2"/>
              <w:bottom w:val="single" w:sz="12" w:space="0" w:color="EEECE1" w:themeColor="background2"/>
            </w:tcBorders>
            <w:shd w:val="clear" w:color="auto" w:fill="FFFFFF" w:themeFill="background1"/>
          </w:tcPr>
          <w:p w:rsidR="001A346B" w:rsidRPr="001916A9" w:rsidP="001916A9">
            <w:pPr>
              <w:spacing w:line="269" w:lineRule="auto"/>
              <w:jc w:val="left"/>
              <w:rPr>
                <w:rFonts w:ascii="David" w:eastAsia="Times New Roman" w:hAnsi="David"/>
                <w:color w:val="222222"/>
                <w:szCs w:val="20"/>
                <w:rtl/>
              </w:rPr>
            </w:pPr>
            <w:r w:rsidRPr="001916A9">
              <w:rPr>
                <w:rFonts w:ascii="David" w:eastAsia="Times New Roman" w:hAnsi="David"/>
                <w:color w:val="222222"/>
                <w:szCs w:val="20"/>
                <w:rtl/>
              </w:rPr>
              <w:t>6.6%</w:t>
            </w:r>
          </w:p>
        </w:tc>
        <w:tc>
          <w:tcPr>
            <w:tcW w:w="992"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tcPr>
          <w:p w:rsidR="001A346B" w:rsidRPr="001916A9" w:rsidP="001916A9">
            <w:pPr>
              <w:spacing w:line="269" w:lineRule="auto"/>
              <w:jc w:val="left"/>
              <w:rPr>
                <w:rFonts w:ascii="David" w:eastAsia="Times New Roman" w:hAnsi="David"/>
                <w:color w:val="222222"/>
                <w:szCs w:val="20"/>
                <w:rtl/>
              </w:rPr>
            </w:pPr>
            <w:r w:rsidRPr="001916A9">
              <w:rPr>
                <w:rFonts w:ascii="David" w:eastAsia="Times New Roman" w:hAnsi="David"/>
                <w:color w:val="222222"/>
                <w:szCs w:val="20"/>
                <w:rtl/>
              </w:rPr>
              <w:t>3.4%</w:t>
            </w:r>
          </w:p>
        </w:tc>
        <w:tc>
          <w:tcPr>
            <w:tcW w:w="851"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tcPr>
          <w:p w:rsidR="001A346B" w:rsidRPr="001916A9" w:rsidP="001916A9">
            <w:pPr>
              <w:spacing w:line="269" w:lineRule="auto"/>
              <w:jc w:val="left"/>
              <w:rPr>
                <w:rFonts w:ascii="David" w:eastAsia="Times New Roman" w:hAnsi="David"/>
                <w:color w:val="222222"/>
                <w:szCs w:val="20"/>
                <w:rtl/>
              </w:rPr>
            </w:pPr>
            <w:r w:rsidRPr="001916A9">
              <w:rPr>
                <w:rFonts w:ascii="David" w:eastAsia="Times New Roman" w:hAnsi="David"/>
                <w:color w:val="222222"/>
                <w:szCs w:val="20"/>
                <w:rtl/>
              </w:rPr>
              <w:t>4.3%</w:t>
            </w:r>
          </w:p>
        </w:tc>
        <w:tc>
          <w:tcPr>
            <w:tcW w:w="850" w:type="dxa"/>
            <w:tcBorders>
              <w:top w:val="single" w:sz="12" w:space="0" w:color="EEECE1" w:themeColor="background2"/>
              <w:bottom w:val="single" w:sz="12" w:space="0" w:color="EEECE1" w:themeColor="background2"/>
            </w:tcBorders>
            <w:shd w:val="clear" w:color="auto" w:fill="FFFFFF" w:themeFill="background1"/>
          </w:tcPr>
          <w:p w:rsidR="001A346B" w:rsidRPr="001916A9" w:rsidP="001916A9">
            <w:pPr>
              <w:spacing w:line="269" w:lineRule="auto"/>
              <w:jc w:val="left"/>
              <w:rPr>
                <w:rFonts w:ascii="David" w:eastAsia="Times New Roman" w:hAnsi="David"/>
                <w:color w:val="222222"/>
                <w:szCs w:val="20"/>
                <w:rtl/>
              </w:rPr>
            </w:pPr>
            <w:r w:rsidRPr="001916A9">
              <w:rPr>
                <w:rFonts w:ascii="David" w:eastAsia="Times New Roman" w:hAnsi="David"/>
                <w:color w:val="222222"/>
                <w:szCs w:val="20"/>
                <w:rtl/>
              </w:rPr>
              <w:t>-</w:t>
            </w:r>
          </w:p>
          <w:p w:rsidR="001A346B" w:rsidRPr="001916A9" w:rsidP="001916A9">
            <w:pPr>
              <w:spacing w:line="269" w:lineRule="auto"/>
              <w:jc w:val="left"/>
              <w:rPr>
                <w:rFonts w:ascii="David" w:eastAsia="Times New Roman" w:hAnsi="David"/>
                <w:color w:val="222222"/>
                <w:szCs w:val="20"/>
                <w:rtl/>
              </w:rPr>
            </w:pPr>
          </w:p>
          <w:p w:rsidR="001A346B" w:rsidRPr="001916A9" w:rsidP="001916A9">
            <w:pPr>
              <w:spacing w:line="269" w:lineRule="auto"/>
              <w:jc w:val="left"/>
              <w:rPr>
                <w:rFonts w:ascii="David" w:eastAsia="Times New Roman" w:hAnsi="David"/>
                <w:color w:val="222222"/>
                <w:szCs w:val="20"/>
                <w:rtl/>
              </w:rPr>
            </w:pPr>
          </w:p>
        </w:tc>
        <w:tc>
          <w:tcPr>
            <w:tcW w:w="992"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tcPr>
          <w:p w:rsidR="001A346B" w:rsidRPr="001916A9" w:rsidP="001916A9">
            <w:pPr>
              <w:spacing w:line="269" w:lineRule="auto"/>
              <w:jc w:val="left"/>
              <w:rPr>
                <w:rFonts w:ascii="David" w:eastAsia="Times New Roman" w:hAnsi="David"/>
                <w:color w:val="222222"/>
                <w:szCs w:val="20"/>
                <w:rtl/>
              </w:rPr>
            </w:pPr>
            <w:r w:rsidRPr="001916A9">
              <w:rPr>
                <w:rFonts w:ascii="David" w:eastAsia="Times New Roman" w:hAnsi="David"/>
                <w:color w:val="222222"/>
                <w:szCs w:val="20"/>
                <w:rtl/>
              </w:rPr>
              <w:t>-</w:t>
            </w:r>
          </w:p>
        </w:tc>
        <w:tc>
          <w:tcPr>
            <w:tcW w:w="998"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tcPr>
          <w:p w:rsidR="001A346B" w:rsidRPr="001916A9" w:rsidP="001916A9">
            <w:pPr>
              <w:spacing w:line="269" w:lineRule="auto"/>
              <w:jc w:val="left"/>
              <w:rPr>
                <w:rFonts w:ascii="David" w:eastAsia="Times New Roman" w:hAnsi="David"/>
                <w:color w:val="222222"/>
                <w:szCs w:val="20"/>
                <w:rtl/>
              </w:rPr>
            </w:pPr>
            <w:r w:rsidRPr="001916A9">
              <w:rPr>
                <w:rFonts w:ascii="David" w:eastAsia="Times New Roman" w:hAnsi="David"/>
                <w:color w:val="222222"/>
                <w:szCs w:val="20"/>
                <w:rtl/>
              </w:rPr>
              <w:t>-</w:t>
            </w:r>
          </w:p>
          <w:p w:rsidR="001A346B" w:rsidRPr="001916A9" w:rsidP="001916A9">
            <w:pPr>
              <w:spacing w:line="269" w:lineRule="auto"/>
              <w:jc w:val="left"/>
              <w:rPr>
                <w:rFonts w:ascii="David" w:eastAsia="Times New Roman" w:hAnsi="David"/>
                <w:color w:val="222222"/>
                <w:szCs w:val="20"/>
                <w:rtl/>
              </w:rPr>
            </w:pPr>
          </w:p>
        </w:tc>
      </w:tr>
      <w:tr w:rsidTr="00902020">
        <w:tblPrEx>
          <w:tblW w:w="9077" w:type="dxa"/>
          <w:jc w:val="center"/>
          <w:shd w:val="clear" w:color="auto" w:fill="FFFFFF" w:themeFill="background1"/>
          <w:tblLayout w:type="fixed"/>
          <w:tblCellMar>
            <w:left w:w="0" w:type="dxa"/>
            <w:right w:w="0" w:type="dxa"/>
          </w:tblCellMar>
          <w:tblLook w:val="04A0"/>
        </w:tblPrEx>
        <w:trPr>
          <w:trHeight w:hRule="exact" w:val="743"/>
          <w:jc w:val="center"/>
        </w:trPr>
        <w:tc>
          <w:tcPr>
            <w:tcW w:w="567" w:type="dxa"/>
            <w:tcBorders>
              <w:top w:val="single" w:sz="12" w:space="0" w:color="EEECE1" w:themeColor="background2"/>
              <w:left w:val="nil"/>
              <w:bottom w:val="single" w:sz="12" w:space="0" w:color="EEECE1" w:themeColor="background2"/>
              <w:right w:val="nil"/>
            </w:tcBorders>
            <w:shd w:val="clear" w:color="auto" w:fill="F0F6FE"/>
          </w:tcPr>
          <w:p w:rsidR="001A346B" w:rsidRPr="00B97E44" w:rsidP="001916A9">
            <w:pPr>
              <w:spacing w:line="269" w:lineRule="auto"/>
              <w:jc w:val="center"/>
              <w:rPr>
                <w:noProof/>
                <w:sz w:val="16"/>
                <w:szCs w:val="16"/>
              </w:rPr>
            </w:pPr>
            <w:r w:rsidRPr="00B97E44">
              <w:rPr>
                <w:noProof/>
                <w:sz w:val="16"/>
                <w:szCs w:val="16"/>
              </w:rPr>
              <w:drawing>
                <wp:anchor distT="0" distB="0" distL="114300" distR="114300" simplePos="0" relativeHeight="251669504" behindDoc="0" locked="0" layoutInCell="1" allowOverlap="1">
                  <wp:simplePos x="0" y="0"/>
                  <wp:positionH relativeFrom="column">
                    <wp:posOffset>0</wp:posOffset>
                  </wp:positionH>
                  <wp:positionV relativeFrom="paragraph">
                    <wp:posOffset>38735</wp:posOffset>
                  </wp:positionV>
                  <wp:extent cx="228600" cy="210565"/>
                  <wp:effectExtent l="0" t="0" r="0" b="0"/>
                  <wp:wrapThrough wrapText="bothSides">
                    <wp:wrapPolygon>
                      <wp:start x="0" y="0"/>
                      <wp:lineTo x="0" y="19577"/>
                      <wp:lineTo x="19800" y="19577"/>
                      <wp:lineTo x="19800" y="13704"/>
                      <wp:lineTo x="16200" y="0"/>
                      <wp:lineTo x="0" y="0"/>
                    </wp:wrapPolygon>
                  </wp:wrapThrough>
                  <wp:docPr id="65" name="תמונה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003.png"/>
                          <pic:cNvPicPr/>
                        </pic:nvPicPr>
                        <pic:blipFill>
                          <a:blip xmlns:r="http://schemas.openxmlformats.org/officeDocument/2006/relationships" r:embed="rId15" cstate="screen">
                            <a:lum bright="70000" contrast="-70000"/>
                            <a:extLst>
                              <a:ext xmlns:a="http://schemas.openxmlformats.org/drawingml/2006/main" uri="{BEBA8EAE-BF5A-486C-A8C5-ECC9F3942E4B}">
                                <a14:imgProps xmlns:a14="http://schemas.microsoft.com/office/drawing/2010/main">
                                  <a14:imgLayer>
                                    <a14:imgEffect>
                                      <a14:saturation sat="200000"/>
                                    </a14:imgEffect>
                                  </a14:imgLayer>
                                </a14:imgProps>
                              </a:ext>
                              <a:ext xmlns:a="http://schemas.openxmlformats.org/drawingml/2006/main" uri="{28A0092B-C50C-407E-A947-70E740481C1C}">
                                <a14:useLocalDpi xmlns:a14="http://schemas.microsoft.com/office/drawing/2010/main" val="0"/>
                              </a:ext>
                            </a:extLst>
                          </a:blip>
                          <a:stretch>
                            <a:fillRect/>
                          </a:stretch>
                        </pic:blipFill>
                        <pic:spPr>
                          <a:xfrm>
                            <a:off x="0" y="0"/>
                            <a:ext cx="228600" cy="210565"/>
                          </a:xfrm>
                          <a:prstGeom prst="rect">
                            <a:avLst/>
                          </a:prstGeom>
                          <a:ln>
                            <a:noFill/>
                          </a:ln>
                          <a:effectLst>
                            <a:softEdge rad="0"/>
                          </a:effectLst>
                        </pic:spPr>
                      </pic:pic>
                    </a:graphicData>
                  </a:graphic>
                  <wp14:sizeRelH relativeFrom="page">
                    <wp14:pctWidth>0</wp14:pctWidth>
                  </wp14:sizeRelH>
                  <wp14:sizeRelV relativeFrom="page">
                    <wp14:pctHeight>0</wp14:pctHeight>
                  </wp14:sizeRelV>
                </wp:anchor>
              </w:drawing>
            </w:r>
          </w:p>
        </w:tc>
        <w:tc>
          <w:tcPr>
            <w:tcW w:w="1275" w:type="dxa"/>
            <w:tcBorders>
              <w:top w:val="single" w:sz="12" w:space="0" w:color="EEECE1" w:themeColor="background2"/>
              <w:left w:val="nil"/>
              <w:bottom w:val="single" w:sz="12" w:space="0" w:color="EEECE1" w:themeColor="background2"/>
            </w:tcBorders>
            <w:shd w:val="clear" w:color="auto" w:fill="F0F6FE"/>
            <w:tcMar>
              <w:top w:w="0" w:type="dxa"/>
              <w:left w:w="108" w:type="dxa"/>
              <w:bottom w:w="0" w:type="dxa"/>
              <w:right w:w="108" w:type="dxa"/>
            </w:tcMar>
          </w:tcPr>
          <w:p w:rsidR="001A346B" w:rsidRPr="001916A9" w:rsidP="001916A9">
            <w:pPr>
              <w:spacing w:line="269" w:lineRule="auto"/>
              <w:jc w:val="center"/>
              <w:rPr>
                <w:rFonts w:ascii="David" w:eastAsia="Times New Roman" w:hAnsi="David"/>
                <w:color w:val="222222"/>
                <w:szCs w:val="20"/>
              </w:rPr>
            </w:pPr>
            <w:r w:rsidRPr="001916A9">
              <w:rPr>
                <w:rFonts w:ascii="David" w:eastAsia="Times New Roman" w:hAnsi="David"/>
                <w:color w:val="808080" w:themeColor="background1" w:themeShade="80"/>
                <w:szCs w:val="20"/>
                <w:rtl/>
              </w:rPr>
              <w:t xml:space="preserve">יחס </w:t>
            </w:r>
            <w:r w:rsidR="007F3DE7">
              <w:rPr>
                <w:rFonts w:ascii="David" w:eastAsia="Times New Roman" w:hAnsi="David" w:hint="cs"/>
                <w:color w:val="808080" w:themeColor="background1" w:themeShade="80"/>
                <w:szCs w:val="20"/>
                <w:rtl/>
              </w:rPr>
              <w:t>ה</w:t>
            </w:r>
            <w:r w:rsidRPr="001916A9">
              <w:rPr>
                <w:rFonts w:ascii="David" w:eastAsia="Times New Roman" w:hAnsi="David"/>
                <w:color w:val="808080" w:themeColor="background1" w:themeShade="80"/>
                <w:szCs w:val="20"/>
                <w:rtl/>
              </w:rPr>
              <w:t>תלות ל-1,000 תושבים</w:t>
            </w:r>
          </w:p>
        </w:tc>
        <w:tc>
          <w:tcPr>
            <w:tcW w:w="851" w:type="dxa"/>
            <w:tcBorders>
              <w:top w:val="single" w:sz="12" w:space="0" w:color="EEECE1" w:themeColor="background2"/>
              <w:bottom w:val="single" w:sz="12" w:space="0" w:color="EEECE1" w:themeColor="background2"/>
            </w:tcBorders>
            <w:shd w:val="clear" w:color="auto" w:fill="FFFFFF" w:themeFill="background1"/>
          </w:tcPr>
          <w:p w:rsidR="001A346B" w:rsidRPr="001916A9" w:rsidP="001916A9">
            <w:pPr>
              <w:spacing w:line="269" w:lineRule="auto"/>
              <w:jc w:val="left"/>
              <w:rPr>
                <w:rFonts w:ascii="David" w:eastAsia="Times New Roman" w:hAnsi="David"/>
                <w:color w:val="222222"/>
                <w:szCs w:val="20"/>
                <w:rtl/>
              </w:rPr>
            </w:pPr>
            <w:r w:rsidRPr="001916A9">
              <w:rPr>
                <w:rFonts w:ascii="David" w:eastAsia="Times New Roman" w:hAnsi="David"/>
                <w:color w:val="222222"/>
                <w:szCs w:val="20"/>
                <w:rtl/>
              </w:rPr>
              <w:t>983</w:t>
            </w:r>
          </w:p>
        </w:tc>
        <w:tc>
          <w:tcPr>
            <w:tcW w:w="850" w:type="dxa"/>
            <w:tcBorders>
              <w:top w:val="single" w:sz="12" w:space="0" w:color="EEECE1" w:themeColor="background2"/>
              <w:bottom w:val="single" w:sz="12" w:space="0" w:color="EEECE1" w:themeColor="background2"/>
            </w:tcBorders>
            <w:shd w:val="clear" w:color="auto" w:fill="FFFFFF" w:themeFill="background1"/>
          </w:tcPr>
          <w:p w:rsidR="001A346B" w:rsidRPr="001916A9" w:rsidP="001916A9">
            <w:pPr>
              <w:spacing w:line="269" w:lineRule="auto"/>
              <w:jc w:val="left"/>
              <w:rPr>
                <w:rFonts w:ascii="David" w:eastAsia="Times New Roman" w:hAnsi="David"/>
                <w:color w:val="222222"/>
                <w:szCs w:val="20"/>
                <w:rtl/>
              </w:rPr>
            </w:pPr>
            <w:r w:rsidRPr="001916A9">
              <w:rPr>
                <w:rFonts w:ascii="David" w:eastAsia="Times New Roman" w:hAnsi="David"/>
                <w:color w:val="222222"/>
                <w:szCs w:val="20"/>
                <w:rtl/>
              </w:rPr>
              <w:t>1,036</w:t>
            </w:r>
          </w:p>
        </w:tc>
        <w:tc>
          <w:tcPr>
            <w:tcW w:w="851" w:type="dxa"/>
            <w:tcBorders>
              <w:top w:val="single" w:sz="12" w:space="0" w:color="EEECE1" w:themeColor="background2"/>
              <w:bottom w:val="single" w:sz="12" w:space="0" w:color="EEECE1" w:themeColor="background2"/>
            </w:tcBorders>
            <w:shd w:val="clear" w:color="auto" w:fill="FFFFFF" w:themeFill="background1"/>
          </w:tcPr>
          <w:p w:rsidR="001A346B" w:rsidRPr="001916A9" w:rsidP="001916A9">
            <w:pPr>
              <w:spacing w:line="269" w:lineRule="auto"/>
              <w:jc w:val="left"/>
              <w:rPr>
                <w:rFonts w:ascii="David" w:eastAsia="Times New Roman" w:hAnsi="David"/>
                <w:color w:val="222222"/>
                <w:szCs w:val="20"/>
                <w:rtl/>
              </w:rPr>
            </w:pPr>
            <w:r w:rsidRPr="001916A9">
              <w:rPr>
                <w:rFonts w:ascii="David" w:eastAsia="Times New Roman" w:hAnsi="David"/>
                <w:color w:val="222222"/>
                <w:szCs w:val="20"/>
                <w:rtl/>
              </w:rPr>
              <w:t>769</w:t>
            </w:r>
          </w:p>
        </w:tc>
        <w:tc>
          <w:tcPr>
            <w:tcW w:w="992"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tcPr>
          <w:p w:rsidR="001A346B" w:rsidRPr="001916A9" w:rsidP="001916A9">
            <w:pPr>
              <w:spacing w:line="269" w:lineRule="auto"/>
              <w:jc w:val="left"/>
              <w:rPr>
                <w:rFonts w:ascii="David" w:eastAsia="Times New Roman" w:hAnsi="David"/>
                <w:color w:val="222222"/>
                <w:szCs w:val="20"/>
                <w:rtl/>
              </w:rPr>
            </w:pPr>
            <w:r w:rsidRPr="001916A9">
              <w:rPr>
                <w:rFonts w:ascii="David" w:eastAsia="Times New Roman" w:hAnsi="David"/>
                <w:color w:val="222222"/>
                <w:szCs w:val="20"/>
                <w:rtl/>
              </w:rPr>
              <w:t>1067</w:t>
            </w:r>
          </w:p>
        </w:tc>
        <w:tc>
          <w:tcPr>
            <w:tcW w:w="851"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tcPr>
          <w:p w:rsidR="001A346B" w:rsidRPr="001916A9" w:rsidP="001916A9">
            <w:pPr>
              <w:spacing w:line="269" w:lineRule="auto"/>
              <w:jc w:val="left"/>
              <w:rPr>
                <w:rFonts w:ascii="David" w:eastAsia="Times New Roman" w:hAnsi="David"/>
                <w:color w:val="222222"/>
                <w:szCs w:val="20"/>
                <w:rtl/>
              </w:rPr>
            </w:pPr>
            <w:r w:rsidRPr="001916A9">
              <w:rPr>
                <w:rFonts w:ascii="David" w:eastAsia="Times New Roman" w:hAnsi="David"/>
                <w:color w:val="222222"/>
                <w:szCs w:val="20"/>
                <w:rtl/>
              </w:rPr>
              <w:t>1031</w:t>
            </w:r>
          </w:p>
        </w:tc>
        <w:tc>
          <w:tcPr>
            <w:tcW w:w="850" w:type="dxa"/>
            <w:tcBorders>
              <w:top w:val="single" w:sz="12" w:space="0" w:color="EEECE1" w:themeColor="background2"/>
              <w:bottom w:val="single" w:sz="12" w:space="0" w:color="EEECE1" w:themeColor="background2"/>
            </w:tcBorders>
            <w:shd w:val="clear" w:color="auto" w:fill="FFFFFF" w:themeFill="background1"/>
          </w:tcPr>
          <w:p w:rsidR="001A346B" w:rsidRPr="001916A9" w:rsidP="001916A9">
            <w:pPr>
              <w:spacing w:line="269" w:lineRule="auto"/>
              <w:jc w:val="left"/>
              <w:rPr>
                <w:rFonts w:ascii="David" w:eastAsia="Times New Roman" w:hAnsi="David"/>
                <w:color w:val="222222"/>
                <w:szCs w:val="20"/>
                <w:rtl/>
              </w:rPr>
            </w:pPr>
            <w:r w:rsidRPr="001916A9">
              <w:rPr>
                <w:rFonts w:ascii="David" w:eastAsia="Times New Roman" w:hAnsi="David"/>
                <w:color w:val="222222"/>
                <w:szCs w:val="20"/>
                <w:rtl/>
              </w:rPr>
              <w:t>980</w:t>
            </w:r>
          </w:p>
        </w:tc>
        <w:tc>
          <w:tcPr>
            <w:tcW w:w="992"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tcPr>
          <w:p w:rsidR="001A346B" w:rsidRPr="001916A9" w:rsidP="001916A9">
            <w:pPr>
              <w:spacing w:line="269" w:lineRule="auto"/>
              <w:jc w:val="left"/>
              <w:rPr>
                <w:rFonts w:ascii="David" w:eastAsia="Times New Roman" w:hAnsi="David"/>
                <w:color w:val="222222"/>
                <w:szCs w:val="20"/>
                <w:rtl/>
              </w:rPr>
            </w:pPr>
            <w:r w:rsidRPr="001916A9">
              <w:rPr>
                <w:rFonts w:ascii="David" w:eastAsia="Times New Roman" w:hAnsi="David"/>
                <w:color w:val="222222"/>
                <w:szCs w:val="20"/>
                <w:rtl/>
              </w:rPr>
              <w:t>1083</w:t>
            </w:r>
          </w:p>
        </w:tc>
        <w:tc>
          <w:tcPr>
            <w:tcW w:w="998"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tcPr>
          <w:p w:rsidR="001A346B" w:rsidRPr="001916A9" w:rsidP="001916A9">
            <w:pPr>
              <w:spacing w:line="269" w:lineRule="auto"/>
              <w:jc w:val="left"/>
              <w:rPr>
                <w:rFonts w:ascii="David" w:eastAsia="Times New Roman" w:hAnsi="David"/>
                <w:color w:val="222222"/>
                <w:szCs w:val="20"/>
                <w:rtl/>
              </w:rPr>
            </w:pPr>
            <w:r w:rsidRPr="001916A9">
              <w:rPr>
                <w:rFonts w:ascii="David" w:eastAsia="Times New Roman" w:hAnsi="David"/>
                <w:color w:val="222222"/>
                <w:szCs w:val="20"/>
                <w:rtl/>
              </w:rPr>
              <w:t>885</w:t>
            </w:r>
          </w:p>
        </w:tc>
      </w:tr>
      <w:tr w:rsidTr="00902020">
        <w:tblPrEx>
          <w:tblW w:w="9077" w:type="dxa"/>
          <w:jc w:val="center"/>
          <w:shd w:val="clear" w:color="auto" w:fill="FFFFFF" w:themeFill="background1"/>
          <w:tblLayout w:type="fixed"/>
          <w:tblCellMar>
            <w:left w:w="0" w:type="dxa"/>
            <w:right w:w="0" w:type="dxa"/>
          </w:tblCellMar>
          <w:tblLook w:val="04A0"/>
        </w:tblPrEx>
        <w:trPr>
          <w:trHeight w:hRule="exact" w:val="539"/>
          <w:jc w:val="center"/>
        </w:trPr>
        <w:tc>
          <w:tcPr>
            <w:tcW w:w="567" w:type="dxa"/>
            <w:tcBorders>
              <w:top w:val="single" w:sz="12" w:space="0" w:color="EEECE1" w:themeColor="background2"/>
              <w:left w:val="nil"/>
              <w:bottom w:val="single" w:sz="12" w:space="0" w:color="EEECE1" w:themeColor="background2"/>
              <w:right w:val="nil"/>
            </w:tcBorders>
            <w:shd w:val="clear" w:color="auto" w:fill="F0F6FE"/>
          </w:tcPr>
          <w:p w:rsidR="001A346B" w:rsidRPr="00B97E44" w:rsidP="001916A9">
            <w:pPr>
              <w:spacing w:line="269" w:lineRule="auto"/>
              <w:rPr>
                <w:noProof/>
                <w:sz w:val="16"/>
                <w:szCs w:val="16"/>
                <w:rtl/>
              </w:rPr>
            </w:pPr>
            <w:r w:rsidRPr="00B97E44">
              <w:rPr>
                <w:noProof/>
                <w:sz w:val="16"/>
                <w:szCs w:val="16"/>
              </w:rPr>
              <w:drawing>
                <wp:anchor distT="0" distB="0" distL="114300" distR="114300" simplePos="0" relativeHeight="251671552" behindDoc="0" locked="0" layoutInCell="1" allowOverlap="1">
                  <wp:simplePos x="0" y="0"/>
                  <wp:positionH relativeFrom="column">
                    <wp:posOffset>0</wp:posOffset>
                  </wp:positionH>
                  <wp:positionV relativeFrom="paragraph">
                    <wp:posOffset>81280</wp:posOffset>
                  </wp:positionV>
                  <wp:extent cx="256540" cy="225428"/>
                  <wp:effectExtent l="0" t="0" r="0" b="3175"/>
                  <wp:wrapThrough wrapText="bothSides">
                    <wp:wrapPolygon>
                      <wp:start x="4812" y="0"/>
                      <wp:lineTo x="0" y="7301"/>
                      <wp:lineTo x="0" y="20079"/>
                      <wp:lineTo x="19248" y="20079"/>
                      <wp:lineTo x="19248" y="7301"/>
                      <wp:lineTo x="14436" y="0"/>
                      <wp:lineTo x="4812" y="0"/>
                    </wp:wrapPolygon>
                  </wp:wrapThrough>
                  <wp:docPr id="66" name="תמונה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
                          <pic:cNvPicPr>
                            <a:picLocks noChangeAspect="1" noChangeArrowheads="1"/>
                          </pic:cNvPicPr>
                        </pic:nvPicPr>
                        <pic:blipFill>
                          <a:blip xmlns:r="http://schemas.openxmlformats.org/officeDocument/2006/relationships" r:embed="rId16" cstate="screen">
                            <a:extLst>
                              <a:ext xmlns:a="http://schemas.openxmlformats.org/drawingml/2006/main" uri="{BEBA8EAE-BF5A-486C-A8C5-ECC9F3942E4B}">
                                <a14:imgProps xmlns:a14="http://schemas.microsoft.com/office/drawing/2010/main">
                                  <a14:imgLayer>
                                    <a14:imgEffect>
                                      <a14:artisticPhotocopy/>
                                    </a14:imgEffect>
                                  </a14:imgLayer>
                                </a14:imgProps>
                              </a:ext>
                              <a:ext xmlns:a="http://schemas.openxmlformats.org/drawingml/2006/main" uri="{28A0092B-C50C-407E-A947-70E740481C1C}">
                                <a14:useLocalDpi xmlns:a14="http://schemas.microsoft.com/office/drawing/2010/main" val="0"/>
                              </a:ext>
                            </a:extLst>
                          </a:blip>
                          <a:stretch>
                            <a:fillRect/>
                          </a:stretch>
                        </pic:blipFill>
                        <pic:spPr bwMode="auto">
                          <a:xfrm>
                            <a:off x="0" y="0"/>
                            <a:ext cx="256540" cy="225428"/>
                          </a:xfrm>
                          <a:prstGeom prst="rect">
                            <a:avLst/>
                          </a:prstGeom>
                          <a:noFill/>
                        </pic:spPr>
                      </pic:pic>
                    </a:graphicData>
                  </a:graphic>
                  <wp14:sizeRelH relativeFrom="page">
                    <wp14:pctWidth>0</wp14:pctWidth>
                  </wp14:sizeRelH>
                  <wp14:sizeRelV relativeFrom="page">
                    <wp14:pctHeight>0</wp14:pctHeight>
                  </wp14:sizeRelV>
                </wp:anchor>
              </w:drawing>
            </w:r>
          </w:p>
        </w:tc>
        <w:tc>
          <w:tcPr>
            <w:tcW w:w="1275" w:type="dxa"/>
            <w:tcBorders>
              <w:top w:val="single" w:sz="12" w:space="0" w:color="EEECE1" w:themeColor="background2"/>
              <w:left w:val="nil"/>
              <w:bottom w:val="single" w:sz="12" w:space="0" w:color="EEECE1" w:themeColor="background2"/>
            </w:tcBorders>
            <w:shd w:val="clear" w:color="auto" w:fill="F0F6FE"/>
            <w:tcMar>
              <w:top w:w="0" w:type="dxa"/>
              <w:left w:w="108" w:type="dxa"/>
              <w:bottom w:w="0" w:type="dxa"/>
              <w:right w:w="108" w:type="dxa"/>
            </w:tcMar>
            <w:vAlign w:val="center"/>
          </w:tcPr>
          <w:p w:rsidR="001A346B" w:rsidRPr="001916A9" w:rsidP="001916A9">
            <w:pPr>
              <w:spacing w:line="269" w:lineRule="auto"/>
              <w:jc w:val="center"/>
              <w:rPr>
                <w:rFonts w:ascii="David" w:eastAsia="Times New Roman" w:hAnsi="David"/>
                <w:color w:val="808080" w:themeColor="background1" w:themeShade="80"/>
                <w:szCs w:val="20"/>
                <w:rtl/>
              </w:rPr>
            </w:pPr>
            <w:r w:rsidRPr="001916A9">
              <w:rPr>
                <w:rFonts w:ascii="David" w:eastAsia="Times New Roman" w:hAnsi="David"/>
                <w:color w:val="808080" w:themeColor="background1" w:themeShade="80"/>
                <w:szCs w:val="20"/>
                <w:rtl/>
              </w:rPr>
              <w:t xml:space="preserve">מספר </w:t>
            </w:r>
            <w:r w:rsidR="0018262A">
              <w:rPr>
                <w:rFonts w:ascii="David" w:eastAsia="Times New Roman" w:hAnsi="David" w:hint="cs"/>
                <w:color w:val="808080" w:themeColor="background1" w:themeShade="80"/>
                <w:szCs w:val="20"/>
                <w:rtl/>
              </w:rPr>
              <w:t>ה</w:t>
            </w:r>
            <w:r w:rsidRPr="001916A9">
              <w:rPr>
                <w:rFonts w:ascii="David" w:eastAsia="Times New Roman" w:hAnsi="David"/>
                <w:color w:val="808080" w:themeColor="background1" w:themeShade="80"/>
                <w:szCs w:val="20"/>
                <w:rtl/>
              </w:rPr>
              <w:t>יישובים</w:t>
            </w:r>
          </w:p>
        </w:tc>
        <w:tc>
          <w:tcPr>
            <w:tcW w:w="851" w:type="dxa"/>
            <w:tcBorders>
              <w:top w:val="single" w:sz="12" w:space="0" w:color="EEECE1" w:themeColor="background2"/>
              <w:bottom w:val="single" w:sz="12" w:space="0" w:color="EEECE1" w:themeColor="background2"/>
            </w:tcBorders>
            <w:shd w:val="clear" w:color="auto" w:fill="FFFFFF" w:themeFill="background1"/>
          </w:tcPr>
          <w:p w:rsidR="001A346B" w:rsidRPr="001916A9" w:rsidP="001916A9">
            <w:pPr>
              <w:spacing w:line="269" w:lineRule="auto"/>
              <w:jc w:val="left"/>
              <w:rPr>
                <w:rFonts w:ascii="David" w:eastAsia="Times New Roman" w:hAnsi="David"/>
                <w:color w:val="222222"/>
                <w:szCs w:val="20"/>
                <w:rtl/>
              </w:rPr>
            </w:pPr>
            <w:r w:rsidRPr="001916A9">
              <w:rPr>
                <w:rFonts w:ascii="David" w:eastAsia="Times New Roman" w:hAnsi="David"/>
                <w:color w:val="222222"/>
                <w:szCs w:val="20"/>
                <w:rtl/>
              </w:rPr>
              <w:t>-</w:t>
            </w:r>
          </w:p>
          <w:p w:rsidR="001A346B" w:rsidRPr="001916A9" w:rsidP="001916A9">
            <w:pPr>
              <w:spacing w:line="269" w:lineRule="auto"/>
              <w:jc w:val="left"/>
              <w:rPr>
                <w:rFonts w:ascii="David" w:eastAsia="Times New Roman" w:hAnsi="David"/>
                <w:color w:val="222222"/>
                <w:szCs w:val="20"/>
                <w:rtl/>
              </w:rPr>
            </w:pPr>
          </w:p>
        </w:tc>
        <w:tc>
          <w:tcPr>
            <w:tcW w:w="850" w:type="dxa"/>
            <w:tcBorders>
              <w:top w:val="single" w:sz="12" w:space="0" w:color="EEECE1" w:themeColor="background2"/>
              <w:bottom w:val="single" w:sz="12" w:space="0" w:color="EEECE1" w:themeColor="background2"/>
            </w:tcBorders>
            <w:shd w:val="clear" w:color="auto" w:fill="FFFFFF" w:themeFill="background1"/>
          </w:tcPr>
          <w:p w:rsidR="001A346B" w:rsidRPr="001916A9" w:rsidP="001916A9">
            <w:pPr>
              <w:spacing w:line="269" w:lineRule="auto"/>
              <w:jc w:val="left"/>
              <w:rPr>
                <w:rFonts w:ascii="David" w:eastAsia="Times New Roman" w:hAnsi="David"/>
                <w:color w:val="222222"/>
                <w:szCs w:val="20"/>
                <w:rtl/>
              </w:rPr>
            </w:pPr>
            <w:r w:rsidRPr="001916A9">
              <w:rPr>
                <w:rFonts w:ascii="David" w:eastAsia="Times New Roman" w:hAnsi="David"/>
                <w:color w:val="222222"/>
                <w:szCs w:val="20"/>
                <w:rtl/>
              </w:rPr>
              <w:t>-</w:t>
            </w:r>
          </w:p>
          <w:p w:rsidR="001A346B" w:rsidRPr="001916A9" w:rsidP="001916A9">
            <w:pPr>
              <w:spacing w:line="269" w:lineRule="auto"/>
              <w:jc w:val="left"/>
              <w:rPr>
                <w:rFonts w:ascii="David" w:eastAsia="Times New Roman" w:hAnsi="David"/>
                <w:color w:val="222222"/>
                <w:szCs w:val="20"/>
                <w:rtl/>
              </w:rPr>
            </w:pPr>
          </w:p>
        </w:tc>
        <w:tc>
          <w:tcPr>
            <w:tcW w:w="851" w:type="dxa"/>
            <w:tcBorders>
              <w:top w:val="single" w:sz="12" w:space="0" w:color="EEECE1" w:themeColor="background2"/>
              <w:bottom w:val="single" w:sz="12" w:space="0" w:color="EEECE1" w:themeColor="background2"/>
            </w:tcBorders>
            <w:shd w:val="clear" w:color="auto" w:fill="FFFFFF" w:themeFill="background1"/>
          </w:tcPr>
          <w:p w:rsidR="001A346B" w:rsidRPr="001916A9" w:rsidP="001916A9">
            <w:pPr>
              <w:spacing w:line="269" w:lineRule="auto"/>
              <w:jc w:val="left"/>
              <w:rPr>
                <w:rFonts w:ascii="David" w:eastAsia="Times New Roman" w:hAnsi="David"/>
                <w:color w:val="222222"/>
                <w:szCs w:val="20"/>
                <w:rtl/>
              </w:rPr>
            </w:pPr>
            <w:r w:rsidRPr="001916A9">
              <w:rPr>
                <w:rFonts w:ascii="David" w:eastAsia="Times New Roman" w:hAnsi="David"/>
                <w:color w:val="222222"/>
                <w:szCs w:val="20"/>
                <w:rtl/>
              </w:rPr>
              <w:t>-</w:t>
            </w:r>
          </w:p>
        </w:tc>
        <w:tc>
          <w:tcPr>
            <w:tcW w:w="992"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tcPr>
          <w:p w:rsidR="001A346B" w:rsidRPr="001916A9" w:rsidP="001916A9">
            <w:pPr>
              <w:spacing w:line="269" w:lineRule="auto"/>
              <w:jc w:val="left"/>
              <w:rPr>
                <w:rFonts w:ascii="David" w:eastAsia="Times New Roman" w:hAnsi="David"/>
                <w:color w:val="222222"/>
                <w:szCs w:val="20"/>
                <w:rtl/>
              </w:rPr>
            </w:pPr>
            <w:r w:rsidRPr="001916A9">
              <w:rPr>
                <w:rFonts w:ascii="David" w:eastAsia="Times New Roman" w:hAnsi="David"/>
                <w:color w:val="222222"/>
                <w:szCs w:val="20"/>
                <w:rtl/>
              </w:rPr>
              <w:t>32</w:t>
            </w:r>
          </w:p>
        </w:tc>
        <w:tc>
          <w:tcPr>
            <w:tcW w:w="851"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tcPr>
          <w:p w:rsidR="001A346B" w:rsidRPr="001916A9" w:rsidP="001916A9">
            <w:pPr>
              <w:spacing w:line="269" w:lineRule="auto"/>
              <w:jc w:val="left"/>
              <w:rPr>
                <w:rFonts w:ascii="David" w:eastAsia="Times New Roman" w:hAnsi="David"/>
                <w:color w:val="222222"/>
                <w:szCs w:val="20"/>
                <w:rtl/>
              </w:rPr>
            </w:pPr>
            <w:r w:rsidRPr="001916A9">
              <w:rPr>
                <w:rFonts w:ascii="David" w:eastAsia="Times New Roman" w:hAnsi="David"/>
                <w:color w:val="222222"/>
                <w:szCs w:val="20"/>
                <w:rtl/>
              </w:rPr>
              <w:t>21</w:t>
            </w:r>
          </w:p>
        </w:tc>
        <w:tc>
          <w:tcPr>
            <w:tcW w:w="850" w:type="dxa"/>
            <w:tcBorders>
              <w:top w:val="single" w:sz="12" w:space="0" w:color="EEECE1" w:themeColor="background2"/>
              <w:bottom w:val="single" w:sz="12" w:space="0" w:color="EEECE1" w:themeColor="background2"/>
            </w:tcBorders>
            <w:shd w:val="clear" w:color="auto" w:fill="FFFFFF" w:themeFill="background1"/>
          </w:tcPr>
          <w:p w:rsidR="001A346B" w:rsidRPr="001916A9" w:rsidP="001916A9">
            <w:pPr>
              <w:spacing w:line="269" w:lineRule="auto"/>
              <w:jc w:val="left"/>
              <w:rPr>
                <w:rFonts w:ascii="David" w:eastAsia="Times New Roman" w:hAnsi="David"/>
                <w:color w:val="222222"/>
                <w:szCs w:val="20"/>
                <w:rtl/>
              </w:rPr>
            </w:pPr>
            <w:r w:rsidRPr="001916A9">
              <w:rPr>
                <w:rFonts w:ascii="David" w:eastAsia="Times New Roman" w:hAnsi="David"/>
                <w:color w:val="222222"/>
                <w:szCs w:val="20"/>
                <w:rtl/>
              </w:rPr>
              <w:t>17</w:t>
            </w:r>
          </w:p>
        </w:tc>
        <w:tc>
          <w:tcPr>
            <w:tcW w:w="992"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tcPr>
          <w:p w:rsidR="001A346B" w:rsidRPr="001916A9" w:rsidP="001916A9">
            <w:pPr>
              <w:spacing w:line="269" w:lineRule="auto"/>
              <w:jc w:val="left"/>
              <w:rPr>
                <w:rFonts w:ascii="David" w:eastAsia="Times New Roman" w:hAnsi="David"/>
                <w:color w:val="222222"/>
                <w:szCs w:val="20"/>
                <w:rtl/>
              </w:rPr>
            </w:pPr>
            <w:r w:rsidRPr="001916A9">
              <w:rPr>
                <w:rFonts w:ascii="David" w:eastAsia="Times New Roman" w:hAnsi="David"/>
                <w:color w:val="222222"/>
                <w:szCs w:val="20"/>
                <w:rtl/>
              </w:rPr>
              <w:t>16</w:t>
            </w:r>
          </w:p>
        </w:tc>
        <w:tc>
          <w:tcPr>
            <w:tcW w:w="998"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tcPr>
          <w:p w:rsidR="001A346B" w:rsidRPr="001916A9" w:rsidP="001916A9">
            <w:pPr>
              <w:spacing w:line="269" w:lineRule="auto"/>
              <w:jc w:val="left"/>
              <w:rPr>
                <w:rFonts w:ascii="David" w:eastAsia="Times New Roman" w:hAnsi="David"/>
                <w:color w:val="222222"/>
                <w:szCs w:val="20"/>
                <w:rtl/>
              </w:rPr>
            </w:pPr>
            <w:r w:rsidRPr="001916A9">
              <w:rPr>
                <w:rFonts w:ascii="David" w:eastAsia="Times New Roman" w:hAnsi="David"/>
                <w:color w:val="222222"/>
                <w:szCs w:val="20"/>
                <w:rtl/>
              </w:rPr>
              <w:t>12</w:t>
            </w:r>
          </w:p>
        </w:tc>
      </w:tr>
      <w:tr w:rsidTr="00902020">
        <w:tblPrEx>
          <w:tblW w:w="9077" w:type="dxa"/>
          <w:jc w:val="center"/>
          <w:shd w:val="clear" w:color="auto" w:fill="FFFFFF" w:themeFill="background1"/>
          <w:tblLayout w:type="fixed"/>
          <w:tblCellMar>
            <w:left w:w="0" w:type="dxa"/>
            <w:right w:w="0" w:type="dxa"/>
          </w:tblCellMar>
          <w:tblLook w:val="04A0"/>
        </w:tblPrEx>
        <w:trPr>
          <w:trHeight w:hRule="exact" w:val="1003"/>
          <w:jc w:val="center"/>
        </w:trPr>
        <w:tc>
          <w:tcPr>
            <w:tcW w:w="567" w:type="dxa"/>
            <w:tcBorders>
              <w:top w:val="single" w:sz="12" w:space="0" w:color="EEECE1" w:themeColor="background2"/>
              <w:left w:val="nil"/>
              <w:bottom w:val="single" w:sz="12" w:space="0" w:color="EEECE1" w:themeColor="background2"/>
              <w:right w:val="nil"/>
            </w:tcBorders>
            <w:shd w:val="clear" w:color="auto" w:fill="F0F6FE"/>
          </w:tcPr>
          <w:p w:rsidR="001A346B" w:rsidRPr="00B97E44" w:rsidP="001916A9">
            <w:pPr>
              <w:spacing w:line="269" w:lineRule="auto"/>
              <w:jc w:val="center"/>
              <w:rPr>
                <w:noProof/>
                <w:sz w:val="16"/>
                <w:szCs w:val="16"/>
                <w:rtl/>
              </w:rPr>
            </w:pPr>
            <w:r w:rsidRPr="00B97E44">
              <w:rPr>
                <w:rFonts w:ascii="Tahoma" w:eastAsia="Times New Roman" w:hAnsi="Tahoma" w:cs="Tahoma" w:hint="cs"/>
                <w:noProof/>
                <w:color w:val="808080" w:themeColor="background1" w:themeShade="80"/>
                <w:sz w:val="16"/>
                <w:szCs w:val="16"/>
                <w:rtl/>
                <w:lang w:val="he-IL"/>
              </w:rPr>
              <w:drawing>
                <wp:anchor distT="0" distB="0" distL="114300" distR="114300" simplePos="0" relativeHeight="251670528" behindDoc="0" locked="0" layoutInCell="1" allowOverlap="1">
                  <wp:simplePos x="0" y="0"/>
                  <wp:positionH relativeFrom="column">
                    <wp:posOffset>3175</wp:posOffset>
                  </wp:positionH>
                  <wp:positionV relativeFrom="paragraph">
                    <wp:posOffset>34925</wp:posOffset>
                  </wp:positionV>
                  <wp:extent cx="237490" cy="206250"/>
                  <wp:effectExtent l="0" t="0" r="0" b="3810"/>
                  <wp:wrapThrough wrapText="bothSides">
                    <wp:wrapPolygon>
                      <wp:start x="5198" y="0"/>
                      <wp:lineTo x="0" y="8000"/>
                      <wp:lineTo x="0" y="20000"/>
                      <wp:lineTo x="19059" y="20000"/>
                      <wp:lineTo x="19059" y="0"/>
                      <wp:lineTo x="5198" y="0"/>
                    </wp:wrapPolygon>
                  </wp:wrapThrough>
                  <wp:docPr id="67" name="תמונה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004.png"/>
                          <pic:cNvPicPr/>
                        </pic:nvPicPr>
                        <pic:blipFill>
                          <a:blip xmlns:r="http://schemas.openxmlformats.org/officeDocument/2006/relationships" r:embed="rId17" cstate="screen">
                            <a:extLst>
                              <a:ext xmlns:a="http://schemas.openxmlformats.org/drawingml/2006/main" uri="{BEBA8EAE-BF5A-486C-A8C5-ECC9F3942E4B}">
                                <a14:imgProps xmlns:a14="http://schemas.microsoft.com/office/drawing/2010/main">
                                  <a14:imgLayer>
                                    <a14:imgEffect>
                                      <a14:artisticPhotocopy/>
                                    </a14:imgEffect>
                                  </a14:imgLayer>
                                </a14:imgProps>
                              </a:ext>
                              <a:ext xmlns:a="http://schemas.openxmlformats.org/drawingml/2006/main" uri="{28A0092B-C50C-407E-A947-70E740481C1C}">
                                <a14:useLocalDpi xmlns:a14="http://schemas.microsoft.com/office/drawing/2010/main" val="0"/>
                              </a:ext>
                            </a:extLst>
                          </a:blip>
                          <a:stretch>
                            <a:fillRect/>
                          </a:stretch>
                        </pic:blipFill>
                        <pic:spPr>
                          <a:xfrm>
                            <a:off x="0" y="0"/>
                            <a:ext cx="237490" cy="206250"/>
                          </a:xfrm>
                          <a:prstGeom prst="rect">
                            <a:avLst/>
                          </a:prstGeom>
                        </pic:spPr>
                      </pic:pic>
                    </a:graphicData>
                  </a:graphic>
                  <wp14:sizeRelH relativeFrom="page">
                    <wp14:pctWidth>0</wp14:pctWidth>
                  </wp14:sizeRelH>
                  <wp14:sizeRelV relativeFrom="page">
                    <wp14:pctHeight>0</wp14:pctHeight>
                  </wp14:sizeRelV>
                </wp:anchor>
              </w:drawing>
            </w:r>
          </w:p>
        </w:tc>
        <w:tc>
          <w:tcPr>
            <w:tcW w:w="1275" w:type="dxa"/>
            <w:tcBorders>
              <w:top w:val="single" w:sz="12" w:space="0" w:color="EEECE1" w:themeColor="background2"/>
              <w:left w:val="nil"/>
              <w:bottom w:val="single" w:sz="12" w:space="0" w:color="EAEAEA"/>
            </w:tcBorders>
            <w:shd w:val="clear" w:color="auto" w:fill="F0F6FE"/>
            <w:tcMar>
              <w:top w:w="0" w:type="dxa"/>
              <w:left w:w="108" w:type="dxa"/>
              <w:bottom w:w="0" w:type="dxa"/>
              <w:right w:w="108" w:type="dxa"/>
            </w:tcMar>
          </w:tcPr>
          <w:p w:rsidR="001A346B" w:rsidRPr="001916A9" w:rsidP="001916A9">
            <w:pPr>
              <w:spacing w:line="269" w:lineRule="auto"/>
              <w:jc w:val="center"/>
              <w:rPr>
                <w:rFonts w:ascii="David" w:hAnsi="David"/>
                <w:noProof/>
                <w:szCs w:val="20"/>
                <w:rtl/>
              </w:rPr>
            </w:pPr>
            <w:r w:rsidRPr="001916A9">
              <w:rPr>
                <w:rFonts w:ascii="David" w:eastAsia="Times New Roman" w:hAnsi="David"/>
                <w:color w:val="808080" w:themeColor="background1" w:themeShade="80"/>
                <w:szCs w:val="20"/>
                <w:rtl/>
              </w:rPr>
              <w:t xml:space="preserve">מספר </w:t>
            </w:r>
            <w:r w:rsidR="0018262A">
              <w:rPr>
                <w:rFonts w:ascii="David" w:eastAsia="Times New Roman" w:hAnsi="David" w:hint="cs"/>
                <w:color w:val="808080" w:themeColor="background1" w:themeShade="80"/>
                <w:szCs w:val="20"/>
                <w:rtl/>
              </w:rPr>
              <w:t>ה</w:t>
            </w:r>
            <w:r w:rsidRPr="001916A9">
              <w:rPr>
                <w:rFonts w:ascii="David" w:eastAsia="Times New Roman" w:hAnsi="David"/>
                <w:color w:val="808080" w:themeColor="background1" w:themeShade="80"/>
                <w:szCs w:val="20"/>
                <w:rtl/>
              </w:rPr>
              <w:t>יישובים בחבל התקומה</w:t>
            </w:r>
          </w:p>
        </w:tc>
        <w:tc>
          <w:tcPr>
            <w:tcW w:w="851" w:type="dxa"/>
            <w:tcBorders>
              <w:top w:val="single" w:sz="12" w:space="0" w:color="EEECE1" w:themeColor="background2"/>
              <w:bottom w:val="single" w:sz="12" w:space="0" w:color="EEECE1" w:themeColor="background2"/>
            </w:tcBorders>
            <w:shd w:val="clear" w:color="auto" w:fill="FFFFFF" w:themeFill="background1"/>
          </w:tcPr>
          <w:p w:rsidR="001A346B" w:rsidRPr="001916A9" w:rsidP="001916A9">
            <w:pPr>
              <w:spacing w:line="269" w:lineRule="auto"/>
              <w:jc w:val="left"/>
              <w:rPr>
                <w:rFonts w:ascii="David" w:eastAsia="Times New Roman" w:hAnsi="David"/>
                <w:color w:val="222222"/>
                <w:szCs w:val="20"/>
                <w:rtl/>
              </w:rPr>
            </w:pPr>
            <w:r w:rsidRPr="001916A9">
              <w:rPr>
                <w:rFonts w:ascii="David" w:eastAsia="Times New Roman" w:hAnsi="David"/>
                <w:color w:val="222222"/>
                <w:szCs w:val="20"/>
                <w:rtl/>
              </w:rPr>
              <w:t>-</w:t>
            </w:r>
          </w:p>
          <w:p w:rsidR="001A346B" w:rsidRPr="001916A9" w:rsidP="001916A9">
            <w:pPr>
              <w:spacing w:line="269" w:lineRule="auto"/>
              <w:jc w:val="left"/>
              <w:rPr>
                <w:rFonts w:ascii="David" w:eastAsia="Times New Roman" w:hAnsi="David"/>
                <w:color w:val="222222"/>
                <w:szCs w:val="20"/>
                <w:rtl/>
              </w:rPr>
            </w:pPr>
          </w:p>
        </w:tc>
        <w:tc>
          <w:tcPr>
            <w:tcW w:w="850" w:type="dxa"/>
            <w:tcBorders>
              <w:top w:val="single" w:sz="12" w:space="0" w:color="EEECE1" w:themeColor="background2"/>
              <w:bottom w:val="single" w:sz="12" w:space="0" w:color="EEECE1" w:themeColor="background2"/>
            </w:tcBorders>
            <w:shd w:val="clear" w:color="auto" w:fill="FFFFFF" w:themeFill="background1"/>
          </w:tcPr>
          <w:p w:rsidR="001A346B" w:rsidRPr="001916A9" w:rsidP="001916A9">
            <w:pPr>
              <w:spacing w:line="269" w:lineRule="auto"/>
              <w:jc w:val="left"/>
              <w:rPr>
                <w:rFonts w:ascii="David" w:eastAsia="Times New Roman" w:hAnsi="David"/>
                <w:color w:val="222222"/>
                <w:szCs w:val="20"/>
                <w:rtl/>
              </w:rPr>
            </w:pPr>
            <w:r w:rsidRPr="001916A9">
              <w:rPr>
                <w:rFonts w:ascii="David" w:eastAsia="Times New Roman" w:hAnsi="David"/>
                <w:color w:val="222222"/>
                <w:szCs w:val="20"/>
                <w:rtl/>
              </w:rPr>
              <w:t>-</w:t>
            </w:r>
          </w:p>
          <w:p w:rsidR="001A346B" w:rsidRPr="001916A9" w:rsidP="001916A9">
            <w:pPr>
              <w:spacing w:line="269" w:lineRule="auto"/>
              <w:jc w:val="left"/>
              <w:rPr>
                <w:rFonts w:ascii="David" w:eastAsia="Times New Roman" w:hAnsi="David"/>
                <w:color w:val="222222"/>
                <w:szCs w:val="20"/>
                <w:rtl/>
              </w:rPr>
            </w:pPr>
          </w:p>
        </w:tc>
        <w:tc>
          <w:tcPr>
            <w:tcW w:w="851" w:type="dxa"/>
            <w:tcBorders>
              <w:top w:val="single" w:sz="12" w:space="0" w:color="EEECE1" w:themeColor="background2"/>
              <w:bottom w:val="single" w:sz="12" w:space="0" w:color="EEECE1" w:themeColor="background2"/>
            </w:tcBorders>
            <w:shd w:val="clear" w:color="auto" w:fill="FFFFFF" w:themeFill="background1"/>
          </w:tcPr>
          <w:p w:rsidR="001A346B" w:rsidRPr="001916A9" w:rsidP="001916A9">
            <w:pPr>
              <w:spacing w:line="269" w:lineRule="auto"/>
              <w:jc w:val="left"/>
              <w:rPr>
                <w:rFonts w:ascii="David" w:eastAsia="Times New Roman" w:hAnsi="David"/>
                <w:color w:val="808080" w:themeColor="background1" w:themeShade="80"/>
                <w:szCs w:val="20"/>
                <w:rtl/>
              </w:rPr>
            </w:pPr>
            <w:r w:rsidRPr="001916A9">
              <w:rPr>
                <w:rFonts w:ascii="David" w:eastAsia="Times New Roman" w:hAnsi="David"/>
                <w:color w:val="808080" w:themeColor="background1" w:themeShade="80"/>
                <w:szCs w:val="20"/>
                <w:rtl/>
              </w:rPr>
              <w:t>-</w:t>
            </w:r>
          </w:p>
        </w:tc>
        <w:tc>
          <w:tcPr>
            <w:tcW w:w="992"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tcPr>
          <w:p w:rsidR="001A346B" w:rsidRPr="001916A9" w:rsidP="001916A9">
            <w:pPr>
              <w:spacing w:line="269" w:lineRule="auto"/>
              <w:jc w:val="left"/>
              <w:rPr>
                <w:rFonts w:ascii="David" w:eastAsia="Times New Roman" w:hAnsi="David"/>
                <w:color w:val="222222"/>
                <w:szCs w:val="20"/>
                <w:rtl/>
              </w:rPr>
            </w:pPr>
            <w:r w:rsidRPr="001916A9">
              <w:rPr>
                <w:rFonts w:ascii="David" w:eastAsia="Times New Roman" w:hAnsi="David"/>
                <w:color w:val="222222"/>
                <w:szCs w:val="20"/>
                <w:rtl/>
              </w:rPr>
              <w:t>23</w:t>
            </w:r>
          </w:p>
        </w:tc>
        <w:tc>
          <w:tcPr>
            <w:tcW w:w="851"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tcPr>
          <w:p w:rsidR="001A346B" w:rsidRPr="001916A9" w:rsidP="001916A9">
            <w:pPr>
              <w:spacing w:line="269" w:lineRule="auto"/>
              <w:jc w:val="left"/>
              <w:rPr>
                <w:rFonts w:ascii="David" w:eastAsia="Times New Roman" w:hAnsi="David"/>
                <w:color w:val="222222"/>
                <w:szCs w:val="20"/>
                <w:rtl/>
              </w:rPr>
            </w:pPr>
            <w:r w:rsidRPr="001916A9">
              <w:rPr>
                <w:rFonts w:ascii="David" w:eastAsia="Times New Roman" w:hAnsi="David"/>
                <w:color w:val="222222"/>
                <w:szCs w:val="20"/>
                <w:rtl/>
              </w:rPr>
              <w:t>6</w:t>
            </w:r>
          </w:p>
        </w:tc>
        <w:tc>
          <w:tcPr>
            <w:tcW w:w="850" w:type="dxa"/>
            <w:tcBorders>
              <w:top w:val="single" w:sz="12" w:space="0" w:color="EEECE1" w:themeColor="background2"/>
              <w:bottom w:val="single" w:sz="12" w:space="0" w:color="EEECE1" w:themeColor="background2"/>
            </w:tcBorders>
            <w:shd w:val="clear" w:color="auto" w:fill="FFFFFF" w:themeFill="background1"/>
          </w:tcPr>
          <w:p w:rsidR="001A346B" w:rsidRPr="001916A9" w:rsidP="001916A9">
            <w:pPr>
              <w:spacing w:line="269" w:lineRule="auto"/>
              <w:jc w:val="left"/>
              <w:rPr>
                <w:rFonts w:ascii="David" w:eastAsia="Times New Roman" w:hAnsi="David"/>
                <w:color w:val="222222"/>
                <w:szCs w:val="20"/>
                <w:rtl/>
              </w:rPr>
            </w:pPr>
            <w:r w:rsidRPr="001916A9">
              <w:rPr>
                <w:rFonts w:ascii="David" w:eastAsia="Times New Roman" w:hAnsi="David"/>
                <w:color w:val="222222"/>
                <w:szCs w:val="20"/>
                <w:rtl/>
              </w:rPr>
              <w:t>-</w:t>
            </w:r>
          </w:p>
        </w:tc>
        <w:tc>
          <w:tcPr>
            <w:tcW w:w="992"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tcPr>
          <w:p w:rsidR="001A346B" w:rsidRPr="001916A9" w:rsidP="001916A9">
            <w:pPr>
              <w:spacing w:line="269" w:lineRule="auto"/>
              <w:jc w:val="left"/>
              <w:rPr>
                <w:rFonts w:ascii="David" w:eastAsia="Times New Roman" w:hAnsi="David"/>
                <w:color w:val="222222"/>
                <w:szCs w:val="20"/>
                <w:rtl/>
              </w:rPr>
            </w:pPr>
            <w:r w:rsidRPr="001916A9">
              <w:rPr>
                <w:rFonts w:ascii="David" w:eastAsia="Times New Roman" w:hAnsi="David"/>
                <w:color w:val="222222"/>
                <w:szCs w:val="20"/>
                <w:rtl/>
              </w:rPr>
              <w:t>8</w:t>
            </w:r>
          </w:p>
        </w:tc>
        <w:tc>
          <w:tcPr>
            <w:tcW w:w="998"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tcPr>
          <w:p w:rsidR="001A346B" w:rsidRPr="001916A9" w:rsidP="001916A9">
            <w:pPr>
              <w:spacing w:line="269" w:lineRule="auto"/>
              <w:jc w:val="left"/>
              <w:rPr>
                <w:rFonts w:ascii="David" w:eastAsia="Times New Roman" w:hAnsi="David"/>
                <w:color w:val="222222"/>
                <w:szCs w:val="20"/>
                <w:rtl/>
              </w:rPr>
            </w:pPr>
            <w:r w:rsidRPr="001916A9">
              <w:rPr>
                <w:rFonts w:ascii="David" w:eastAsia="Times New Roman" w:hAnsi="David"/>
                <w:color w:val="222222"/>
                <w:szCs w:val="20"/>
                <w:rtl/>
              </w:rPr>
              <w:t xml:space="preserve"> 9</w:t>
            </w:r>
          </w:p>
        </w:tc>
      </w:tr>
    </w:tbl>
    <w:p w:rsidR="005B126E" w:rsidRPr="00B97E44" w:rsidP="001916A9">
      <w:pPr>
        <w:keepNext/>
        <w:keepLines/>
        <w:spacing w:line="269" w:lineRule="auto"/>
        <w:ind w:left="-1"/>
        <w:jc w:val="center"/>
        <w:rPr>
          <w:rtl/>
        </w:rPr>
      </w:pPr>
    </w:p>
    <w:p w:rsidR="005B126E" w:rsidRPr="00B97E44" w:rsidP="00AE39DA">
      <w:pPr>
        <w:spacing w:after="60" w:line="269" w:lineRule="auto"/>
        <w:jc w:val="left"/>
        <w:rPr>
          <w:szCs w:val="20"/>
          <w:rtl/>
        </w:rPr>
      </w:pPr>
      <w:r w:rsidRPr="00B97E44">
        <w:rPr>
          <w:szCs w:val="20"/>
          <w:rtl/>
        </w:rPr>
        <w:t xml:space="preserve">על פי נתוני הלשכה המרכזית לסטטיסטיקה (להלן - </w:t>
      </w:r>
      <w:r w:rsidRPr="00B97E44">
        <w:rPr>
          <w:szCs w:val="20"/>
          <w:rtl/>
        </w:rPr>
        <w:t>הלמ"ס</w:t>
      </w:r>
      <w:r w:rsidRPr="00B97E44">
        <w:rPr>
          <w:szCs w:val="20"/>
          <w:rtl/>
        </w:rPr>
        <w:t>), בעיבוד משרד מבקר המדינה.</w:t>
      </w:r>
    </w:p>
    <w:p w:rsidR="005B126E" w:rsidRPr="00B97E44" w:rsidP="00AE39DA">
      <w:pPr>
        <w:spacing w:after="60" w:line="269" w:lineRule="auto"/>
        <w:jc w:val="left"/>
        <w:rPr>
          <w:szCs w:val="20"/>
          <w:rtl/>
        </w:rPr>
      </w:pPr>
      <w:r w:rsidRPr="00B97E44">
        <w:rPr>
          <w:b/>
          <w:bCs/>
          <w:szCs w:val="20"/>
          <w:rtl/>
        </w:rPr>
        <w:t>מספר התושבים</w:t>
      </w:r>
      <w:r w:rsidRPr="00B97E44">
        <w:rPr>
          <w:szCs w:val="20"/>
          <w:rtl/>
        </w:rPr>
        <w:t xml:space="preserve"> - הנתון לקוח מתוך </w:t>
      </w:r>
      <w:r w:rsidRPr="00B97E44">
        <w:rPr>
          <w:szCs w:val="20"/>
          <w:rtl/>
        </w:rPr>
        <w:t>הלמ"ס</w:t>
      </w:r>
      <w:r w:rsidRPr="00B97E44">
        <w:rPr>
          <w:szCs w:val="20"/>
          <w:rtl/>
        </w:rPr>
        <w:t xml:space="preserve">, </w:t>
      </w:r>
      <w:r w:rsidRPr="00B97E44">
        <w:rPr>
          <w:b/>
          <w:bCs/>
          <w:szCs w:val="20"/>
          <w:rtl/>
        </w:rPr>
        <w:t>קובץ הרשויות המקומיות בישראל - 202</w:t>
      </w:r>
      <w:r w:rsidRPr="00B97E44">
        <w:rPr>
          <w:rFonts w:hint="cs"/>
          <w:b/>
          <w:bCs/>
          <w:szCs w:val="20"/>
          <w:rtl/>
        </w:rPr>
        <w:t>3</w:t>
      </w:r>
      <w:r w:rsidRPr="00B97E44">
        <w:rPr>
          <w:szCs w:val="20"/>
          <w:rtl/>
        </w:rPr>
        <w:t xml:space="preserve">. </w:t>
      </w:r>
    </w:p>
    <w:p w:rsidR="005B126E" w:rsidRPr="00B97E44" w:rsidP="00E50CE0">
      <w:pPr>
        <w:spacing w:after="60" w:line="269" w:lineRule="auto"/>
        <w:rPr>
          <w:szCs w:val="20"/>
          <w:rtl/>
        </w:rPr>
      </w:pPr>
      <w:r>
        <w:rPr>
          <w:rFonts w:hint="cs"/>
          <w:b/>
          <w:bCs/>
          <w:szCs w:val="20"/>
          <w:rtl/>
        </w:rPr>
        <w:t>ה</w:t>
      </w:r>
      <w:r w:rsidRPr="00B97E44">
        <w:rPr>
          <w:b/>
          <w:bCs/>
          <w:szCs w:val="20"/>
          <w:rtl/>
        </w:rPr>
        <w:t xml:space="preserve">אשכול </w:t>
      </w:r>
      <w:r>
        <w:rPr>
          <w:rFonts w:hint="cs"/>
          <w:b/>
          <w:bCs/>
          <w:szCs w:val="20"/>
          <w:rtl/>
        </w:rPr>
        <w:t>ה</w:t>
      </w:r>
      <w:r w:rsidRPr="00B97E44">
        <w:rPr>
          <w:b/>
          <w:bCs/>
          <w:szCs w:val="20"/>
          <w:rtl/>
        </w:rPr>
        <w:t>חברתי-כלכלי</w:t>
      </w:r>
      <w:r w:rsidRPr="00B97E44">
        <w:rPr>
          <w:szCs w:val="20"/>
          <w:rtl/>
        </w:rPr>
        <w:t xml:space="preserve"> - </w:t>
      </w:r>
      <w:r w:rsidRPr="00B97E44">
        <w:rPr>
          <w:szCs w:val="20"/>
          <w:rtl/>
        </w:rPr>
        <w:t>הלמ"ס</w:t>
      </w:r>
      <w:r w:rsidRPr="00B97E44">
        <w:rPr>
          <w:szCs w:val="20"/>
          <w:rtl/>
        </w:rPr>
        <w:t xml:space="preserve"> מדרגת את הרשויות המקומיות בסולם של עשר דרגות (אשכולות), לפי המצב החברתי-כלכלי של האוכלוסייה המתגוררת בתחום שיפוטן. אשכול 10 מעיד על הרמה החברתית-כלכלית הגבוהה ביותר. מוצג הנתון שהיה מעודכן במועד סיום הביקורת, המתייחס לשנת 2022.</w:t>
      </w:r>
    </w:p>
    <w:p w:rsidR="005B126E" w:rsidRPr="00B97E44" w:rsidP="00E50CE0">
      <w:pPr>
        <w:spacing w:after="60" w:line="269" w:lineRule="auto"/>
        <w:rPr>
          <w:szCs w:val="20"/>
          <w:rtl/>
        </w:rPr>
      </w:pPr>
      <w:r w:rsidRPr="00B97E44">
        <w:rPr>
          <w:b/>
          <w:bCs/>
          <w:szCs w:val="20"/>
          <w:rtl/>
        </w:rPr>
        <w:t xml:space="preserve">אשכול </w:t>
      </w:r>
      <w:r w:rsidR="00AE39DA">
        <w:rPr>
          <w:rFonts w:hint="cs"/>
          <w:b/>
          <w:bCs/>
          <w:szCs w:val="20"/>
          <w:rtl/>
        </w:rPr>
        <w:t>ה</w:t>
      </w:r>
      <w:r w:rsidRPr="00B97E44">
        <w:rPr>
          <w:b/>
          <w:bCs/>
          <w:szCs w:val="20"/>
          <w:rtl/>
        </w:rPr>
        <w:t>פריפריאליות</w:t>
      </w:r>
      <w:r w:rsidRPr="00B97E44">
        <w:rPr>
          <w:szCs w:val="20"/>
          <w:rtl/>
        </w:rPr>
        <w:t xml:space="preserve"> - </w:t>
      </w:r>
      <w:r w:rsidRPr="00B97E44">
        <w:rPr>
          <w:szCs w:val="20"/>
          <w:rtl/>
        </w:rPr>
        <w:t>הלמ"ס</w:t>
      </w:r>
      <w:r w:rsidRPr="00B97E44">
        <w:rPr>
          <w:szCs w:val="20"/>
          <w:rtl/>
        </w:rPr>
        <w:t xml:space="preserve"> מדרגת את הרשויות המקומיות בסולם של עשר דרגות (אשכולות), לפי מקומן הגיאוגרפי לעומת ריכוזי האוכלוסייה, על פי שקלול של שני מרכיבים: נגישות פוטנציאלית לכלל היישובים וקרבה לגבול מחוז תל אביב. אשכול 10 מעיד על היישוב המרכזי ביותר, ואשכול 1 - על היישוב הפריפריאלי ביותר. מוצג הנתון שהיה מעודכן במועד סיום הביקורת, המתייחס לשנת 2022.</w:t>
      </w:r>
    </w:p>
    <w:p w:rsidR="005B126E" w:rsidRPr="00B97E44" w:rsidP="00E50CE0">
      <w:pPr>
        <w:spacing w:after="60" w:line="269" w:lineRule="auto"/>
        <w:rPr>
          <w:szCs w:val="20"/>
          <w:rtl/>
        </w:rPr>
      </w:pPr>
      <w:r w:rsidRPr="00B97E44">
        <w:rPr>
          <w:b/>
          <w:bCs/>
          <w:szCs w:val="20"/>
          <w:rtl/>
        </w:rPr>
        <w:t>סיווג הרשות המקומית</w:t>
      </w:r>
      <w:r w:rsidRPr="00B97E44">
        <w:rPr>
          <w:szCs w:val="20"/>
          <w:rtl/>
        </w:rPr>
        <w:t xml:space="preserve"> - משרד הפנים מסווג את הרשויות המקומיות על פי קריטריונים המשקפים את מצבן הכספי ופעולותיהן הכלכליות והמשקיות, כגון שיעור הגירעון השוטף או המצטבר, זכאות למענק איזון, מתן הנחות ומחיקת חובות. על פי הקריטריונים הללו נחלקות הרשויות לשש קבוצות: (א) איתנוֹת</w:t>
      </w:r>
      <w:r w:rsidRPr="00B97E44">
        <w:rPr>
          <w:rFonts w:hint="cs"/>
          <w:szCs w:val="20"/>
          <w:rtl/>
        </w:rPr>
        <w:t>;</w:t>
      </w:r>
      <w:r w:rsidRPr="00B97E44">
        <w:rPr>
          <w:szCs w:val="20"/>
          <w:rtl/>
        </w:rPr>
        <w:t xml:space="preserve"> (ב) יציבוֹת</w:t>
      </w:r>
      <w:r w:rsidRPr="00B97E44">
        <w:rPr>
          <w:rFonts w:hint="cs"/>
          <w:szCs w:val="20"/>
          <w:rtl/>
        </w:rPr>
        <w:t>;</w:t>
      </w:r>
      <w:r w:rsidRPr="00B97E44">
        <w:rPr>
          <w:szCs w:val="20"/>
          <w:rtl/>
        </w:rPr>
        <w:t xml:space="preserve"> (ג) בהמראה</w:t>
      </w:r>
      <w:r w:rsidRPr="00B97E44">
        <w:rPr>
          <w:rFonts w:hint="cs"/>
          <w:szCs w:val="20"/>
          <w:rtl/>
        </w:rPr>
        <w:t>;</w:t>
      </w:r>
      <w:r w:rsidRPr="00B97E44">
        <w:rPr>
          <w:szCs w:val="20"/>
          <w:rtl/>
        </w:rPr>
        <w:t xml:space="preserve"> (ד) בתוכנית הבראה</w:t>
      </w:r>
      <w:r w:rsidRPr="00B97E44">
        <w:rPr>
          <w:rFonts w:hint="cs"/>
          <w:szCs w:val="20"/>
          <w:rtl/>
        </w:rPr>
        <w:t>;</w:t>
      </w:r>
      <w:r w:rsidRPr="00B97E44">
        <w:rPr>
          <w:szCs w:val="20"/>
          <w:rtl/>
        </w:rPr>
        <w:t xml:space="preserve"> (ה) בתוכנית התייעלות</w:t>
      </w:r>
      <w:r w:rsidRPr="00B97E44">
        <w:rPr>
          <w:rFonts w:hint="cs"/>
          <w:szCs w:val="20"/>
          <w:rtl/>
        </w:rPr>
        <w:t>;</w:t>
      </w:r>
      <w:r w:rsidRPr="00B97E44">
        <w:rPr>
          <w:szCs w:val="20"/>
          <w:rtl/>
        </w:rPr>
        <w:t xml:space="preserve"> (ו) במצב ביניים. מוצג הנתון שהיה מעודכן במועד סיום הביקורת. </w:t>
      </w:r>
    </w:p>
    <w:p w:rsidR="005B126E" w:rsidRPr="00B97E44" w:rsidP="00E50CE0">
      <w:pPr>
        <w:spacing w:after="60" w:line="269" w:lineRule="auto"/>
        <w:rPr>
          <w:szCs w:val="20"/>
          <w:rtl/>
        </w:rPr>
      </w:pPr>
      <w:r w:rsidRPr="00B97E44">
        <w:rPr>
          <w:rFonts w:hint="eastAsia"/>
          <w:b/>
          <w:bCs/>
          <w:szCs w:val="20"/>
          <w:rtl/>
        </w:rPr>
        <w:t>מדד</w:t>
      </w:r>
      <w:r w:rsidRPr="00B97E44">
        <w:rPr>
          <w:b/>
          <w:bCs/>
          <w:szCs w:val="20"/>
          <w:rtl/>
        </w:rPr>
        <w:t xml:space="preserve"> </w:t>
      </w:r>
      <w:r w:rsidRPr="00B97E44">
        <w:rPr>
          <w:rFonts w:hint="eastAsia"/>
          <w:b/>
          <w:bCs/>
          <w:szCs w:val="20"/>
          <w:rtl/>
        </w:rPr>
        <w:t>ההון</w:t>
      </w:r>
      <w:r w:rsidRPr="00B97E44">
        <w:rPr>
          <w:b/>
          <w:bCs/>
          <w:szCs w:val="20"/>
          <w:rtl/>
        </w:rPr>
        <w:t xml:space="preserve"> </w:t>
      </w:r>
      <w:r w:rsidRPr="00B97E44">
        <w:rPr>
          <w:rFonts w:hint="eastAsia"/>
          <w:b/>
          <w:bCs/>
          <w:szCs w:val="20"/>
          <w:rtl/>
        </w:rPr>
        <w:t>האנושי</w:t>
      </w:r>
      <w:r w:rsidRPr="00B97E44">
        <w:rPr>
          <w:szCs w:val="20"/>
          <w:rtl/>
        </w:rPr>
        <w:t xml:space="preserve"> - משרד הפנים מדרג את הרשויות המקומיות, בהתאם לביצועים בתחום ההון האנושי</w:t>
      </w:r>
      <w:r w:rsidRPr="00B97E44">
        <w:rPr>
          <w:rFonts w:hint="cs"/>
          <w:szCs w:val="20"/>
          <w:rtl/>
        </w:rPr>
        <w:t>,</w:t>
      </w:r>
      <w:r w:rsidRPr="00B97E44">
        <w:rPr>
          <w:szCs w:val="20"/>
          <w:rtl/>
        </w:rPr>
        <w:t xml:space="preserve"> לשלוש קבוצות תפקוד (נמוך, בינוני וגבוה). קבוצת התפקוד של כל רשות מקומית נקבעה לפי ציון המשוקלל בהתאם לפרמטרים שקבע משרד הפנים. הנתון שהיה מעודכן במועד סיום הביקורת התייחס לשנת 2024.</w:t>
      </w:r>
    </w:p>
    <w:p w:rsidR="005B126E" w:rsidRPr="00B97E44" w:rsidP="00E50CE0">
      <w:pPr>
        <w:spacing w:after="60" w:line="269" w:lineRule="auto"/>
        <w:rPr>
          <w:szCs w:val="20"/>
          <w:rtl/>
        </w:rPr>
      </w:pPr>
      <w:r w:rsidRPr="00B97E44">
        <w:rPr>
          <w:b/>
          <w:bCs/>
          <w:szCs w:val="20"/>
          <w:rtl/>
        </w:rPr>
        <w:t>ביצוע ההכנסות או ביצוע ההוצאות</w:t>
      </w:r>
      <w:r w:rsidRPr="00B97E44">
        <w:rPr>
          <w:szCs w:val="20"/>
          <w:rtl/>
        </w:rPr>
        <w:t xml:space="preserve"> - ביצוע ההכנסות או ההוצאות בתקציב הרגיל. הנתון לקוח מהדוחות הכספיים המבוקרים של הרשויות המקומיות המתייחסים לסוף שנת 2023.</w:t>
      </w:r>
    </w:p>
    <w:p w:rsidR="005B126E" w:rsidRPr="00B97E44" w:rsidP="00E50CE0">
      <w:pPr>
        <w:spacing w:after="60" w:line="269" w:lineRule="auto"/>
        <w:rPr>
          <w:szCs w:val="20"/>
          <w:rtl/>
        </w:rPr>
      </w:pPr>
      <w:r w:rsidRPr="00B97E44">
        <w:rPr>
          <w:b/>
          <w:bCs/>
          <w:szCs w:val="20"/>
          <w:rtl/>
        </w:rPr>
        <w:t>העודף (או הגירעון) השוטף או העודף (או הגירעון) המצטבר</w:t>
      </w:r>
      <w:r w:rsidRPr="00B97E44">
        <w:rPr>
          <w:szCs w:val="20"/>
          <w:rtl/>
        </w:rPr>
        <w:t xml:space="preserve"> - העודף (ובסוגריים - הגירעון) השוטף או העודף (ובסוגריים - הגירעון) המצטבר בתקציב הרגיל. הנתון לקוח מתוך הדוחות הכספיים המבוקרים של הרשויות המקומיות המתייחסים לסוף שנת 2023.</w:t>
      </w:r>
    </w:p>
    <w:p w:rsidR="005B126E" w:rsidRPr="00B97E44" w:rsidP="00E50CE0">
      <w:pPr>
        <w:spacing w:line="269" w:lineRule="auto"/>
        <w:rPr>
          <w:szCs w:val="20"/>
          <w:rtl/>
        </w:rPr>
      </w:pPr>
      <w:r w:rsidRPr="00B97E44">
        <w:rPr>
          <w:b/>
          <w:bCs/>
          <w:szCs w:val="20"/>
          <w:rtl/>
        </w:rPr>
        <w:t xml:space="preserve">שיעור הגירעון המצטבר </w:t>
      </w:r>
      <w:r w:rsidRPr="00B97E44">
        <w:rPr>
          <w:szCs w:val="20"/>
          <w:rtl/>
        </w:rPr>
        <w:t>- כהגדרתו בסעיף 140ג לפקודת העיריות [נוסח חדש] ובסעיף 35ג לפקודת המועצות המקומיות [נוסח חדש]. הנתון לקוח מהדוחות הכספיים המבוקרים של הרשויות המקומיות המתייחסים לסוף שנת 2023.</w:t>
      </w:r>
    </w:p>
    <w:p w:rsidR="00E66397" w:rsidP="001916A9">
      <w:pPr>
        <w:bidi w:val="0"/>
        <w:spacing w:line="269" w:lineRule="auto"/>
        <w:rPr>
          <w:rFonts w:eastAsiaTheme="majorEastAsia"/>
          <w:bCs/>
          <w:szCs w:val="32"/>
          <w:rtl/>
        </w:rPr>
      </w:pPr>
      <w:r>
        <w:rPr>
          <w:rtl/>
        </w:rPr>
        <w:br w:type="page"/>
      </w:r>
    </w:p>
    <w:p w:rsidR="005B126E" w:rsidRPr="00B97E44" w:rsidP="001916A9">
      <w:pPr>
        <w:pStyle w:val="Heading2"/>
        <w:spacing w:before="0" w:line="269" w:lineRule="auto"/>
        <w:rPr>
          <w:rtl/>
        </w:rPr>
      </w:pPr>
      <w:r w:rsidRPr="00B97E44">
        <w:rPr>
          <w:rFonts w:hint="eastAsia"/>
          <w:rtl/>
        </w:rPr>
        <w:t>הפגיעה</w:t>
      </w:r>
      <w:r w:rsidRPr="00B97E44">
        <w:rPr>
          <w:rtl/>
        </w:rPr>
        <w:t xml:space="preserve"> </w:t>
      </w:r>
      <w:r w:rsidRPr="00B97E44">
        <w:rPr>
          <w:rFonts w:hint="eastAsia"/>
          <w:rtl/>
        </w:rPr>
        <w:t>ביישובי</w:t>
      </w:r>
      <w:r w:rsidRPr="00B97E44">
        <w:rPr>
          <w:rtl/>
        </w:rPr>
        <w:t xml:space="preserve"> </w:t>
      </w:r>
      <w:r w:rsidRPr="00B97E44">
        <w:rPr>
          <w:rFonts w:hint="eastAsia"/>
          <w:rtl/>
        </w:rPr>
        <w:t>הנגב</w:t>
      </w:r>
      <w:r w:rsidRPr="00B97E44">
        <w:rPr>
          <w:rtl/>
        </w:rPr>
        <w:t xml:space="preserve"> </w:t>
      </w:r>
      <w:r w:rsidRPr="00B97E44">
        <w:rPr>
          <w:rFonts w:hint="eastAsia"/>
          <w:rtl/>
        </w:rPr>
        <w:t>המערבי</w:t>
      </w:r>
      <w:r w:rsidRPr="00B97E44">
        <w:rPr>
          <w:rtl/>
        </w:rPr>
        <w:t xml:space="preserve"> </w:t>
      </w:r>
      <w:r w:rsidRPr="00B97E44">
        <w:rPr>
          <w:rFonts w:hint="eastAsia"/>
          <w:rtl/>
        </w:rPr>
        <w:t>במתקפת</w:t>
      </w:r>
      <w:r w:rsidRPr="00B97E44">
        <w:rPr>
          <w:rtl/>
        </w:rPr>
        <w:t xml:space="preserve"> </w:t>
      </w:r>
      <w:r w:rsidRPr="00B97E44">
        <w:rPr>
          <w:rFonts w:hint="eastAsia"/>
          <w:rtl/>
        </w:rPr>
        <w:t>הטרור</w:t>
      </w:r>
      <w:r w:rsidRPr="00B97E44">
        <w:rPr>
          <w:rtl/>
        </w:rPr>
        <w:t xml:space="preserve"> </w:t>
      </w:r>
      <w:r w:rsidRPr="00B97E44">
        <w:rPr>
          <w:rFonts w:hint="eastAsia"/>
          <w:rtl/>
        </w:rPr>
        <w:t>בשבעה</w:t>
      </w:r>
      <w:r w:rsidRPr="00B97E44">
        <w:rPr>
          <w:rtl/>
        </w:rPr>
        <w:t xml:space="preserve"> </w:t>
      </w:r>
      <w:r w:rsidRPr="00B97E44">
        <w:rPr>
          <w:rFonts w:hint="eastAsia"/>
          <w:rtl/>
        </w:rPr>
        <w:t>באוקטובר</w:t>
      </w:r>
    </w:p>
    <w:p w:rsidR="005B126E" w:rsidRPr="00B97E44" w:rsidP="001916A9">
      <w:pPr>
        <w:spacing w:line="269" w:lineRule="auto"/>
        <w:rPr>
          <w:szCs w:val="20"/>
          <w:rtl/>
        </w:rPr>
      </w:pPr>
    </w:p>
    <w:p w:rsidR="005B126E" w:rsidRPr="00B97E44" w:rsidP="001916A9">
      <w:pPr>
        <w:spacing w:line="269" w:lineRule="auto"/>
        <w:rPr>
          <w:rtl/>
        </w:rPr>
      </w:pPr>
      <w:r w:rsidRPr="00B97E44">
        <w:rPr>
          <w:rFonts w:hint="eastAsia"/>
          <w:rtl/>
        </w:rPr>
        <w:t>מתקפת</w:t>
      </w:r>
      <w:r w:rsidRPr="00B97E44">
        <w:rPr>
          <w:rtl/>
        </w:rPr>
        <w:t xml:space="preserve"> הטרור הרצחנית של </w:t>
      </w:r>
      <w:r w:rsidRPr="00B97E44">
        <w:rPr>
          <w:rFonts w:hint="cs"/>
          <w:rtl/>
        </w:rPr>
        <w:t xml:space="preserve">ארגון הטרור </w:t>
      </w:r>
      <w:r w:rsidRPr="00B97E44">
        <w:rPr>
          <w:rtl/>
        </w:rPr>
        <w:t xml:space="preserve">חמאס המיטה אסון וזרעה הרס וחורבן בממדים שלא היו כמותם במדינת ישראל. ערב </w:t>
      </w:r>
      <w:r w:rsidRPr="00B97E44">
        <w:rPr>
          <w:rFonts w:hint="cs"/>
          <w:rtl/>
        </w:rPr>
        <w:t>מתקפת הטרור</w:t>
      </w:r>
      <w:r w:rsidRPr="00B97E44">
        <w:rPr>
          <w:rtl/>
        </w:rPr>
        <w:t xml:space="preserve"> </w:t>
      </w:r>
      <w:r w:rsidRPr="00B97E44">
        <w:rPr>
          <w:rFonts w:hint="cs"/>
          <w:rtl/>
        </w:rPr>
        <w:t>ב</w:t>
      </w:r>
      <w:r w:rsidRPr="00B97E44">
        <w:rPr>
          <w:rtl/>
        </w:rPr>
        <w:t xml:space="preserve">שבעה באוקטובר התגוררו ביישובי חבל </w:t>
      </w:r>
      <w:r w:rsidRPr="00390432">
        <w:rPr>
          <w:rtl/>
        </w:rPr>
        <w:t xml:space="preserve">התקומה </w:t>
      </w:r>
      <w:r w:rsidRPr="00390432">
        <w:rPr>
          <w:rFonts w:hint="cs"/>
          <w:rtl/>
        </w:rPr>
        <w:t xml:space="preserve">כ-64,000 </w:t>
      </w:r>
      <w:r w:rsidRPr="00390432">
        <w:rPr>
          <w:rtl/>
        </w:rPr>
        <w:t>תושבים</w:t>
      </w:r>
      <w:r w:rsidRPr="00B97E44">
        <w:rPr>
          <w:rtl/>
        </w:rPr>
        <w:t xml:space="preserve">, כמחציתם בעיר </w:t>
      </w:r>
      <w:r w:rsidRPr="00B97E44">
        <w:rPr>
          <w:rFonts w:hint="eastAsia"/>
          <w:b/>
          <w:bCs/>
          <w:rtl/>
        </w:rPr>
        <w:t>שדרות</w:t>
      </w:r>
      <w:r w:rsidRPr="00B97E44">
        <w:rPr>
          <w:rtl/>
        </w:rPr>
        <w:t xml:space="preserve"> ו</w:t>
      </w:r>
      <w:r w:rsidRPr="00B97E44">
        <w:rPr>
          <w:rFonts w:hint="cs"/>
          <w:rtl/>
        </w:rPr>
        <w:t>כ</w:t>
      </w:r>
      <w:r w:rsidRPr="00B97E44">
        <w:rPr>
          <w:rtl/>
        </w:rPr>
        <w:t xml:space="preserve">מחציתם השנייה ב-46 יישובים כפריים מהמועצות האזוריות </w:t>
      </w:r>
      <w:r w:rsidRPr="00B97E44">
        <w:rPr>
          <w:rFonts w:hint="eastAsia"/>
          <w:b/>
          <w:bCs/>
          <w:rtl/>
        </w:rPr>
        <w:t>אשכול</w:t>
      </w:r>
      <w:r w:rsidRPr="00B97E44">
        <w:rPr>
          <w:rtl/>
        </w:rPr>
        <w:t>,</w:t>
      </w:r>
      <w:r w:rsidRPr="00B97E44">
        <w:rPr>
          <w:b/>
          <w:bCs/>
          <w:rtl/>
        </w:rPr>
        <w:t xml:space="preserve"> </w:t>
      </w:r>
      <w:r w:rsidRPr="00B97E44">
        <w:rPr>
          <w:rFonts w:hint="eastAsia"/>
          <w:b/>
          <w:bCs/>
          <w:rtl/>
        </w:rPr>
        <w:t>חוף</w:t>
      </w:r>
      <w:r w:rsidRPr="00B97E44">
        <w:rPr>
          <w:b/>
          <w:bCs/>
          <w:rtl/>
        </w:rPr>
        <w:t xml:space="preserve"> </w:t>
      </w:r>
      <w:r w:rsidRPr="00B97E44">
        <w:rPr>
          <w:rFonts w:hint="eastAsia"/>
          <w:b/>
          <w:bCs/>
          <w:rtl/>
        </w:rPr>
        <w:t>אשקלון</w:t>
      </w:r>
      <w:r w:rsidRPr="00B97E44">
        <w:rPr>
          <w:rtl/>
        </w:rPr>
        <w:t>,</w:t>
      </w:r>
      <w:r w:rsidRPr="00B97E44">
        <w:rPr>
          <w:b/>
          <w:bCs/>
          <w:rtl/>
        </w:rPr>
        <w:t xml:space="preserve"> </w:t>
      </w:r>
      <w:r w:rsidRPr="00B97E44">
        <w:rPr>
          <w:rFonts w:hint="eastAsia"/>
          <w:b/>
          <w:bCs/>
          <w:rtl/>
        </w:rPr>
        <w:t>שדות</w:t>
      </w:r>
      <w:r w:rsidRPr="00B97E44">
        <w:rPr>
          <w:b/>
          <w:bCs/>
          <w:rtl/>
        </w:rPr>
        <w:t xml:space="preserve"> </w:t>
      </w:r>
      <w:r w:rsidRPr="00B97E44">
        <w:rPr>
          <w:rFonts w:hint="eastAsia"/>
          <w:b/>
          <w:bCs/>
          <w:rtl/>
        </w:rPr>
        <w:t>נגב</w:t>
      </w:r>
      <w:r w:rsidRPr="00B97E44">
        <w:rPr>
          <w:b/>
          <w:bCs/>
          <w:rtl/>
        </w:rPr>
        <w:t xml:space="preserve"> </w:t>
      </w:r>
      <w:r w:rsidRPr="00B97E44">
        <w:rPr>
          <w:rFonts w:hint="eastAsia"/>
          <w:rtl/>
        </w:rPr>
        <w:t>ו</w:t>
      </w:r>
      <w:r w:rsidRPr="00B97E44">
        <w:rPr>
          <w:rFonts w:hint="eastAsia"/>
          <w:b/>
          <w:bCs/>
          <w:rtl/>
        </w:rPr>
        <w:t>שער</w:t>
      </w:r>
      <w:r w:rsidRPr="00B97E44">
        <w:rPr>
          <w:b/>
          <w:bCs/>
          <w:rtl/>
        </w:rPr>
        <w:t xml:space="preserve"> </w:t>
      </w:r>
      <w:r w:rsidRPr="00B97E44">
        <w:rPr>
          <w:rFonts w:hint="eastAsia"/>
          <w:b/>
          <w:bCs/>
          <w:rtl/>
        </w:rPr>
        <w:t>הנגב</w:t>
      </w:r>
      <w:r w:rsidRPr="00B97E44">
        <w:rPr>
          <w:rtl/>
        </w:rPr>
        <w:t xml:space="preserve">. </w:t>
      </w:r>
      <w:r w:rsidRPr="00B97E44">
        <w:rPr>
          <w:rFonts w:hint="eastAsia"/>
          <w:rtl/>
        </w:rPr>
        <w:t>הרס</w:t>
      </w:r>
      <w:r w:rsidRPr="00B97E44">
        <w:rPr>
          <w:rtl/>
        </w:rPr>
        <w:t xml:space="preserve"> </w:t>
      </w:r>
      <w:r w:rsidRPr="00B97E44">
        <w:rPr>
          <w:rFonts w:hint="eastAsia"/>
          <w:rtl/>
        </w:rPr>
        <w:t>וחורבן</w:t>
      </w:r>
      <w:r w:rsidRPr="00B97E44">
        <w:rPr>
          <w:rtl/>
        </w:rPr>
        <w:t xml:space="preserve"> </w:t>
      </w:r>
      <w:r w:rsidRPr="00B97E44">
        <w:rPr>
          <w:rFonts w:hint="eastAsia"/>
          <w:rtl/>
        </w:rPr>
        <w:t>ניכרו</w:t>
      </w:r>
      <w:r w:rsidRPr="00B97E44">
        <w:rPr>
          <w:rtl/>
        </w:rPr>
        <w:t xml:space="preserve"> </w:t>
      </w:r>
      <w:r w:rsidRPr="00B97E44">
        <w:rPr>
          <w:rFonts w:hint="eastAsia"/>
          <w:rtl/>
        </w:rPr>
        <w:t>ביישובים</w:t>
      </w:r>
      <w:r w:rsidRPr="00B97E44">
        <w:rPr>
          <w:rtl/>
        </w:rPr>
        <w:t xml:space="preserve"> </w:t>
      </w:r>
      <w:r w:rsidRPr="00B97E44">
        <w:rPr>
          <w:rFonts w:hint="eastAsia"/>
          <w:rtl/>
        </w:rPr>
        <w:t>רבים</w:t>
      </w:r>
      <w:r w:rsidRPr="00B97E44">
        <w:rPr>
          <w:rtl/>
        </w:rPr>
        <w:t xml:space="preserve">. </w:t>
      </w:r>
      <w:r w:rsidRPr="00B97E44">
        <w:rPr>
          <w:rFonts w:hint="eastAsia"/>
          <w:rtl/>
        </w:rPr>
        <w:t>משפחות</w:t>
      </w:r>
      <w:r w:rsidRPr="00B97E44">
        <w:rPr>
          <w:rFonts w:hint="cs"/>
          <w:rtl/>
        </w:rPr>
        <w:t xml:space="preserve"> ויחידים </w:t>
      </w:r>
      <w:r w:rsidRPr="00B97E44">
        <w:rPr>
          <w:rFonts w:hint="eastAsia"/>
          <w:rtl/>
        </w:rPr>
        <w:t>נרצחו</w:t>
      </w:r>
      <w:r w:rsidRPr="00B97E44">
        <w:rPr>
          <w:rtl/>
        </w:rPr>
        <w:t xml:space="preserve"> </w:t>
      </w:r>
      <w:r w:rsidRPr="00B97E44">
        <w:rPr>
          <w:rFonts w:hint="eastAsia"/>
          <w:rtl/>
        </w:rPr>
        <w:t>ואחרים</w:t>
      </w:r>
      <w:r w:rsidRPr="00B97E44">
        <w:rPr>
          <w:rtl/>
        </w:rPr>
        <w:t xml:space="preserve"> </w:t>
      </w:r>
      <w:r w:rsidRPr="00B97E44">
        <w:rPr>
          <w:rFonts w:hint="eastAsia"/>
          <w:rtl/>
        </w:rPr>
        <w:t>נעקרו</w:t>
      </w:r>
      <w:r w:rsidRPr="00B97E44">
        <w:rPr>
          <w:rtl/>
        </w:rPr>
        <w:t xml:space="preserve"> </w:t>
      </w:r>
      <w:r w:rsidRPr="00B97E44">
        <w:rPr>
          <w:rFonts w:hint="eastAsia"/>
          <w:rtl/>
        </w:rPr>
        <w:t>מבתיהם</w:t>
      </w:r>
      <w:r w:rsidRPr="00B97E44">
        <w:rPr>
          <w:rtl/>
        </w:rPr>
        <w:t xml:space="preserve"> </w:t>
      </w:r>
      <w:r w:rsidRPr="00B97E44">
        <w:rPr>
          <w:rFonts w:hint="eastAsia"/>
          <w:rtl/>
        </w:rPr>
        <w:t>והתמודדו</w:t>
      </w:r>
      <w:r w:rsidRPr="00B97E44">
        <w:rPr>
          <w:rtl/>
        </w:rPr>
        <w:t xml:space="preserve"> </w:t>
      </w:r>
      <w:r w:rsidRPr="00B97E44">
        <w:rPr>
          <w:rFonts w:hint="eastAsia"/>
          <w:rtl/>
        </w:rPr>
        <w:t>בעל</w:t>
      </w:r>
      <w:r w:rsidRPr="00B97E44">
        <w:rPr>
          <w:rtl/>
        </w:rPr>
        <w:t xml:space="preserve"> </w:t>
      </w:r>
      <w:r w:rsidRPr="00B97E44">
        <w:rPr>
          <w:rFonts w:hint="eastAsia"/>
          <w:rtl/>
        </w:rPr>
        <w:t>כורחם</w:t>
      </w:r>
      <w:r w:rsidRPr="00B97E44">
        <w:rPr>
          <w:rtl/>
        </w:rPr>
        <w:t xml:space="preserve"> </w:t>
      </w:r>
      <w:r w:rsidRPr="00B97E44">
        <w:rPr>
          <w:rFonts w:hint="eastAsia"/>
          <w:rtl/>
        </w:rPr>
        <w:t>עם</w:t>
      </w:r>
      <w:r w:rsidRPr="00B97E44">
        <w:rPr>
          <w:rtl/>
        </w:rPr>
        <w:t xml:space="preserve"> </w:t>
      </w:r>
      <w:r w:rsidRPr="00B97E44">
        <w:rPr>
          <w:rFonts w:hint="eastAsia"/>
          <w:rtl/>
        </w:rPr>
        <w:t>מראות</w:t>
      </w:r>
      <w:r w:rsidRPr="00B97E44">
        <w:rPr>
          <w:rtl/>
        </w:rPr>
        <w:t xml:space="preserve"> </w:t>
      </w:r>
      <w:r w:rsidRPr="00B97E44">
        <w:rPr>
          <w:rFonts w:hint="eastAsia"/>
          <w:rtl/>
        </w:rPr>
        <w:t>קשים</w:t>
      </w:r>
      <w:r w:rsidRPr="00B97E44">
        <w:rPr>
          <w:rtl/>
        </w:rPr>
        <w:t xml:space="preserve"> </w:t>
      </w:r>
      <w:r w:rsidRPr="00B97E44">
        <w:rPr>
          <w:rFonts w:hint="eastAsia"/>
          <w:rtl/>
        </w:rPr>
        <w:t>של</w:t>
      </w:r>
      <w:r w:rsidRPr="00B97E44">
        <w:rPr>
          <w:rtl/>
        </w:rPr>
        <w:t xml:space="preserve"> </w:t>
      </w:r>
      <w:r w:rsidRPr="00B97E44">
        <w:rPr>
          <w:rFonts w:hint="eastAsia"/>
          <w:rtl/>
        </w:rPr>
        <w:t>אכזריות</w:t>
      </w:r>
      <w:r w:rsidRPr="00B97E44">
        <w:rPr>
          <w:rtl/>
        </w:rPr>
        <w:t xml:space="preserve"> </w:t>
      </w:r>
      <w:r w:rsidRPr="00B97E44">
        <w:rPr>
          <w:rFonts w:hint="eastAsia"/>
          <w:rtl/>
        </w:rPr>
        <w:t>בלתי</w:t>
      </w:r>
      <w:r w:rsidRPr="00B97E44">
        <w:rPr>
          <w:rtl/>
        </w:rPr>
        <w:t xml:space="preserve"> </w:t>
      </w:r>
      <w:r w:rsidRPr="00B97E44">
        <w:rPr>
          <w:rFonts w:hint="eastAsia"/>
          <w:rtl/>
        </w:rPr>
        <w:t>נתפסת</w:t>
      </w:r>
      <w:r w:rsidRPr="00B97E44">
        <w:rPr>
          <w:rtl/>
        </w:rPr>
        <w:t xml:space="preserve"> והיעדר צלם אנוש </w:t>
      </w:r>
      <w:r w:rsidRPr="00B97E44">
        <w:rPr>
          <w:rFonts w:hint="eastAsia"/>
          <w:rtl/>
        </w:rPr>
        <w:t>המצלקים</w:t>
      </w:r>
      <w:r w:rsidRPr="00B97E44">
        <w:rPr>
          <w:rtl/>
        </w:rPr>
        <w:t xml:space="preserve"> את הנפש - </w:t>
      </w:r>
      <w:r w:rsidRPr="00B97E44">
        <w:rPr>
          <w:rFonts w:hint="cs"/>
          <w:rtl/>
        </w:rPr>
        <w:t>269</w:t>
      </w:r>
      <w:r w:rsidRPr="00B97E44">
        <w:rPr>
          <w:rtl/>
        </w:rPr>
        <w:t xml:space="preserve"> מתושבי חבל התקומה נרצחו</w:t>
      </w:r>
      <w:r>
        <w:rPr>
          <w:vertAlign w:val="superscript"/>
          <w:rtl/>
        </w:rPr>
        <w:footnoteReference w:id="8"/>
      </w:r>
      <w:r w:rsidRPr="00B97E44">
        <w:rPr>
          <w:rtl/>
        </w:rPr>
        <w:t>, 525 מבנים ניזוקו באופן חמור המחייב הריסה, מתוכם 392 יחידות דיור</w:t>
      </w:r>
      <w:r w:rsidRPr="00B97E44">
        <w:rPr>
          <w:rFonts w:hint="cs"/>
          <w:rtl/>
        </w:rPr>
        <w:t>.</w:t>
      </w:r>
    </w:p>
    <w:p w:rsidR="005B126E" w:rsidRPr="00B97E44" w:rsidP="00AE39DA">
      <w:pPr>
        <w:keepNext/>
        <w:keepLines/>
        <w:spacing w:line="360" w:lineRule="auto"/>
        <w:jc w:val="center"/>
        <w:rPr>
          <w:bCs/>
          <w:rtl/>
        </w:rPr>
      </w:pPr>
      <w:r w:rsidRPr="00B97E44">
        <w:rPr>
          <w:rFonts w:hint="eastAsia"/>
          <w:b/>
          <w:rtl/>
        </w:rPr>
        <w:t>מפה</w:t>
      </w:r>
      <w:r w:rsidRPr="00B97E44">
        <w:rPr>
          <w:b/>
          <w:rtl/>
        </w:rPr>
        <w:t xml:space="preserve"> 1:</w:t>
      </w:r>
      <w:r w:rsidRPr="00B97E44">
        <w:rPr>
          <w:bCs/>
          <w:rtl/>
        </w:rPr>
        <w:t xml:space="preserve"> י</w:t>
      </w:r>
      <w:r w:rsidRPr="00B97E44">
        <w:rPr>
          <w:rFonts w:hint="eastAsia"/>
          <w:bCs/>
          <w:rtl/>
        </w:rPr>
        <w:t>ישובי</w:t>
      </w:r>
      <w:r w:rsidRPr="00B97E44">
        <w:rPr>
          <w:bCs/>
          <w:rtl/>
        </w:rPr>
        <w:t xml:space="preserve"> </w:t>
      </w:r>
      <w:r w:rsidRPr="00B97E44">
        <w:rPr>
          <w:rFonts w:hint="eastAsia"/>
          <w:bCs/>
          <w:rtl/>
        </w:rPr>
        <w:t>הנגב</w:t>
      </w:r>
      <w:r w:rsidRPr="00B97E44">
        <w:rPr>
          <w:bCs/>
          <w:rtl/>
        </w:rPr>
        <w:t xml:space="preserve"> </w:t>
      </w:r>
      <w:r w:rsidRPr="00B97E44">
        <w:rPr>
          <w:rFonts w:hint="eastAsia"/>
          <w:bCs/>
          <w:rtl/>
        </w:rPr>
        <w:t>המערבי</w:t>
      </w:r>
    </w:p>
    <w:p w:rsidR="005B126E" w:rsidRPr="00B97E44" w:rsidP="001916A9">
      <w:pPr>
        <w:spacing w:line="269" w:lineRule="auto"/>
        <w:jc w:val="center"/>
        <w:rPr>
          <w:bCs/>
          <w:rtl/>
        </w:rPr>
      </w:pPr>
      <w:r w:rsidRPr="00B97E44">
        <w:rPr>
          <w:rFonts w:hint="eastAsia"/>
          <w:b/>
          <w:bCs/>
          <w:noProof/>
        </w:rPr>
        <w:drawing>
          <wp:inline distT="0" distB="0" distL="0" distR="0">
            <wp:extent cx="4236065" cy="6012180"/>
            <wp:effectExtent l="0" t="0" r="0" b="7620"/>
            <wp:docPr id="30" name="תמונה 30" descr="במפה מוצג אזור הנגב המערבי ויש בה קו מפריד של שבעה קילומטר מגבול רצועת עזה שתחתיו כל יישובי חבל תקומ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
                    <pic:cNvPicPr>
                      <a:picLocks noChangeAspect="1" noChangeArrowheads="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238482" cy="6015611"/>
                    </a:xfrm>
                    <a:prstGeom prst="rect">
                      <a:avLst/>
                    </a:prstGeom>
                    <a:noFill/>
                    <a:ln>
                      <a:noFill/>
                    </a:ln>
                  </pic:spPr>
                </pic:pic>
              </a:graphicData>
            </a:graphic>
          </wp:inline>
        </w:drawing>
      </w:r>
    </w:p>
    <w:p w:rsidR="005B126E" w:rsidRPr="00B97E44" w:rsidP="001916A9">
      <w:pPr>
        <w:spacing w:line="269" w:lineRule="auto"/>
        <w:ind w:right="142"/>
        <w:jc w:val="left"/>
        <w:rPr>
          <w:rFonts w:eastAsia="Times New Roman"/>
          <w:b/>
          <w:sz w:val="16"/>
          <w:szCs w:val="20"/>
          <w:lang w:eastAsia="he-IL"/>
        </w:rPr>
      </w:pPr>
      <w:r w:rsidRPr="00B97E44">
        <w:rPr>
          <w:rFonts w:eastAsia="Times New Roman" w:hint="cs"/>
          <w:b/>
          <w:sz w:val="16"/>
          <w:szCs w:val="20"/>
          <w:rtl/>
          <w:lang w:eastAsia="he-IL"/>
        </w:rPr>
        <w:t xml:space="preserve">מקור מפת הרקע: </w:t>
      </w:r>
      <w:r w:rsidRPr="00B97E44">
        <w:rPr>
          <w:rFonts w:eastAsia="Times New Roman"/>
          <w:b/>
          <w:sz w:val="16"/>
          <w:szCs w:val="20"/>
          <w:rtl/>
          <w:lang w:eastAsia="he-IL"/>
        </w:rPr>
        <w:t>מפת רקע ושכבת יישובים של המרכז למיפוי ישראל, שכבת גבולות</w:t>
      </w:r>
      <w:r w:rsidRPr="00B97E44">
        <w:rPr>
          <w:rFonts w:eastAsia="Times New Roman" w:hint="cs"/>
          <w:b/>
          <w:sz w:val="16"/>
          <w:szCs w:val="20"/>
          <w:rtl/>
          <w:lang w:eastAsia="he-IL"/>
        </w:rPr>
        <w:t xml:space="preserve"> ש</w:t>
      </w:r>
      <w:r w:rsidRPr="00B97E44">
        <w:rPr>
          <w:rFonts w:eastAsia="Times New Roman"/>
          <w:b/>
          <w:sz w:val="16"/>
          <w:szCs w:val="20"/>
          <w:rtl/>
          <w:lang w:eastAsia="he-IL"/>
        </w:rPr>
        <w:t>יפוט הרשויות המקומיות של משרד הפנים, בעיבוד משרד מבקר המדינה</w:t>
      </w:r>
      <w:r w:rsidRPr="00B97E44">
        <w:rPr>
          <w:rFonts w:eastAsia="Times New Roman" w:hint="cs"/>
          <w:b/>
          <w:sz w:val="16"/>
          <w:szCs w:val="20"/>
          <w:rtl/>
          <w:lang w:eastAsia="he-IL"/>
        </w:rPr>
        <w:t>.</w:t>
      </w:r>
    </w:p>
    <w:p w:rsidR="005B126E" w:rsidRPr="00B97E44" w:rsidP="001916A9">
      <w:pPr>
        <w:pStyle w:val="Heading5"/>
        <w:spacing w:line="269" w:lineRule="auto"/>
        <w:rPr>
          <w:rtl/>
        </w:rPr>
      </w:pPr>
      <w:r w:rsidRPr="00B97E44">
        <w:rPr>
          <w:rFonts w:hint="cs"/>
          <w:rtl/>
        </w:rPr>
        <w:t>המועצה האזורית אשכול</w:t>
      </w:r>
    </w:p>
    <w:p w:rsidR="005B126E" w:rsidRPr="00B97E44" w:rsidP="001916A9">
      <w:pPr>
        <w:spacing w:line="269" w:lineRule="auto"/>
        <w:ind w:left="-567"/>
        <w:rPr>
          <w:szCs w:val="20"/>
          <w:rtl/>
        </w:rPr>
      </w:pPr>
    </w:p>
    <w:p w:rsidR="005B126E" w:rsidP="001916A9">
      <w:pPr>
        <w:spacing w:line="269" w:lineRule="auto"/>
        <w:rPr>
          <w:rtl/>
        </w:rPr>
      </w:pPr>
      <w:r w:rsidRPr="00B97E44">
        <w:rPr>
          <w:rFonts w:hint="cs"/>
          <w:rtl/>
        </w:rPr>
        <w:t xml:space="preserve">לפי נתוני </w:t>
      </w:r>
      <w:r w:rsidRPr="00B97E44">
        <w:rPr>
          <w:rFonts w:hint="cs"/>
          <w:rtl/>
        </w:rPr>
        <w:t>הלמ"ס</w:t>
      </w:r>
      <w:r w:rsidRPr="00B97E44">
        <w:rPr>
          <w:rFonts w:hint="cs"/>
          <w:rtl/>
        </w:rPr>
        <w:t xml:space="preserve"> לשנת 2023, במועצה </w:t>
      </w:r>
      <w:r w:rsidRPr="00B97E44">
        <w:rPr>
          <w:rtl/>
        </w:rPr>
        <w:t xml:space="preserve">האזורית </w:t>
      </w:r>
      <w:r w:rsidRPr="00B97E44">
        <w:rPr>
          <w:b/>
          <w:bCs/>
          <w:rtl/>
        </w:rPr>
        <w:t>אשכול</w:t>
      </w:r>
      <w:r w:rsidRPr="00B97E44">
        <w:rPr>
          <w:rFonts w:hint="cs"/>
          <w:rtl/>
        </w:rPr>
        <w:t xml:space="preserve"> התגוררו כ-</w:t>
      </w:r>
      <w:r w:rsidRPr="00B97E44">
        <w:rPr>
          <w:rtl/>
        </w:rPr>
        <w:t>18,000</w:t>
      </w:r>
      <w:r w:rsidRPr="00B97E44">
        <w:rPr>
          <w:rFonts w:hint="cs"/>
          <w:rtl/>
        </w:rPr>
        <w:t xml:space="preserve"> תושבים ב-32 יישובים: 15 מושבים, 14 קיבוצים ושלושה יישובים קהילתיים. תושבי המועצה האזורית אשכול ספגו פגיעה קשה מאוד במתקפת </w:t>
      </w:r>
      <w:r>
        <w:rPr>
          <w:rFonts w:hint="cs"/>
          <w:rtl/>
        </w:rPr>
        <w:t>הטרור</w:t>
      </w:r>
      <w:r w:rsidRPr="00B97E44">
        <w:rPr>
          <w:rFonts w:hint="cs"/>
          <w:rtl/>
        </w:rPr>
        <w:t>. מחבלים חדרו ל-16 מיישובי המועצה ובהם הקיבוצים בארי, ניר עוז, חולית וכיסופים. 165 מתושבי המועצה נרצחו, 17 מתוכם מתחת לגיל 18, ו-119 נחטפו חיים וחללים.</w:t>
      </w:r>
    </w:p>
    <w:p w:rsidR="005B126E" w:rsidRPr="00B97E44" w:rsidP="001916A9">
      <w:pPr>
        <w:spacing w:line="269" w:lineRule="auto"/>
        <w:rPr>
          <w:rtl/>
        </w:rPr>
      </w:pPr>
    </w:p>
    <w:p w:rsidR="005B126E" w:rsidRPr="00B97E44" w:rsidP="00AE39DA">
      <w:pPr>
        <w:keepNext/>
        <w:keepLines/>
        <w:spacing w:line="360" w:lineRule="auto"/>
        <w:jc w:val="center"/>
      </w:pPr>
      <w:r w:rsidRPr="00B97E44">
        <w:rPr>
          <w:rFonts w:hint="cs"/>
          <w:rtl/>
        </w:rPr>
        <w:t xml:space="preserve">תמונות 1 - 2: </w:t>
      </w:r>
      <w:r w:rsidRPr="00B97E44">
        <w:rPr>
          <w:rFonts w:hint="cs"/>
          <w:b/>
          <w:bCs/>
          <w:rtl/>
        </w:rPr>
        <w:t>קיבוץ בארי</w:t>
      </w:r>
      <w:r w:rsidRPr="00B97E44">
        <w:rPr>
          <w:rFonts w:hint="cs"/>
          <w:rtl/>
        </w:rPr>
        <w:t xml:space="preserve"> </w:t>
      </w:r>
      <w:r w:rsidRPr="00B97E44">
        <w:rPr>
          <w:rFonts w:hint="cs"/>
          <w:b/>
          <w:bCs/>
          <w:rtl/>
        </w:rPr>
        <w:t>לאחר מתקפת שבעה באוקטובר</w:t>
      </w:r>
    </w:p>
    <w:tbl>
      <w:tblPr>
        <w:bidiVisual/>
        <w:tblW w:w="0" w:type="auto"/>
        <w:tblLook w:val="04A0"/>
      </w:tblPr>
      <w:tblGrid>
        <w:gridCol w:w="4465"/>
        <w:gridCol w:w="4465"/>
      </w:tblGrid>
      <w:tr w:rsidTr="00FF2A74">
        <w:tblPrEx>
          <w:tblW w:w="0" w:type="auto"/>
          <w:tblLook w:val="04A0"/>
        </w:tblPrEx>
        <w:tc>
          <w:tcPr>
            <w:tcW w:w="4105" w:type="dxa"/>
          </w:tcPr>
          <w:p w:rsidR="005B126E" w:rsidRPr="00B97E44" w:rsidP="001916A9">
            <w:pPr>
              <w:keepNext/>
              <w:keepLines/>
              <w:spacing w:line="269" w:lineRule="auto"/>
              <w:rPr>
                <w:sz w:val="18"/>
                <w:szCs w:val="22"/>
                <w:rtl/>
              </w:rPr>
            </w:pPr>
            <w:r w:rsidRPr="00B97E44">
              <w:rPr>
                <w:noProof/>
              </w:rPr>
              <w:drawing>
                <wp:inline distT="0" distB="0" distL="0" distR="0">
                  <wp:extent cx="3024000" cy="2268000"/>
                  <wp:effectExtent l="0" t="0" r="5080" b="0"/>
                  <wp:docPr id="32" name="תמונה 32" descr="בתמונה זו מוצגת גלריה בקיבוץ בארי שנפגע במתקפת שבעה באוקטוב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
                          <pic:cNvPicPr>
                            <a:picLocks noChangeAspect="1" noChangeArrowheads="1"/>
                          </pic:cNvPicPr>
                        </pic:nvPicPr>
                        <pic:blipFill>
                          <a:blip xmlns:r="http://schemas.openxmlformats.org/officeDocument/2006/relationships" r:embed="rId19" cstate="screen">
                            <a:extLst>
                              <a:ext xmlns:a="http://schemas.openxmlformats.org/drawingml/2006/main" uri="{28A0092B-C50C-407E-A947-70E740481C1C}">
                                <a14:useLocalDpi xmlns:a14="http://schemas.microsoft.com/office/drawing/2010/main" val="0"/>
                              </a:ext>
                            </a:extLst>
                          </a:blip>
                          <a:stretch>
                            <a:fillRect/>
                          </a:stretch>
                        </pic:blipFill>
                        <pic:spPr bwMode="auto">
                          <a:xfrm>
                            <a:off x="0" y="0"/>
                            <a:ext cx="3024000" cy="2268000"/>
                          </a:xfrm>
                          <a:prstGeom prst="rect">
                            <a:avLst/>
                          </a:prstGeom>
                          <a:noFill/>
                        </pic:spPr>
                      </pic:pic>
                    </a:graphicData>
                  </a:graphic>
                </wp:inline>
              </w:drawing>
            </w:r>
          </w:p>
        </w:tc>
        <w:tc>
          <w:tcPr>
            <w:tcW w:w="4106" w:type="dxa"/>
          </w:tcPr>
          <w:p w:rsidR="005B126E" w:rsidRPr="00B97E44" w:rsidP="001916A9">
            <w:pPr>
              <w:keepNext/>
              <w:keepLines/>
              <w:spacing w:line="269" w:lineRule="auto"/>
              <w:rPr>
                <w:sz w:val="18"/>
                <w:szCs w:val="22"/>
                <w:rtl/>
              </w:rPr>
            </w:pPr>
            <w:r w:rsidRPr="00B97E44">
              <w:rPr>
                <w:noProof/>
              </w:rPr>
              <w:drawing>
                <wp:inline distT="0" distB="0" distL="0" distR="0">
                  <wp:extent cx="3024000" cy="2268000"/>
                  <wp:effectExtent l="0" t="0" r="5080" b="0"/>
                  <wp:docPr id="33" name="תמונה 33" descr="בתמונה זו מוצג ביתה ההרוס של פסי שנפגע במתקפת השבעה באוקטוב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
                          <pic:cNvPicPr>
                            <a:picLocks noChangeAspect="1" noChangeArrowheads="1"/>
                          </pic:cNvPicPr>
                        </pic:nvPicPr>
                        <pic:blipFill>
                          <a:blip xmlns:r="http://schemas.openxmlformats.org/officeDocument/2006/relationships" r:embed="rId20" cstate="screen">
                            <a:extLst>
                              <a:ext xmlns:a="http://schemas.openxmlformats.org/drawingml/2006/main" uri="{28A0092B-C50C-407E-A947-70E740481C1C}">
                                <a14:useLocalDpi xmlns:a14="http://schemas.microsoft.com/office/drawing/2010/main" val="0"/>
                              </a:ext>
                            </a:extLst>
                          </a:blip>
                          <a:stretch>
                            <a:fillRect/>
                          </a:stretch>
                        </pic:blipFill>
                        <pic:spPr bwMode="auto">
                          <a:xfrm>
                            <a:off x="0" y="0"/>
                            <a:ext cx="3024000" cy="2268000"/>
                          </a:xfrm>
                          <a:prstGeom prst="rect">
                            <a:avLst/>
                          </a:prstGeom>
                          <a:noFill/>
                        </pic:spPr>
                      </pic:pic>
                    </a:graphicData>
                  </a:graphic>
                </wp:inline>
              </w:drawing>
            </w:r>
          </w:p>
        </w:tc>
      </w:tr>
    </w:tbl>
    <w:p w:rsidR="005B126E" w:rsidRPr="00B97E44" w:rsidP="001916A9">
      <w:pPr>
        <w:spacing w:line="269" w:lineRule="auto"/>
        <w:jc w:val="left"/>
        <w:rPr>
          <w:sz w:val="16"/>
          <w:szCs w:val="20"/>
          <w:rtl/>
        </w:rPr>
      </w:pPr>
      <w:r w:rsidRPr="00B97E44">
        <w:rPr>
          <w:rFonts w:hint="cs"/>
          <w:sz w:val="16"/>
          <w:szCs w:val="20"/>
          <w:rtl/>
        </w:rPr>
        <w:t>צולם בידי צוות הביקורת בפברואר 2024.</w:t>
      </w:r>
    </w:p>
    <w:p w:rsidR="005B126E" w:rsidRPr="00B97E44" w:rsidP="001916A9">
      <w:pPr>
        <w:spacing w:line="269" w:lineRule="auto"/>
        <w:jc w:val="left"/>
        <w:rPr>
          <w:sz w:val="16"/>
          <w:szCs w:val="20"/>
          <w:rtl/>
        </w:rPr>
      </w:pPr>
      <w:r w:rsidRPr="00B97E44">
        <w:rPr>
          <w:rFonts w:hint="cs"/>
          <w:sz w:val="16"/>
          <w:szCs w:val="20"/>
          <w:rtl/>
        </w:rPr>
        <w:t>מימין הריסות גלריה בארי; משמאל הריסות ביתה של גב' פסי כהן ז"ל</w:t>
      </w:r>
      <w:r>
        <w:rPr>
          <w:rFonts w:hint="cs"/>
          <w:sz w:val="16"/>
          <w:szCs w:val="20"/>
          <w:rtl/>
        </w:rPr>
        <w:t>.</w:t>
      </w:r>
    </w:p>
    <w:p w:rsidR="005B126E" w:rsidRPr="00B97E44" w:rsidP="001916A9">
      <w:pPr>
        <w:spacing w:line="269" w:lineRule="auto"/>
        <w:rPr>
          <w:sz w:val="16"/>
          <w:szCs w:val="20"/>
          <w:rtl/>
        </w:rPr>
      </w:pPr>
    </w:p>
    <w:p w:rsidR="005B126E" w:rsidP="001916A9">
      <w:pPr>
        <w:pStyle w:val="Heading5"/>
        <w:spacing w:line="269" w:lineRule="auto"/>
        <w:rPr>
          <w:rtl/>
        </w:rPr>
      </w:pPr>
      <w:r w:rsidRPr="00B97E44">
        <w:rPr>
          <w:rFonts w:hint="cs"/>
          <w:rtl/>
        </w:rPr>
        <w:t>המועצה האזורית שער הנגב</w:t>
      </w:r>
    </w:p>
    <w:p w:rsidR="005B126E" w:rsidRPr="00FF020F" w:rsidP="001916A9">
      <w:pPr>
        <w:spacing w:line="269" w:lineRule="auto"/>
        <w:rPr>
          <w:rtl/>
        </w:rPr>
      </w:pPr>
    </w:p>
    <w:p w:rsidR="005B126E" w:rsidRPr="00B97E44" w:rsidP="001916A9">
      <w:pPr>
        <w:spacing w:line="269" w:lineRule="auto"/>
        <w:rPr>
          <w:rtl/>
        </w:rPr>
      </w:pPr>
      <w:r w:rsidRPr="00B97E44">
        <w:rPr>
          <w:rFonts w:hint="cs"/>
          <w:rtl/>
        </w:rPr>
        <w:t xml:space="preserve">לפי נתוני </w:t>
      </w:r>
      <w:r w:rsidRPr="00B97E44">
        <w:rPr>
          <w:rFonts w:hint="cs"/>
          <w:rtl/>
        </w:rPr>
        <w:t>הלמ"ס</w:t>
      </w:r>
      <w:r w:rsidRPr="00B97E44">
        <w:rPr>
          <w:rFonts w:hint="cs"/>
          <w:rtl/>
        </w:rPr>
        <w:t xml:space="preserve"> לשנת 2023, במועצה </w:t>
      </w:r>
      <w:r w:rsidRPr="00B97E44">
        <w:rPr>
          <w:rtl/>
        </w:rPr>
        <w:t xml:space="preserve">האזורית </w:t>
      </w:r>
      <w:r w:rsidRPr="00B97E44">
        <w:rPr>
          <w:b/>
          <w:bCs/>
          <w:rtl/>
        </w:rPr>
        <w:t>שער הנגב</w:t>
      </w:r>
      <w:r w:rsidRPr="00B97E44">
        <w:rPr>
          <w:rFonts w:hint="cs"/>
          <w:rtl/>
        </w:rPr>
        <w:t xml:space="preserve"> התגוררו כ-</w:t>
      </w:r>
      <w:r w:rsidRPr="00B97E44">
        <w:rPr>
          <w:rtl/>
        </w:rPr>
        <w:t>9,900</w:t>
      </w:r>
      <w:r w:rsidRPr="00B97E44">
        <w:rPr>
          <w:rFonts w:hint="cs"/>
          <w:rtl/>
        </w:rPr>
        <w:t xml:space="preserve"> תושבים ב-12 יישובים: עשרה מהם קיבוצים </w:t>
      </w:r>
      <w:r w:rsidRPr="00B97E44">
        <w:rPr>
          <w:rFonts w:hint="cs"/>
          <w:rtl/>
        </w:rPr>
        <w:t>ולצידם</w:t>
      </w:r>
      <w:r w:rsidRPr="00B97E44">
        <w:rPr>
          <w:rFonts w:hint="cs"/>
          <w:rtl/>
        </w:rPr>
        <w:t xml:space="preserve"> המושב </w:t>
      </w:r>
      <w:r w:rsidRPr="00B97E44">
        <w:rPr>
          <w:rFonts w:hint="cs"/>
          <w:rtl/>
        </w:rPr>
        <w:t>יכיני</w:t>
      </w:r>
      <w:r w:rsidRPr="00B97E44">
        <w:rPr>
          <w:rFonts w:hint="cs"/>
          <w:rtl/>
        </w:rPr>
        <w:t xml:space="preserve"> וכפר העולים </w:t>
      </w:r>
      <w:r w:rsidRPr="00B97E44">
        <w:rPr>
          <w:rFonts w:hint="cs"/>
          <w:rtl/>
        </w:rPr>
        <w:t>איבים</w:t>
      </w:r>
      <w:r w:rsidRPr="00B97E44">
        <w:rPr>
          <w:rFonts w:hint="cs"/>
          <w:rtl/>
        </w:rPr>
        <w:t xml:space="preserve">. לשניים מיישובי המועצה - הקיבוצים נחל עוז וכפר עזה - חדרו מחבלים בשבעה באוקטובר, 62 מתושבי המועצה נרצחו ובהם גם ראש המועצה, מר אופיר </w:t>
      </w:r>
      <w:r w:rsidRPr="00B97E44">
        <w:rPr>
          <w:rFonts w:hint="cs"/>
          <w:rtl/>
        </w:rPr>
        <w:t>ליבשטיין</w:t>
      </w:r>
      <w:r w:rsidRPr="00B97E44">
        <w:rPr>
          <w:rFonts w:hint="cs"/>
          <w:rtl/>
        </w:rPr>
        <w:t xml:space="preserve"> ז"ל, ו-25 נחטפו לעזה.</w:t>
      </w:r>
    </w:p>
    <w:p w:rsidR="005B126E" w:rsidP="001916A9">
      <w:pPr>
        <w:keepNext/>
        <w:keepLines/>
        <w:spacing w:line="269" w:lineRule="auto"/>
        <w:jc w:val="center"/>
        <w:rPr>
          <w:rtl/>
        </w:rPr>
      </w:pPr>
    </w:p>
    <w:p w:rsidR="005B126E" w:rsidRPr="00B97E44" w:rsidP="00AE39DA">
      <w:pPr>
        <w:keepNext/>
        <w:keepLines/>
        <w:spacing w:line="360" w:lineRule="auto"/>
        <w:jc w:val="center"/>
        <w:rPr>
          <w:rtl/>
        </w:rPr>
      </w:pPr>
      <w:r w:rsidRPr="00B97E44">
        <w:rPr>
          <w:rFonts w:hint="cs"/>
          <w:rtl/>
        </w:rPr>
        <w:t xml:space="preserve">תמונות 3 - 4: </w:t>
      </w:r>
      <w:r w:rsidRPr="00B97E44">
        <w:rPr>
          <w:rFonts w:hint="cs"/>
          <w:b/>
          <w:bCs/>
          <w:rtl/>
        </w:rPr>
        <w:t xml:space="preserve">קיבוץ כפר עזה לאחר מתקפת </w:t>
      </w:r>
      <w:r>
        <w:rPr>
          <w:rFonts w:hint="cs"/>
          <w:b/>
          <w:bCs/>
          <w:rtl/>
        </w:rPr>
        <w:t>הטרור</w:t>
      </w:r>
    </w:p>
    <w:tbl>
      <w:tblPr>
        <w:bidiVisual/>
        <w:tblW w:w="0" w:type="auto"/>
        <w:tblLook w:val="04A0"/>
      </w:tblPr>
      <w:tblGrid>
        <w:gridCol w:w="4465"/>
        <w:gridCol w:w="4465"/>
      </w:tblGrid>
      <w:tr w:rsidTr="00FF2A74">
        <w:tblPrEx>
          <w:tblW w:w="0" w:type="auto"/>
          <w:tblLook w:val="04A0"/>
        </w:tblPrEx>
        <w:tc>
          <w:tcPr>
            <w:tcW w:w="4110" w:type="dxa"/>
          </w:tcPr>
          <w:p w:rsidR="005B126E" w:rsidRPr="00B97E44" w:rsidP="00AE39DA">
            <w:pPr>
              <w:keepNext/>
              <w:keepLines/>
              <w:spacing w:line="360" w:lineRule="auto"/>
              <w:jc w:val="center"/>
              <w:rPr>
                <w:sz w:val="18"/>
                <w:szCs w:val="22"/>
                <w:rtl/>
              </w:rPr>
            </w:pPr>
            <w:r w:rsidRPr="00B97E44">
              <w:rPr>
                <w:noProof/>
                <w:sz w:val="18"/>
                <w:szCs w:val="22"/>
              </w:rPr>
              <w:drawing>
                <wp:inline distT="0" distB="0" distL="0" distR="0">
                  <wp:extent cx="3024000" cy="2268736"/>
                  <wp:effectExtent l="0" t="0" r="5080" b="0"/>
                  <wp:docPr id="18" name="תמונה 18" descr="בתמונה בית בקיבוץ כפר עזה שנפגע במתקפת השבעה באוקטוב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pic:cNvPicPr>
                            <a:picLocks noChangeAspect="1" noChangeArrowheads="1"/>
                          </pic:cNvPicPr>
                        </pic:nvPicPr>
                        <pic:blipFill>
                          <a:blip xmlns:r="http://schemas.openxmlformats.org/officeDocument/2006/relationships" r:embed="rId21" cstate="screen">
                            <a:extLst>
                              <a:ext xmlns:a="http://schemas.openxmlformats.org/drawingml/2006/main" uri="{28A0092B-C50C-407E-A947-70E740481C1C}">
                                <a14:useLocalDpi xmlns:a14="http://schemas.microsoft.com/office/drawing/2010/main" val="0"/>
                              </a:ext>
                            </a:extLst>
                          </a:blip>
                          <a:stretch>
                            <a:fillRect/>
                          </a:stretch>
                        </pic:blipFill>
                        <pic:spPr bwMode="auto">
                          <a:xfrm>
                            <a:off x="0" y="0"/>
                            <a:ext cx="3024000" cy="2268736"/>
                          </a:xfrm>
                          <a:prstGeom prst="rect">
                            <a:avLst/>
                          </a:prstGeom>
                          <a:noFill/>
                          <a:ln>
                            <a:noFill/>
                          </a:ln>
                        </pic:spPr>
                      </pic:pic>
                    </a:graphicData>
                  </a:graphic>
                </wp:inline>
              </w:drawing>
            </w:r>
          </w:p>
        </w:tc>
        <w:tc>
          <w:tcPr>
            <w:tcW w:w="4111" w:type="dxa"/>
          </w:tcPr>
          <w:p w:rsidR="005B126E" w:rsidRPr="00B97E44" w:rsidP="001916A9">
            <w:pPr>
              <w:spacing w:line="269" w:lineRule="auto"/>
              <w:rPr>
                <w:sz w:val="18"/>
                <w:szCs w:val="22"/>
                <w:rtl/>
              </w:rPr>
            </w:pPr>
            <w:r w:rsidRPr="00B97E44">
              <w:rPr>
                <w:noProof/>
              </w:rPr>
              <w:drawing>
                <wp:inline distT="0" distB="0" distL="0" distR="0">
                  <wp:extent cx="3024000" cy="2268000"/>
                  <wp:effectExtent l="0" t="0" r="5080" b="0"/>
                  <wp:docPr id="22" name="תמונה 22" descr="בתמונה זו בית נוסף בקיבוץ כפר עזה שנפגע במתקפת השבעה באוקטוב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
                          <pic:cNvPicPr>
                            <a:picLocks noChangeAspect="1" noChangeArrowheads="1"/>
                          </pic:cNvPicPr>
                        </pic:nvPicPr>
                        <pic:blipFill>
                          <a:blip xmlns:r="http://schemas.openxmlformats.org/officeDocument/2006/relationships" r:embed="rId22" cstate="screen">
                            <a:extLst>
                              <a:ext xmlns:a="http://schemas.openxmlformats.org/drawingml/2006/main" uri="{28A0092B-C50C-407E-A947-70E740481C1C}">
                                <a14:useLocalDpi xmlns:a14="http://schemas.microsoft.com/office/drawing/2010/main" val="0"/>
                              </a:ext>
                            </a:extLst>
                          </a:blip>
                          <a:stretch>
                            <a:fillRect/>
                          </a:stretch>
                        </pic:blipFill>
                        <pic:spPr bwMode="auto">
                          <a:xfrm>
                            <a:off x="0" y="0"/>
                            <a:ext cx="3024000" cy="2268000"/>
                          </a:xfrm>
                          <a:prstGeom prst="rect">
                            <a:avLst/>
                          </a:prstGeom>
                          <a:noFill/>
                          <a:ln>
                            <a:noFill/>
                          </a:ln>
                        </pic:spPr>
                      </pic:pic>
                    </a:graphicData>
                  </a:graphic>
                </wp:inline>
              </w:drawing>
            </w:r>
          </w:p>
        </w:tc>
      </w:tr>
    </w:tbl>
    <w:p w:rsidR="005B126E" w:rsidRPr="00B97E44" w:rsidP="001916A9">
      <w:pPr>
        <w:spacing w:line="269" w:lineRule="auto"/>
        <w:jc w:val="left"/>
        <w:rPr>
          <w:sz w:val="16"/>
          <w:szCs w:val="20"/>
          <w:rtl/>
        </w:rPr>
      </w:pPr>
      <w:r w:rsidRPr="00B97E44">
        <w:rPr>
          <w:rFonts w:hint="eastAsia"/>
          <w:sz w:val="16"/>
          <w:szCs w:val="20"/>
          <w:rtl/>
        </w:rPr>
        <w:t>צולם</w:t>
      </w:r>
      <w:r w:rsidRPr="00B97E44">
        <w:rPr>
          <w:sz w:val="16"/>
          <w:szCs w:val="20"/>
          <w:rtl/>
        </w:rPr>
        <w:t xml:space="preserve"> </w:t>
      </w:r>
      <w:r w:rsidRPr="00B97E44">
        <w:rPr>
          <w:rFonts w:hint="cs"/>
          <w:sz w:val="16"/>
          <w:szCs w:val="20"/>
          <w:rtl/>
        </w:rPr>
        <w:t>ב</w:t>
      </w:r>
      <w:r w:rsidRPr="00B97E44">
        <w:rPr>
          <w:rFonts w:hint="eastAsia"/>
          <w:sz w:val="16"/>
          <w:szCs w:val="20"/>
          <w:rtl/>
        </w:rPr>
        <w:t>ידי</w:t>
      </w:r>
      <w:r w:rsidRPr="00B97E44">
        <w:rPr>
          <w:sz w:val="16"/>
          <w:szCs w:val="20"/>
          <w:rtl/>
        </w:rPr>
        <w:t xml:space="preserve"> </w:t>
      </w:r>
      <w:r w:rsidRPr="00B97E44">
        <w:rPr>
          <w:rFonts w:hint="cs"/>
          <w:sz w:val="16"/>
          <w:szCs w:val="20"/>
          <w:rtl/>
        </w:rPr>
        <w:t>משרד מבקר המדינה</w:t>
      </w:r>
      <w:r w:rsidRPr="00B97E44">
        <w:rPr>
          <w:sz w:val="16"/>
          <w:szCs w:val="20"/>
          <w:rtl/>
        </w:rPr>
        <w:t xml:space="preserve"> </w:t>
      </w:r>
      <w:r w:rsidRPr="00B97E44">
        <w:rPr>
          <w:rFonts w:hint="eastAsia"/>
          <w:sz w:val="16"/>
          <w:szCs w:val="20"/>
          <w:rtl/>
        </w:rPr>
        <w:t>בפברואר</w:t>
      </w:r>
      <w:r w:rsidRPr="00B97E44">
        <w:rPr>
          <w:sz w:val="16"/>
          <w:szCs w:val="20"/>
          <w:rtl/>
        </w:rPr>
        <w:t xml:space="preserve"> 2024.</w:t>
      </w:r>
    </w:p>
    <w:p w:rsidR="005B126E" w:rsidRPr="00B97E44" w:rsidP="001916A9">
      <w:pPr>
        <w:spacing w:line="269" w:lineRule="auto"/>
        <w:rPr>
          <w:rtl/>
        </w:rPr>
      </w:pPr>
    </w:p>
    <w:p w:rsidR="005B126E" w:rsidRPr="00B97E44" w:rsidP="001916A9">
      <w:pPr>
        <w:pStyle w:val="Heading5"/>
        <w:spacing w:line="269" w:lineRule="auto"/>
        <w:rPr>
          <w:rtl/>
        </w:rPr>
      </w:pPr>
      <w:r w:rsidRPr="00B97E44">
        <w:rPr>
          <w:rFonts w:hint="cs"/>
          <w:rtl/>
        </w:rPr>
        <w:t xml:space="preserve">המועצה </w:t>
      </w:r>
      <w:bookmarkStart w:id="20" w:name="_Hlk193277421"/>
      <w:r w:rsidRPr="00B97E44">
        <w:rPr>
          <w:rFonts w:hint="cs"/>
          <w:rtl/>
        </w:rPr>
        <w:t>האזורית חוף אשקלון</w:t>
      </w:r>
      <w:bookmarkEnd w:id="20"/>
    </w:p>
    <w:p w:rsidR="005B126E" w:rsidP="001916A9">
      <w:pPr>
        <w:spacing w:line="269" w:lineRule="auto"/>
        <w:rPr>
          <w:rtl/>
        </w:rPr>
      </w:pPr>
    </w:p>
    <w:p w:rsidR="005B126E" w:rsidRPr="00B97E44" w:rsidP="001916A9">
      <w:pPr>
        <w:spacing w:line="269" w:lineRule="auto"/>
        <w:rPr>
          <w:rtl/>
        </w:rPr>
      </w:pPr>
      <w:r w:rsidRPr="00B97E44">
        <w:rPr>
          <w:rFonts w:hint="cs"/>
          <w:rtl/>
        </w:rPr>
        <w:t xml:space="preserve">לפי נתוני </w:t>
      </w:r>
      <w:r w:rsidRPr="00B97E44">
        <w:rPr>
          <w:rFonts w:hint="cs"/>
          <w:rtl/>
        </w:rPr>
        <w:t>הלמ"ס</w:t>
      </w:r>
      <w:r w:rsidRPr="00B97E44">
        <w:rPr>
          <w:rFonts w:hint="cs"/>
          <w:rtl/>
        </w:rPr>
        <w:t xml:space="preserve"> לשנת 2023, במועצה </w:t>
      </w:r>
      <w:r w:rsidRPr="00B97E44">
        <w:rPr>
          <w:rtl/>
        </w:rPr>
        <w:t xml:space="preserve">האזורית </w:t>
      </w:r>
      <w:r w:rsidRPr="00B97E44">
        <w:rPr>
          <w:b/>
          <w:bCs/>
          <w:rtl/>
        </w:rPr>
        <w:t>חוף אשקלון</w:t>
      </w:r>
      <w:r w:rsidRPr="00B97E44">
        <w:rPr>
          <w:rFonts w:hint="cs"/>
          <w:rtl/>
        </w:rPr>
        <w:t xml:space="preserve"> התגוררו כ-</w:t>
      </w:r>
      <w:r w:rsidRPr="00B97E44">
        <w:rPr>
          <w:rtl/>
        </w:rPr>
        <w:t>21,000</w:t>
      </w:r>
      <w:r w:rsidRPr="00B97E44">
        <w:rPr>
          <w:rFonts w:hint="cs"/>
          <w:rtl/>
        </w:rPr>
        <w:t xml:space="preserve"> תושבים ב-11 מושבים, חמישה קיבוצים</w:t>
      </w:r>
      <w:r>
        <w:rPr>
          <w:rFonts w:hint="cs"/>
          <w:rtl/>
        </w:rPr>
        <w:t xml:space="preserve">, </w:t>
      </w:r>
      <w:r w:rsidRPr="00B97E44">
        <w:rPr>
          <w:rFonts w:hint="cs"/>
          <w:rtl/>
        </w:rPr>
        <w:t>ארבעה יישובים קהילתיים</w:t>
      </w:r>
      <w:r>
        <w:rPr>
          <w:rFonts w:hint="cs"/>
          <w:rtl/>
        </w:rPr>
        <w:t xml:space="preserve"> וכפר נוער</w:t>
      </w:r>
      <w:r w:rsidRPr="00B97E44">
        <w:rPr>
          <w:rFonts w:hint="cs"/>
          <w:rtl/>
        </w:rPr>
        <w:t>. במתקפת הטרור נרצחו 18 מתושבי המועצה. 17 מתוכם נרצחו במהלך חדירת מחבלים למושב נתיב העשרה שבתחומי המועצה וכן נרצח תושב מהיישוב מבקיעים.</w:t>
      </w:r>
    </w:p>
    <w:p w:rsidR="005B126E" w:rsidRPr="00B97E44" w:rsidP="001916A9">
      <w:pPr>
        <w:spacing w:line="269" w:lineRule="auto"/>
        <w:ind w:left="-567"/>
        <w:rPr>
          <w:szCs w:val="20"/>
          <w:rtl/>
        </w:rPr>
      </w:pPr>
    </w:p>
    <w:p w:rsidR="005B126E" w:rsidRPr="00B97E44" w:rsidP="001916A9">
      <w:pPr>
        <w:pStyle w:val="Heading5"/>
        <w:spacing w:line="269" w:lineRule="auto"/>
        <w:rPr>
          <w:rtl/>
        </w:rPr>
      </w:pPr>
      <w:r w:rsidRPr="00B97E44">
        <w:rPr>
          <w:rFonts w:hint="cs"/>
          <w:rtl/>
        </w:rPr>
        <w:t xml:space="preserve">המועצה האזורית </w:t>
      </w:r>
      <w:r w:rsidRPr="00B97E44">
        <w:rPr>
          <w:rFonts w:hint="cs"/>
          <w:b/>
          <w:rtl/>
        </w:rPr>
        <w:t>שדות</w:t>
      </w:r>
      <w:r w:rsidRPr="00B97E44">
        <w:rPr>
          <w:rFonts w:hint="cs"/>
          <w:rtl/>
        </w:rPr>
        <w:t xml:space="preserve"> נגב</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לפי נתוני </w:t>
      </w:r>
      <w:r w:rsidRPr="00B97E44">
        <w:rPr>
          <w:rFonts w:hint="cs"/>
          <w:rtl/>
        </w:rPr>
        <w:t>הלמ"ס</w:t>
      </w:r>
      <w:r w:rsidRPr="00B97E44">
        <w:rPr>
          <w:rFonts w:hint="cs"/>
          <w:rtl/>
        </w:rPr>
        <w:t xml:space="preserve"> לשנת 2023, במועצה </w:t>
      </w:r>
      <w:r w:rsidRPr="00B97E44">
        <w:rPr>
          <w:rtl/>
        </w:rPr>
        <w:t xml:space="preserve">האזורית </w:t>
      </w:r>
      <w:r w:rsidRPr="00B97E44">
        <w:rPr>
          <w:rFonts w:hint="cs"/>
          <w:bCs/>
          <w:rtl/>
        </w:rPr>
        <w:t>שדות נגב</w:t>
      </w:r>
      <w:r w:rsidRPr="00B97E44">
        <w:rPr>
          <w:rFonts w:hint="cs"/>
          <w:rtl/>
        </w:rPr>
        <w:t xml:space="preserve"> התגוררו כ-</w:t>
      </w:r>
      <w:r w:rsidRPr="00B97E44">
        <w:rPr>
          <w:rtl/>
        </w:rPr>
        <w:t>12,000</w:t>
      </w:r>
      <w:r w:rsidRPr="00B97E44">
        <w:rPr>
          <w:rFonts w:hint="cs"/>
          <w:rtl/>
        </w:rPr>
        <w:t xml:space="preserve"> תושבים ב-16 יישובים - 12 מושבים, שני קיבוצים ושני יישובים קהילתיים. </w:t>
      </w:r>
      <w:r w:rsidRPr="00B97E44">
        <w:rPr>
          <w:rtl/>
        </w:rPr>
        <w:t>בהתקפה על מרחב</w:t>
      </w:r>
      <w:r w:rsidRPr="00B97E44">
        <w:rPr>
          <w:rFonts w:hint="cs"/>
          <w:rtl/>
        </w:rPr>
        <w:t xml:space="preserve"> </w:t>
      </w:r>
      <w:r w:rsidRPr="00B97E44">
        <w:rPr>
          <w:rtl/>
        </w:rPr>
        <w:t>עלומים</w:t>
      </w:r>
      <w:r w:rsidRPr="00B97E44">
        <w:rPr>
          <w:rFonts w:hint="cs"/>
          <w:rtl/>
        </w:rPr>
        <w:t xml:space="preserve"> שבתחומי המועצה</w:t>
      </w:r>
      <w:r w:rsidRPr="00B97E44">
        <w:rPr>
          <w:rtl/>
        </w:rPr>
        <w:t xml:space="preserve"> </w:t>
      </w:r>
      <w:r w:rsidRPr="00B97E44">
        <w:rPr>
          <w:rFonts w:hint="cs"/>
          <w:rtl/>
        </w:rPr>
        <w:t xml:space="preserve">במתקפת הטרור </w:t>
      </w:r>
      <w:r w:rsidRPr="00B97E44">
        <w:rPr>
          <w:rtl/>
        </w:rPr>
        <w:t>נרצחו 57 אזרחים</w:t>
      </w:r>
      <w:r w:rsidRPr="00B97E44">
        <w:rPr>
          <w:rFonts w:hint="cs"/>
          <w:rtl/>
        </w:rPr>
        <w:t>, מתוכם שלושה מתושבי המועצה,</w:t>
      </w:r>
      <w:r w:rsidRPr="00B97E44">
        <w:rPr>
          <w:rtl/>
        </w:rPr>
        <w:t xml:space="preserve"> ונפלו </w:t>
      </w:r>
      <w:r w:rsidRPr="00B97E44">
        <w:rPr>
          <w:rFonts w:hint="cs"/>
          <w:rtl/>
        </w:rPr>
        <w:t>חמישה</w:t>
      </w:r>
      <w:r w:rsidRPr="00B97E44">
        <w:rPr>
          <w:rtl/>
        </w:rPr>
        <w:t xml:space="preserve"> אנשי כוחות הביטחון;</w:t>
      </w:r>
      <w:r w:rsidRPr="00B97E44">
        <w:rPr>
          <w:rFonts w:hint="cs"/>
          <w:rtl/>
        </w:rPr>
        <w:t xml:space="preserve"> </w:t>
      </w:r>
      <w:r w:rsidRPr="00B97E44">
        <w:rPr>
          <w:rtl/>
        </w:rPr>
        <w:t>25 מהם נרצחו בתוך קיבוץ עלומים, ו-37 במרחב הלחימה שמחוץ לקיבוץ.</w:t>
      </w:r>
      <w:r w:rsidRPr="00B97E44">
        <w:rPr>
          <w:rFonts w:hint="cs"/>
          <w:rtl/>
        </w:rPr>
        <w:t xml:space="preserve"> </w:t>
      </w:r>
      <w:r w:rsidRPr="00B97E44">
        <w:rPr>
          <w:rtl/>
        </w:rPr>
        <w:t xml:space="preserve">ביום זה נחטפו שלושה אנשים חיים מקיבוץ עלומים וממרחבו וכן שני חללים </w:t>
      </w:r>
      <w:r w:rsidRPr="00B97E44">
        <w:rPr>
          <w:rFonts w:hint="cs"/>
          <w:rtl/>
        </w:rPr>
        <w:t>שנפלו ב</w:t>
      </w:r>
      <w:r w:rsidRPr="00B97E44">
        <w:rPr>
          <w:rtl/>
        </w:rPr>
        <w:t>מתקפה</w:t>
      </w:r>
      <w:r w:rsidRPr="00B97E44">
        <w:rPr>
          <w:rFonts w:hint="cs"/>
          <w:rtl/>
        </w:rPr>
        <w:t xml:space="preserve">. </w:t>
      </w:r>
    </w:p>
    <w:p w:rsidR="005B126E" w:rsidRPr="00B97E44" w:rsidP="001916A9">
      <w:pPr>
        <w:spacing w:line="269" w:lineRule="auto"/>
        <w:ind w:left="-567"/>
        <w:rPr>
          <w:szCs w:val="20"/>
          <w:rtl/>
        </w:rPr>
      </w:pPr>
    </w:p>
    <w:p w:rsidR="005B126E" w:rsidRPr="00B97E44" w:rsidP="001916A9">
      <w:pPr>
        <w:pStyle w:val="Heading5"/>
        <w:spacing w:line="269" w:lineRule="auto"/>
        <w:rPr>
          <w:rtl/>
        </w:rPr>
      </w:pPr>
      <w:r w:rsidRPr="00B97E44">
        <w:rPr>
          <w:rFonts w:hint="cs"/>
          <w:rtl/>
        </w:rPr>
        <w:t>שדרות</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לפי נתוני </w:t>
      </w:r>
      <w:r w:rsidRPr="00B97E44">
        <w:rPr>
          <w:rFonts w:hint="cs"/>
          <w:rtl/>
        </w:rPr>
        <w:t>הלמ"ס</w:t>
      </w:r>
      <w:r w:rsidRPr="00B97E44">
        <w:rPr>
          <w:rFonts w:hint="cs"/>
          <w:rtl/>
        </w:rPr>
        <w:t xml:space="preserve"> לשנת 2023, בעיר </w:t>
      </w:r>
      <w:r w:rsidRPr="00B97E44">
        <w:rPr>
          <w:rFonts w:hint="cs"/>
          <w:b/>
          <w:bCs/>
          <w:rtl/>
        </w:rPr>
        <w:t>שדרות</w:t>
      </w:r>
      <w:r w:rsidRPr="00B97E44">
        <w:rPr>
          <w:rFonts w:hint="cs"/>
          <w:rtl/>
        </w:rPr>
        <w:t>, המרוחקת כ-4 ק"מ מגדר הביטחון עם רצועת עזה, התגוררו כ-</w:t>
      </w:r>
      <w:r w:rsidRPr="00B97E44">
        <w:rPr>
          <w:rtl/>
        </w:rPr>
        <w:t>35,500</w:t>
      </w:r>
      <w:r w:rsidRPr="00B97E44">
        <w:rPr>
          <w:rFonts w:hint="cs"/>
          <w:rtl/>
        </w:rPr>
        <w:t xml:space="preserve"> תושבים. </w:t>
      </w:r>
      <w:r w:rsidRPr="00B97E44">
        <w:rPr>
          <w:rtl/>
        </w:rPr>
        <w:t>במתקפה על העיר שדרות</w:t>
      </w:r>
      <w:r w:rsidRPr="00B97E44">
        <w:rPr>
          <w:rFonts w:hint="cs"/>
          <w:rtl/>
        </w:rPr>
        <w:t xml:space="preserve"> בשבעה באוקטובר</w:t>
      </w:r>
      <w:r w:rsidRPr="00B97E44">
        <w:rPr>
          <w:rtl/>
        </w:rPr>
        <w:t xml:space="preserve"> </w:t>
      </w:r>
      <w:r w:rsidRPr="00B97E44">
        <w:rPr>
          <w:rFonts w:hint="eastAsia"/>
          <w:rtl/>
        </w:rPr>
        <w:t>נ</w:t>
      </w:r>
      <w:r w:rsidRPr="00B97E44">
        <w:rPr>
          <w:rtl/>
        </w:rPr>
        <w:t>רצחו 37 אזרחים</w:t>
      </w:r>
      <w:r w:rsidRPr="00B97E44">
        <w:rPr>
          <w:rFonts w:hint="cs"/>
          <w:rtl/>
        </w:rPr>
        <w:t>, מתוכם 21 תושבי העיר,</w:t>
      </w:r>
      <w:r w:rsidRPr="00B97E44">
        <w:rPr>
          <w:rtl/>
        </w:rPr>
        <w:t xml:space="preserve"> ו</w:t>
      </w:r>
      <w:r w:rsidRPr="00B97E44">
        <w:rPr>
          <w:rFonts w:hint="eastAsia"/>
          <w:rtl/>
        </w:rPr>
        <w:t>נ</w:t>
      </w:r>
      <w:r w:rsidRPr="00B97E44">
        <w:rPr>
          <w:rtl/>
        </w:rPr>
        <w:t>פלו 16 חיילים, א</w:t>
      </w:r>
      <w:r w:rsidRPr="00B97E44">
        <w:rPr>
          <w:rFonts w:hint="eastAsia"/>
          <w:rtl/>
        </w:rPr>
        <w:t>נ</w:t>
      </w:r>
      <w:r w:rsidRPr="00B97E44">
        <w:rPr>
          <w:rtl/>
        </w:rPr>
        <w:t xml:space="preserve">שי כיתת </w:t>
      </w:r>
      <w:r w:rsidRPr="00B97E44">
        <w:rPr>
          <w:rFonts w:hint="eastAsia"/>
          <w:rtl/>
        </w:rPr>
        <w:t>ה</w:t>
      </w:r>
      <w:r w:rsidRPr="00B97E44">
        <w:rPr>
          <w:rtl/>
        </w:rPr>
        <w:t>כו</w:t>
      </w:r>
      <w:r w:rsidRPr="00B97E44">
        <w:rPr>
          <w:rFonts w:hint="eastAsia"/>
          <w:rtl/>
        </w:rPr>
        <w:t>ננות</w:t>
      </w:r>
      <w:r w:rsidRPr="00B97E44">
        <w:rPr>
          <w:rtl/>
        </w:rPr>
        <w:t xml:space="preserve"> וכוחות הביטחון. 53 אזרחים, חיילים וא</w:t>
      </w:r>
      <w:r w:rsidRPr="00B97E44">
        <w:rPr>
          <w:rFonts w:hint="eastAsia"/>
          <w:rtl/>
        </w:rPr>
        <w:t>נ</w:t>
      </w:r>
      <w:r w:rsidRPr="00B97E44">
        <w:rPr>
          <w:rtl/>
        </w:rPr>
        <w:t xml:space="preserve">שי כוחות הביטחון </w:t>
      </w:r>
      <w:r w:rsidRPr="00B97E44">
        <w:rPr>
          <w:rFonts w:hint="eastAsia"/>
          <w:rtl/>
        </w:rPr>
        <w:t>נ</w:t>
      </w:r>
      <w:r w:rsidRPr="00B97E44">
        <w:rPr>
          <w:rtl/>
        </w:rPr>
        <w:t xml:space="preserve">פצעו. מחבלים השתלטו על תחנת המשטרה בעיר למשך כ-28 שעות. </w:t>
      </w:r>
    </w:p>
    <w:p w:rsidR="005B126E" w:rsidRPr="00B97E44" w:rsidP="001916A9">
      <w:pPr>
        <w:pStyle w:val="Heading5"/>
        <w:spacing w:line="269" w:lineRule="auto"/>
        <w:rPr>
          <w:rtl/>
        </w:rPr>
      </w:pPr>
      <w:r w:rsidRPr="00B97E44">
        <w:rPr>
          <w:rFonts w:hint="cs"/>
          <w:rtl/>
        </w:rPr>
        <w:t xml:space="preserve">אופקים </w:t>
      </w:r>
    </w:p>
    <w:p w:rsidR="005B126E" w:rsidP="001916A9">
      <w:pPr>
        <w:spacing w:line="269" w:lineRule="auto"/>
        <w:rPr>
          <w:rtl/>
        </w:rPr>
      </w:pPr>
    </w:p>
    <w:p w:rsidR="005B126E" w:rsidRPr="00B97E44" w:rsidP="001916A9">
      <w:pPr>
        <w:spacing w:line="269" w:lineRule="auto"/>
        <w:rPr>
          <w:b/>
          <w:rtl/>
        </w:rPr>
      </w:pPr>
      <w:r w:rsidRPr="00B97E44">
        <w:rPr>
          <w:rFonts w:hint="cs"/>
          <w:rtl/>
        </w:rPr>
        <w:t xml:space="preserve">לפי נתוני </w:t>
      </w:r>
      <w:r w:rsidRPr="00B97E44">
        <w:rPr>
          <w:rFonts w:hint="cs"/>
          <w:rtl/>
        </w:rPr>
        <w:t>הלמ"ס</w:t>
      </w:r>
      <w:r w:rsidRPr="00B97E44">
        <w:rPr>
          <w:rFonts w:hint="cs"/>
          <w:rtl/>
        </w:rPr>
        <w:t xml:space="preserve"> לשנת 2023</w:t>
      </w:r>
      <w:r w:rsidRPr="00B97E44">
        <w:rPr>
          <w:rFonts w:hint="cs"/>
          <w:b/>
          <w:rtl/>
        </w:rPr>
        <w:t xml:space="preserve">, מנתה </w:t>
      </w:r>
      <w:r w:rsidRPr="00B97E44">
        <w:rPr>
          <w:rFonts w:hint="cs"/>
          <w:b/>
          <w:bCs/>
          <w:rtl/>
        </w:rPr>
        <w:t>אופקים</w:t>
      </w:r>
      <w:r w:rsidRPr="00B97E44">
        <w:rPr>
          <w:rFonts w:hint="cs"/>
          <w:rtl/>
        </w:rPr>
        <w:t>, המרוחקת כ-21 ק"מ מגדר הגבול עם עזה</w:t>
      </w:r>
      <w:r w:rsidRPr="00B97E44">
        <w:rPr>
          <w:b/>
          <w:rtl/>
        </w:rPr>
        <w:t xml:space="preserve">, </w:t>
      </w:r>
      <w:r w:rsidRPr="00B97E44">
        <w:rPr>
          <w:rFonts w:hint="eastAsia"/>
          <w:b/>
          <w:rtl/>
        </w:rPr>
        <w:t>כ</w:t>
      </w:r>
      <w:r w:rsidRPr="00B97E44">
        <w:rPr>
          <w:b/>
          <w:rtl/>
        </w:rPr>
        <w:t>-</w:t>
      </w:r>
      <w:r w:rsidRPr="00B97E44">
        <w:rPr>
          <w:rFonts w:hint="cs"/>
          <w:b/>
          <w:rtl/>
        </w:rPr>
        <w:t>38</w:t>
      </w:r>
      <w:r w:rsidRPr="00B97E44">
        <w:rPr>
          <w:b/>
          <w:rtl/>
        </w:rPr>
        <w:t>,</w:t>
      </w:r>
      <w:r w:rsidRPr="00B97E44">
        <w:rPr>
          <w:rFonts w:hint="cs"/>
          <w:b/>
          <w:rtl/>
        </w:rPr>
        <w:t>000 תושבים. ב</w:t>
      </w:r>
      <w:r w:rsidRPr="00B97E44">
        <w:rPr>
          <w:rFonts w:hint="cs"/>
          <w:rtl/>
        </w:rPr>
        <w:t>מתקפת הטרור ב</w:t>
      </w:r>
      <w:r w:rsidRPr="00B97E44">
        <w:rPr>
          <w:rFonts w:hint="cs"/>
          <w:b/>
          <w:rtl/>
        </w:rPr>
        <w:t>שבעה באוקטובר חדרו מחבלים לשכונת מישור הגפן בעיר ורצחו 24 תושבים ושישה אנשי כוחות הביטחון</w:t>
      </w:r>
      <w:r w:rsidRPr="00B97E44">
        <w:rPr>
          <w:b/>
          <w:rtl/>
        </w:rPr>
        <w:t xml:space="preserve"> </w:t>
      </w:r>
      <w:r w:rsidRPr="00B97E44">
        <w:rPr>
          <w:rFonts w:hint="cs"/>
          <w:b/>
          <w:rtl/>
        </w:rPr>
        <w:t xml:space="preserve">- </w:t>
      </w:r>
      <w:r w:rsidRPr="00B97E44">
        <w:rPr>
          <w:b/>
          <w:rtl/>
        </w:rPr>
        <w:t>חלקם בבתיהם, חלקם במרחב המוגן המשותף</w:t>
      </w:r>
      <w:r w:rsidRPr="00B97E44">
        <w:rPr>
          <w:rFonts w:hint="cs"/>
          <w:b/>
          <w:rtl/>
        </w:rPr>
        <w:t xml:space="preserve"> ו</w:t>
      </w:r>
      <w:r w:rsidRPr="00B97E44">
        <w:rPr>
          <w:b/>
          <w:rtl/>
        </w:rPr>
        <w:t>חלקם ברחוב.</w:t>
      </w:r>
      <w:r w:rsidRPr="00B97E44">
        <w:rPr>
          <w:rFonts w:hint="cs"/>
          <w:b/>
          <w:rtl/>
        </w:rPr>
        <w:t xml:space="preserve"> נוסף להם נרצחו 12 תושבי העיר אופקים במקומות אחרים בדרום הארץ</w:t>
      </w:r>
      <w:r w:rsidRPr="00B97E44">
        <w:rPr>
          <w:rFonts w:hint="cs"/>
          <w:rtl/>
        </w:rPr>
        <w:t xml:space="preserve">. </w:t>
      </w:r>
    </w:p>
    <w:p w:rsidR="005B126E" w:rsidRPr="00B97E44" w:rsidP="001916A9">
      <w:pPr>
        <w:spacing w:line="269" w:lineRule="auto"/>
        <w:rPr>
          <w:b/>
        </w:rPr>
      </w:pPr>
    </w:p>
    <w:p w:rsidR="005B126E" w:rsidRPr="00B97E44" w:rsidP="00AE39DA">
      <w:pPr>
        <w:keepNext/>
        <w:keepLines/>
        <w:spacing w:line="360" w:lineRule="auto"/>
        <w:jc w:val="center"/>
        <w:rPr>
          <w:b/>
          <w:rtl/>
        </w:rPr>
      </w:pPr>
      <w:r w:rsidRPr="00B97E44">
        <w:rPr>
          <w:rFonts w:hint="cs"/>
          <w:b/>
          <w:rtl/>
        </w:rPr>
        <w:t xml:space="preserve">תמונות 5 - 6: </w:t>
      </w:r>
      <w:r w:rsidRPr="00B97E44">
        <w:rPr>
          <w:rFonts w:hint="cs"/>
          <w:bCs/>
          <w:rtl/>
        </w:rPr>
        <w:t xml:space="preserve">הנצחה ביוזמה פרטית של </w:t>
      </w:r>
      <w:r w:rsidRPr="00B97E44">
        <w:rPr>
          <w:rFonts w:hint="eastAsia"/>
          <w:bCs/>
          <w:rtl/>
        </w:rPr>
        <w:t>מתקפת</w:t>
      </w:r>
      <w:r w:rsidRPr="00B97E44">
        <w:rPr>
          <w:bCs/>
          <w:rtl/>
        </w:rPr>
        <w:t xml:space="preserve"> </w:t>
      </w:r>
      <w:r w:rsidRPr="00B97E44">
        <w:rPr>
          <w:rFonts w:hint="eastAsia"/>
          <w:bCs/>
          <w:rtl/>
        </w:rPr>
        <w:t>הטרור</w:t>
      </w:r>
      <w:r w:rsidRPr="00B97E44">
        <w:rPr>
          <w:rFonts w:hint="cs"/>
          <w:bCs/>
          <w:rtl/>
        </w:rPr>
        <w:t xml:space="preserve"> ב</w:t>
      </w:r>
      <w:r w:rsidRPr="00B97E44">
        <w:rPr>
          <w:rFonts w:hint="eastAsia"/>
          <w:bCs/>
          <w:rtl/>
        </w:rPr>
        <w:t>שכונת</w:t>
      </w:r>
      <w:r w:rsidRPr="00B97E44">
        <w:rPr>
          <w:bCs/>
          <w:rtl/>
        </w:rPr>
        <w:t xml:space="preserve"> </w:t>
      </w:r>
      <w:r w:rsidRPr="00B97E44">
        <w:rPr>
          <w:rFonts w:hint="eastAsia"/>
          <w:bCs/>
          <w:rtl/>
        </w:rPr>
        <w:t>מישור</w:t>
      </w:r>
      <w:r w:rsidRPr="00B97E44">
        <w:rPr>
          <w:bCs/>
          <w:rtl/>
        </w:rPr>
        <w:t xml:space="preserve"> </w:t>
      </w:r>
      <w:r w:rsidRPr="00B97E44">
        <w:rPr>
          <w:rFonts w:hint="eastAsia"/>
          <w:bCs/>
          <w:rtl/>
        </w:rPr>
        <w:t>הגפן</w:t>
      </w:r>
      <w:r w:rsidRPr="00B97E44">
        <w:rPr>
          <w:bCs/>
          <w:rtl/>
        </w:rPr>
        <w:t xml:space="preserve"> </w:t>
      </w:r>
      <w:r w:rsidRPr="00B97E44">
        <w:rPr>
          <w:rFonts w:hint="eastAsia"/>
          <w:bCs/>
          <w:rtl/>
        </w:rPr>
        <w:t>באופקים</w:t>
      </w:r>
    </w:p>
    <w:tbl>
      <w:tblPr>
        <w:bidiVisual/>
        <w:tblW w:w="0" w:type="auto"/>
        <w:tblLayout w:type="fixed"/>
        <w:tblLook w:val="04A0"/>
      </w:tblPr>
      <w:tblGrid>
        <w:gridCol w:w="4105"/>
        <w:gridCol w:w="4106"/>
      </w:tblGrid>
      <w:tr w:rsidTr="00FF2A74">
        <w:tblPrEx>
          <w:tblW w:w="0" w:type="auto"/>
          <w:tblLayout w:type="fixed"/>
          <w:tblLook w:val="04A0"/>
        </w:tblPrEx>
        <w:trPr>
          <w:trHeight w:val="5368"/>
        </w:trPr>
        <w:tc>
          <w:tcPr>
            <w:tcW w:w="4105" w:type="dxa"/>
          </w:tcPr>
          <w:p w:rsidR="005B126E" w:rsidRPr="00B97E44" w:rsidP="001916A9">
            <w:pPr>
              <w:spacing w:line="269" w:lineRule="auto"/>
              <w:rPr>
                <w:b/>
                <w:rtl/>
              </w:rPr>
            </w:pPr>
            <w:r w:rsidRPr="00B97E44">
              <w:rPr>
                <w:b/>
                <w:noProof/>
              </w:rPr>
              <w:drawing>
                <wp:inline distT="0" distB="0" distL="0" distR="0">
                  <wp:extent cx="2519045" cy="3356653"/>
                  <wp:effectExtent l="0" t="0" r="0" b="0"/>
                  <wp:docPr id="52" name="תמונה 52" descr="בתמונה זו מוצג מיצג הנצחה פרטי בעיר אופקים למתקפת השבעה באוקטובר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9"/>
                          <pic:cNvPicPr>
                            <a:picLocks noChangeAspect="1" noChangeArrowheads="1"/>
                          </pic:cNvPicPr>
                        </pic:nvPicPr>
                        <pic:blipFill>
                          <a:blip xmlns:r="http://schemas.openxmlformats.org/officeDocument/2006/relationships" r:embed="rId23" cstate="screen">
                            <a:extLst>
                              <a:ext xmlns:a="http://schemas.openxmlformats.org/drawingml/2006/main" uri="{28A0092B-C50C-407E-A947-70E740481C1C}">
                                <a14:useLocalDpi xmlns:a14="http://schemas.microsoft.com/office/drawing/2010/main" val="0"/>
                              </a:ext>
                            </a:extLst>
                          </a:blip>
                          <a:stretch>
                            <a:fillRect/>
                          </a:stretch>
                        </pic:blipFill>
                        <pic:spPr bwMode="auto">
                          <a:xfrm>
                            <a:off x="0" y="0"/>
                            <a:ext cx="2520512" cy="3358608"/>
                          </a:xfrm>
                          <a:prstGeom prst="rect">
                            <a:avLst/>
                          </a:prstGeom>
                          <a:noFill/>
                          <a:ln>
                            <a:noFill/>
                          </a:ln>
                        </pic:spPr>
                      </pic:pic>
                    </a:graphicData>
                  </a:graphic>
                </wp:inline>
              </w:drawing>
            </w:r>
          </w:p>
        </w:tc>
        <w:tc>
          <w:tcPr>
            <w:tcW w:w="4106" w:type="dxa"/>
          </w:tcPr>
          <w:p w:rsidR="005B126E" w:rsidRPr="00B97E44" w:rsidP="001916A9">
            <w:pPr>
              <w:spacing w:line="269" w:lineRule="auto"/>
              <w:rPr>
                <w:b/>
                <w:rtl/>
              </w:rPr>
            </w:pPr>
            <w:r w:rsidRPr="00B97E44">
              <w:rPr>
                <w:rFonts w:hint="cs"/>
                <w:b/>
                <w:noProof/>
                <w:rtl/>
                <w:lang w:val="he-IL"/>
              </w:rPr>
              <w:drawing>
                <wp:inline distT="0" distB="0" distL="0" distR="0">
                  <wp:extent cx="2529840" cy="3373018"/>
                  <wp:effectExtent l="0" t="0" r="3810" b="0"/>
                  <wp:docPr id="50" name="תמונה 50" descr="בתמונה זו מוצג מיצג הנצחה פרטי בעיר אופקים למתקפת השבעה באוקטובר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G-20250724-WA0127 (002).jpg"/>
                          <pic:cNvPicPr/>
                        </pic:nvPicPr>
                        <pic:blipFill>
                          <a:blip xmlns:r="http://schemas.openxmlformats.org/officeDocument/2006/relationships" r:embed="rId24" cstate="screen">
                            <a:extLst>
                              <a:ext xmlns:a="http://schemas.openxmlformats.org/drawingml/2006/main" uri="{28A0092B-C50C-407E-A947-70E740481C1C}">
                                <a14:useLocalDpi xmlns:a14="http://schemas.microsoft.com/office/drawing/2010/main" val="0"/>
                              </a:ext>
                            </a:extLst>
                          </a:blip>
                          <a:stretch>
                            <a:fillRect/>
                          </a:stretch>
                        </pic:blipFill>
                        <pic:spPr>
                          <a:xfrm>
                            <a:off x="0" y="0"/>
                            <a:ext cx="2534492" cy="3379220"/>
                          </a:xfrm>
                          <a:prstGeom prst="rect">
                            <a:avLst/>
                          </a:prstGeom>
                        </pic:spPr>
                      </pic:pic>
                    </a:graphicData>
                  </a:graphic>
                </wp:inline>
              </w:drawing>
            </w:r>
          </w:p>
        </w:tc>
      </w:tr>
    </w:tbl>
    <w:p w:rsidR="005B126E" w:rsidRPr="00B97E44" w:rsidP="001916A9">
      <w:pPr>
        <w:spacing w:line="269" w:lineRule="auto"/>
        <w:jc w:val="left"/>
        <w:rPr>
          <w:b/>
          <w:rtl/>
        </w:rPr>
      </w:pPr>
      <w:r w:rsidRPr="00B97E44">
        <w:rPr>
          <w:rFonts w:hint="cs"/>
          <w:b/>
          <w:rtl/>
        </w:rPr>
        <w:t xml:space="preserve"> </w:t>
      </w:r>
      <w:r w:rsidRPr="00B97E44">
        <w:rPr>
          <w:rFonts w:hint="cs"/>
          <w:sz w:val="16"/>
          <w:szCs w:val="20"/>
          <w:rtl/>
        </w:rPr>
        <w:t>צולם בידי צוות הביקורת ביולי 2025.</w:t>
      </w:r>
    </w:p>
    <w:p w:rsidR="005B126E" w:rsidRPr="00B97E44" w:rsidP="001916A9">
      <w:pPr>
        <w:spacing w:line="269" w:lineRule="auto"/>
        <w:rPr>
          <w:b/>
          <w:rtl/>
        </w:rPr>
      </w:pPr>
    </w:p>
    <w:p w:rsidR="005B126E" w:rsidRPr="00B97E44" w:rsidP="001916A9">
      <w:pPr>
        <w:pStyle w:val="Heading5"/>
        <w:spacing w:line="269" w:lineRule="auto"/>
        <w:rPr>
          <w:rtl/>
        </w:rPr>
      </w:pPr>
      <w:r w:rsidRPr="00B97E44">
        <w:rPr>
          <w:rFonts w:hint="cs"/>
          <w:rtl/>
        </w:rPr>
        <w:t xml:space="preserve">אשקלון </w:t>
      </w:r>
    </w:p>
    <w:p w:rsidR="005B126E" w:rsidP="001916A9">
      <w:pPr>
        <w:spacing w:line="269" w:lineRule="auto"/>
        <w:rPr>
          <w:rtl/>
        </w:rPr>
      </w:pPr>
    </w:p>
    <w:p w:rsidR="005B126E" w:rsidRPr="00B97E44" w:rsidP="001916A9">
      <w:pPr>
        <w:spacing w:line="269" w:lineRule="auto"/>
        <w:rPr>
          <w:rFonts w:ascii="David" w:hAnsi="David"/>
          <w:sz w:val="24"/>
          <w:rtl/>
        </w:rPr>
      </w:pPr>
      <w:r w:rsidRPr="00B97E44">
        <w:rPr>
          <w:rFonts w:hint="cs"/>
          <w:rtl/>
        </w:rPr>
        <w:t xml:space="preserve">העיר </w:t>
      </w:r>
      <w:r w:rsidRPr="00B97E44">
        <w:rPr>
          <w:rFonts w:hint="cs"/>
          <w:b/>
          <w:bCs/>
          <w:rtl/>
        </w:rPr>
        <w:t>אשקלון</w:t>
      </w:r>
      <w:r w:rsidRPr="00B97E44">
        <w:rPr>
          <w:rFonts w:hint="cs"/>
          <w:rtl/>
        </w:rPr>
        <w:t xml:space="preserve">, שלפי נתוני </w:t>
      </w:r>
      <w:r w:rsidRPr="00B97E44">
        <w:rPr>
          <w:rFonts w:hint="cs"/>
          <w:rtl/>
        </w:rPr>
        <w:t>הלמ"ס</w:t>
      </w:r>
      <w:r w:rsidRPr="00B97E44">
        <w:rPr>
          <w:rFonts w:hint="cs"/>
          <w:rtl/>
        </w:rPr>
        <w:t xml:space="preserve"> לשנת 2023 מאכלסת כ-</w:t>
      </w:r>
      <w:r w:rsidRPr="00B97E44">
        <w:rPr>
          <w:rtl/>
        </w:rPr>
        <w:t>162,000</w:t>
      </w:r>
      <w:r w:rsidRPr="00B97E44">
        <w:rPr>
          <w:rFonts w:hint="cs"/>
          <w:rtl/>
        </w:rPr>
        <w:t xml:space="preserve"> תושבים וגבולה הדרומי מרוחק כ-4 ק"מ צפונית לרצועת עזה, סבלה מירי טילים מסיבי במתקפת הטרור בשבעה באוקטובר ובראשית ימי המלחמה. בחודש הראשון למלחמה הופעלו 146 התרעות בדרומה של העיר אשר הקשו לנהל שגרת חיים בעיר. בעקבות כך החליטה הממשלה על פינוי</w:t>
      </w:r>
      <w:r w:rsidRPr="00B97E44">
        <w:rPr>
          <w:rFonts w:ascii="David" w:hAnsi="David" w:hint="cs"/>
          <w:sz w:val="24"/>
          <w:rtl/>
        </w:rPr>
        <w:t xml:space="preserve"> תושבים מקרב אוכלוסיית מחוסרי המיגון וכן מקרב אוכלוסיית קשישים ח</w:t>
      </w:r>
      <w:r w:rsidRPr="00B97E44">
        <w:rPr>
          <w:rFonts w:ascii="David" w:hAnsi="David"/>
          <w:sz w:val="24"/>
          <w:rtl/>
        </w:rPr>
        <w:t>סרי עורף משפחתי יציב באמצעות ריענון במתקני אירוח תיירותיים</w:t>
      </w:r>
      <w:r w:rsidRPr="00B97E44">
        <w:rPr>
          <w:rFonts w:ascii="David" w:hAnsi="David" w:hint="cs"/>
          <w:sz w:val="24"/>
          <w:rtl/>
        </w:rPr>
        <w:t xml:space="preserve"> ותשלום מענקי אכלוס למי שבחרו להיקלט עצמאית בדרך אחרת.</w:t>
      </w:r>
    </w:p>
    <w:p w:rsidR="005B126E" w:rsidRPr="00B97E44" w:rsidP="001916A9">
      <w:pPr>
        <w:pStyle w:val="Heading5"/>
        <w:spacing w:line="269" w:lineRule="auto"/>
        <w:rPr>
          <w:rtl/>
        </w:rPr>
      </w:pPr>
      <w:r w:rsidRPr="00B97E44">
        <w:rPr>
          <w:rFonts w:hint="cs"/>
          <w:rtl/>
        </w:rPr>
        <w:t xml:space="preserve">נתיבות </w:t>
      </w:r>
    </w:p>
    <w:p w:rsidR="005B126E" w:rsidP="001916A9">
      <w:pPr>
        <w:spacing w:line="269" w:lineRule="auto"/>
        <w:rPr>
          <w:rtl/>
        </w:rPr>
      </w:pPr>
    </w:p>
    <w:p w:rsidR="005B126E" w:rsidP="001916A9">
      <w:pPr>
        <w:spacing w:line="269" w:lineRule="auto"/>
        <w:rPr>
          <w:rtl/>
        </w:rPr>
      </w:pPr>
      <w:r w:rsidRPr="00B97E44">
        <w:rPr>
          <w:rFonts w:hint="cs"/>
          <w:rtl/>
        </w:rPr>
        <w:t xml:space="preserve">במתקפת הטרור בשבעה באוקטובר ניסו המחבלים לחדור אל העיר </w:t>
      </w:r>
      <w:r w:rsidRPr="00B97E44">
        <w:rPr>
          <w:rFonts w:hint="cs"/>
          <w:b/>
          <w:bCs/>
          <w:rtl/>
        </w:rPr>
        <w:t>נתיבות</w:t>
      </w:r>
      <w:r w:rsidRPr="00B97E44">
        <w:rPr>
          <w:rtl/>
        </w:rPr>
        <w:t>,</w:t>
      </w:r>
      <w:r w:rsidRPr="00B97E44">
        <w:rPr>
          <w:rFonts w:hint="cs"/>
          <w:b/>
          <w:bCs/>
          <w:rtl/>
        </w:rPr>
        <w:t xml:space="preserve"> </w:t>
      </w:r>
      <w:r w:rsidRPr="00B97E44">
        <w:rPr>
          <w:rFonts w:hint="cs"/>
          <w:rtl/>
        </w:rPr>
        <w:t xml:space="preserve">שלפי נתוני </w:t>
      </w:r>
      <w:r w:rsidRPr="00B97E44">
        <w:rPr>
          <w:rFonts w:hint="cs"/>
          <w:rtl/>
        </w:rPr>
        <w:t>הלמ"ס</w:t>
      </w:r>
      <w:r w:rsidRPr="00B97E44">
        <w:rPr>
          <w:rFonts w:hint="cs"/>
          <w:rtl/>
        </w:rPr>
        <w:t xml:space="preserve"> לשנת 2023 מאכלסת כ-53,000 תושבים וממוקמת</w:t>
      </w:r>
      <w:r w:rsidRPr="00B97E44">
        <w:rPr>
          <w:rtl/>
        </w:rPr>
        <w:t xml:space="preserve"> </w:t>
      </w:r>
      <w:r w:rsidRPr="00B97E44">
        <w:rPr>
          <w:rFonts w:hint="cs"/>
          <w:rtl/>
        </w:rPr>
        <w:t>במרחק</w:t>
      </w:r>
      <w:r w:rsidRPr="00B97E44">
        <w:rPr>
          <w:rtl/>
        </w:rPr>
        <w:t xml:space="preserve"> </w:t>
      </w:r>
      <w:r w:rsidRPr="00B97E44">
        <w:rPr>
          <w:rFonts w:hint="cs"/>
          <w:rtl/>
        </w:rPr>
        <w:t>של</w:t>
      </w:r>
      <w:r w:rsidRPr="00B97E44">
        <w:rPr>
          <w:rtl/>
        </w:rPr>
        <w:t xml:space="preserve"> </w:t>
      </w:r>
      <w:r w:rsidRPr="00B97E44">
        <w:rPr>
          <w:rFonts w:hint="cs"/>
          <w:rtl/>
        </w:rPr>
        <w:t>כ-7.5 ק</w:t>
      </w:r>
      <w:r w:rsidRPr="00B97E44">
        <w:rPr>
          <w:rtl/>
        </w:rPr>
        <w:t>"</w:t>
      </w:r>
      <w:r w:rsidRPr="00B97E44">
        <w:rPr>
          <w:rFonts w:hint="cs"/>
          <w:rtl/>
        </w:rPr>
        <w:t>מ</w:t>
      </w:r>
      <w:r w:rsidRPr="00B97E44">
        <w:rPr>
          <w:rtl/>
        </w:rPr>
        <w:t xml:space="preserve"> </w:t>
      </w:r>
      <w:r w:rsidRPr="00B97E44">
        <w:rPr>
          <w:rFonts w:hint="cs"/>
          <w:rtl/>
        </w:rPr>
        <w:t>מרצועת</w:t>
      </w:r>
      <w:r w:rsidRPr="00B97E44">
        <w:rPr>
          <w:rtl/>
        </w:rPr>
        <w:t xml:space="preserve"> </w:t>
      </w:r>
      <w:r w:rsidRPr="00B97E44">
        <w:rPr>
          <w:rFonts w:hint="cs"/>
          <w:rtl/>
        </w:rPr>
        <w:t>עזה. ניסיון החדירה לא צלח, אך גם היא סבלה מירי רקטי עז ש</w:t>
      </w:r>
      <w:r w:rsidRPr="00B97E44">
        <w:rPr>
          <w:rFonts w:ascii="David" w:hAnsi="David" w:hint="cs"/>
          <w:rtl/>
        </w:rPr>
        <w:t>הביא</w:t>
      </w:r>
      <w:r w:rsidRPr="00B97E44">
        <w:rPr>
          <w:rFonts w:ascii="David" w:hAnsi="David"/>
          <w:rtl/>
        </w:rPr>
        <w:t xml:space="preserve"> </w:t>
      </w:r>
      <w:r w:rsidRPr="00B97E44">
        <w:rPr>
          <w:rFonts w:ascii="David" w:hAnsi="David" w:hint="cs"/>
          <w:rtl/>
        </w:rPr>
        <w:t>למותם</w:t>
      </w:r>
      <w:r w:rsidRPr="00B97E44">
        <w:rPr>
          <w:rFonts w:ascii="David" w:hAnsi="David"/>
          <w:rtl/>
        </w:rPr>
        <w:t xml:space="preserve"> </w:t>
      </w:r>
      <w:r w:rsidRPr="00B97E44">
        <w:rPr>
          <w:rFonts w:ascii="David" w:hAnsi="David" w:hint="cs"/>
          <w:rtl/>
        </w:rPr>
        <w:t>של</w:t>
      </w:r>
      <w:r w:rsidRPr="00B97E44">
        <w:rPr>
          <w:rFonts w:ascii="David" w:hAnsi="David"/>
          <w:rtl/>
        </w:rPr>
        <w:t xml:space="preserve"> </w:t>
      </w:r>
      <w:r w:rsidRPr="00B97E44">
        <w:rPr>
          <w:rFonts w:ascii="David" w:hAnsi="David" w:hint="cs"/>
          <w:rtl/>
        </w:rPr>
        <w:t>שלושה</w:t>
      </w:r>
      <w:r w:rsidRPr="00B97E44">
        <w:rPr>
          <w:rFonts w:ascii="David" w:hAnsi="David"/>
          <w:rtl/>
        </w:rPr>
        <w:t xml:space="preserve"> </w:t>
      </w:r>
      <w:r w:rsidRPr="00B97E44">
        <w:rPr>
          <w:rFonts w:ascii="David" w:hAnsi="David" w:hint="cs"/>
          <w:rtl/>
        </w:rPr>
        <w:t>מתושבי</w:t>
      </w:r>
      <w:r w:rsidRPr="00B97E44">
        <w:rPr>
          <w:rFonts w:ascii="David" w:hAnsi="David"/>
          <w:rtl/>
        </w:rPr>
        <w:t xml:space="preserve"> </w:t>
      </w:r>
      <w:r w:rsidRPr="00B97E44">
        <w:rPr>
          <w:rFonts w:ascii="David" w:hAnsi="David" w:hint="cs"/>
          <w:rtl/>
        </w:rPr>
        <w:t>העיר. עם</w:t>
      </w:r>
      <w:r w:rsidRPr="00B97E44">
        <w:rPr>
          <w:rFonts w:ascii="David" w:hAnsi="David"/>
          <w:rtl/>
        </w:rPr>
        <w:t xml:space="preserve"> פרוץ המלחמה, </w:t>
      </w:r>
      <w:r w:rsidRPr="00B97E44">
        <w:rPr>
          <w:rFonts w:ascii="David" w:hAnsi="David" w:hint="cs"/>
          <w:rtl/>
        </w:rPr>
        <w:t>אותרו</w:t>
      </w:r>
      <w:r w:rsidRPr="00B97E44">
        <w:rPr>
          <w:rFonts w:ascii="David" w:hAnsi="David"/>
          <w:rtl/>
        </w:rPr>
        <w:t xml:space="preserve"> </w:t>
      </w:r>
      <w:r w:rsidRPr="00B97E44">
        <w:rPr>
          <w:rFonts w:ascii="David" w:hAnsi="David" w:hint="cs"/>
          <w:rtl/>
        </w:rPr>
        <w:t>בתחומי</w:t>
      </w:r>
      <w:r w:rsidRPr="00B97E44">
        <w:rPr>
          <w:rFonts w:ascii="David" w:hAnsi="David"/>
          <w:rtl/>
        </w:rPr>
        <w:t xml:space="preserve"> </w:t>
      </w:r>
      <w:r w:rsidRPr="00B97E44">
        <w:rPr>
          <w:rFonts w:ascii="David" w:hAnsi="David" w:hint="cs"/>
          <w:rtl/>
        </w:rPr>
        <w:t>העיר</w:t>
      </w:r>
      <w:r w:rsidRPr="00B97E44">
        <w:rPr>
          <w:rFonts w:ascii="David" w:hAnsi="David"/>
          <w:rtl/>
        </w:rPr>
        <w:t xml:space="preserve"> 27 </w:t>
      </w:r>
      <w:r w:rsidRPr="00B97E44">
        <w:rPr>
          <w:rFonts w:ascii="David" w:hAnsi="David" w:hint="cs"/>
          <w:rtl/>
        </w:rPr>
        <w:t>זירות</w:t>
      </w:r>
      <w:r w:rsidRPr="00B97E44">
        <w:rPr>
          <w:rFonts w:ascii="David" w:hAnsi="David"/>
          <w:rtl/>
        </w:rPr>
        <w:t xml:space="preserve"> </w:t>
      </w:r>
      <w:r w:rsidRPr="00B97E44">
        <w:rPr>
          <w:rFonts w:ascii="David" w:hAnsi="David" w:hint="cs"/>
          <w:rtl/>
        </w:rPr>
        <w:t>הרס</w:t>
      </w:r>
      <w:r w:rsidRPr="00B97E44">
        <w:rPr>
          <w:rFonts w:ascii="David" w:hAnsi="David"/>
          <w:rtl/>
        </w:rPr>
        <w:t xml:space="preserve"> </w:t>
      </w:r>
      <w:r w:rsidRPr="00B97E44">
        <w:rPr>
          <w:rFonts w:ascii="David" w:hAnsi="David" w:hint="cs"/>
          <w:rtl/>
        </w:rPr>
        <w:t>עקב ירי</w:t>
      </w:r>
      <w:r w:rsidRPr="00B97E44">
        <w:rPr>
          <w:rFonts w:ascii="David" w:hAnsi="David"/>
          <w:rtl/>
        </w:rPr>
        <w:t xml:space="preserve"> </w:t>
      </w:r>
      <w:r w:rsidRPr="00B97E44">
        <w:rPr>
          <w:rFonts w:ascii="David" w:hAnsi="David" w:hint="cs"/>
          <w:rtl/>
        </w:rPr>
        <w:t>רקטי</w:t>
      </w:r>
      <w:r w:rsidRPr="00B97E44">
        <w:rPr>
          <w:rFonts w:ascii="David" w:hAnsi="David"/>
          <w:rtl/>
        </w:rPr>
        <w:t>. מרחבים עירוניים שלמים</w:t>
      </w:r>
      <w:r w:rsidRPr="00B97E44">
        <w:rPr>
          <w:rFonts w:ascii="David" w:hAnsi="David" w:hint="cs"/>
          <w:rtl/>
        </w:rPr>
        <w:t xml:space="preserve"> </w:t>
      </w:r>
      <w:r w:rsidRPr="00B97E44">
        <w:rPr>
          <w:rFonts w:ascii="David" w:hAnsi="David"/>
          <w:rtl/>
        </w:rPr>
        <w:t xml:space="preserve">ועשרות בתי מגורים נהרסו או נפגעו </w:t>
      </w:r>
      <w:r w:rsidRPr="00B97E44">
        <w:rPr>
          <w:rFonts w:ascii="David" w:hAnsi="David" w:hint="cs"/>
          <w:rtl/>
        </w:rPr>
        <w:t>באופן חמור.</w:t>
      </w:r>
      <w:r w:rsidRPr="00B97E44">
        <w:rPr>
          <w:rtl/>
        </w:rPr>
        <w:t xml:space="preserve"> </w:t>
      </w:r>
    </w:p>
    <w:p w:rsidR="005B126E" w:rsidRPr="00B97E44" w:rsidP="001916A9">
      <w:pPr>
        <w:spacing w:line="269" w:lineRule="auto"/>
        <w:rPr>
          <w:rtl/>
        </w:rPr>
      </w:pPr>
    </w:p>
    <w:p w:rsidR="005B126E" w:rsidP="001916A9">
      <w:pPr>
        <w:pStyle w:val="Heading2"/>
        <w:spacing w:before="0" w:line="269" w:lineRule="auto"/>
        <w:rPr>
          <w:rtl/>
        </w:rPr>
      </w:pPr>
      <w:r w:rsidRPr="00B97E44">
        <w:rPr>
          <w:rFonts w:hint="cs"/>
          <w:rtl/>
        </w:rPr>
        <w:t>פעולות המדינה לשיקום חבל התקומה, קהילותיו ותושביו</w:t>
      </w:r>
    </w:p>
    <w:p w:rsidR="005B126E" w:rsidRPr="00A92416" w:rsidP="001916A9">
      <w:pPr>
        <w:spacing w:line="269" w:lineRule="auto"/>
        <w:rPr>
          <w:rtl/>
        </w:rPr>
      </w:pPr>
    </w:p>
    <w:p w:rsidR="005B126E" w:rsidRPr="00B97E44" w:rsidP="0018262A">
      <w:pPr>
        <w:pStyle w:val="Heading3"/>
        <w:rPr>
          <w:rtl/>
        </w:rPr>
      </w:pPr>
      <w:r w:rsidRPr="00B97E44">
        <w:rPr>
          <w:rFonts w:hint="cs"/>
          <w:rtl/>
        </w:rPr>
        <w:t>החלטות הממשלה</w:t>
      </w:r>
    </w:p>
    <w:p w:rsidR="005B126E" w:rsidP="001916A9">
      <w:pPr>
        <w:spacing w:line="269" w:lineRule="auto"/>
        <w:rPr>
          <w:rFonts w:ascii="David" w:hAnsi="David"/>
          <w:rtl/>
        </w:rPr>
      </w:pPr>
    </w:p>
    <w:p w:rsidR="005B126E" w:rsidRPr="00B97E44" w:rsidP="001916A9">
      <w:pPr>
        <w:spacing w:line="269" w:lineRule="auto"/>
        <w:rPr>
          <w:rFonts w:ascii="David" w:hAnsi="David"/>
          <w:rtl/>
        </w:rPr>
      </w:pPr>
      <w:r w:rsidRPr="00B97E44">
        <w:rPr>
          <w:rFonts w:ascii="David" w:hAnsi="David" w:hint="cs"/>
          <w:rtl/>
        </w:rPr>
        <w:t xml:space="preserve">זכויותיהם של נפגעים בגוף, בנפש או ברכוש בעקבות </w:t>
      </w:r>
      <w:r w:rsidRPr="00B97E44">
        <w:rPr>
          <w:rFonts w:hint="cs"/>
          <w:rtl/>
        </w:rPr>
        <w:t>מתקפת הטרור ב</w:t>
      </w:r>
      <w:r w:rsidRPr="00B97E44">
        <w:rPr>
          <w:rFonts w:ascii="David" w:hAnsi="David" w:hint="cs"/>
          <w:rtl/>
        </w:rPr>
        <w:t>שבעה באוקטובר ומלחמת חרבות ברזל מוסדרות במנגנונים ייעודיי</w:t>
      </w:r>
      <w:r w:rsidRPr="00B97E44">
        <w:rPr>
          <w:rFonts w:ascii="David" w:hAnsi="David" w:hint="eastAsia"/>
          <w:rtl/>
        </w:rPr>
        <w:t>ם</w:t>
      </w:r>
      <w:r w:rsidRPr="00B97E44">
        <w:rPr>
          <w:rFonts w:ascii="David" w:hAnsi="David" w:hint="cs"/>
          <w:rtl/>
        </w:rPr>
        <w:t xml:space="preserve"> לטיפול ברמת הפרט ובכלל זה זכויות הקבועות בחקיקה, בהחלטות ממשלה ובנהלים שונים. דרכי סיוע משלימות על רקע חריגות הפגיעות והיקפן נקבעו בוועדה הציבורית למתן סיוע לנפגעים ממתקפת הטרור שהתרחשה ביום שבעה באוקטובר 2023</w:t>
      </w:r>
      <w:r>
        <w:rPr>
          <w:rFonts w:ascii="David" w:hAnsi="David"/>
          <w:vertAlign w:val="superscript"/>
          <w:rtl/>
        </w:rPr>
        <w:footnoteReference w:id="9"/>
      </w:r>
      <w:r w:rsidRPr="00B97E44">
        <w:rPr>
          <w:rFonts w:ascii="David" w:hAnsi="David" w:hint="cs"/>
          <w:rtl/>
        </w:rPr>
        <w:t xml:space="preserve"> - נושא זה לא יידון בדוח זה. </w:t>
      </w:r>
    </w:p>
    <w:p w:rsidR="005B126E" w:rsidP="001916A9">
      <w:pPr>
        <w:spacing w:line="269" w:lineRule="auto"/>
        <w:rPr>
          <w:b/>
          <w:rtl/>
        </w:rPr>
      </w:pPr>
    </w:p>
    <w:p w:rsidR="005B126E" w:rsidRPr="00B97E44" w:rsidP="001916A9">
      <w:pPr>
        <w:spacing w:line="269" w:lineRule="auto"/>
        <w:rPr>
          <w:b/>
          <w:rtl/>
        </w:rPr>
      </w:pPr>
      <w:r w:rsidRPr="00B97E44">
        <w:rPr>
          <w:rFonts w:hint="cs"/>
          <w:b/>
          <w:rtl/>
        </w:rPr>
        <w:t>כאמור, באוקטובר 2023, קיבלה הממשלה את החלטה 980</w:t>
      </w:r>
      <w:r>
        <w:rPr>
          <w:b/>
          <w:vertAlign w:val="superscript"/>
          <w:rtl/>
        </w:rPr>
        <w:footnoteReference w:id="10"/>
      </w:r>
      <w:r w:rsidRPr="00B97E44">
        <w:rPr>
          <w:rFonts w:hint="cs"/>
          <w:b/>
          <w:rtl/>
        </w:rPr>
        <w:t>, ובה הוגדר חבל התקומה ומתוקפה הוקמה מינהלת תקומה</w:t>
      </w:r>
      <w:r w:rsidRPr="00B97E44">
        <w:rPr>
          <w:rFonts w:hint="cs"/>
          <w:rtl/>
        </w:rPr>
        <w:t>.</w:t>
      </w:r>
    </w:p>
    <w:p w:rsidR="005B126E" w:rsidP="001916A9">
      <w:pPr>
        <w:spacing w:line="269" w:lineRule="auto"/>
        <w:rPr>
          <w:b/>
          <w:rtl/>
        </w:rPr>
      </w:pPr>
    </w:p>
    <w:p w:rsidR="005B126E" w:rsidRPr="00B97E44" w:rsidP="001916A9">
      <w:pPr>
        <w:spacing w:line="269" w:lineRule="auto"/>
        <w:rPr>
          <w:rtl/>
        </w:rPr>
      </w:pPr>
      <w:r w:rsidRPr="00B97E44">
        <w:rPr>
          <w:rFonts w:hint="cs"/>
          <w:b/>
          <w:rtl/>
        </w:rPr>
        <w:t xml:space="preserve">חבל התקומה הוגדר באותה החלטה </w:t>
      </w:r>
      <w:r w:rsidRPr="00B97E44">
        <w:rPr>
          <w:rFonts w:hint="cs"/>
          <w:rtl/>
        </w:rPr>
        <w:t>כ"</w:t>
      </w:r>
      <w:r w:rsidRPr="00B97E44">
        <w:rPr>
          <w:rtl/>
        </w:rPr>
        <w:t>אזור שדרות רבתי והיישובים במועצות האזוריות אשכול, חוף אשקלון, שדות נגב ושער הנגב אשר בתיהם, כולם או חלקם, נמצאים בטווח של עד 7 ק"מ מגדר המערכת סביב רצועת עזה</w:t>
      </w:r>
      <w:r w:rsidRPr="00B97E44">
        <w:rPr>
          <w:rFonts w:hint="cs"/>
          <w:rtl/>
        </w:rPr>
        <w:t>"</w:t>
      </w:r>
      <w:r>
        <w:rPr>
          <w:vertAlign w:val="superscript"/>
          <w:rtl/>
        </w:rPr>
        <w:footnoteReference w:id="11"/>
      </w:r>
      <w:r w:rsidRPr="00B97E44">
        <w:rPr>
          <w:rFonts w:hint="cs"/>
          <w:rtl/>
        </w:rPr>
        <w:t>. הגדרת החבל נשענת על הגדרת</w:t>
      </w:r>
      <w:r w:rsidRPr="00B97E44">
        <w:rPr>
          <w:rtl/>
        </w:rPr>
        <w:t xml:space="preserve"> "יישובי עוטף עזה</w:t>
      </w:r>
      <w:r w:rsidRPr="00B97E44">
        <w:rPr>
          <w:rFonts w:hint="cs"/>
          <w:rtl/>
        </w:rPr>
        <w:t>"</w:t>
      </w:r>
      <w:r>
        <w:rPr>
          <w:vertAlign w:val="superscript"/>
          <w:rtl/>
        </w:rPr>
        <w:footnoteReference w:id="12"/>
      </w:r>
      <w:r w:rsidRPr="00B97E44">
        <w:rPr>
          <w:rtl/>
        </w:rPr>
        <w:t xml:space="preserve"> בהחלטת הממשלה 462 מ</w:t>
      </w:r>
      <w:r w:rsidRPr="00B97E44">
        <w:rPr>
          <w:rFonts w:hint="cs"/>
          <w:rtl/>
        </w:rPr>
        <w:t xml:space="preserve">אפריל 2023 </w:t>
      </w:r>
      <w:r w:rsidRPr="00B97E44">
        <w:rPr>
          <w:rtl/>
        </w:rPr>
        <w:t>ו</w:t>
      </w:r>
      <w:r w:rsidRPr="00B97E44">
        <w:rPr>
          <w:rFonts w:hint="cs"/>
          <w:rtl/>
        </w:rPr>
        <w:t>ב</w:t>
      </w:r>
      <w:r w:rsidRPr="00B97E44">
        <w:rPr>
          <w:rtl/>
        </w:rPr>
        <w:t>החלטות הממשלה המוזכרות בה</w:t>
      </w:r>
      <w:r w:rsidRPr="00B97E44">
        <w:rPr>
          <w:rFonts w:hint="cs"/>
          <w:rtl/>
        </w:rPr>
        <w:t>. החלטות ממשלה קודמות שעסקו במתן סיוע ממשלתי ליישובים הישראליים שסביב רצועת עזה נשענו לאורך השנים על ההבחנה שנעשתה בין היישובים הנמצאים בטווח של עד 7 ק"מ מרצועת עזה ובין אלה שמעבר לו, בשל אתגרים ביטחוניים הייחודיים לאזור זה</w:t>
      </w:r>
      <w:r>
        <w:rPr>
          <w:vertAlign w:val="superscript"/>
          <w:rtl/>
        </w:rPr>
        <w:footnoteReference w:id="13"/>
      </w:r>
      <w:r w:rsidRPr="00B97E44">
        <w:rPr>
          <w:rFonts w:hint="cs"/>
          <w:rtl/>
        </w:rPr>
        <w:t>. לאורך השנים נערכו בהגדרה שינויים שעיקרם הרחבת השטח האמור או הכללתם של יישובים נוספים תחת ההגדרה</w:t>
      </w:r>
      <w:r>
        <w:rPr>
          <w:vertAlign w:val="superscript"/>
          <w:rtl/>
        </w:rPr>
        <w:footnoteReference w:id="14"/>
      </w:r>
      <w:r w:rsidRPr="00B97E44">
        <w:rPr>
          <w:rFonts w:hint="cs"/>
          <w:rtl/>
        </w:rPr>
        <w:t>. בהחלטות הממשלה לא צוינו הנימוקים לקביעת טווח המרחק המגדיר את האזור אבל בהצעה לאחת מהחלטות הממשלה עלה כי קביעת הקריטריון הגיאוגרפי של תוכנית הסיוע התבססה על הנתונים ביחס לפגיעות הרקטות כפי שנמסרו באותו מועד ממערכת הביטחון</w:t>
      </w:r>
      <w:r>
        <w:rPr>
          <w:vertAlign w:val="superscript"/>
          <w:rtl/>
        </w:rPr>
        <w:footnoteReference w:id="15"/>
      </w:r>
      <w:r w:rsidRPr="00B97E44">
        <w:rPr>
          <w:rFonts w:hint="cs"/>
          <w:rtl/>
        </w:rPr>
        <w:t>.</w:t>
      </w:r>
    </w:p>
    <w:p w:rsidR="005B126E" w:rsidP="001916A9">
      <w:pPr>
        <w:spacing w:line="269" w:lineRule="auto"/>
        <w:rPr>
          <w:rtl/>
        </w:rPr>
      </w:pPr>
    </w:p>
    <w:p w:rsidR="005B126E" w:rsidP="001916A9">
      <w:pPr>
        <w:spacing w:line="269" w:lineRule="auto"/>
        <w:rPr>
          <w:rtl/>
        </w:rPr>
      </w:pPr>
      <w:r w:rsidRPr="00B97E44">
        <w:rPr>
          <w:rFonts w:hint="cs"/>
          <w:rtl/>
        </w:rPr>
        <w:t>בדצמבר 2023, כחודשיים לאחר מתקפת הטרור</w:t>
      </w:r>
      <w:r>
        <w:rPr>
          <w:rFonts w:hint="cs"/>
          <w:rtl/>
        </w:rPr>
        <w:t xml:space="preserve"> </w:t>
      </w:r>
      <w:r w:rsidRPr="00B97E44">
        <w:rPr>
          <w:rFonts w:hint="cs"/>
          <w:rtl/>
        </w:rPr>
        <w:t>בשבעה באוקטובר, החליטה הממשלה על מתווה לתוכנית חומש</w:t>
      </w:r>
      <w:r>
        <w:rPr>
          <w:vertAlign w:val="superscript"/>
          <w:rtl/>
        </w:rPr>
        <w:footnoteReference w:id="16"/>
      </w:r>
      <w:r w:rsidRPr="00B97E44">
        <w:rPr>
          <w:rFonts w:hint="cs"/>
          <w:rtl/>
        </w:rPr>
        <w:t xml:space="preserve">. לצורך יישום המתווה הטילה הממשלה על שר האוצר להציג לפניה מקור תקציבי של 18 מיליארד ש"ח לשנים 2024 - 2028. הממשלה גם הטילה על </w:t>
      </w:r>
      <w:r w:rsidRPr="00B97E44">
        <w:rPr>
          <w:rtl/>
        </w:rPr>
        <w:t>משרד ראש הממשלה, בשיתוף עם משרד האוצר ומשרד הביטחון</w:t>
      </w:r>
      <w:r w:rsidRPr="00B97E44">
        <w:rPr>
          <w:rFonts w:hint="cs"/>
          <w:rtl/>
        </w:rPr>
        <w:t>, לה</w:t>
      </w:r>
      <w:r w:rsidRPr="00B97E44">
        <w:rPr>
          <w:rtl/>
        </w:rPr>
        <w:t>שלים את עבודת המטה לבחי</w:t>
      </w:r>
      <w:r w:rsidRPr="00B97E44">
        <w:rPr>
          <w:rFonts w:hint="cs"/>
          <w:rtl/>
        </w:rPr>
        <w:t>נת ה</w:t>
      </w:r>
      <w:r w:rsidRPr="00B97E44">
        <w:rPr>
          <w:rtl/>
        </w:rPr>
        <w:t>הגדר</w:t>
      </w:r>
      <w:r w:rsidRPr="00B97E44">
        <w:rPr>
          <w:rFonts w:hint="cs"/>
          <w:rtl/>
        </w:rPr>
        <w:t>ה של</w:t>
      </w:r>
      <w:r w:rsidRPr="00B97E44">
        <w:rPr>
          <w:rtl/>
        </w:rPr>
        <w:t xml:space="preserve"> חבל התקומה</w:t>
      </w:r>
      <w:r w:rsidRPr="00B97E44">
        <w:rPr>
          <w:rFonts w:hint="cs"/>
          <w:rtl/>
        </w:rPr>
        <w:t xml:space="preserve"> </w:t>
      </w:r>
      <w:r w:rsidRPr="00B97E44">
        <w:rPr>
          <w:rtl/>
        </w:rPr>
        <w:t>שבהחלט</w:t>
      </w:r>
      <w:r w:rsidRPr="00B97E44">
        <w:rPr>
          <w:rFonts w:hint="cs"/>
          <w:rtl/>
        </w:rPr>
        <w:t>ת ממשלה</w:t>
      </w:r>
      <w:r w:rsidRPr="00B97E44">
        <w:rPr>
          <w:rtl/>
        </w:rPr>
        <w:t xml:space="preserve"> 980</w:t>
      </w:r>
      <w:r w:rsidRPr="00B97E44">
        <w:rPr>
          <w:rFonts w:hint="cs"/>
          <w:rtl/>
        </w:rPr>
        <w:t xml:space="preserve"> </w:t>
      </w:r>
      <w:r w:rsidRPr="00B97E44">
        <w:rPr>
          <w:rtl/>
        </w:rPr>
        <w:t>ו</w:t>
      </w:r>
      <w:r w:rsidRPr="00B97E44">
        <w:rPr>
          <w:rFonts w:hint="cs"/>
          <w:rtl/>
        </w:rPr>
        <w:t>לה</w:t>
      </w:r>
      <w:r w:rsidRPr="00B97E44">
        <w:rPr>
          <w:rtl/>
        </w:rPr>
        <w:t>ביאה לאישור הממשלה בתוך 60 יום</w:t>
      </w:r>
      <w:r w:rsidRPr="00B97E44">
        <w:rPr>
          <w:rFonts w:hint="cs"/>
          <w:rtl/>
        </w:rPr>
        <w:t xml:space="preserve">. </w:t>
      </w:r>
    </w:p>
    <w:p w:rsidR="00AE39DA" w:rsidRPr="00B97E44" w:rsidP="001916A9">
      <w:pPr>
        <w:spacing w:line="269" w:lineRule="auto"/>
        <w:rPr>
          <w:rtl/>
        </w:rPr>
      </w:pPr>
    </w:p>
    <w:p w:rsidR="005B126E" w:rsidRPr="00B97E44" w:rsidP="001916A9">
      <w:pPr>
        <w:spacing w:line="269" w:lineRule="auto"/>
        <w:rPr>
          <w:rtl/>
        </w:rPr>
      </w:pPr>
      <w:r w:rsidRPr="00B97E44">
        <w:rPr>
          <w:rFonts w:hint="cs"/>
          <w:b/>
          <w:rtl/>
        </w:rPr>
        <w:t>באפריל 2024 אישרה הממשלה את תוכנית החומש</w:t>
      </w:r>
      <w:r>
        <w:rPr>
          <w:vertAlign w:val="superscript"/>
          <w:rtl/>
        </w:rPr>
        <w:footnoteReference w:id="17"/>
      </w:r>
      <w:r w:rsidRPr="00B97E44">
        <w:rPr>
          <w:rFonts w:hint="cs"/>
          <w:rtl/>
        </w:rPr>
        <w:t xml:space="preserve"> שגיבשה מינהלת תקומה עם משרדי הממשלה וגופים רלוונטיים אחרים, בהחלטת ממשלה 1699</w:t>
      </w:r>
      <w:r>
        <w:rPr>
          <w:vertAlign w:val="superscript"/>
          <w:rtl/>
        </w:rPr>
        <w:footnoteReference w:id="18"/>
      </w:r>
      <w:r w:rsidRPr="00B97E44">
        <w:rPr>
          <w:rFonts w:hint="cs"/>
          <w:rtl/>
        </w:rPr>
        <w:t xml:space="preserve"> בתקציב של 19 מיליארד ש"ח.</w:t>
      </w:r>
      <w:r w:rsidRPr="00B97E44">
        <w:rPr>
          <w:rtl/>
        </w:rPr>
        <w:t xml:space="preserve"> </w:t>
      </w:r>
      <w:r w:rsidRPr="00B97E44">
        <w:rPr>
          <w:rFonts w:hint="cs"/>
          <w:rtl/>
        </w:rPr>
        <w:t xml:space="preserve">על פי ההחלטה, לאחר שגבולות </w:t>
      </w:r>
      <w:r w:rsidRPr="00B97E44">
        <w:rPr>
          <w:rtl/>
        </w:rPr>
        <w:t>החבל</w:t>
      </w:r>
      <w:r w:rsidRPr="00B97E44">
        <w:rPr>
          <w:rFonts w:hint="cs"/>
          <w:rtl/>
        </w:rPr>
        <w:t xml:space="preserve"> יוגדרו בחוק</w:t>
      </w:r>
      <w:r w:rsidRPr="00B97E44">
        <w:rPr>
          <w:rtl/>
        </w:rPr>
        <w:t xml:space="preserve"> </w:t>
      </w:r>
      <w:r w:rsidRPr="00B97E44">
        <w:rPr>
          <w:rFonts w:hint="cs"/>
          <w:rtl/>
        </w:rPr>
        <w:t>יתאפשר</w:t>
      </w:r>
      <w:r w:rsidRPr="00B97E44">
        <w:rPr>
          <w:rtl/>
        </w:rPr>
        <w:t xml:space="preserve"> </w:t>
      </w:r>
      <w:r w:rsidRPr="00B97E44">
        <w:rPr>
          <w:rFonts w:hint="cs"/>
          <w:rtl/>
        </w:rPr>
        <w:t>ל</w:t>
      </w:r>
      <w:r w:rsidRPr="00B97E44">
        <w:rPr>
          <w:rtl/>
        </w:rPr>
        <w:t>העב</w:t>
      </w:r>
      <w:r w:rsidRPr="00B97E44">
        <w:rPr>
          <w:rFonts w:hint="cs"/>
          <w:rtl/>
        </w:rPr>
        <w:t>י</w:t>
      </w:r>
      <w:r w:rsidRPr="00B97E44">
        <w:rPr>
          <w:rtl/>
        </w:rPr>
        <w:t>ר</w:t>
      </w:r>
      <w:r w:rsidRPr="00B97E44">
        <w:rPr>
          <w:rFonts w:hint="cs"/>
          <w:rtl/>
        </w:rPr>
        <w:t xml:space="preserve"> את יתרת מסגרת התקציב, שהוגדלה מ-4 מיליארד ש"ח</w:t>
      </w:r>
      <w:r w:rsidRPr="00B97E44">
        <w:rPr>
          <w:rtl/>
        </w:rPr>
        <w:t xml:space="preserve"> </w:t>
      </w:r>
      <w:r w:rsidRPr="00B97E44">
        <w:rPr>
          <w:rFonts w:hint="cs"/>
          <w:rtl/>
        </w:rPr>
        <w:t>ל-</w:t>
      </w:r>
      <w:r w:rsidRPr="00B97E44">
        <w:rPr>
          <w:rtl/>
        </w:rPr>
        <w:t xml:space="preserve">5 </w:t>
      </w:r>
      <w:r w:rsidRPr="00B97E44">
        <w:rPr>
          <w:rFonts w:hint="eastAsia"/>
          <w:rtl/>
        </w:rPr>
        <w:t>מיליארד</w:t>
      </w:r>
      <w:r w:rsidRPr="00B97E44">
        <w:rPr>
          <w:rtl/>
        </w:rPr>
        <w:t xml:space="preserve"> ש"ח</w:t>
      </w:r>
      <w:r w:rsidRPr="00B97E44">
        <w:rPr>
          <w:rFonts w:hint="cs"/>
          <w:rtl/>
        </w:rPr>
        <w:t>,</w:t>
      </w:r>
      <w:r w:rsidRPr="00B97E44">
        <w:rPr>
          <w:rtl/>
        </w:rPr>
        <w:t xml:space="preserve"> </w:t>
      </w:r>
      <w:r w:rsidRPr="00B97E44">
        <w:rPr>
          <w:rFonts w:hint="eastAsia"/>
          <w:rtl/>
        </w:rPr>
        <w:t>למימוש</w:t>
      </w:r>
      <w:r w:rsidRPr="00B97E44">
        <w:rPr>
          <w:rtl/>
        </w:rPr>
        <w:t xml:space="preserve"> </w:t>
      </w:r>
      <w:r w:rsidRPr="00B97E44">
        <w:rPr>
          <w:rFonts w:hint="eastAsia"/>
          <w:rtl/>
        </w:rPr>
        <w:t>רכיבי</w:t>
      </w:r>
      <w:r w:rsidRPr="00B97E44">
        <w:rPr>
          <w:rtl/>
        </w:rPr>
        <w:t xml:space="preserve"> </w:t>
      </w:r>
      <w:r w:rsidRPr="00B97E44">
        <w:rPr>
          <w:rFonts w:hint="eastAsia"/>
          <w:rtl/>
        </w:rPr>
        <w:t>התוכנית</w:t>
      </w:r>
      <w:r w:rsidRPr="00B97E44">
        <w:rPr>
          <w:rtl/>
        </w:rPr>
        <w:t xml:space="preserve"> </w:t>
      </w:r>
      <w:r w:rsidRPr="00B97E44">
        <w:rPr>
          <w:rFonts w:hint="cs"/>
          <w:rtl/>
        </w:rPr>
        <w:t>ה</w:t>
      </w:r>
      <w:r w:rsidRPr="00B97E44">
        <w:rPr>
          <w:rFonts w:hint="eastAsia"/>
          <w:rtl/>
        </w:rPr>
        <w:t>נוגעים</w:t>
      </w:r>
      <w:r w:rsidRPr="00B97E44">
        <w:rPr>
          <w:rtl/>
        </w:rPr>
        <w:t xml:space="preserve"> </w:t>
      </w:r>
      <w:r w:rsidRPr="00B97E44">
        <w:rPr>
          <w:rFonts w:hint="eastAsia"/>
          <w:rtl/>
        </w:rPr>
        <w:t>להיבטי</w:t>
      </w:r>
      <w:r w:rsidRPr="00B97E44">
        <w:rPr>
          <w:rtl/>
        </w:rPr>
        <w:t xml:space="preserve"> </w:t>
      </w:r>
      <w:r w:rsidRPr="00B97E44">
        <w:rPr>
          <w:rFonts w:hint="eastAsia"/>
          <w:rtl/>
        </w:rPr>
        <w:t>פיתוח</w:t>
      </w:r>
      <w:r w:rsidRPr="00B97E44">
        <w:rPr>
          <w:rtl/>
        </w:rPr>
        <w:t xml:space="preserve"> </w:t>
      </w:r>
      <w:r>
        <w:rPr>
          <w:rFonts w:hint="cs"/>
          <w:rtl/>
        </w:rPr>
        <w:t>חברתי-כלכלי</w:t>
      </w:r>
      <w:r>
        <w:rPr>
          <w:vertAlign w:val="superscript"/>
          <w:rtl/>
        </w:rPr>
        <w:footnoteReference w:id="19"/>
      </w:r>
      <w:r w:rsidRPr="00B97E44">
        <w:rPr>
          <w:rFonts w:hint="cs"/>
          <w:rtl/>
        </w:rPr>
        <w:t>.</w:t>
      </w:r>
    </w:p>
    <w:p w:rsidR="005B126E" w:rsidP="001916A9">
      <w:pPr>
        <w:spacing w:line="269" w:lineRule="auto"/>
        <w:rPr>
          <w:rtl/>
        </w:rPr>
      </w:pPr>
    </w:p>
    <w:p w:rsidR="005B126E" w:rsidRPr="00B97E44" w:rsidP="001916A9">
      <w:pPr>
        <w:spacing w:line="269" w:lineRule="auto"/>
        <w:rPr>
          <w:rtl/>
        </w:rPr>
      </w:pPr>
      <w:r w:rsidRPr="00B97E44">
        <w:rPr>
          <w:rFonts w:hint="cs"/>
          <w:rtl/>
        </w:rPr>
        <w:t>גבולות החבל הוגדרו בחקיקה רק באפריל 2025 עת חוקק חוק השיקום הנרחב הקובע את שיקומו של חבל התקומה ופיתוחו בכל תחומי החיים ואת הקצאת המשאבים לשם פעולות סיוע שיבצעו משרדי הממשלה לטובת הרשויות המקומיות ביישובים הסמוכים לחבל התקומה. קודם לחקיקת החוק נקבע בהחלטת ממשלה 2336 באוקטובר 2024 כי הממשלה</w:t>
      </w:r>
      <w:r w:rsidRPr="00B97E44">
        <w:rPr>
          <w:rtl/>
        </w:rPr>
        <w:t xml:space="preserve"> תוכל ל</w:t>
      </w:r>
      <w:r w:rsidRPr="00B97E44">
        <w:rPr>
          <w:rFonts w:hint="cs"/>
          <w:rtl/>
        </w:rPr>
        <w:t>החליט ש</w:t>
      </w:r>
      <w:r w:rsidRPr="00B97E44">
        <w:rPr>
          <w:rtl/>
        </w:rPr>
        <w:t xml:space="preserve">חלק </w:t>
      </w:r>
      <w:r w:rsidRPr="00B97E44">
        <w:rPr>
          <w:rFonts w:hint="cs"/>
          <w:rtl/>
        </w:rPr>
        <w:t>מ</w:t>
      </w:r>
      <w:r w:rsidRPr="00B97E44">
        <w:rPr>
          <w:rtl/>
        </w:rPr>
        <w:t xml:space="preserve">התקציב </w:t>
      </w:r>
      <w:r w:rsidRPr="00B97E44">
        <w:rPr>
          <w:rFonts w:hint="cs"/>
          <w:rtl/>
        </w:rPr>
        <w:t>שיועד לפיתוח חבל התקומה</w:t>
      </w:r>
      <w:r w:rsidRPr="00B97E44">
        <w:rPr>
          <w:rtl/>
        </w:rPr>
        <w:t xml:space="preserve"> </w:t>
      </w:r>
      <w:r w:rsidRPr="00B97E44">
        <w:rPr>
          <w:rFonts w:hint="cs"/>
          <w:rtl/>
        </w:rPr>
        <w:t xml:space="preserve">יוקצה למילוי </w:t>
      </w:r>
      <w:r w:rsidRPr="00B97E44">
        <w:rPr>
          <w:rtl/>
        </w:rPr>
        <w:t xml:space="preserve">צורכיהם של </w:t>
      </w:r>
      <w:r w:rsidRPr="00B97E44">
        <w:rPr>
          <w:rFonts w:hint="eastAsia"/>
          <w:rtl/>
        </w:rPr>
        <w:t>אזורים</w:t>
      </w:r>
      <w:r w:rsidRPr="00B97E44">
        <w:rPr>
          <w:rtl/>
        </w:rPr>
        <w:t xml:space="preserve"> נוספים שנפגעו במתקפת הטרור בדרום הארץ</w:t>
      </w:r>
      <w:r w:rsidRPr="00B97E44">
        <w:rPr>
          <w:rFonts w:hint="cs"/>
          <w:rtl/>
        </w:rPr>
        <w:t>. כך, עם חקיקת החוק באפריל 2025 אושר תקציב מצומצם לפיתוח חבל התקומה בסכום של כ-3.5 מיליארד</w:t>
      </w:r>
      <w:r w:rsidRPr="00B97E44">
        <w:rPr>
          <w:rFonts w:hint="eastAsia"/>
          <w:rtl/>
        </w:rPr>
        <w:t>י</w:t>
      </w:r>
      <w:r w:rsidRPr="00B97E44">
        <w:rPr>
          <w:rFonts w:hint="cs"/>
          <w:rtl/>
        </w:rPr>
        <w:t xml:space="preserve"> ש"ח - הסכום קוצץ ב-1.5 מיליארד ש"ח, מתוכם 1 מיליארד ש"ח בשל הסטת התקציב למען יישובים הסמוכים לחבל התקומה והממשלה קיבלה החלטות לקידום מתווה שיקום ליישובים הסמוכים לחבל התקומה שהוקצה לו 1.3 מיליארד ש"ח</w:t>
      </w:r>
      <w:r>
        <w:rPr>
          <w:vertAlign w:val="superscript"/>
          <w:rtl/>
        </w:rPr>
        <w:footnoteReference w:id="20"/>
      </w:r>
      <w:r w:rsidRPr="00B97E44">
        <w:rPr>
          <w:rFonts w:hint="cs"/>
          <w:rtl/>
        </w:rPr>
        <w:t xml:space="preserve">. הקיצוץ התקציבי האמור הצריך עדכון של הקצאת התקציבים בתוכנית החומש. </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בתחילת אוגוסט 2025 אישרה הממשלה את </w:t>
      </w:r>
      <w:r w:rsidRPr="00B97E44">
        <w:rPr>
          <w:rFonts w:hint="eastAsia"/>
          <w:rtl/>
        </w:rPr>
        <w:t>התוכנית</w:t>
      </w:r>
      <w:r w:rsidRPr="00B97E44">
        <w:rPr>
          <w:rtl/>
        </w:rPr>
        <w:t xml:space="preserve"> </w:t>
      </w:r>
      <w:r w:rsidRPr="00B97E44">
        <w:rPr>
          <w:rFonts w:hint="eastAsia"/>
          <w:rtl/>
        </w:rPr>
        <w:t>לשיקום</w:t>
      </w:r>
      <w:r w:rsidRPr="00B97E44">
        <w:rPr>
          <w:rtl/>
        </w:rPr>
        <w:t xml:space="preserve"> </w:t>
      </w:r>
      <w:r w:rsidRPr="00B97E44">
        <w:rPr>
          <w:rFonts w:hint="eastAsia"/>
          <w:rtl/>
        </w:rPr>
        <w:t>ו</w:t>
      </w:r>
      <w:r w:rsidRPr="00B97E44">
        <w:rPr>
          <w:rFonts w:hint="cs"/>
          <w:rtl/>
        </w:rPr>
        <w:t>ל</w:t>
      </w:r>
      <w:r w:rsidRPr="00B97E44">
        <w:rPr>
          <w:rFonts w:hint="eastAsia"/>
          <w:rtl/>
        </w:rPr>
        <w:t>פיתוח</w:t>
      </w:r>
      <w:r w:rsidRPr="00B97E44">
        <w:rPr>
          <w:rtl/>
        </w:rPr>
        <w:t xml:space="preserve"> </w:t>
      </w:r>
      <w:r w:rsidRPr="00B97E44">
        <w:rPr>
          <w:rFonts w:hint="eastAsia"/>
          <w:rtl/>
        </w:rPr>
        <w:t>יישובי</w:t>
      </w:r>
      <w:r w:rsidRPr="00B97E44">
        <w:rPr>
          <w:rtl/>
        </w:rPr>
        <w:t xml:space="preserve"> </w:t>
      </w:r>
      <w:r w:rsidRPr="00B97E44">
        <w:rPr>
          <w:rFonts w:hint="eastAsia"/>
          <w:rtl/>
        </w:rPr>
        <w:t>הנגב</w:t>
      </w:r>
      <w:r w:rsidRPr="00B97E44">
        <w:rPr>
          <w:rtl/>
        </w:rPr>
        <w:t xml:space="preserve"> </w:t>
      </w:r>
      <w:r w:rsidRPr="00B97E44">
        <w:rPr>
          <w:rFonts w:hint="eastAsia"/>
          <w:rtl/>
        </w:rPr>
        <w:t>המערבי</w:t>
      </w:r>
      <w:r w:rsidRPr="00B97E44">
        <w:rPr>
          <w:rtl/>
        </w:rPr>
        <w:t xml:space="preserve"> </w:t>
      </w:r>
      <w:r w:rsidRPr="00B97E44">
        <w:rPr>
          <w:rFonts w:hint="eastAsia"/>
          <w:rtl/>
        </w:rPr>
        <w:t>לשנים</w:t>
      </w:r>
      <w:r w:rsidRPr="00B97E44">
        <w:rPr>
          <w:rtl/>
        </w:rPr>
        <w:t xml:space="preserve"> 2025 - 2029</w:t>
      </w:r>
      <w:r w:rsidRPr="00B97E44">
        <w:rPr>
          <w:rFonts w:hint="cs"/>
          <w:rtl/>
        </w:rPr>
        <w:t xml:space="preserve"> ואת ה</w:t>
      </w:r>
      <w:r w:rsidRPr="00B97E44">
        <w:rPr>
          <w:rFonts w:hint="eastAsia"/>
          <w:rtl/>
        </w:rPr>
        <w:t>תוכנית</w:t>
      </w:r>
      <w:r w:rsidRPr="00B97E44">
        <w:rPr>
          <w:rtl/>
        </w:rPr>
        <w:t xml:space="preserve"> </w:t>
      </w:r>
      <w:r w:rsidRPr="00B97E44">
        <w:rPr>
          <w:rFonts w:hint="eastAsia"/>
          <w:rtl/>
        </w:rPr>
        <w:t>לשיקום</w:t>
      </w:r>
      <w:r w:rsidRPr="00B97E44">
        <w:rPr>
          <w:rtl/>
        </w:rPr>
        <w:t xml:space="preserve"> </w:t>
      </w:r>
      <w:r w:rsidRPr="00B97E44">
        <w:rPr>
          <w:rFonts w:hint="eastAsia"/>
          <w:rtl/>
        </w:rPr>
        <w:t>ו</w:t>
      </w:r>
      <w:r w:rsidRPr="00B97E44">
        <w:rPr>
          <w:rFonts w:hint="cs"/>
          <w:rtl/>
        </w:rPr>
        <w:t>ל</w:t>
      </w:r>
      <w:r w:rsidRPr="00B97E44">
        <w:rPr>
          <w:rFonts w:hint="eastAsia"/>
          <w:rtl/>
        </w:rPr>
        <w:t>פיתוח</w:t>
      </w:r>
      <w:r w:rsidRPr="00B97E44">
        <w:rPr>
          <w:rtl/>
        </w:rPr>
        <w:t xml:space="preserve"> </w:t>
      </w:r>
      <w:r w:rsidRPr="00B97E44">
        <w:rPr>
          <w:rFonts w:hint="eastAsia"/>
          <w:rtl/>
        </w:rPr>
        <w:t>העיר</w:t>
      </w:r>
      <w:r w:rsidRPr="00B97E44">
        <w:rPr>
          <w:rtl/>
        </w:rPr>
        <w:t xml:space="preserve"> </w:t>
      </w:r>
      <w:r w:rsidRPr="00B97E44">
        <w:rPr>
          <w:rFonts w:hint="eastAsia"/>
          <w:rtl/>
        </w:rPr>
        <w:t>אשקלון</w:t>
      </w:r>
      <w:r w:rsidRPr="00B97E44">
        <w:rPr>
          <w:rtl/>
        </w:rPr>
        <w:t xml:space="preserve"> </w:t>
      </w:r>
      <w:r w:rsidRPr="00B97E44">
        <w:rPr>
          <w:rFonts w:hint="eastAsia"/>
          <w:rtl/>
        </w:rPr>
        <w:t>לשנים</w:t>
      </w:r>
      <w:r w:rsidRPr="00B97E44">
        <w:rPr>
          <w:rtl/>
        </w:rPr>
        <w:t xml:space="preserve"> 2025 - 2029 שהוביל משרד ראש הממשלה </w:t>
      </w:r>
      <w:r w:rsidRPr="00B97E44">
        <w:rPr>
          <w:rFonts w:hint="cs"/>
          <w:rtl/>
        </w:rPr>
        <w:t xml:space="preserve">(להלן </w:t>
      </w:r>
      <w:r>
        <w:rPr>
          <w:rFonts w:hint="cs"/>
          <w:rtl/>
        </w:rPr>
        <w:t>-</w:t>
      </w:r>
      <w:r w:rsidRPr="00B97E44">
        <w:rPr>
          <w:rFonts w:hint="cs"/>
          <w:rtl/>
        </w:rPr>
        <w:t xml:space="preserve"> התוכניות לשיקום ופיתוח היישובים הסמוכים) והגדילה את התקציב לתוכניות ל-3.22 מיליארד ש"ח</w:t>
      </w:r>
      <w:r>
        <w:rPr>
          <w:vertAlign w:val="superscript"/>
          <w:rtl/>
        </w:rPr>
        <w:footnoteReference w:id="21"/>
      </w:r>
      <w:r w:rsidRPr="00B97E44">
        <w:rPr>
          <w:rFonts w:hint="cs"/>
          <w:rtl/>
        </w:rPr>
        <w:t xml:space="preserve"> (ראו להלן בפרק על השפעת הליכי הפיתוח בחבל התקומה על הרשויות הסמוכות). </w:t>
      </w:r>
    </w:p>
    <w:p w:rsidR="005B126E" w:rsidP="001916A9">
      <w:pPr>
        <w:spacing w:line="269" w:lineRule="auto"/>
        <w:rPr>
          <w:b/>
          <w:bCs/>
          <w:rtl/>
        </w:rPr>
      </w:pPr>
      <w:bookmarkStart w:id="21" w:name="_Hlk207630964"/>
    </w:p>
    <w:p w:rsidR="005B126E" w:rsidRPr="00B97E44" w:rsidP="001916A9">
      <w:pPr>
        <w:spacing w:line="269" w:lineRule="auto"/>
        <w:rPr>
          <w:rtl/>
        </w:rPr>
      </w:pPr>
      <w:r w:rsidRPr="00B97E44">
        <w:rPr>
          <w:rFonts w:hint="eastAsia"/>
          <w:b/>
          <w:bCs/>
          <w:rtl/>
        </w:rPr>
        <w:t>באפריל</w:t>
      </w:r>
      <w:r w:rsidRPr="00B97E44">
        <w:rPr>
          <w:b/>
          <w:bCs/>
          <w:rtl/>
        </w:rPr>
        <w:t xml:space="preserve"> 2025, לאחר </w:t>
      </w:r>
      <w:r w:rsidRPr="00B97E44">
        <w:rPr>
          <w:rFonts w:hint="eastAsia"/>
          <w:b/>
          <w:bCs/>
          <w:rtl/>
        </w:rPr>
        <w:t>חקיקת</w:t>
      </w:r>
      <w:r w:rsidRPr="00B97E44">
        <w:rPr>
          <w:b/>
          <w:bCs/>
          <w:rtl/>
        </w:rPr>
        <w:t xml:space="preserve"> </w:t>
      </w:r>
      <w:r w:rsidRPr="00B97E44">
        <w:rPr>
          <w:rFonts w:hint="eastAsia"/>
          <w:b/>
          <w:bCs/>
          <w:rtl/>
        </w:rPr>
        <w:t>החוק</w:t>
      </w:r>
      <w:r w:rsidRPr="00B97E44">
        <w:rPr>
          <w:b/>
          <w:bCs/>
          <w:rtl/>
        </w:rPr>
        <w:t xml:space="preserve"> </w:t>
      </w:r>
      <w:r w:rsidRPr="00B97E44">
        <w:rPr>
          <w:rFonts w:hint="eastAsia"/>
          <w:b/>
          <w:bCs/>
          <w:rtl/>
        </w:rPr>
        <w:t>ו</w:t>
      </w:r>
      <w:r w:rsidRPr="00B97E44">
        <w:rPr>
          <w:b/>
          <w:bCs/>
          <w:rtl/>
        </w:rPr>
        <w:t xml:space="preserve">הקיצוץ בתקציבי הפיתוח, </w:t>
      </w:r>
      <w:r w:rsidRPr="00B97E44">
        <w:rPr>
          <w:rFonts w:hint="eastAsia"/>
          <w:b/>
          <w:bCs/>
          <w:rtl/>
        </w:rPr>
        <w:t>הייתה</w:t>
      </w:r>
      <w:r w:rsidRPr="00B97E44">
        <w:rPr>
          <w:b/>
          <w:bCs/>
          <w:rtl/>
        </w:rPr>
        <w:t xml:space="preserve"> </w:t>
      </w:r>
      <w:r w:rsidRPr="00B97E44">
        <w:rPr>
          <w:rFonts w:hint="eastAsia"/>
          <w:b/>
          <w:bCs/>
          <w:rtl/>
        </w:rPr>
        <w:t>אמורה</w:t>
      </w:r>
      <w:r w:rsidRPr="00B97E44">
        <w:rPr>
          <w:b/>
          <w:bCs/>
          <w:rtl/>
        </w:rPr>
        <w:t xml:space="preserve"> </w:t>
      </w:r>
      <w:r w:rsidRPr="00B97E44">
        <w:rPr>
          <w:rFonts w:hint="eastAsia"/>
          <w:b/>
          <w:bCs/>
          <w:rtl/>
        </w:rPr>
        <w:t>מינהלת</w:t>
      </w:r>
      <w:r w:rsidRPr="00B97E44">
        <w:rPr>
          <w:b/>
          <w:bCs/>
          <w:rtl/>
        </w:rPr>
        <w:t xml:space="preserve"> </w:t>
      </w:r>
      <w:r w:rsidRPr="00B97E44">
        <w:rPr>
          <w:rFonts w:hint="eastAsia"/>
          <w:b/>
          <w:bCs/>
          <w:rtl/>
        </w:rPr>
        <w:t>תקומה</w:t>
      </w:r>
      <w:r w:rsidRPr="00B97E44">
        <w:rPr>
          <w:b/>
          <w:bCs/>
          <w:rtl/>
        </w:rPr>
        <w:t xml:space="preserve"> </w:t>
      </w:r>
      <w:r w:rsidRPr="00B97E44">
        <w:rPr>
          <w:rFonts w:hint="eastAsia"/>
          <w:b/>
          <w:bCs/>
          <w:rtl/>
        </w:rPr>
        <w:t>לסיים</w:t>
      </w:r>
      <w:r w:rsidRPr="00B97E44">
        <w:rPr>
          <w:b/>
          <w:bCs/>
          <w:rtl/>
        </w:rPr>
        <w:t xml:space="preserve"> </w:t>
      </w:r>
      <w:r w:rsidRPr="00B97E44">
        <w:rPr>
          <w:rFonts w:hint="eastAsia"/>
          <w:b/>
          <w:bCs/>
          <w:rtl/>
        </w:rPr>
        <w:t>את</w:t>
      </w:r>
      <w:r w:rsidRPr="00B97E44">
        <w:rPr>
          <w:b/>
          <w:bCs/>
          <w:rtl/>
        </w:rPr>
        <w:t xml:space="preserve"> </w:t>
      </w:r>
      <w:r w:rsidRPr="00B97E44">
        <w:rPr>
          <w:rFonts w:hint="eastAsia"/>
          <w:b/>
          <w:bCs/>
          <w:rtl/>
        </w:rPr>
        <w:t>גיבושה</w:t>
      </w:r>
      <w:r w:rsidRPr="00B97E44">
        <w:rPr>
          <w:b/>
          <w:bCs/>
          <w:rtl/>
        </w:rPr>
        <w:t xml:space="preserve"> </w:t>
      </w:r>
      <w:r w:rsidRPr="00B97E44">
        <w:rPr>
          <w:rFonts w:hint="eastAsia"/>
          <w:b/>
          <w:bCs/>
          <w:rtl/>
        </w:rPr>
        <w:t>של</w:t>
      </w:r>
      <w:r w:rsidRPr="00B97E44">
        <w:rPr>
          <w:b/>
          <w:bCs/>
          <w:rtl/>
        </w:rPr>
        <w:t xml:space="preserve"> </w:t>
      </w:r>
      <w:r w:rsidRPr="00B97E44">
        <w:rPr>
          <w:rFonts w:hint="eastAsia"/>
          <w:b/>
          <w:bCs/>
          <w:rtl/>
        </w:rPr>
        <w:t>תוכנית</w:t>
      </w:r>
      <w:r w:rsidRPr="00B97E44">
        <w:rPr>
          <w:b/>
          <w:bCs/>
          <w:rtl/>
        </w:rPr>
        <w:t xml:space="preserve"> </w:t>
      </w:r>
      <w:r w:rsidRPr="00B97E44">
        <w:rPr>
          <w:rFonts w:hint="eastAsia"/>
          <w:b/>
          <w:bCs/>
          <w:rtl/>
        </w:rPr>
        <w:t>החומש</w:t>
      </w:r>
      <w:r w:rsidRPr="00B97E44">
        <w:rPr>
          <w:b/>
          <w:bCs/>
          <w:rtl/>
        </w:rPr>
        <w:t xml:space="preserve"> </w:t>
      </w:r>
      <w:r w:rsidRPr="00B97E44">
        <w:rPr>
          <w:rFonts w:hint="eastAsia"/>
          <w:b/>
          <w:bCs/>
          <w:rtl/>
        </w:rPr>
        <w:t>המ</w:t>
      </w:r>
      <w:r w:rsidRPr="00B97E44">
        <w:rPr>
          <w:rFonts w:hint="cs"/>
          <w:b/>
          <w:bCs/>
          <w:rtl/>
        </w:rPr>
        <w:t>עודכנת, אך בפועל זו פורסמה רק באוקטובר 2025</w:t>
      </w:r>
      <w:r w:rsidRPr="00B97E44">
        <w:rPr>
          <w:b/>
          <w:bCs/>
          <w:rtl/>
        </w:rPr>
        <w:t xml:space="preserve">. </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מינהלת תקומה מסרה בתשובתה למשרד מבקר המדינה מנובמבר 2025 כי התוכנית המעודכנת גובשה לאחר עבודת מטה מורכבת עם הרשויות המקומיות ועם משרדי הממשלה וכי עד נובמבר 2025 פרסמה </w:t>
      </w:r>
      <w:r w:rsidRPr="00B97E44">
        <w:rPr>
          <w:rFonts w:hint="cs"/>
          <w:rtl/>
        </w:rPr>
        <w:t>המינהלת</w:t>
      </w:r>
      <w:r w:rsidRPr="00B97E44">
        <w:rPr>
          <w:rFonts w:hint="cs"/>
          <w:rtl/>
        </w:rPr>
        <w:t xml:space="preserve"> בעצמה או באמצעות משרדי הממשלה קולות קוראים בהיקף של כמעט </w:t>
      </w:r>
      <w:r>
        <w:rPr>
          <w:rFonts w:hint="cs"/>
          <w:rtl/>
        </w:rPr>
        <w:t>2</w:t>
      </w:r>
      <w:r w:rsidRPr="00B97E44">
        <w:rPr>
          <w:rFonts w:hint="cs"/>
          <w:rtl/>
        </w:rPr>
        <w:t xml:space="preserve"> מיליארד ש"ח.</w:t>
      </w:r>
    </w:p>
    <w:p w:rsidR="005B126E" w:rsidP="001916A9">
      <w:pPr>
        <w:spacing w:line="269" w:lineRule="auto"/>
        <w:rPr>
          <w:b/>
          <w:bCs/>
          <w:rtl/>
        </w:rPr>
      </w:pPr>
    </w:p>
    <w:p w:rsidR="005B126E" w:rsidRPr="00B97E44" w:rsidP="001916A9">
      <w:pPr>
        <w:spacing w:line="269" w:lineRule="auto"/>
        <w:rPr>
          <w:b/>
          <w:bCs/>
          <w:rtl/>
        </w:rPr>
      </w:pPr>
      <w:r w:rsidRPr="00B97E44">
        <w:rPr>
          <w:rFonts w:hint="cs"/>
          <w:b/>
          <w:bCs/>
          <w:rtl/>
        </w:rPr>
        <w:t>מעיון ב</w:t>
      </w:r>
      <w:r w:rsidRPr="00B97E44">
        <w:rPr>
          <w:rFonts w:hint="eastAsia"/>
          <w:b/>
          <w:bCs/>
          <w:rtl/>
        </w:rPr>
        <w:t>תוכנית</w:t>
      </w:r>
      <w:r w:rsidRPr="00B97E44">
        <w:rPr>
          <w:b/>
          <w:bCs/>
          <w:rtl/>
        </w:rPr>
        <w:t xml:space="preserve"> </w:t>
      </w:r>
      <w:r w:rsidRPr="00B97E44">
        <w:rPr>
          <w:rFonts w:hint="eastAsia"/>
          <w:b/>
          <w:bCs/>
          <w:rtl/>
        </w:rPr>
        <w:t>המעודכנת</w:t>
      </w:r>
      <w:r w:rsidRPr="00B97E44">
        <w:rPr>
          <w:b/>
          <w:bCs/>
          <w:rtl/>
        </w:rPr>
        <w:t xml:space="preserve"> </w:t>
      </w:r>
      <w:r w:rsidRPr="00B97E44">
        <w:rPr>
          <w:rFonts w:hint="cs"/>
          <w:b/>
          <w:bCs/>
          <w:rtl/>
        </w:rPr>
        <w:t xml:space="preserve">שפורסמה </w:t>
      </w:r>
      <w:r w:rsidRPr="00B97E44">
        <w:rPr>
          <w:rFonts w:hint="eastAsia"/>
          <w:b/>
          <w:bCs/>
          <w:rtl/>
        </w:rPr>
        <w:t>עלה</w:t>
      </w:r>
      <w:r w:rsidRPr="00B97E44">
        <w:rPr>
          <w:b/>
          <w:bCs/>
          <w:rtl/>
        </w:rPr>
        <w:t xml:space="preserve"> </w:t>
      </w:r>
      <w:r w:rsidRPr="00B97E44">
        <w:rPr>
          <w:rFonts w:hint="eastAsia"/>
          <w:b/>
          <w:bCs/>
          <w:rtl/>
        </w:rPr>
        <w:t>כי</w:t>
      </w:r>
      <w:r w:rsidRPr="00B97E44">
        <w:rPr>
          <w:b/>
          <w:bCs/>
          <w:rtl/>
        </w:rPr>
        <w:t xml:space="preserve"> </w:t>
      </w:r>
      <w:r>
        <w:rPr>
          <w:rFonts w:hint="cs"/>
          <w:b/>
          <w:bCs/>
          <w:rtl/>
        </w:rPr>
        <w:t>היא לא</w:t>
      </w:r>
      <w:r w:rsidRPr="00B97E44">
        <w:rPr>
          <w:b/>
          <w:bCs/>
          <w:rtl/>
        </w:rPr>
        <w:t xml:space="preserve"> </w:t>
      </w:r>
      <w:r w:rsidRPr="00B97E44">
        <w:rPr>
          <w:rFonts w:hint="eastAsia"/>
          <w:b/>
          <w:bCs/>
          <w:rtl/>
        </w:rPr>
        <w:t>מפרטת</w:t>
      </w:r>
      <w:r w:rsidRPr="00B97E44">
        <w:rPr>
          <w:b/>
          <w:bCs/>
          <w:rtl/>
        </w:rPr>
        <w:t xml:space="preserve"> </w:t>
      </w:r>
      <w:r w:rsidRPr="00B97E44">
        <w:rPr>
          <w:rFonts w:hint="eastAsia"/>
          <w:b/>
          <w:bCs/>
          <w:rtl/>
        </w:rPr>
        <w:t>את</w:t>
      </w:r>
      <w:r w:rsidRPr="00B97E44">
        <w:rPr>
          <w:b/>
          <w:bCs/>
          <w:rtl/>
        </w:rPr>
        <w:t xml:space="preserve"> </w:t>
      </w:r>
      <w:r w:rsidRPr="00B97E44">
        <w:rPr>
          <w:rFonts w:hint="eastAsia"/>
          <w:b/>
          <w:bCs/>
          <w:rtl/>
        </w:rPr>
        <w:t>ה</w:t>
      </w:r>
      <w:r w:rsidRPr="00B97E44">
        <w:rPr>
          <w:rFonts w:hint="cs"/>
          <w:b/>
          <w:bCs/>
          <w:rtl/>
        </w:rPr>
        <w:t>שינויים</w:t>
      </w:r>
      <w:r w:rsidRPr="00B97E44">
        <w:rPr>
          <w:b/>
          <w:bCs/>
          <w:rtl/>
        </w:rPr>
        <w:t xml:space="preserve"> שנעשו </w:t>
      </w:r>
      <w:r w:rsidRPr="00B97E44">
        <w:rPr>
          <w:rFonts w:hint="eastAsia"/>
          <w:b/>
          <w:bCs/>
          <w:rtl/>
        </w:rPr>
        <w:t>בשל</w:t>
      </w:r>
      <w:r w:rsidRPr="00B97E44">
        <w:rPr>
          <w:b/>
          <w:bCs/>
          <w:rtl/>
        </w:rPr>
        <w:t xml:space="preserve"> הקיצוץ התקציבי </w:t>
      </w:r>
      <w:r>
        <w:rPr>
          <w:rFonts w:hint="cs"/>
          <w:b/>
          <w:bCs/>
          <w:rtl/>
        </w:rPr>
        <w:t>בכלי פעולה</w:t>
      </w:r>
      <w:r w:rsidRPr="00B97E44">
        <w:rPr>
          <w:rFonts w:hint="cs"/>
          <w:b/>
          <w:bCs/>
          <w:rtl/>
        </w:rPr>
        <w:t xml:space="preserve"> </w:t>
      </w:r>
      <w:r w:rsidRPr="00B97E44">
        <w:rPr>
          <w:rFonts w:hint="eastAsia"/>
          <w:b/>
          <w:bCs/>
          <w:rtl/>
        </w:rPr>
        <w:t>לעומת</w:t>
      </w:r>
      <w:r w:rsidRPr="00B97E44">
        <w:rPr>
          <w:b/>
          <w:bCs/>
          <w:rtl/>
        </w:rPr>
        <w:t xml:space="preserve"> </w:t>
      </w:r>
      <w:r w:rsidRPr="00B97E44">
        <w:rPr>
          <w:rFonts w:hint="eastAsia"/>
          <w:b/>
          <w:bCs/>
          <w:rtl/>
        </w:rPr>
        <w:t>זו</w:t>
      </w:r>
      <w:r w:rsidRPr="00B97E44">
        <w:rPr>
          <w:b/>
          <w:bCs/>
          <w:rtl/>
        </w:rPr>
        <w:t xml:space="preserve"> </w:t>
      </w:r>
      <w:r w:rsidRPr="00B97E44">
        <w:rPr>
          <w:rFonts w:hint="eastAsia"/>
          <w:b/>
          <w:bCs/>
          <w:rtl/>
        </w:rPr>
        <w:t>המקורית</w:t>
      </w:r>
      <w:r w:rsidRPr="00B97E44">
        <w:rPr>
          <w:b/>
          <w:bCs/>
          <w:rtl/>
        </w:rPr>
        <w:t xml:space="preserve">, </w:t>
      </w:r>
      <w:r w:rsidRPr="00B97E44">
        <w:rPr>
          <w:rFonts w:hint="cs"/>
          <w:b/>
          <w:bCs/>
          <w:rtl/>
        </w:rPr>
        <w:t xml:space="preserve">ואי אפשר </w:t>
      </w:r>
      <w:r w:rsidRPr="00B97E44">
        <w:rPr>
          <w:b/>
          <w:bCs/>
          <w:rtl/>
        </w:rPr>
        <w:t xml:space="preserve">ללמוד ממנה </w:t>
      </w:r>
      <w:r w:rsidRPr="00B97E44">
        <w:rPr>
          <w:rFonts w:hint="eastAsia"/>
          <w:b/>
          <w:bCs/>
          <w:rtl/>
        </w:rPr>
        <w:t>את</w:t>
      </w:r>
      <w:r w:rsidRPr="00B97E44">
        <w:rPr>
          <w:b/>
          <w:bCs/>
          <w:rtl/>
        </w:rPr>
        <w:t xml:space="preserve"> סדר העדיפות </w:t>
      </w:r>
      <w:r w:rsidRPr="00B97E44">
        <w:rPr>
          <w:rFonts w:hint="cs"/>
          <w:b/>
          <w:bCs/>
          <w:rtl/>
        </w:rPr>
        <w:t>ש</w:t>
      </w:r>
      <w:r w:rsidRPr="00B97E44">
        <w:rPr>
          <w:b/>
          <w:bCs/>
          <w:rtl/>
        </w:rPr>
        <w:t>ע</w:t>
      </w:r>
      <w:r w:rsidRPr="00B97E44">
        <w:rPr>
          <w:rFonts w:hint="eastAsia"/>
          <w:b/>
          <w:bCs/>
          <w:rtl/>
        </w:rPr>
        <w:t>ליו</w:t>
      </w:r>
      <w:r w:rsidRPr="00B97E44">
        <w:rPr>
          <w:b/>
          <w:bCs/>
          <w:rtl/>
        </w:rPr>
        <w:t xml:space="preserve"> </w:t>
      </w:r>
      <w:r w:rsidRPr="00B97E44">
        <w:rPr>
          <w:rFonts w:hint="eastAsia"/>
          <w:b/>
          <w:bCs/>
          <w:rtl/>
        </w:rPr>
        <w:t>הוחלט</w:t>
      </w:r>
      <w:r w:rsidRPr="00B97E44">
        <w:rPr>
          <w:b/>
          <w:bCs/>
          <w:rtl/>
        </w:rPr>
        <w:t xml:space="preserve"> </w:t>
      </w:r>
      <w:r w:rsidRPr="00B97E44">
        <w:rPr>
          <w:rFonts w:hint="eastAsia"/>
          <w:b/>
          <w:bCs/>
          <w:rtl/>
        </w:rPr>
        <w:t>ב</w:t>
      </w:r>
      <w:r w:rsidRPr="00B97E44">
        <w:rPr>
          <w:rFonts w:hint="cs"/>
          <w:b/>
          <w:bCs/>
          <w:rtl/>
        </w:rPr>
        <w:t>עקבות</w:t>
      </w:r>
      <w:r w:rsidRPr="00B97E44">
        <w:rPr>
          <w:b/>
          <w:bCs/>
          <w:rtl/>
        </w:rPr>
        <w:t xml:space="preserve"> </w:t>
      </w:r>
      <w:r w:rsidRPr="00B97E44">
        <w:rPr>
          <w:rFonts w:hint="eastAsia"/>
          <w:b/>
          <w:bCs/>
          <w:rtl/>
        </w:rPr>
        <w:t>הקיצוץ</w:t>
      </w:r>
      <w:r w:rsidRPr="00B97E44">
        <w:rPr>
          <w:b/>
          <w:bCs/>
          <w:rtl/>
        </w:rPr>
        <w:t>.</w:t>
      </w:r>
      <w:r w:rsidRPr="00B97E44">
        <w:rPr>
          <w:rFonts w:hint="cs"/>
          <w:b/>
          <w:bCs/>
          <w:rtl/>
        </w:rPr>
        <w:t xml:space="preserve"> כך לדוגמה </w:t>
      </w:r>
      <w:r>
        <w:rPr>
          <w:rFonts w:hint="cs"/>
          <w:b/>
          <w:bCs/>
          <w:rtl/>
        </w:rPr>
        <w:t xml:space="preserve">סך תקציב החינוך עלה מ-1.7 מיליארדי ש"ח </w:t>
      </w:r>
      <w:r w:rsidRPr="00B97E44">
        <w:rPr>
          <w:rFonts w:hint="cs"/>
          <w:b/>
          <w:bCs/>
          <w:rtl/>
        </w:rPr>
        <w:t xml:space="preserve">בתוכנית החומש המקורית </w:t>
      </w:r>
      <w:r>
        <w:rPr>
          <w:rFonts w:hint="cs"/>
          <w:b/>
          <w:bCs/>
          <w:rtl/>
        </w:rPr>
        <w:t xml:space="preserve">ל-1.925 מיליארדי ש"ח </w:t>
      </w:r>
      <w:r w:rsidRPr="00B97E44">
        <w:rPr>
          <w:rFonts w:hint="cs"/>
          <w:b/>
          <w:bCs/>
          <w:rtl/>
        </w:rPr>
        <w:t xml:space="preserve">בתוכנית המעודכנת </w:t>
      </w:r>
      <w:r>
        <w:rPr>
          <w:rFonts w:hint="cs"/>
          <w:b/>
          <w:bCs/>
          <w:rtl/>
        </w:rPr>
        <w:t xml:space="preserve">בעוד </w:t>
      </w:r>
      <w:r w:rsidRPr="00B97E44">
        <w:rPr>
          <w:rFonts w:hint="cs"/>
          <w:b/>
          <w:bCs/>
          <w:rtl/>
        </w:rPr>
        <w:t xml:space="preserve">סך תקציב הרווחה ירד מ-516 מיליוני ש"ח ל-416 מיליוני ש"ח בלי שצוין באילו </w:t>
      </w:r>
      <w:r>
        <w:rPr>
          <w:rFonts w:hint="cs"/>
          <w:b/>
          <w:bCs/>
          <w:rtl/>
        </w:rPr>
        <w:t>כלי פעולה</w:t>
      </w:r>
      <w:r w:rsidRPr="00B97E44">
        <w:rPr>
          <w:rFonts w:hint="cs"/>
          <w:b/>
          <w:bCs/>
          <w:rtl/>
        </w:rPr>
        <w:t xml:space="preserve"> </w:t>
      </w:r>
      <w:r>
        <w:rPr>
          <w:rFonts w:hint="cs"/>
          <w:b/>
          <w:bCs/>
          <w:rtl/>
        </w:rPr>
        <w:t>חלו שינויים בהיקפי</w:t>
      </w:r>
      <w:r w:rsidRPr="00B97E44">
        <w:rPr>
          <w:rFonts w:hint="cs"/>
          <w:b/>
          <w:bCs/>
          <w:rtl/>
        </w:rPr>
        <w:t xml:space="preserve"> התקציב ובכמה.</w:t>
      </w:r>
    </w:p>
    <w:p w:rsidR="005B126E" w:rsidP="001916A9">
      <w:pPr>
        <w:spacing w:line="269" w:lineRule="auto"/>
        <w:rPr>
          <w:b/>
          <w:bCs/>
          <w:rtl/>
        </w:rPr>
      </w:pPr>
    </w:p>
    <w:p w:rsidR="005B126E" w:rsidRPr="00B97E44" w:rsidP="001916A9">
      <w:pPr>
        <w:spacing w:line="269" w:lineRule="auto"/>
        <w:rPr>
          <w:b/>
          <w:bCs/>
          <w:rtl/>
        </w:rPr>
      </w:pPr>
      <w:r w:rsidRPr="00B97E44">
        <w:rPr>
          <w:rFonts w:hint="cs"/>
          <w:b/>
          <w:bCs/>
          <w:rtl/>
        </w:rPr>
        <w:t xml:space="preserve">משרד מבקר המדינה ממליץ </w:t>
      </w:r>
      <w:r w:rsidRPr="00B97E44">
        <w:rPr>
          <w:rFonts w:hint="cs"/>
          <w:b/>
          <w:bCs/>
          <w:rtl/>
        </w:rPr>
        <w:t>למינהלת</w:t>
      </w:r>
      <w:r w:rsidRPr="00B97E44">
        <w:rPr>
          <w:rFonts w:hint="cs"/>
          <w:b/>
          <w:bCs/>
          <w:rtl/>
        </w:rPr>
        <w:t xml:space="preserve"> תקומה לפרסם </w:t>
      </w:r>
      <w:r>
        <w:rPr>
          <w:rFonts w:hint="cs"/>
          <w:b/>
          <w:bCs/>
          <w:rtl/>
        </w:rPr>
        <w:t xml:space="preserve">את ההיקף התקציבי של כל אחד מכלי הפעולה של התוכנית המעודכנת, </w:t>
      </w:r>
      <w:r w:rsidRPr="00B97E44">
        <w:rPr>
          <w:rFonts w:hint="cs"/>
          <w:b/>
          <w:bCs/>
          <w:rtl/>
        </w:rPr>
        <w:t xml:space="preserve">כדי להציג </w:t>
      </w:r>
      <w:r w:rsidR="00AE39DA">
        <w:rPr>
          <w:rFonts w:hint="cs"/>
          <w:b/>
          <w:bCs/>
          <w:rtl/>
        </w:rPr>
        <w:t>ל</w:t>
      </w:r>
      <w:r w:rsidRPr="00B97E44">
        <w:rPr>
          <w:rFonts w:hint="cs"/>
          <w:b/>
          <w:bCs/>
          <w:rtl/>
        </w:rPr>
        <w:t xml:space="preserve">פני הציבור את </w:t>
      </w:r>
      <w:r>
        <w:rPr>
          <w:rFonts w:hint="cs"/>
          <w:b/>
          <w:bCs/>
          <w:rtl/>
        </w:rPr>
        <w:t>השינויים ב</w:t>
      </w:r>
      <w:r w:rsidRPr="00B97E44">
        <w:rPr>
          <w:rFonts w:hint="cs"/>
          <w:b/>
          <w:bCs/>
          <w:rtl/>
        </w:rPr>
        <w:t>סדר העדיפויו</w:t>
      </w:r>
      <w:r w:rsidRPr="00B97E44">
        <w:rPr>
          <w:rFonts w:hint="eastAsia"/>
          <w:b/>
          <w:bCs/>
          <w:rtl/>
        </w:rPr>
        <w:t>ת</w:t>
      </w:r>
      <w:r w:rsidRPr="00B97E44">
        <w:rPr>
          <w:rFonts w:hint="cs"/>
          <w:b/>
          <w:bCs/>
          <w:rtl/>
        </w:rPr>
        <w:t xml:space="preserve"> שקבעה </w:t>
      </w:r>
      <w:r w:rsidRPr="00B97E44">
        <w:rPr>
          <w:rFonts w:hint="cs"/>
          <w:b/>
          <w:bCs/>
          <w:rtl/>
        </w:rPr>
        <w:t>המינהלת</w:t>
      </w:r>
      <w:r w:rsidRPr="00B97E44">
        <w:rPr>
          <w:rFonts w:hint="cs"/>
          <w:b/>
          <w:bCs/>
          <w:rtl/>
        </w:rPr>
        <w:t xml:space="preserve"> בשיקום ובפיתוח יישובי </w:t>
      </w:r>
      <w:r w:rsidR="00F31CB9">
        <w:rPr>
          <w:rFonts w:hint="cs"/>
          <w:b/>
          <w:bCs/>
          <w:rtl/>
        </w:rPr>
        <w:t>חבל התקומה</w:t>
      </w:r>
      <w:r w:rsidRPr="00B97E44">
        <w:rPr>
          <w:rFonts w:hint="cs"/>
          <w:b/>
          <w:bCs/>
          <w:rtl/>
        </w:rPr>
        <w:t>.</w:t>
      </w:r>
    </w:p>
    <w:p w:rsidR="005B126E" w:rsidRPr="00B97E44" w:rsidP="001916A9">
      <w:pPr>
        <w:spacing w:line="269" w:lineRule="auto"/>
        <w:rPr>
          <w:b/>
          <w:bCs/>
          <w:rtl/>
        </w:rPr>
      </w:pPr>
    </w:p>
    <w:bookmarkEnd w:id="21"/>
    <w:p w:rsidR="005B126E" w:rsidRPr="00B97E44" w:rsidP="00AE39DA">
      <w:pPr>
        <w:keepNext/>
        <w:keepLines/>
        <w:spacing w:line="360" w:lineRule="auto"/>
        <w:jc w:val="center"/>
        <w:rPr>
          <w:sz w:val="24"/>
          <w:rtl/>
        </w:rPr>
      </w:pPr>
      <w:r w:rsidRPr="00B97E44">
        <w:rPr>
          <w:rFonts w:hint="cs"/>
          <w:sz w:val="24"/>
          <w:rtl/>
        </w:rPr>
        <w:t>תרשים 1:</w:t>
      </w:r>
      <w:r w:rsidRPr="00B97E44">
        <w:rPr>
          <w:b/>
          <w:bCs/>
          <w:noProof/>
          <w:sz w:val="24"/>
          <w:rtl/>
        </w:rPr>
        <w:t xml:space="preserve"> </w:t>
      </w:r>
      <w:r w:rsidRPr="00B97E44">
        <w:rPr>
          <w:rFonts w:hint="cs"/>
          <w:b/>
          <w:bCs/>
          <w:sz w:val="24"/>
          <w:rtl/>
        </w:rPr>
        <w:t>ציר זמן - מהלכים מרכזיים</w:t>
      </w:r>
      <w:r w:rsidRPr="00B97E44">
        <w:rPr>
          <w:b/>
          <w:bCs/>
          <w:sz w:val="24"/>
          <w:rtl/>
        </w:rPr>
        <w:t xml:space="preserve"> </w:t>
      </w:r>
      <w:r w:rsidRPr="00B97E44">
        <w:rPr>
          <w:rFonts w:hint="cs"/>
          <w:b/>
          <w:bCs/>
          <w:sz w:val="24"/>
          <w:rtl/>
        </w:rPr>
        <w:t>ב</w:t>
      </w:r>
      <w:r w:rsidRPr="00B97E44">
        <w:rPr>
          <w:b/>
          <w:bCs/>
          <w:sz w:val="24"/>
          <w:rtl/>
        </w:rPr>
        <w:t xml:space="preserve">שיקום </w:t>
      </w:r>
      <w:r w:rsidRPr="00B97E44">
        <w:rPr>
          <w:rFonts w:hint="cs"/>
          <w:b/>
          <w:bCs/>
          <w:sz w:val="24"/>
          <w:rtl/>
        </w:rPr>
        <w:t>חבל התקומה והאזורים הסמוכים לו</w:t>
      </w:r>
    </w:p>
    <w:p w:rsidR="005B126E" w:rsidRPr="00B97E44" w:rsidP="001916A9">
      <w:pPr>
        <w:spacing w:line="269" w:lineRule="auto"/>
        <w:jc w:val="center"/>
        <w:rPr>
          <w:szCs w:val="20"/>
          <w:rtl/>
        </w:rPr>
      </w:pPr>
      <w:r>
        <w:rPr>
          <w:noProof/>
          <w:szCs w:val="20"/>
        </w:rPr>
        <w:drawing>
          <wp:inline distT="0" distB="0" distL="0" distR="0">
            <wp:extent cx="2900493" cy="6106602"/>
            <wp:effectExtent l="0" t="0" r="0" b="0"/>
            <wp:docPr id="8" name="תמונה 8" descr="התרשים הינו תרשים זמן המציג את רצץ החלטות הממשלה והפעולות שבוצעו כפי שתואר לעיל, ראשית ציר הזמן הינו באוקטובר 2023 וסיומו באוקטובר 2025, מועד אישורה של תוכנית החומש המעודכנ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rcRect b="2584"/>
                    <a:stretch>
                      <a:fillRect/>
                    </a:stretch>
                  </pic:blipFill>
                  <pic:spPr bwMode="auto">
                    <a:xfrm>
                      <a:off x="0" y="0"/>
                      <a:ext cx="2905783" cy="611773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5B126E" w:rsidRPr="00B97E44" w:rsidP="001916A9">
      <w:pPr>
        <w:spacing w:line="269" w:lineRule="auto"/>
        <w:rPr>
          <w:szCs w:val="20"/>
          <w:rtl/>
        </w:rPr>
      </w:pPr>
    </w:p>
    <w:p w:rsidR="005B126E" w:rsidRPr="00B97E44" w:rsidP="0018262A">
      <w:pPr>
        <w:pStyle w:val="Heading3"/>
        <w:rPr>
          <w:rtl/>
        </w:rPr>
      </w:pPr>
      <w:r w:rsidRPr="00B97E44">
        <w:rPr>
          <w:rFonts w:hint="cs"/>
          <w:rtl/>
        </w:rPr>
        <w:t>מינהלת תקומה</w:t>
      </w:r>
    </w:p>
    <w:p w:rsidR="005B126E" w:rsidRPr="00B97E44" w:rsidP="001916A9">
      <w:pPr>
        <w:spacing w:line="269" w:lineRule="auto"/>
        <w:ind w:left="-567"/>
        <w:rPr>
          <w:szCs w:val="20"/>
          <w:rtl/>
        </w:rPr>
      </w:pPr>
    </w:p>
    <w:p w:rsidR="005B126E" w:rsidRPr="00B97E44" w:rsidP="001916A9">
      <w:pPr>
        <w:spacing w:line="269" w:lineRule="auto"/>
        <w:rPr>
          <w:rtl/>
        </w:rPr>
      </w:pPr>
      <w:r>
        <w:rPr>
          <w:rFonts w:hint="cs"/>
          <w:rtl/>
        </w:rPr>
        <w:t>ב</w:t>
      </w:r>
      <w:r w:rsidRPr="00B97E44">
        <w:rPr>
          <w:rFonts w:hint="cs"/>
          <w:rtl/>
        </w:rPr>
        <w:t xml:space="preserve">אוקטובר 2023, בהשפעות מלחמת חרבות ברזל והשיקום הנדרש בעקבותיה, החליטה כאמור </w:t>
      </w:r>
      <w:r>
        <w:rPr>
          <w:rFonts w:hint="cs"/>
          <w:rtl/>
        </w:rPr>
        <w:t>מ</w:t>
      </w:r>
      <w:r w:rsidRPr="00B97E44">
        <w:rPr>
          <w:rFonts w:hint="cs"/>
          <w:rtl/>
        </w:rPr>
        <w:t xml:space="preserve">משלת ישראל בהחלטת ממשלה 980 להקים את מינהלת תקומה כגוף </w:t>
      </w:r>
      <w:r w:rsidRPr="00B97E44">
        <w:rPr>
          <w:rtl/>
        </w:rPr>
        <w:t>ייעודי</w:t>
      </w:r>
      <w:r w:rsidRPr="00B97E44">
        <w:rPr>
          <w:rFonts w:hint="cs"/>
          <w:rtl/>
        </w:rPr>
        <w:t xml:space="preserve"> שנושא</w:t>
      </w:r>
      <w:r w:rsidRPr="00B97E44">
        <w:rPr>
          <w:rtl/>
        </w:rPr>
        <w:t xml:space="preserve"> באחריות </w:t>
      </w:r>
      <w:r>
        <w:rPr>
          <w:rFonts w:hint="cs"/>
          <w:rtl/>
        </w:rPr>
        <w:t>ו</w:t>
      </w:r>
      <w:r w:rsidRPr="00B97E44">
        <w:rPr>
          <w:rtl/>
        </w:rPr>
        <w:t xml:space="preserve">בכלל הסמכויות הנדרשות לצורך ניהול וביצוע פעולות לשיקום ולחיזוק חבל התקומה </w:t>
      </w:r>
      <w:r>
        <w:rPr>
          <w:rFonts w:hint="cs"/>
          <w:rtl/>
        </w:rPr>
        <w:t>ו</w:t>
      </w:r>
      <w:r w:rsidRPr="00B97E44">
        <w:rPr>
          <w:rtl/>
        </w:rPr>
        <w:t xml:space="preserve">אוכלוסייתו באופן מהיר, בטוח ומיטבי בטווח </w:t>
      </w:r>
      <w:r w:rsidRPr="00B97E44">
        <w:rPr>
          <w:rtl/>
        </w:rPr>
        <w:t>המיידי</w:t>
      </w:r>
      <w:r w:rsidRPr="00B97E44">
        <w:rPr>
          <w:rtl/>
        </w:rPr>
        <w:t>, הבינוני והארוך</w:t>
      </w:r>
      <w:r>
        <w:rPr>
          <w:vertAlign w:val="superscript"/>
          <w:rtl/>
        </w:rPr>
        <w:footnoteReference w:id="22"/>
      </w:r>
      <w:r w:rsidRPr="00B97E44">
        <w:rPr>
          <w:rFonts w:hint="cs"/>
          <w:rtl/>
        </w:rPr>
        <w:t xml:space="preserve">. הקמתה של מינהלת </w:t>
      </w:r>
      <w:r>
        <w:rPr>
          <w:rFonts w:hint="cs"/>
          <w:rtl/>
        </w:rPr>
        <w:t>ת</w:t>
      </w:r>
      <w:r w:rsidRPr="00B97E44">
        <w:rPr>
          <w:rFonts w:hint="cs"/>
          <w:rtl/>
        </w:rPr>
        <w:t xml:space="preserve">קומה התבססה על טיוטת דוח ההיערכות הממשלתי לאירועים הדורשים שיקום ארוך טווח </w:t>
      </w:r>
      <w:r>
        <w:rPr>
          <w:rFonts w:hint="cs"/>
          <w:rtl/>
        </w:rPr>
        <w:t>ל</w:t>
      </w:r>
      <w:r w:rsidRPr="00B97E44">
        <w:rPr>
          <w:rFonts w:hint="cs"/>
          <w:rtl/>
        </w:rPr>
        <w:t>אחר רעידות אדמה שפורסם מאוחר יותר, באפריל 2024</w:t>
      </w:r>
      <w:r>
        <w:rPr>
          <w:vertAlign w:val="superscript"/>
          <w:rtl/>
        </w:rPr>
        <w:footnoteReference w:id="23"/>
      </w:r>
      <w:r w:rsidRPr="00B97E44">
        <w:rPr>
          <w:rFonts w:hint="cs"/>
          <w:rtl/>
        </w:rPr>
        <w:t>.</w:t>
      </w:r>
    </w:p>
    <w:p w:rsidR="005B126E" w:rsidRPr="00B97E44" w:rsidP="001916A9">
      <w:pPr>
        <w:spacing w:line="269" w:lineRule="auto"/>
        <w:ind w:left="-567"/>
        <w:rPr>
          <w:szCs w:val="20"/>
          <w:rtl/>
        </w:rPr>
      </w:pPr>
    </w:p>
    <w:p w:rsidR="005B126E" w:rsidRPr="00B97E44" w:rsidP="001916A9">
      <w:pPr>
        <w:spacing w:line="269" w:lineRule="auto"/>
        <w:rPr>
          <w:rtl/>
        </w:rPr>
      </w:pPr>
      <w:r w:rsidRPr="00B97E44">
        <w:rPr>
          <w:rFonts w:hint="cs"/>
          <w:rtl/>
        </w:rPr>
        <w:t xml:space="preserve">הממשלה הגדירה </w:t>
      </w:r>
      <w:r w:rsidRPr="00B97E44">
        <w:rPr>
          <w:rFonts w:hint="cs"/>
          <w:rtl/>
        </w:rPr>
        <w:t>למינהלת</w:t>
      </w:r>
      <w:r w:rsidRPr="00B97E44">
        <w:rPr>
          <w:rFonts w:hint="cs"/>
          <w:rtl/>
        </w:rPr>
        <w:t xml:space="preserve"> תקומה את מטרותיה: שיקום וחיזוק מרקם החיים של הרשויות, היישובים, הקהילות והתושבים בחבל התקומה שנפגעו, בדגש על היבטים נפשיים, חברתיים וחומריים; בינוי, שיקום ופיתוח פיזי וסביבתי של חבל התקומה והיישובים שנפגעו בו, לרבות שיקום ושיפור תשתיות ושירותים שנפגעו, תוך מינוף ההשקעות ושיפור התשתית לצמיחה; חיזוק האמון, החוסן ותחושת הביטחו</w:t>
      </w:r>
      <w:r w:rsidRPr="00B97E44">
        <w:rPr>
          <w:rFonts w:hint="eastAsia"/>
          <w:rtl/>
        </w:rPr>
        <w:t>ן</w:t>
      </w:r>
      <w:r w:rsidRPr="00B97E44">
        <w:rPr>
          <w:rFonts w:hint="cs"/>
          <w:rtl/>
        </w:rPr>
        <w:t xml:space="preserve"> האישי והקהילתי לחבל התקומה; סיוע לגורמים המוסמכים בממשלה בשיקום הפעילות הכלכלית והחקלאית ביישובים ובחבל התקומה ומינופו לצמיחה; ויצירת מענה מרכזי אחוד לרשויות המקומיות וליישובים שבחבל התקומה, והכול בשקיפות מלאה. </w:t>
      </w:r>
    </w:p>
    <w:p w:rsidR="005B126E" w:rsidP="001916A9">
      <w:pPr>
        <w:spacing w:line="269" w:lineRule="auto"/>
        <w:rPr>
          <w:rtl/>
        </w:rPr>
      </w:pPr>
    </w:p>
    <w:p w:rsidR="005B126E" w:rsidP="001916A9">
      <w:pPr>
        <w:spacing w:line="269" w:lineRule="auto"/>
        <w:rPr>
          <w:rtl/>
        </w:rPr>
      </w:pPr>
      <w:r w:rsidRPr="00B97E44">
        <w:rPr>
          <w:rFonts w:hint="cs"/>
          <w:rtl/>
        </w:rPr>
        <w:t xml:space="preserve">על פי החלטת הממשלה נדרשה מינהלת תקומה </w:t>
      </w:r>
      <w:r w:rsidRPr="00B97E44">
        <w:rPr>
          <w:rtl/>
        </w:rPr>
        <w:t xml:space="preserve">לנהל את המאמץ הלאומי </w:t>
      </w:r>
      <w:r w:rsidRPr="00B97E44">
        <w:rPr>
          <w:rFonts w:hint="cs"/>
          <w:rtl/>
        </w:rPr>
        <w:t>בנושא, לקבוע</w:t>
      </w:r>
      <w:r w:rsidRPr="00B97E44">
        <w:rPr>
          <w:rtl/>
        </w:rPr>
        <w:t xml:space="preserve"> מדיניות ותפיסת הפעלה, </w:t>
      </w:r>
      <w:r w:rsidRPr="00B97E44">
        <w:rPr>
          <w:rFonts w:hint="cs"/>
          <w:rtl/>
        </w:rPr>
        <w:t>לקבו</w:t>
      </w:r>
      <w:r w:rsidRPr="00B97E44">
        <w:rPr>
          <w:rtl/>
        </w:rPr>
        <w:t>ע את סדרי העדיפויות ו</w:t>
      </w:r>
      <w:r w:rsidRPr="00B97E44">
        <w:rPr>
          <w:rFonts w:hint="cs"/>
          <w:rtl/>
        </w:rPr>
        <w:t>ל</w:t>
      </w:r>
      <w:r w:rsidRPr="00B97E44">
        <w:rPr>
          <w:rtl/>
        </w:rPr>
        <w:t xml:space="preserve">נהל את התקציב </w:t>
      </w:r>
      <w:r w:rsidRPr="00B97E44">
        <w:rPr>
          <w:rFonts w:hint="cs"/>
          <w:rtl/>
        </w:rPr>
        <w:t>ש</w:t>
      </w:r>
      <w:r w:rsidRPr="00B97E44">
        <w:rPr>
          <w:rtl/>
        </w:rPr>
        <w:t>יוקצה ל</w:t>
      </w:r>
      <w:r w:rsidRPr="00B97E44">
        <w:rPr>
          <w:rFonts w:hint="cs"/>
          <w:rtl/>
        </w:rPr>
        <w:t>ה, וכן ל</w:t>
      </w:r>
      <w:r w:rsidRPr="00B97E44">
        <w:rPr>
          <w:rtl/>
        </w:rPr>
        <w:t>קלוט כוח אדם ייעודי</w:t>
      </w:r>
      <w:r w:rsidRPr="00B97E44">
        <w:rPr>
          <w:rFonts w:hint="cs"/>
          <w:rtl/>
        </w:rPr>
        <w:t xml:space="preserve">. עוד החליטה הממשלה כי היא </w:t>
      </w:r>
      <w:r w:rsidRPr="00B97E44">
        <w:rPr>
          <w:rtl/>
        </w:rPr>
        <w:t xml:space="preserve">תפעל גם </w:t>
      </w:r>
      <w:r w:rsidRPr="00B97E44">
        <w:rPr>
          <w:rFonts w:hint="cs"/>
          <w:rtl/>
        </w:rPr>
        <w:t>עם</w:t>
      </w:r>
      <w:r w:rsidRPr="00B97E44">
        <w:rPr>
          <w:rtl/>
        </w:rPr>
        <w:t xml:space="preserve"> גורמים מחוץ לממשלה, לרבות המוסדות הלאומיים</w:t>
      </w:r>
      <w:r w:rsidRPr="00B97E44">
        <w:rPr>
          <w:rFonts w:hint="cs"/>
          <w:rtl/>
        </w:rPr>
        <w:t>,</w:t>
      </w:r>
      <w:r w:rsidRPr="00B97E44">
        <w:rPr>
          <w:rtl/>
        </w:rPr>
        <w:t xml:space="preserve"> כדי לקדם את המטרות המפורטות בהחלטה זו</w:t>
      </w:r>
      <w:r w:rsidRPr="00B97E44">
        <w:rPr>
          <w:rFonts w:hint="cs"/>
          <w:rtl/>
        </w:rPr>
        <w:t xml:space="preserve"> ו</w:t>
      </w:r>
      <w:r w:rsidRPr="00B97E44">
        <w:rPr>
          <w:rtl/>
        </w:rPr>
        <w:t xml:space="preserve">תפעל </w:t>
      </w:r>
      <w:r w:rsidRPr="00B97E44">
        <w:rPr>
          <w:rFonts w:hint="cs"/>
          <w:rtl/>
        </w:rPr>
        <w:t>למען</w:t>
      </w:r>
      <w:r w:rsidRPr="00B97E44">
        <w:rPr>
          <w:rtl/>
        </w:rPr>
        <w:t xml:space="preserve"> התושבים בשיתוף פעולה עם הרשויות המקומיות והגופים היציגים של היישובים</w:t>
      </w:r>
      <w:r w:rsidRPr="00B97E44">
        <w:t>.</w:t>
      </w:r>
    </w:p>
    <w:p w:rsidR="005B126E" w:rsidRPr="00B97E44" w:rsidP="001916A9">
      <w:pPr>
        <w:spacing w:line="269" w:lineRule="auto"/>
        <w:rPr>
          <w:rtl/>
        </w:rPr>
      </w:pPr>
    </w:p>
    <w:p w:rsidR="005B126E" w:rsidRPr="00B97E44" w:rsidP="001916A9">
      <w:pPr>
        <w:spacing w:line="269" w:lineRule="auto"/>
        <w:rPr>
          <w:rtl/>
        </w:rPr>
      </w:pPr>
      <w:r w:rsidRPr="00B97E44">
        <w:rPr>
          <w:rFonts w:hint="cs"/>
          <w:rtl/>
        </w:rPr>
        <w:t>בחוק ה</w:t>
      </w:r>
      <w:r w:rsidRPr="00B97E44">
        <w:rPr>
          <w:rtl/>
        </w:rPr>
        <w:t xml:space="preserve">שיקום </w:t>
      </w:r>
      <w:r w:rsidRPr="00B97E44">
        <w:rPr>
          <w:rFonts w:hint="cs"/>
          <w:rtl/>
        </w:rPr>
        <w:t>ה</w:t>
      </w:r>
      <w:r w:rsidRPr="00B97E44">
        <w:rPr>
          <w:rtl/>
        </w:rPr>
        <w:t xml:space="preserve">נרחב </w:t>
      </w:r>
      <w:r w:rsidRPr="00B97E44">
        <w:rPr>
          <w:rFonts w:hint="cs"/>
          <w:rtl/>
        </w:rPr>
        <w:t>עוגנו תפקידיה וסמכויותי</w:t>
      </w:r>
      <w:r w:rsidRPr="00B97E44">
        <w:rPr>
          <w:rFonts w:hint="eastAsia"/>
          <w:rtl/>
        </w:rPr>
        <w:t>ה</w:t>
      </w:r>
      <w:r w:rsidRPr="00B97E44">
        <w:rPr>
          <w:rFonts w:hint="cs"/>
          <w:rtl/>
        </w:rPr>
        <w:t xml:space="preserve"> של מינהלת תקומה ונקבע כי תקציבה ייקבע בתחום פעולה נפרד בחוק התקציב השנתי.</w:t>
      </w:r>
      <w:r>
        <w:rPr>
          <w:rFonts w:hint="cs"/>
          <w:rtl/>
        </w:rPr>
        <w:t xml:space="preserve"> כמו כן,</w:t>
      </w:r>
      <w:r w:rsidRPr="00B97E44">
        <w:rPr>
          <w:rFonts w:hint="cs"/>
          <w:rtl/>
        </w:rPr>
        <w:t xml:space="preserve"> לפי חוק</w:t>
      </w:r>
      <w:r>
        <w:rPr>
          <w:rFonts w:hint="cs"/>
          <w:rtl/>
        </w:rPr>
        <w:t xml:space="preserve"> השיקום הנרחב</w:t>
      </w:r>
      <w:r w:rsidRPr="00B97E44">
        <w:rPr>
          <w:rFonts w:hint="cs"/>
          <w:rtl/>
        </w:rPr>
        <w:t xml:space="preserve"> היא תפעל עד סוף שנת 2028, אולם השר רשאי להאריך את כהונתה, באישור הממשלה ובאישור ועדת הכלכלה של הכנסת, בתקופות נוספות שלא יעלו, במצטבר, על שש שנים. תפקידיה של מינהלת תקומה</w:t>
      </w:r>
      <w:r w:rsidRPr="00324AB8">
        <w:rPr>
          <w:rFonts w:hint="cs"/>
          <w:rtl/>
        </w:rPr>
        <w:t>, על פי חוק</w:t>
      </w:r>
      <w:r>
        <w:rPr>
          <w:rFonts w:hint="cs"/>
          <w:rtl/>
        </w:rPr>
        <w:t xml:space="preserve"> השיקום הנרחב</w:t>
      </w:r>
      <w:r w:rsidRPr="00B97E44">
        <w:rPr>
          <w:rFonts w:hint="cs"/>
          <w:rtl/>
        </w:rPr>
        <w:t>, הם גיבוש מדיניות לשיקום נרחב של חבל התקומה תוך שיתוף משרדי הממשלה; יישום המדיניות וביצועה - באמצעות מתן הטבות והקצאת משאבים בידיה של מינהלת תקומה ובאמצעות משרדי הממשלה הנוגעים לעניין;</w:t>
      </w:r>
      <w:r w:rsidRPr="00B97E44">
        <w:rPr>
          <w:rFonts w:hint="cs"/>
        </w:rPr>
        <w:t xml:space="preserve"> </w:t>
      </w:r>
      <w:r w:rsidRPr="00B97E44">
        <w:rPr>
          <w:rFonts w:hint="cs"/>
          <w:rtl/>
        </w:rPr>
        <w:t>מתן תמריצים לעידוד הצמיחה והפעילות בחבל התקומה; זיהוי חסמים ביישום המדיניות או במימוש השיקום הנרחב והסרתם; וקיום מעקב ובקרה אחר עמידה ביעדים שנקבעו ואחר תוכניות ותקציבים שהוקצו לשיקום נרחב של חבל התקומה.</w:t>
      </w:r>
    </w:p>
    <w:p w:rsidR="005B126E" w:rsidRPr="00B97E44" w:rsidP="001916A9">
      <w:pPr>
        <w:spacing w:line="269" w:lineRule="auto"/>
        <w:rPr>
          <w:rtl/>
        </w:rPr>
      </w:pPr>
    </w:p>
    <w:p w:rsidR="00E66397" w:rsidP="001916A9">
      <w:pPr>
        <w:bidi w:val="0"/>
        <w:spacing w:line="269" w:lineRule="auto"/>
        <w:rPr>
          <w:rFonts w:eastAsiaTheme="majorEastAsia"/>
          <w:bCs/>
          <w:szCs w:val="28"/>
          <w:u w:val="single"/>
          <w:rtl/>
        </w:rPr>
      </w:pPr>
      <w:bookmarkStart w:id="22" w:name="_Hlk208478032"/>
      <w:r>
        <w:rPr>
          <w:rtl/>
        </w:rPr>
        <w:br w:type="page"/>
      </w:r>
    </w:p>
    <w:p w:rsidR="005B126E" w:rsidRPr="00B97E44" w:rsidP="0018262A">
      <w:pPr>
        <w:pStyle w:val="Heading3"/>
        <w:rPr>
          <w:rtl/>
        </w:rPr>
      </w:pPr>
      <w:r w:rsidRPr="00B97E44">
        <w:rPr>
          <w:rFonts w:hint="cs"/>
          <w:rtl/>
        </w:rPr>
        <w:t>תוכנית החומש</w:t>
      </w:r>
    </w:p>
    <w:bookmarkEnd w:id="22"/>
    <w:p w:rsidR="005B126E" w:rsidP="001916A9">
      <w:pPr>
        <w:spacing w:line="269" w:lineRule="auto"/>
        <w:rPr>
          <w:rtl/>
        </w:rPr>
      </w:pPr>
    </w:p>
    <w:p w:rsidR="005B126E" w:rsidRPr="00B97E44" w:rsidP="001916A9">
      <w:pPr>
        <w:spacing w:line="269" w:lineRule="auto"/>
        <w:rPr>
          <w:rtl/>
        </w:rPr>
      </w:pPr>
      <w:r w:rsidRPr="00B97E44">
        <w:rPr>
          <w:rFonts w:hint="cs"/>
          <w:rtl/>
        </w:rPr>
        <w:t xml:space="preserve">בהתאם להחלטת </w:t>
      </w:r>
      <w:r>
        <w:rPr>
          <w:rFonts w:hint="cs"/>
          <w:rtl/>
        </w:rPr>
        <w:t>ה</w:t>
      </w:r>
      <w:r w:rsidRPr="00B97E44">
        <w:rPr>
          <w:rFonts w:hint="cs"/>
          <w:rtl/>
        </w:rPr>
        <w:t>ממשלה 1127</w:t>
      </w:r>
      <w:r>
        <w:rPr>
          <w:vertAlign w:val="superscript"/>
          <w:rtl/>
        </w:rPr>
        <w:footnoteReference w:id="24"/>
      </w:r>
      <w:r w:rsidRPr="00B97E44">
        <w:rPr>
          <w:rFonts w:hint="cs"/>
          <w:rtl/>
        </w:rPr>
        <w:t xml:space="preserve"> גיבשה מינהלת תקומה תוכנית חומש</w:t>
      </w:r>
      <w:r>
        <w:rPr>
          <w:vertAlign w:val="superscript"/>
          <w:rtl/>
        </w:rPr>
        <w:footnoteReference w:id="25"/>
      </w:r>
      <w:r w:rsidRPr="00B97E44">
        <w:rPr>
          <w:rFonts w:hint="cs"/>
          <w:rtl/>
        </w:rPr>
        <w:t xml:space="preserve">. התוכנית מבקשת לגשר על הפערים בחבל התקומה בכל הנוגע לגישה לשירותים דוגמת אזורי תעסוקה, מרכזי רפואה ותחבורה ציבורית. התוכנית בנויה מארבעה רבדים: רובד ראשון, תקציב שיקום שנועד לאפשר לתושבים לחזור לביתם; רובד שני, הקמה ושיפור של עוגנים </w:t>
      </w:r>
      <w:r w:rsidRPr="00B97E44">
        <w:rPr>
          <w:rFonts w:hint="cs"/>
          <w:rtl/>
        </w:rPr>
        <w:t>חבליים</w:t>
      </w:r>
      <w:r w:rsidRPr="00B97E44">
        <w:rPr>
          <w:rFonts w:hint="cs"/>
          <w:rtl/>
        </w:rPr>
        <w:t xml:space="preserve"> אזוריים שישמשו מוקדי משיכה לתושבים חדשים לחבל; רובד שלישי, פעולות ותוכניות ברמת הרשות המקומית בכל תחומי החיים - חברה, קהילה, רווחה ובריאות; ורובד רביעי, גמישות תקציבית ליישובים שתתרום אף היא לריפוי ושיקום.</w:t>
      </w:r>
    </w:p>
    <w:p w:rsidR="005B126E" w:rsidP="001916A9">
      <w:pPr>
        <w:spacing w:line="269" w:lineRule="auto"/>
        <w:rPr>
          <w:rtl/>
        </w:rPr>
      </w:pPr>
    </w:p>
    <w:p w:rsidR="005B126E" w:rsidRPr="00B97E44" w:rsidP="001916A9">
      <w:pPr>
        <w:spacing w:line="269" w:lineRule="auto"/>
        <w:rPr>
          <w:rtl/>
        </w:rPr>
      </w:pPr>
      <w:r w:rsidRPr="00B97E44">
        <w:rPr>
          <w:rFonts w:hint="cs"/>
          <w:rtl/>
        </w:rPr>
        <w:t>החלטת הממשלה מאפריל 2024</w:t>
      </w:r>
      <w:r>
        <w:rPr>
          <w:vertAlign w:val="superscript"/>
          <w:rtl/>
        </w:rPr>
        <w:footnoteReference w:id="26"/>
      </w:r>
      <w:r w:rsidRPr="00B97E44">
        <w:rPr>
          <w:rFonts w:hint="cs"/>
          <w:rtl/>
        </w:rPr>
        <w:t xml:space="preserve"> אישרה את תוכנית החומש לשיקום, לחידוש ולפיתוח חבל התקומה לשנים 2024 - 2028 בהובלת מינהלת תקומה, בשינויים שפורטו בהחלטה, בתחומים חינוך, בריאות, רווחה, תרבות, ספורט, צעירים, דת, תעסוקה, עסקים, מסחר, חקלאות </w:t>
      </w:r>
      <w:r w:rsidRPr="00B97E44">
        <w:rPr>
          <w:rFonts w:hint="cs"/>
          <w:rtl/>
        </w:rPr>
        <w:t>ואנרגייה</w:t>
      </w:r>
      <w:r w:rsidRPr="00B97E44">
        <w:rPr>
          <w:rFonts w:hint="cs"/>
          <w:rtl/>
        </w:rPr>
        <w:t>.</w:t>
      </w:r>
    </w:p>
    <w:p w:rsidR="005B126E" w:rsidRPr="00B97E44" w:rsidP="001916A9">
      <w:pPr>
        <w:spacing w:line="269" w:lineRule="auto"/>
        <w:rPr>
          <w:rtl/>
        </w:rPr>
      </w:pPr>
    </w:p>
    <w:p w:rsidR="005B126E" w:rsidRPr="00B97E44" w:rsidP="003474AA">
      <w:pPr>
        <w:pStyle w:val="Heading4"/>
        <w:rPr>
          <w:rtl/>
        </w:rPr>
      </w:pPr>
      <w:r w:rsidRPr="00B97E44">
        <w:rPr>
          <w:rFonts w:hint="cs"/>
          <w:rtl/>
        </w:rPr>
        <w:t>תקצוב תוכנית החומש</w:t>
      </w:r>
    </w:p>
    <w:p w:rsidR="005B126E" w:rsidP="001916A9">
      <w:pPr>
        <w:spacing w:line="269" w:lineRule="auto"/>
        <w:rPr>
          <w:rtl/>
        </w:rPr>
      </w:pPr>
    </w:p>
    <w:p w:rsidR="005B126E" w:rsidRPr="00B97E44" w:rsidP="001916A9">
      <w:pPr>
        <w:spacing w:line="269" w:lineRule="auto"/>
        <w:rPr>
          <w:rtl/>
        </w:rPr>
      </w:pPr>
      <w:r w:rsidRPr="00B97E44">
        <w:rPr>
          <w:rtl/>
        </w:rPr>
        <w:t xml:space="preserve">תקציב הוא הכלי המרכזי שבאמצעותו יחידה ממשלתית מתרגמת מדיניות לפעולה, קובעת סדרי עדיפויות ומשקפת את יעדיה ואמצעי מימושם. מעבר להיותו מסגרת כספית, התקציב משמש אמצעי </w:t>
      </w:r>
      <w:r w:rsidRPr="00B97E44">
        <w:rPr>
          <w:rFonts w:hint="cs"/>
          <w:rtl/>
        </w:rPr>
        <w:t>ל</w:t>
      </w:r>
      <w:r w:rsidRPr="00B97E44">
        <w:rPr>
          <w:rtl/>
        </w:rPr>
        <w:t>תכנון, ניהול ובקרה. בחינת תקציב ויישומו בפועל מאפשר</w:t>
      </w:r>
      <w:r w:rsidRPr="00B97E44">
        <w:rPr>
          <w:rFonts w:hint="cs"/>
          <w:rtl/>
        </w:rPr>
        <w:t>ים</w:t>
      </w:r>
      <w:r w:rsidRPr="00B97E44">
        <w:rPr>
          <w:rtl/>
        </w:rPr>
        <w:t xml:space="preserve"> להעריך את מידת ההתאמה בין המשאבים שהוקצו לבין היעדים שהוגדרו</w:t>
      </w:r>
      <w:r w:rsidRPr="00B97E44">
        <w:rPr>
          <w:rFonts w:hint="cs"/>
          <w:rtl/>
        </w:rPr>
        <w:t>.</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בהחלטת ממשלה 987 </w:t>
      </w:r>
      <w:r w:rsidRPr="00B97E44">
        <w:rPr>
          <w:rtl/>
        </w:rPr>
        <w:t xml:space="preserve">אושרה </w:t>
      </w:r>
      <w:r w:rsidRPr="00B97E44">
        <w:rPr>
          <w:rtl/>
        </w:rPr>
        <w:t>ל</w:t>
      </w:r>
      <w:r w:rsidRPr="00B97E44">
        <w:rPr>
          <w:rFonts w:hint="cs"/>
          <w:rtl/>
        </w:rPr>
        <w:t>מינהלת</w:t>
      </w:r>
      <w:r w:rsidRPr="00B97E44">
        <w:rPr>
          <w:rFonts w:hint="cs"/>
          <w:rtl/>
        </w:rPr>
        <w:t xml:space="preserve"> תקומה</w:t>
      </w:r>
      <w:r w:rsidRPr="00B97E44">
        <w:rPr>
          <w:rtl/>
        </w:rPr>
        <w:t xml:space="preserve"> הקצאה תקציבית </w:t>
      </w:r>
      <w:r w:rsidRPr="00B97E44">
        <w:rPr>
          <w:rtl/>
        </w:rPr>
        <w:t>מיידית</w:t>
      </w:r>
      <w:r w:rsidRPr="00B97E44">
        <w:rPr>
          <w:rtl/>
        </w:rPr>
        <w:t xml:space="preserve"> של 100 מיליוני ש"ח לצורך התחלת פעילותה</w:t>
      </w:r>
      <w:r>
        <w:rPr>
          <w:vertAlign w:val="superscript"/>
          <w:rtl/>
        </w:rPr>
        <w:footnoteReference w:id="27"/>
      </w:r>
      <w:r w:rsidRPr="00B97E44">
        <w:rPr>
          <w:rFonts w:hint="cs"/>
          <w:rtl/>
        </w:rPr>
        <w:t>.</w:t>
      </w:r>
      <w:r w:rsidRPr="00B97E44">
        <w:rPr>
          <w:rtl/>
        </w:rPr>
        <w:t xml:space="preserve"> עוד נקבע בהחלטה כי שר האוצר יגיש הצעת החלטה נוספת שתכלול תקצוב כולל של 900 מיליוני ש"ח ל</w:t>
      </w:r>
      <w:r w:rsidRPr="00B97E44">
        <w:rPr>
          <w:rFonts w:hint="cs"/>
          <w:rtl/>
        </w:rPr>
        <w:t>פעילותה של מינהלת תקומה</w:t>
      </w:r>
      <w:r w:rsidRPr="00B97E44">
        <w:rPr>
          <w:rtl/>
        </w:rPr>
        <w:t xml:space="preserve"> בשנתיים הראשונות. בהתאם לכך, בהחלטת ממשלה מנובמבר 2023</w:t>
      </w:r>
      <w:r>
        <w:rPr>
          <w:vertAlign w:val="superscript"/>
          <w:rtl/>
        </w:rPr>
        <w:footnoteReference w:id="28"/>
      </w:r>
      <w:r w:rsidRPr="00B97E44">
        <w:rPr>
          <w:rtl/>
        </w:rPr>
        <w:t xml:space="preserve"> אישרה הממשלה את הצעת משרד האוצר, ובה נקבע תקציב בהיקף של 470 מיליוני ש"ח לשנת 2023 ו-430 מיליוני ש"ח לשנת 2024</w:t>
      </w:r>
      <w:r w:rsidRPr="00B97E44">
        <w:rPr>
          <w:rFonts w:hint="cs"/>
          <w:rtl/>
        </w:rPr>
        <w:t>.</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כאמור, </w:t>
      </w:r>
      <w:r w:rsidRPr="00B97E44">
        <w:rPr>
          <w:rtl/>
        </w:rPr>
        <w:t xml:space="preserve">בהחלטת </w:t>
      </w:r>
      <w:r w:rsidRPr="00B97E44">
        <w:rPr>
          <w:rFonts w:hint="cs"/>
          <w:rtl/>
        </w:rPr>
        <w:t>הממשלה שאישרה את תוכנית החומש</w:t>
      </w:r>
      <w:r>
        <w:rPr>
          <w:vertAlign w:val="superscript"/>
          <w:rtl/>
        </w:rPr>
        <w:footnoteReference w:id="29"/>
      </w:r>
      <w:r w:rsidRPr="00B97E44">
        <w:rPr>
          <w:rtl/>
        </w:rPr>
        <w:t xml:space="preserve"> הוקצה סך של כ-19 מיליארד ש"ח לשנים 2024</w:t>
      </w:r>
      <w:r w:rsidRPr="00B97E44">
        <w:rPr>
          <w:rFonts w:hint="cs"/>
          <w:rtl/>
        </w:rPr>
        <w:t xml:space="preserve"> - </w:t>
      </w:r>
      <w:r w:rsidRPr="00B97E44">
        <w:rPr>
          <w:rtl/>
        </w:rPr>
        <w:t>2028</w:t>
      </w:r>
      <w:r w:rsidRPr="00B97E44">
        <w:rPr>
          <w:rFonts w:hint="cs"/>
          <w:rtl/>
        </w:rPr>
        <w:t>. חלק מן התקציבים של תוכנית החומש מתממשים באמצעות פרסומם של קולות קוראים המיועדים לרשויות המקומיות השייכות לחבל התקומה.</w:t>
      </w:r>
    </w:p>
    <w:p w:rsidR="005B126E" w:rsidP="001916A9">
      <w:pPr>
        <w:spacing w:line="269" w:lineRule="auto"/>
        <w:rPr>
          <w:rtl/>
        </w:rPr>
      </w:pPr>
    </w:p>
    <w:p w:rsidR="005B126E" w:rsidP="001916A9">
      <w:pPr>
        <w:spacing w:line="269" w:lineRule="auto"/>
        <w:rPr>
          <w:rtl/>
        </w:rPr>
      </w:pPr>
      <w:r w:rsidRPr="00B97E44">
        <w:rPr>
          <w:rFonts w:hint="cs"/>
          <w:rtl/>
        </w:rPr>
        <w:t>מתוך התקציב האמור הוקצו 14 מיליאר</w:t>
      </w:r>
      <w:r w:rsidRPr="00B97E44">
        <w:rPr>
          <w:rFonts w:hint="eastAsia"/>
          <w:rtl/>
        </w:rPr>
        <w:t>ד</w:t>
      </w:r>
      <w:r w:rsidRPr="00B97E44">
        <w:rPr>
          <w:rFonts w:hint="cs"/>
          <w:rtl/>
        </w:rPr>
        <w:t xml:space="preserve"> ש"ח לפעולות שיקום, למגורי ביניים ולהפעלתה של מינהלת תקומה כמפורט להלן בלוח 2.</w:t>
      </w:r>
    </w:p>
    <w:p w:rsidR="005B126E" w:rsidRPr="00B97E44" w:rsidP="007B1885">
      <w:pPr>
        <w:keepNext/>
        <w:keepLines/>
        <w:spacing w:line="360" w:lineRule="auto"/>
        <w:jc w:val="center"/>
        <w:rPr>
          <w:rtl/>
        </w:rPr>
      </w:pPr>
      <w:r w:rsidRPr="00B97E44">
        <w:rPr>
          <w:rFonts w:hint="cs"/>
          <w:rtl/>
        </w:rPr>
        <w:t>לוח 2:</w:t>
      </w:r>
      <w:r w:rsidRPr="00B97E44">
        <w:rPr>
          <w:rFonts w:hint="cs"/>
        </w:rPr>
        <w:t xml:space="preserve"> </w:t>
      </w:r>
      <w:r w:rsidRPr="00B97E44">
        <w:rPr>
          <w:rFonts w:hint="cs"/>
          <w:b/>
          <w:bCs/>
          <w:rtl/>
        </w:rPr>
        <w:t>חלוקת התקציב של מינהלת תקומה לשיקום חבל התקומה לפי סעיפי החלטה</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05"/>
        <w:gridCol w:w="2124"/>
      </w:tblGrid>
      <w:tr w:rsidTr="007B1885">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4105" w:type="dxa"/>
          </w:tcPr>
          <w:p w:rsidR="005B126E" w:rsidRPr="00B97E44" w:rsidP="001916A9">
            <w:pPr>
              <w:spacing w:line="269" w:lineRule="auto"/>
              <w:jc w:val="center"/>
              <w:rPr>
                <w:b/>
                <w:bCs/>
                <w:sz w:val="22"/>
                <w:szCs w:val="22"/>
                <w:rtl/>
              </w:rPr>
            </w:pPr>
            <w:r w:rsidRPr="00B97E44">
              <w:rPr>
                <w:rFonts w:hint="eastAsia"/>
                <w:b/>
                <w:bCs/>
                <w:sz w:val="22"/>
                <w:szCs w:val="22"/>
                <w:rtl/>
              </w:rPr>
              <w:t>הסעיף</w:t>
            </w:r>
            <w:r w:rsidRPr="00B97E44">
              <w:rPr>
                <w:b/>
                <w:bCs/>
                <w:sz w:val="22"/>
                <w:szCs w:val="22"/>
                <w:rtl/>
              </w:rPr>
              <w:t xml:space="preserve"> </w:t>
            </w:r>
            <w:r w:rsidRPr="00B97E44">
              <w:rPr>
                <w:rFonts w:hint="eastAsia"/>
                <w:b/>
                <w:bCs/>
                <w:sz w:val="22"/>
                <w:szCs w:val="22"/>
                <w:rtl/>
              </w:rPr>
              <w:t>להחלטה</w:t>
            </w:r>
          </w:p>
        </w:tc>
        <w:tc>
          <w:tcPr>
            <w:tcW w:w="2124" w:type="dxa"/>
          </w:tcPr>
          <w:p w:rsidR="005B126E" w:rsidRPr="00B97E44" w:rsidP="001916A9">
            <w:pPr>
              <w:spacing w:line="269" w:lineRule="auto"/>
              <w:jc w:val="center"/>
              <w:rPr>
                <w:b/>
                <w:bCs/>
                <w:sz w:val="22"/>
                <w:szCs w:val="22"/>
                <w:rtl/>
              </w:rPr>
            </w:pPr>
            <w:r w:rsidRPr="00B97E44">
              <w:rPr>
                <w:rFonts w:hint="eastAsia"/>
                <w:b/>
                <w:bCs/>
                <w:sz w:val="22"/>
                <w:szCs w:val="22"/>
                <w:rtl/>
              </w:rPr>
              <w:t>הסכום</w:t>
            </w:r>
            <w:r w:rsidRPr="00B97E44">
              <w:rPr>
                <w:b/>
                <w:bCs/>
                <w:sz w:val="22"/>
                <w:szCs w:val="22"/>
                <w:rtl/>
              </w:rPr>
              <w:t xml:space="preserve"> (במיליוני </w:t>
            </w:r>
            <w:r w:rsidRPr="00B97E44">
              <w:rPr>
                <w:rFonts w:hint="eastAsia"/>
                <w:b/>
                <w:bCs/>
                <w:sz w:val="22"/>
                <w:szCs w:val="22"/>
                <w:rtl/>
              </w:rPr>
              <w:t>ש</w:t>
            </w:r>
            <w:r w:rsidRPr="00B97E44">
              <w:rPr>
                <w:b/>
                <w:bCs/>
                <w:sz w:val="22"/>
                <w:szCs w:val="22"/>
                <w:rtl/>
              </w:rPr>
              <w:t>"ח)</w:t>
            </w:r>
          </w:p>
        </w:tc>
      </w:tr>
      <w:tr w:rsidTr="007B1885">
        <w:tblPrEx>
          <w:tblW w:w="0" w:type="auto"/>
          <w:jc w:val="center"/>
          <w:tblLook w:val="04A0"/>
        </w:tblPrEx>
        <w:trPr>
          <w:jc w:val="center"/>
        </w:trPr>
        <w:tc>
          <w:tcPr>
            <w:tcW w:w="4105" w:type="dxa"/>
          </w:tcPr>
          <w:p w:rsidR="005B126E" w:rsidRPr="00B97E44" w:rsidP="001916A9">
            <w:pPr>
              <w:spacing w:line="269" w:lineRule="auto"/>
              <w:jc w:val="left"/>
              <w:rPr>
                <w:sz w:val="22"/>
                <w:szCs w:val="22"/>
              </w:rPr>
            </w:pPr>
            <w:r w:rsidRPr="00B97E44">
              <w:rPr>
                <w:rFonts w:hint="eastAsia"/>
                <w:sz w:val="22"/>
                <w:szCs w:val="22"/>
                <w:rtl/>
              </w:rPr>
              <w:t>סעיף</w:t>
            </w:r>
            <w:r w:rsidRPr="00B97E44">
              <w:rPr>
                <w:sz w:val="22"/>
                <w:szCs w:val="22"/>
                <w:rtl/>
              </w:rPr>
              <w:t xml:space="preserve"> 2 - פעילות מינהלת תקומה לשיקום </w:t>
            </w:r>
          </w:p>
        </w:tc>
        <w:tc>
          <w:tcPr>
            <w:tcW w:w="2124" w:type="dxa"/>
          </w:tcPr>
          <w:p w:rsidR="005B126E" w:rsidRPr="00B97E44" w:rsidP="001916A9">
            <w:pPr>
              <w:spacing w:line="269" w:lineRule="auto"/>
              <w:jc w:val="left"/>
              <w:rPr>
                <w:sz w:val="22"/>
                <w:szCs w:val="22"/>
                <w:rtl/>
              </w:rPr>
            </w:pPr>
            <w:r w:rsidRPr="00B97E44">
              <w:rPr>
                <w:sz w:val="22"/>
                <w:szCs w:val="22"/>
                <w:rtl/>
              </w:rPr>
              <w:t>8,401</w:t>
            </w:r>
          </w:p>
        </w:tc>
      </w:tr>
      <w:tr w:rsidTr="007B1885">
        <w:tblPrEx>
          <w:tblW w:w="0" w:type="auto"/>
          <w:jc w:val="center"/>
          <w:tblLook w:val="04A0"/>
        </w:tblPrEx>
        <w:trPr>
          <w:jc w:val="center"/>
        </w:trPr>
        <w:tc>
          <w:tcPr>
            <w:tcW w:w="4105" w:type="dxa"/>
          </w:tcPr>
          <w:p w:rsidR="005B126E" w:rsidRPr="00B97E44" w:rsidP="001916A9">
            <w:pPr>
              <w:spacing w:line="269" w:lineRule="auto"/>
              <w:jc w:val="left"/>
              <w:rPr>
                <w:sz w:val="22"/>
                <w:szCs w:val="22"/>
                <w:rtl/>
              </w:rPr>
            </w:pPr>
            <w:r w:rsidRPr="00B97E44">
              <w:rPr>
                <w:rFonts w:hint="eastAsia"/>
                <w:sz w:val="22"/>
                <w:szCs w:val="22"/>
                <w:rtl/>
              </w:rPr>
              <w:t>סעיף</w:t>
            </w:r>
            <w:r w:rsidRPr="00B97E44">
              <w:rPr>
                <w:sz w:val="22"/>
                <w:szCs w:val="22"/>
                <w:rtl/>
              </w:rPr>
              <w:t xml:space="preserve"> 3 - </w:t>
            </w:r>
            <w:r w:rsidRPr="00B97E44">
              <w:rPr>
                <w:rFonts w:hint="eastAsia"/>
                <w:sz w:val="22"/>
                <w:szCs w:val="22"/>
                <w:rtl/>
              </w:rPr>
              <w:t>תיקון</w:t>
            </w:r>
            <w:r w:rsidRPr="00B97E44">
              <w:rPr>
                <w:sz w:val="22"/>
                <w:szCs w:val="22"/>
                <w:rtl/>
              </w:rPr>
              <w:t xml:space="preserve"> </w:t>
            </w:r>
            <w:r w:rsidRPr="00B97E44">
              <w:rPr>
                <w:rFonts w:hint="eastAsia"/>
                <w:sz w:val="22"/>
                <w:szCs w:val="22"/>
                <w:rtl/>
              </w:rPr>
              <w:t>להחלטת</w:t>
            </w:r>
            <w:r w:rsidRPr="00B97E44">
              <w:rPr>
                <w:sz w:val="22"/>
                <w:szCs w:val="22"/>
                <w:rtl/>
              </w:rPr>
              <w:t xml:space="preserve"> </w:t>
            </w:r>
            <w:r w:rsidRPr="00B97E44">
              <w:rPr>
                <w:rFonts w:hint="eastAsia"/>
                <w:sz w:val="22"/>
                <w:szCs w:val="22"/>
                <w:rtl/>
              </w:rPr>
              <w:t>ממשלה</w:t>
            </w:r>
            <w:r w:rsidRPr="00B97E44">
              <w:rPr>
                <w:sz w:val="22"/>
                <w:szCs w:val="22"/>
                <w:rtl/>
              </w:rPr>
              <w:t xml:space="preserve"> 462 </w:t>
            </w:r>
            <w:r w:rsidRPr="00B97E44">
              <w:rPr>
                <w:rFonts w:hint="eastAsia"/>
                <w:sz w:val="22"/>
                <w:szCs w:val="22"/>
                <w:rtl/>
              </w:rPr>
              <w:t>מאפריל</w:t>
            </w:r>
            <w:r w:rsidRPr="00B97E44">
              <w:rPr>
                <w:sz w:val="22"/>
                <w:szCs w:val="22"/>
                <w:rtl/>
              </w:rPr>
              <w:t xml:space="preserve"> 2023 </w:t>
            </w:r>
            <w:r w:rsidRPr="00B97E44">
              <w:rPr>
                <w:rFonts w:hint="eastAsia"/>
                <w:sz w:val="22"/>
                <w:szCs w:val="22"/>
                <w:rtl/>
              </w:rPr>
              <w:t>תוכנית</w:t>
            </w:r>
            <w:r w:rsidRPr="00B97E44">
              <w:rPr>
                <w:sz w:val="22"/>
                <w:szCs w:val="22"/>
                <w:rtl/>
              </w:rPr>
              <w:t xml:space="preserve"> </w:t>
            </w:r>
            <w:r w:rsidRPr="00B97E44">
              <w:rPr>
                <w:rFonts w:hint="eastAsia"/>
                <w:sz w:val="22"/>
                <w:szCs w:val="22"/>
                <w:rtl/>
              </w:rPr>
              <w:t>לחיזוק</w:t>
            </w:r>
            <w:r w:rsidRPr="00B97E44">
              <w:rPr>
                <w:sz w:val="22"/>
                <w:szCs w:val="22"/>
                <w:rtl/>
              </w:rPr>
              <w:t xml:space="preserve"> </w:t>
            </w:r>
            <w:r w:rsidRPr="00B97E44">
              <w:rPr>
                <w:rFonts w:hint="eastAsia"/>
                <w:sz w:val="22"/>
                <w:szCs w:val="22"/>
                <w:rtl/>
              </w:rPr>
              <w:t>החוסן</w:t>
            </w:r>
            <w:r w:rsidRPr="00B97E44">
              <w:rPr>
                <w:sz w:val="22"/>
                <w:szCs w:val="22"/>
                <w:rtl/>
              </w:rPr>
              <w:t xml:space="preserve"> </w:t>
            </w:r>
            <w:r w:rsidRPr="00B97E44">
              <w:rPr>
                <w:rFonts w:hint="eastAsia"/>
                <w:sz w:val="22"/>
                <w:szCs w:val="22"/>
                <w:rtl/>
              </w:rPr>
              <w:t>האזרחי</w:t>
            </w:r>
            <w:r w:rsidRPr="00B97E44">
              <w:rPr>
                <w:sz w:val="22"/>
                <w:szCs w:val="22"/>
                <w:rtl/>
              </w:rPr>
              <w:t xml:space="preserve"> </w:t>
            </w:r>
            <w:r w:rsidRPr="00B97E44">
              <w:rPr>
                <w:rFonts w:hint="eastAsia"/>
                <w:sz w:val="22"/>
                <w:szCs w:val="22"/>
                <w:rtl/>
              </w:rPr>
              <w:t>בשדרות</w:t>
            </w:r>
            <w:r w:rsidRPr="00B97E44">
              <w:rPr>
                <w:sz w:val="22"/>
                <w:szCs w:val="22"/>
                <w:rtl/>
              </w:rPr>
              <w:t xml:space="preserve"> </w:t>
            </w:r>
            <w:r w:rsidRPr="00B97E44">
              <w:rPr>
                <w:rFonts w:hint="eastAsia"/>
                <w:sz w:val="22"/>
                <w:szCs w:val="22"/>
                <w:rtl/>
              </w:rPr>
              <w:t>וביישובי</w:t>
            </w:r>
            <w:r w:rsidRPr="00B97E44">
              <w:rPr>
                <w:sz w:val="22"/>
                <w:szCs w:val="22"/>
                <w:rtl/>
              </w:rPr>
              <w:t xml:space="preserve"> "עוטף </w:t>
            </w:r>
            <w:r w:rsidRPr="00B97E44">
              <w:rPr>
                <w:rFonts w:hint="eastAsia"/>
                <w:sz w:val="22"/>
                <w:szCs w:val="22"/>
                <w:rtl/>
              </w:rPr>
              <w:t>רצועת</w:t>
            </w:r>
            <w:r w:rsidRPr="00B97E44">
              <w:rPr>
                <w:sz w:val="22"/>
                <w:szCs w:val="22"/>
                <w:rtl/>
              </w:rPr>
              <w:t xml:space="preserve"> </w:t>
            </w:r>
            <w:r w:rsidRPr="00B97E44">
              <w:rPr>
                <w:rFonts w:hint="eastAsia"/>
                <w:sz w:val="22"/>
                <w:szCs w:val="22"/>
                <w:rtl/>
              </w:rPr>
              <w:t>עזה</w:t>
            </w:r>
            <w:r w:rsidRPr="00B97E44">
              <w:rPr>
                <w:sz w:val="22"/>
                <w:szCs w:val="22"/>
                <w:rtl/>
              </w:rPr>
              <w:t>"</w:t>
            </w:r>
          </w:p>
        </w:tc>
        <w:tc>
          <w:tcPr>
            <w:tcW w:w="2124" w:type="dxa"/>
          </w:tcPr>
          <w:p w:rsidR="005B126E" w:rsidRPr="00B97E44" w:rsidP="001916A9">
            <w:pPr>
              <w:spacing w:line="269" w:lineRule="auto"/>
              <w:jc w:val="left"/>
              <w:rPr>
                <w:sz w:val="22"/>
                <w:szCs w:val="22"/>
                <w:rtl/>
              </w:rPr>
            </w:pPr>
            <w:r w:rsidRPr="00B97E44">
              <w:rPr>
                <w:sz w:val="22"/>
                <w:szCs w:val="22"/>
                <w:rtl/>
              </w:rPr>
              <w:t>802</w:t>
            </w:r>
          </w:p>
        </w:tc>
      </w:tr>
      <w:tr w:rsidTr="007B1885">
        <w:tblPrEx>
          <w:tblW w:w="0" w:type="auto"/>
          <w:jc w:val="center"/>
          <w:tblLook w:val="04A0"/>
        </w:tblPrEx>
        <w:trPr>
          <w:jc w:val="center"/>
        </w:trPr>
        <w:tc>
          <w:tcPr>
            <w:tcW w:w="4105" w:type="dxa"/>
          </w:tcPr>
          <w:p w:rsidR="005B126E" w:rsidRPr="00B97E44" w:rsidP="001916A9">
            <w:pPr>
              <w:spacing w:line="269" w:lineRule="auto"/>
              <w:jc w:val="left"/>
              <w:rPr>
                <w:sz w:val="22"/>
                <w:szCs w:val="22"/>
                <w:rtl/>
              </w:rPr>
            </w:pPr>
            <w:r w:rsidRPr="00B97E44">
              <w:rPr>
                <w:rFonts w:hint="eastAsia"/>
                <w:sz w:val="22"/>
                <w:szCs w:val="22"/>
                <w:rtl/>
              </w:rPr>
              <w:t>סעיף</w:t>
            </w:r>
            <w:r w:rsidRPr="00B97E44">
              <w:rPr>
                <w:sz w:val="22"/>
                <w:szCs w:val="22"/>
                <w:rtl/>
              </w:rPr>
              <w:t xml:space="preserve"> 5 - כספים המיועדים למגורי ביניים, מענקי שיבה הביתה, ביטחון, הפעלת </w:t>
            </w:r>
            <w:r w:rsidRPr="00B97E44">
              <w:rPr>
                <w:rFonts w:hint="eastAsia"/>
                <w:sz w:val="22"/>
                <w:szCs w:val="22"/>
                <w:rtl/>
              </w:rPr>
              <w:t>המינהלת</w:t>
            </w:r>
            <w:r w:rsidRPr="00B97E44">
              <w:rPr>
                <w:sz w:val="22"/>
                <w:szCs w:val="22"/>
                <w:rtl/>
              </w:rPr>
              <w:t xml:space="preserve"> וכספים שהוקצו </w:t>
            </w:r>
          </w:p>
        </w:tc>
        <w:tc>
          <w:tcPr>
            <w:tcW w:w="2124" w:type="dxa"/>
          </w:tcPr>
          <w:p w:rsidR="005B126E" w:rsidRPr="00B97E44" w:rsidP="001916A9">
            <w:pPr>
              <w:spacing w:line="269" w:lineRule="auto"/>
              <w:jc w:val="left"/>
              <w:rPr>
                <w:sz w:val="22"/>
                <w:szCs w:val="22"/>
                <w:rtl/>
              </w:rPr>
            </w:pPr>
            <w:r w:rsidRPr="00B97E44">
              <w:rPr>
                <w:sz w:val="22"/>
                <w:szCs w:val="22"/>
                <w:rtl/>
              </w:rPr>
              <w:t>4,847</w:t>
            </w:r>
          </w:p>
        </w:tc>
      </w:tr>
      <w:tr w:rsidTr="007B1885">
        <w:tblPrEx>
          <w:tblW w:w="0" w:type="auto"/>
          <w:jc w:val="center"/>
          <w:tblLook w:val="04A0"/>
        </w:tblPrEx>
        <w:trPr>
          <w:jc w:val="center"/>
        </w:trPr>
        <w:tc>
          <w:tcPr>
            <w:tcW w:w="4105" w:type="dxa"/>
          </w:tcPr>
          <w:p w:rsidR="005B126E" w:rsidRPr="00B97E44" w:rsidP="001916A9">
            <w:pPr>
              <w:spacing w:line="269" w:lineRule="auto"/>
              <w:jc w:val="left"/>
              <w:rPr>
                <w:b/>
                <w:bCs/>
                <w:sz w:val="22"/>
                <w:szCs w:val="22"/>
                <w:rtl/>
              </w:rPr>
            </w:pPr>
            <w:r w:rsidRPr="00B97E44">
              <w:rPr>
                <w:rFonts w:hint="eastAsia"/>
                <w:b/>
                <w:bCs/>
                <w:sz w:val="22"/>
                <w:szCs w:val="22"/>
                <w:rtl/>
              </w:rPr>
              <w:t>סה</w:t>
            </w:r>
            <w:r w:rsidRPr="00B97E44">
              <w:rPr>
                <w:b/>
                <w:bCs/>
                <w:sz w:val="22"/>
                <w:szCs w:val="22"/>
                <w:rtl/>
              </w:rPr>
              <w:t>"כ</w:t>
            </w:r>
          </w:p>
        </w:tc>
        <w:tc>
          <w:tcPr>
            <w:tcW w:w="2124" w:type="dxa"/>
          </w:tcPr>
          <w:p w:rsidR="005B126E" w:rsidRPr="00B97E44" w:rsidP="001916A9">
            <w:pPr>
              <w:spacing w:line="269" w:lineRule="auto"/>
              <w:jc w:val="left"/>
              <w:rPr>
                <w:b/>
                <w:bCs/>
                <w:sz w:val="22"/>
                <w:szCs w:val="22"/>
                <w:rtl/>
              </w:rPr>
            </w:pPr>
            <w:r w:rsidRPr="00B97E44">
              <w:rPr>
                <w:b/>
                <w:bCs/>
                <w:sz w:val="22"/>
                <w:szCs w:val="22"/>
                <w:rtl/>
              </w:rPr>
              <w:t>14,050</w:t>
            </w:r>
          </w:p>
        </w:tc>
      </w:tr>
    </w:tbl>
    <w:p w:rsidR="005B126E" w:rsidP="001916A9">
      <w:pPr>
        <w:spacing w:line="269" w:lineRule="auto"/>
        <w:jc w:val="left"/>
        <w:rPr>
          <w:sz w:val="16"/>
          <w:szCs w:val="20"/>
          <w:rtl/>
        </w:rPr>
      </w:pPr>
      <w:r w:rsidRPr="00792AAB">
        <w:rPr>
          <w:rFonts w:hint="cs"/>
          <w:sz w:val="16"/>
          <w:szCs w:val="20"/>
          <w:rtl/>
        </w:rPr>
        <w:t>על פי נתונים מהחלטת הממשלה 1699, בעיבוד משרד מבקר המדינה.</w:t>
      </w:r>
    </w:p>
    <w:p w:rsidR="005B126E" w:rsidRPr="00792AAB" w:rsidP="001916A9">
      <w:pPr>
        <w:spacing w:line="269" w:lineRule="auto"/>
        <w:jc w:val="left"/>
        <w:rPr>
          <w:sz w:val="16"/>
          <w:szCs w:val="20"/>
          <w:rtl/>
        </w:rPr>
      </w:pPr>
    </w:p>
    <w:p w:rsidR="005B126E" w:rsidP="001916A9">
      <w:pPr>
        <w:spacing w:line="269" w:lineRule="auto"/>
        <w:rPr>
          <w:rtl/>
        </w:rPr>
      </w:pPr>
      <w:r w:rsidRPr="00B97E44">
        <w:rPr>
          <w:rFonts w:hint="cs"/>
          <w:rtl/>
        </w:rPr>
        <w:t>ח</w:t>
      </w:r>
      <w:r w:rsidRPr="00B97E44">
        <w:rPr>
          <w:rtl/>
        </w:rPr>
        <w:t xml:space="preserve">לוקת </w:t>
      </w:r>
      <w:r w:rsidRPr="00B97E44">
        <w:rPr>
          <w:rFonts w:hint="cs"/>
          <w:rtl/>
        </w:rPr>
        <w:t xml:space="preserve">הסכומים </w:t>
      </w:r>
      <w:r w:rsidRPr="00B97E44">
        <w:rPr>
          <w:rtl/>
        </w:rPr>
        <w:t>בין התחומים ובין שנות התקציב מוצגת להלן, בהתאם לתרשימים המצורפים, הממחישים את פירוט התקציב לפי תחומי פעולה ולפי פריסה רב-שנתית.</w:t>
      </w:r>
      <w:r w:rsidRPr="00B97E44">
        <w:rPr>
          <w:rFonts w:hint="cs"/>
          <w:rtl/>
        </w:rPr>
        <w:t xml:space="preserve"> </w:t>
      </w:r>
      <w:bookmarkStart w:id="23" w:name="_Hlk201740898"/>
    </w:p>
    <w:p w:rsidR="005B126E" w:rsidP="001916A9">
      <w:pPr>
        <w:spacing w:line="269" w:lineRule="auto"/>
        <w:jc w:val="center"/>
        <w:rPr>
          <w:rtl/>
        </w:rPr>
      </w:pPr>
    </w:p>
    <w:p w:rsidR="005B126E" w:rsidRPr="00B97E44" w:rsidP="007B1885">
      <w:pPr>
        <w:keepNext/>
        <w:keepLines/>
        <w:spacing w:line="360" w:lineRule="auto"/>
        <w:jc w:val="center"/>
        <w:rPr>
          <w:b/>
          <w:bCs/>
          <w:rtl/>
        </w:rPr>
      </w:pPr>
      <w:r w:rsidRPr="00B97E44">
        <w:rPr>
          <w:rFonts w:hint="cs"/>
          <w:rtl/>
        </w:rPr>
        <w:t>תרשים 2:</w:t>
      </w:r>
      <w:r w:rsidRPr="00B97E44">
        <w:rPr>
          <w:rtl/>
        </w:rPr>
        <w:t xml:space="preserve"> </w:t>
      </w:r>
      <w:r w:rsidRPr="00B97E44">
        <w:rPr>
          <w:b/>
          <w:bCs/>
          <w:rtl/>
        </w:rPr>
        <w:t xml:space="preserve">חלוקת </w:t>
      </w:r>
      <w:r w:rsidRPr="00B97E44">
        <w:rPr>
          <w:rFonts w:hint="cs"/>
          <w:b/>
          <w:bCs/>
          <w:rtl/>
        </w:rPr>
        <w:t>14 מיליארד ש"ח מ</w:t>
      </w:r>
      <w:r w:rsidRPr="00B97E44">
        <w:rPr>
          <w:b/>
          <w:bCs/>
          <w:rtl/>
        </w:rPr>
        <w:t>תקציב</w:t>
      </w:r>
      <w:r w:rsidRPr="00B97E44">
        <w:rPr>
          <w:rFonts w:hint="cs"/>
          <w:b/>
          <w:bCs/>
          <w:rtl/>
        </w:rPr>
        <w:t>ה של</w:t>
      </w:r>
      <w:r w:rsidRPr="00B97E44">
        <w:rPr>
          <w:b/>
          <w:bCs/>
          <w:rtl/>
        </w:rPr>
        <w:t xml:space="preserve"> מ</w:t>
      </w:r>
      <w:r w:rsidRPr="00B97E44">
        <w:rPr>
          <w:rFonts w:hint="cs"/>
          <w:b/>
          <w:bCs/>
          <w:rtl/>
        </w:rPr>
        <w:t>י</w:t>
      </w:r>
      <w:r w:rsidRPr="00B97E44">
        <w:rPr>
          <w:b/>
          <w:bCs/>
          <w:rtl/>
        </w:rPr>
        <w:t xml:space="preserve">נהלת תקומה לשיקום חבל התקומה לפי </w:t>
      </w:r>
      <w:r w:rsidRPr="00B97E44">
        <w:rPr>
          <w:rFonts w:hint="cs"/>
          <w:b/>
          <w:bCs/>
          <w:rtl/>
        </w:rPr>
        <w:t xml:space="preserve">שנים, 2023 - 2028 </w:t>
      </w:r>
      <w:r>
        <w:rPr>
          <w:rFonts w:hint="cs"/>
          <w:b/>
          <w:bCs/>
          <w:rtl/>
        </w:rPr>
        <w:t>(</w:t>
      </w:r>
      <w:r w:rsidRPr="00B97E44">
        <w:rPr>
          <w:rFonts w:hint="cs"/>
          <w:b/>
          <w:bCs/>
          <w:rtl/>
        </w:rPr>
        <w:t>במיליוני ש"ח</w:t>
      </w:r>
      <w:bookmarkEnd w:id="23"/>
      <w:r>
        <w:rPr>
          <w:rFonts w:hint="cs"/>
          <w:b/>
          <w:bCs/>
          <w:rtl/>
        </w:rPr>
        <w:t>)</w:t>
      </w:r>
    </w:p>
    <w:p w:rsidR="005B126E" w:rsidRPr="00B97E44" w:rsidP="007B1885">
      <w:pPr>
        <w:keepNext/>
        <w:keepLines/>
        <w:spacing w:line="360" w:lineRule="auto"/>
        <w:jc w:val="center"/>
        <w:rPr>
          <w:b/>
          <w:bCs/>
          <w:rtl/>
        </w:rPr>
      </w:pPr>
      <w:r>
        <w:rPr>
          <w:b/>
          <w:bCs/>
          <w:noProof/>
        </w:rPr>
        <w:drawing>
          <wp:inline distT="0" distB="0" distL="0" distR="0">
            <wp:extent cx="5313045" cy="3069063"/>
            <wp:effectExtent l="0" t="0" r="1905" b="0"/>
            <wp:docPr id="21" name="תמונה 21" descr="בתרשים מוצג חלוקת 14 מיליארדי ש&quot;ח לכל שנה ושנה, בשנים 2023 - 2028, הסכום הגבוה ביותר הינו 6.9 מיליארדי ש&quot;ח אשר הוקצה לשנת 2024 והסכום הנמוך ביותר הוא 819 מיליוני ש&quot;ח אשר הוקצה לשנת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pic:cNvPicPr>
                      <a:picLocks noChangeAspect="1" noChangeArrowheads="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rcRect t="11770"/>
                    <a:stretch>
                      <a:fillRect/>
                    </a:stretch>
                  </pic:blipFill>
                  <pic:spPr bwMode="auto">
                    <a:xfrm>
                      <a:off x="0" y="0"/>
                      <a:ext cx="5325189" cy="3076078"/>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5B126E" w:rsidRPr="00792AAB" w:rsidP="001916A9">
      <w:pPr>
        <w:spacing w:line="269" w:lineRule="auto"/>
        <w:jc w:val="left"/>
        <w:rPr>
          <w:sz w:val="16"/>
          <w:szCs w:val="20"/>
          <w:rtl/>
        </w:rPr>
      </w:pPr>
      <w:bookmarkStart w:id="24" w:name="_Hlk201753948"/>
      <w:r w:rsidRPr="00792AAB">
        <w:rPr>
          <w:rFonts w:hint="cs"/>
          <w:sz w:val="16"/>
          <w:szCs w:val="20"/>
          <w:rtl/>
        </w:rPr>
        <w:t>על פי נתונים מהחלטת הממשלה 1699, בעיבוד משרד מבקר המדינה.</w:t>
      </w:r>
    </w:p>
    <w:p w:rsidR="005B126E" w:rsidRPr="00B97E44" w:rsidP="001916A9">
      <w:pPr>
        <w:spacing w:line="269" w:lineRule="auto"/>
        <w:rPr>
          <w:sz w:val="18"/>
          <w:szCs w:val="22"/>
          <w:rtl/>
        </w:rPr>
      </w:pPr>
    </w:p>
    <w:bookmarkEnd w:id="24"/>
    <w:p w:rsidR="00E66397" w:rsidP="001916A9">
      <w:pPr>
        <w:bidi w:val="0"/>
        <w:spacing w:line="269" w:lineRule="auto"/>
        <w:rPr>
          <w:rtl/>
        </w:rPr>
      </w:pPr>
      <w:r>
        <w:rPr>
          <w:rtl/>
        </w:rPr>
        <w:br w:type="page"/>
      </w:r>
    </w:p>
    <w:p w:rsidR="005B126E" w:rsidRPr="00B97E44" w:rsidP="007B1885">
      <w:pPr>
        <w:keepNext/>
        <w:keepLines/>
        <w:spacing w:line="360" w:lineRule="auto"/>
        <w:jc w:val="center"/>
        <w:rPr>
          <w:b/>
          <w:bCs/>
          <w:rtl/>
        </w:rPr>
      </w:pPr>
      <w:r w:rsidRPr="00B97E44">
        <w:rPr>
          <w:rtl/>
        </w:rPr>
        <w:t xml:space="preserve">תרשים </w:t>
      </w:r>
      <w:r w:rsidRPr="00B97E44">
        <w:rPr>
          <w:rFonts w:hint="cs"/>
          <w:rtl/>
        </w:rPr>
        <w:t>3</w:t>
      </w:r>
      <w:r w:rsidRPr="00B97E44">
        <w:rPr>
          <w:rtl/>
        </w:rPr>
        <w:t>:</w:t>
      </w:r>
      <w:r w:rsidRPr="00B97E44">
        <w:rPr>
          <w:b/>
          <w:bCs/>
          <w:rtl/>
        </w:rPr>
        <w:t xml:space="preserve"> חלוקת </w:t>
      </w:r>
      <w:r w:rsidRPr="00B97E44">
        <w:rPr>
          <w:rFonts w:hint="cs"/>
          <w:b/>
          <w:bCs/>
          <w:rtl/>
        </w:rPr>
        <w:t>ה</w:t>
      </w:r>
      <w:r w:rsidRPr="00B97E44">
        <w:rPr>
          <w:b/>
          <w:bCs/>
          <w:rtl/>
        </w:rPr>
        <w:t xml:space="preserve">תקציב </w:t>
      </w:r>
      <w:r w:rsidRPr="00B97E44">
        <w:rPr>
          <w:rFonts w:hint="cs"/>
          <w:b/>
          <w:bCs/>
          <w:rtl/>
        </w:rPr>
        <w:t xml:space="preserve">של </w:t>
      </w:r>
      <w:r w:rsidRPr="00B97E44">
        <w:rPr>
          <w:b/>
          <w:bCs/>
          <w:rtl/>
        </w:rPr>
        <w:t xml:space="preserve">מינהלת תקומה לשיקום חבל התקומה לפי </w:t>
      </w:r>
      <w:r w:rsidRPr="00B97E44">
        <w:rPr>
          <w:rFonts w:hint="cs"/>
          <w:b/>
          <w:bCs/>
          <w:rtl/>
        </w:rPr>
        <w:t>תחומים</w:t>
      </w:r>
      <w:r w:rsidRPr="00B97E44">
        <w:rPr>
          <w:b/>
          <w:bCs/>
          <w:rtl/>
        </w:rPr>
        <w:t>, מיליוני ש"ח</w:t>
      </w:r>
    </w:p>
    <w:p w:rsidR="005B126E" w:rsidRPr="00B97E44" w:rsidP="001916A9">
      <w:pPr>
        <w:spacing w:line="269" w:lineRule="auto"/>
        <w:jc w:val="center"/>
        <w:rPr>
          <w:b/>
          <w:bCs/>
          <w:rtl/>
        </w:rPr>
      </w:pPr>
      <w:r>
        <w:rPr>
          <w:b/>
          <w:bCs/>
          <w:noProof/>
        </w:rPr>
        <w:drawing>
          <wp:inline distT="0" distB="0" distL="0" distR="0">
            <wp:extent cx="5275995" cy="3091218"/>
            <wp:effectExtent l="0" t="0" r="1270" b="0"/>
            <wp:docPr id="31" name="תמונה 31" descr="בתרשים מוצג חלוקת התקציב של מנהלת תקומה לפי תחומים. סכום של 5.2 מיליארדי ש&quot;ח הוקצב לבינוי ותשתיות, סכום של 3.8 מיליארדי ש&quot;ח הוקצב לאדם וקהילה, סכום של 1.3 מיליארדי ש&quot;ח הוקצב לכלכלה ותעסוקה, 1.2 מיליארדי ש&quot;ח הוקצב לשיבה הביתה ויתרת הסכום של 2.5 מיליארדי ש&quot;ח עבור תחומים אחר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4"/>
                    <pic:cNvPicPr>
                      <a:picLocks noChangeAspect="1" noChangeArrowheads="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rcRect t="4161" b="6066"/>
                    <a:stretch>
                      <a:fillRect/>
                    </a:stretch>
                  </pic:blipFill>
                  <pic:spPr bwMode="auto">
                    <a:xfrm>
                      <a:off x="0" y="0"/>
                      <a:ext cx="5285949" cy="309705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5B126E" w:rsidP="001916A9">
      <w:pPr>
        <w:spacing w:line="269" w:lineRule="auto"/>
        <w:rPr>
          <w:sz w:val="18"/>
          <w:szCs w:val="22"/>
          <w:rtl/>
        </w:rPr>
      </w:pPr>
    </w:p>
    <w:p w:rsidR="005B126E" w:rsidRPr="00B97E44" w:rsidP="001916A9">
      <w:pPr>
        <w:spacing w:line="269" w:lineRule="auto"/>
        <w:rPr>
          <w:b/>
          <w:bCs/>
          <w:rtl/>
        </w:rPr>
      </w:pPr>
      <w:r w:rsidRPr="00B97E44">
        <w:rPr>
          <w:rFonts w:hint="cs"/>
          <w:b/>
          <w:bCs/>
          <w:rtl/>
        </w:rPr>
        <w:t>התרשימים ממחישים כי הסכום הגבוה ביותר תוקצב לשנת 2024 ועמד על כ-6.9 מיליארד ש"ח, כי 37% מהתקציב (כ-5.2 מיליארד ש"ח) מיועד לבינוי ותשתיות ו-27% ממנו (כ-3.9 מיליארד ש"ח) לאדם וקהילה.</w:t>
      </w:r>
    </w:p>
    <w:p w:rsidR="005B126E" w:rsidP="001916A9">
      <w:pPr>
        <w:spacing w:line="269" w:lineRule="auto"/>
        <w:rPr>
          <w:rtl/>
        </w:rPr>
      </w:pPr>
    </w:p>
    <w:p w:rsidR="005B126E" w:rsidRPr="00B97E44" w:rsidP="001916A9">
      <w:pPr>
        <w:spacing w:line="269" w:lineRule="auto"/>
        <w:rPr>
          <w:rtl/>
        </w:rPr>
      </w:pPr>
      <w:r w:rsidRPr="00B97E44">
        <w:rPr>
          <w:rFonts w:hint="cs"/>
          <w:rtl/>
        </w:rPr>
        <w:t>באפריל 2025 התקבל בכנסת חוק השיקום הנרחב</w:t>
      </w:r>
      <w:r w:rsidRPr="00B97E44">
        <w:rPr>
          <w:rFonts w:hint="cs"/>
          <w:vertAlign w:val="superscript"/>
          <w:rtl/>
        </w:rPr>
        <w:t xml:space="preserve"> </w:t>
      </w:r>
      <w:r w:rsidRPr="00B97E44">
        <w:rPr>
          <w:rFonts w:hint="cs"/>
          <w:rtl/>
        </w:rPr>
        <w:t>ואושר תקציב הפיתוח בסכום של כ-3.5 מיליארד</w:t>
      </w:r>
      <w:r w:rsidRPr="00B97E44">
        <w:rPr>
          <w:rFonts w:hint="eastAsia"/>
          <w:rtl/>
        </w:rPr>
        <w:t>י</w:t>
      </w:r>
      <w:r w:rsidRPr="00B97E44">
        <w:rPr>
          <w:rFonts w:hint="cs"/>
          <w:rtl/>
        </w:rPr>
        <w:t xml:space="preserve"> ש"ח. מהתקציב המקורי, שעמד על 5 מיליארד ש"ח הופחת סכום של 1.5 מיליארד ש"ח - מתוכם 1 מיליארד ש"ח בשל הסטת התקציב למען יישובים הסמוכים לחבל התקומה (ראו להלן, בפרק על השפעת הליכי הפיתוח בחבל התקומה על הרשויות הסמוכות).</w:t>
      </w:r>
      <w:r>
        <w:rPr>
          <w:rFonts w:hint="cs"/>
          <w:rtl/>
        </w:rPr>
        <w:t xml:space="preserve"> כך עמד תקציב תוכנית החומש המעודכנת על 17.5 מיליארדי ש"ח.</w:t>
      </w:r>
    </w:p>
    <w:p w:rsidR="005B126E" w:rsidP="001916A9">
      <w:pPr>
        <w:spacing w:line="269" w:lineRule="auto"/>
        <w:rPr>
          <w:b/>
          <w:bCs/>
          <w:rtl/>
        </w:rPr>
      </w:pPr>
    </w:p>
    <w:p w:rsidR="005B126E" w:rsidRPr="00DD13EA" w:rsidP="001916A9">
      <w:pPr>
        <w:spacing w:line="269" w:lineRule="auto"/>
        <w:rPr>
          <w:b/>
          <w:bCs/>
          <w:rtl/>
        </w:rPr>
      </w:pPr>
      <w:r w:rsidRPr="00B97E44">
        <w:rPr>
          <w:b/>
          <w:bCs/>
          <w:rtl/>
        </w:rPr>
        <w:t xml:space="preserve">לאחר </w:t>
      </w:r>
      <w:r w:rsidRPr="00B97E44">
        <w:rPr>
          <w:rFonts w:hint="eastAsia"/>
          <w:b/>
          <w:bCs/>
          <w:rtl/>
        </w:rPr>
        <w:t>חקיקת</w:t>
      </w:r>
      <w:r w:rsidRPr="00B97E44">
        <w:rPr>
          <w:b/>
          <w:bCs/>
          <w:rtl/>
        </w:rPr>
        <w:t xml:space="preserve"> </w:t>
      </w:r>
      <w:r w:rsidRPr="00B97E44">
        <w:rPr>
          <w:rFonts w:hint="eastAsia"/>
          <w:b/>
          <w:bCs/>
          <w:rtl/>
        </w:rPr>
        <w:t>החוק</w:t>
      </w:r>
      <w:r w:rsidRPr="00B97E44">
        <w:rPr>
          <w:b/>
          <w:bCs/>
          <w:rtl/>
        </w:rPr>
        <w:t xml:space="preserve"> </w:t>
      </w:r>
      <w:r w:rsidRPr="00B97E44">
        <w:rPr>
          <w:rFonts w:hint="eastAsia"/>
          <w:b/>
          <w:bCs/>
          <w:rtl/>
        </w:rPr>
        <w:t>ו</w:t>
      </w:r>
      <w:r w:rsidRPr="00B97E44">
        <w:rPr>
          <w:b/>
          <w:bCs/>
          <w:rtl/>
        </w:rPr>
        <w:t>הקיצוץ בתקציבי הפיתוח</w:t>
      </w:r>
      <w:r w:rsidRPr="00EE5C78">
        <w:rPr>
          <w:rFonts w:hint="eastAsia"/>
          <w:b/>
          <w:bCs/>
          <w:rtl/>
        </w:rPr>
        <w:t xml:space="preserve"> </w:t>
      </w:r>
      <w:r w:rsidRPr="00B97E44">
        <w:rPr>
          <w:rFonts w:hint="eastAsia"/>
          <w:b/>
          <w:bCs/>
          <w:rtl/>
        </w:rPr>
        <w:t>באפריל</w:t>
      </w:r>
      <w:r w:rsidRPr="00B97E44">
        <w:rPr>
          <w:b/>
          <w:bCs/>
          <w:rtl/>
        </w:rPr>
        <w:t xml:space="preserve"> 2025 </w:t>
      </w:r>
      <w:r w:rsidRPr="00B97E44">
        <w:rPr>
          <w:rFonts w:hint="eastAsia"/>
          <w:b/>
          <w:bCs/>
          <w:rtl/>
        </w:rPr>
        <w:t>הייתה</w:t>
      </w:r>
      <w:r w:rsidRPr="00B97E44">
        <w:rPr>
          <w:b/>
          <w:bCs/>
          <w:rtl/>
        </w:rPr>
        <w:t xml:space="preserve"> </w:t>
      </w:r>
      <w:r w:rsidRPr="00B97E44">
        <w:rPr>
          <w:rFonts w:hint="eastAsia"/>
          <w:b/>
          <w:bCs/>
          <w:rtl/>
        </w:rPr>
        <w:t>מינהלת</w:t>
      </w:r>
      <w:r w:rsidRPr="00B97E44">
        <w:rPr>
          <w:b/>
          <w:bCs/>
          <w:rtl/>
        </w:rPr>
        <w:t xml:space="preserve"> </w:t>
      </w:r>
      <w:r w:rsidRPr="00B97E44">
        <w:rPr>
          <w:rFonts w:hint="eastAsia"/>
          <w:b/>
          <w:bCs/>
          <w:rtl/>
        </w:rPr>
        <w:t>תקומה</w:t>
      </w:r>
      <w:r>
        <w:rPr>
          <w:rFonts w:hint="cs"/>
          <w:b/>
          <w:bCs/>
          <w:rtl/>
        </w:rPr>
        <w:t xml:space="preserve"> אמורה</w:t>
      </w:r>
      <w:r w:rsidRPr="00B97E44">
        <w:rPr>
          <w:b/>
          <w:bCs/>
          <w:rtl/>
        </w:rPr>
        <w:t xml:space="preserve"> </w:t>
      </w:r>
      <w:r w:rsidRPr="00B97E44">
        <w:rPr>
          <w:rFonts w:hint="eastAsia"/>
          <w:b/>
          <w:bCs/>
          <w:rtl/>
        </w:rPr>
        <w:t>לסיים</w:t>
      </w:r>
      <w:r w:rsidRPr="00B97E44">
        <w:rPr>
          <w:b/>
          <w:bCs/>
          <w:rtl/>
        </w:rPr>
        <w:t xml:space="preserve"> </w:t>
      </w:r>
      <w:r w:rsidRPr="00B97E44">
        <w:rPr>
          <w:rFonts w:hint="eastAsia"/>
          <w:b/>
          <w:bCs/>
          <w:rtl/>
        </w:rPr>
        <w:t>את</w:t>
      </w:r>
      <w:r w:rsidRPr="00B97E44">
        <w:rPr>
          <w:b/>
          <w:bCs/>
          <w:rtl/>
        </w:rPr>
        <w:t xml:space="preserve"> </w:t>
      </w:r>
      <w:r w:rsidRPr="00B97E44">
        <w:rPr>
          <w:rFonts w:hint="eastAsia"/>
          <w:b/>
          <w:bCs/>
          <w:rtl/>
        </w:rPr>
        <w:t>גיבושה</w:t>
      </w:r>
      <w:r w:rsidRPr="00B97E44">
        <w:rPr>
          <w:b/>
          <w:bCs/>
          <w:rtl/>
        </w:rPr>
        <w:t xml:space="preserve"> </w:t>
      </w:r>
      <w:r w:rsidRPr="00B97E44">
        <w:rPr>
          <w:rFonts w:hint="eastAsia"/>
          <w:b/>
          <w:bCs/>
          <w:rtl/>
        </w:rPr>
        <w:t>של</w:t>
      </w:r>
      <w:r w:rsidRPr="00B97E44">
        <w:rPr>
          <w:b/>
          <w:bCs/>
          <w:rtl/>
        </w:rPr>
        <w:t xml:space="preserve"> </w:t>
      </w:r>
      <w:r w:rsidRPr="00B97E44">
        <w:rPr>
          <w:rFonts w:hint="eastAsia"/>
          <w:b/>
          <w:bCs/>
          <w:rtl/>
        </w:rPr>
        <w:t>תוכנית</w:t>
      </w:r>
      <w:r w:rsidRPr="00B97E44">
        <w:rPr>
          <w:b/>
          <w:bCs/>
          <w:rtl/>
        </w:rPr>
        <w:t xml:space="preserve"> </w:t>
      </w:r>
      <w:r w:rsidRPr="00B97E44">
        <w:rPr>
          <w:rFonts w:hint="eastAsia"/>
          <w:b/>
          <w:bCs/>
          <w:rtl/>
        </w:rPr>
        <w:t>החומש</w:t>
      </w:r>
      <w:r w:rsidRPr="00B97E44">
        <w:rPr>
          <w:b/>
          <w:bCs/>
          <w:rtl/>
        </w:rPr>
        <w:t xml:space="preserve"> </w:t>
      </w:r>
      <w:r w:rsidRPr="00B97E44">
        <w:rPr>
          <w:rFonts w:hint="eastAsia"/>
          <w:b/>
          <w:bCs/>
          <w:rtl/>
        </w:rPr>
        <w:t>המ</w:t>
      </w:r>
      <w:r w:rsidRPr="00B97E44">
        <w:rPr>
          <w:rFonts w:hint="cs"/>
          <w:b/>
          <w:bCs/>
          <w:rtl/>
        </w:rPr>
        <w:t>עודכנת, אך בפועל זו פורסמה רק באוקטובר 2025</w:t>
      </w:r>
      <w:r w:rsidRPr="00B97E44">
        <w:rPr>
          <w:b/>
          <w:bCs/>
          <w:rtl/>
        </w:rPr>
        <w:t xml:space="preserve">. </w:t>
      </w:r>
      <w:r>
        <w:rPr>
          <w:rFonts w:hint="cs"/>
          <w:b/>
          <w:bCs/>
          <w:rtl/>
        </w:rPr>
        <w:t xml:space="preserve">לפיכך </w:t>
      </w:r>
      <w:r w:rsidRPr="00B97E44">
        <w:rPr>
          <w:rFonts w:hint="cs"/>
          <w:b/>
          <w:bCs/>
          <w:rtl/>
        </w:rPr>
        <w:t>השהתה מינהלת תקומה את קידומם של מיזמים רבים מתוכנית החומש שמימושם כרוך בפרסום קולות קוראים</w:t>
      </w:r>
      <w:r>
        <w:rPr>
          <w:b/>
          <w:bCs/>
          <w:vertAlign w:val="superscript"/>
          <w:rtl/>
        </w:rPr>
        <w:footnoteReference w:id="30"/>
      </w:r>
      <w:r>
        <w:rPr>
          <w:rFonts w:hint="cs"/>
          <w:b/>
          <w:bCs/>
          <w:rtl/>
        </w:rPr>
        <w:t>.</w:t>
      </w:r>
      <w:r w:rsidRPr="00113AB4">
        <w:rPr>
          <w:noProof/>
        </w:rPr>
        <w:t xml:space="preserve"> </w:t>
      </w:r>
    </w:p>
    <w:p w:rsidR="005B126E" w:rsidP="001916A9">
      <w:pPr>
        <w:spacing w:line="269" w:lineRule="auto"/>
        <w:rPr>
          <w:b/>
          <w:bCs/>
          <w:rtl/>
        </w:rPr>
      </w:pPr>
    </w:p>
    <w:p w:rsidR="005B126E" w:rsidRPr="00B97E44" w:rsidP="001916A9">
      <w:pPr>
        <w:spacing w:line="269" w:lineRule="auto"/>
        <w:rPr>
          <w:b/>
          <w:bCs/>
          <w:rtl/>
        </w:rPr>
      </w:pPr>
      <w:r w:rsidRPr="00B97E44">
        <w:rPr>
          <w:rFonts w:hint="cs"/>
          <w:b/>
          <w:bCs/>
          <w:rtl/>
        </w:rPr>
        <w:t xml:space="preserve">כפי </w:t>
      </w:r>
      <w:r w:rsidRPr="00B97E44">
        <w:rPr>
          <w:b/>
          <w:bCs/>
          <w:rtl/>
        </w:rPr>
        <w:t xml:space="preserve">שצוין בדוח </w:t>
      </w:r>
      <w:r w:rsidRPr="00B97E44">
        <w:rPr>
          <w:rFonts w:hint="cs"/>
          <w:b/>
          <w:bCs/>
          <w:rtl/>
        </w:rPr>
        <w:t>הביניים</w:t>
      </w:r>
      <w:r w:rsidRPr="00B97E44">
        <w:rPr>
          <w:rtl/>
        </w:rPr>
        <w:t xml:space="preserve"> </w:t>
      </w:r>
      <w:r w:rsidRPr="00B97E44">
        <w:rPr>
          <w:b/>
          <w:bCs/>
          <w:rtl/>
        </w:rPr>
        <w:t>של מבקר המדינה מ</w:t>
      </w:r>
      <w:r w:rsidRPr="00B97E44">
        <w:rPr>
          <w:rFonts w:hint="cs"/>
          <w:b/>
          <w:bCs/>
          <w:rtl/>
        </w:rPr>
        <w:t>פברואר 2025,</w:t>
      </w:r>
      <w:r w:rsidRPr="00B97E44">
        <w:rPr>
          <w:b/>
          <w:bCs/>
          <w:rtl/>
        </w:rPr>
        <w:t xml:space="preserve"> </w:t>
      </w:r>
      <w:bookmarkStart w:id="25" w:name="_Hlk207631901"/>
      <w:r w:rsidRPr="00B97E44">
        <w:rPr>
          <w:b/>
          <w:bCs/>
          <w:rtl/>
        </w:rPr>
        <w:t xml:space="preserve">העיכוב באישור </w:t>
      </w:r>
      <w:r w:rsidRPr="00B97E44">
        <w:rPr>
          <w:rFonts w:hint="cs"/>
          <w:b/>
          <w:bCs/>
          <w:rtl/>
        </w:rPr>
        <w:t>להשתמש בתקציבים המיועדים לפיתוח עיכב את</w:t>
      </w:r>
      <w:r w:rsidRPr="00B97E44">
        <w:rPr>
          <w:b/>
          <w:bCs/>
          <w:rtl/>
        </w:rPr>
        <w:t xml:space="preserve"> תהליכי הפיתוח האזוריים. </w:t>
      </w:r>
      <w:r w:rsidRPr="00B97E44">
        <w:rPr>
          <w:rFonts w:hint="cs"/>
          <w:b/>
          <w:bCs/>
          <w:rtl/>
        </w:rPr>
        <w:t>ה</w:t>
      </w:r>
      <w:r w:rsidRPr="00B97E44">
        <w:rPr>
          <w:b/>
          <w:bCs/>
          <w:rtl/>
        </w:rPr>
        <w:t xml:space="preserve">עיכוב </w:t>
      </w:r>
      <w:r w:rsidRPr="00B97E44">
        <w:rPr>
          <w:rFonts w:hint="cs"/>
          <w:b/>
          <w:bCs/>
          <w:rtl/>
        </w:rPr>
        <w:t xml:space="preserve">המתמשך בהקצאת תקציבי הפיתוח ובקידומה של תוכנית חומש מעודכנת, שנמשך גם נכון לאוגוסט </w:t>
      </w:r>
      <w:r w:rsidRPr="00B97E44">
        <w:rPr>
          <w:b/>
          <w:bCs/>
          <w:rtl/>
        </w:rPr>
        <w:t>2025</w:t>
      </w:r>
      <w:r w:rsidRPr="00B97E44">
        <w:rPr>
          <w:rFonts w:hint="cs"/>
          <w:b/>
          <w:bCs/>
          <w:rtl/>
        </w:rPr>
        <w:t xml:space="preserve"> -</w:t>
      </w:r>
      <w:r w:rsidRPr="00B97E44">
        <w:rPr>
          <w:b/>
          <w:bCs/>
          <w:rtl/>
        </w:rPr>
        <w:t xml:space="preserve"> כ-1</w:t>
      </w:r>
      <w:r w:rsidRPr="00B97E44">
        <w:rPr>
          <w:rFonts w:hint="cs"/>
          <w:b/>
          <w:bCs/>
          <w:rtl/>
        </w:rPr>
        <w:t>6</w:t>
      </w:r>
      <w:r w:rsidRPr="00B97E44">
        <w:rPr>
          <w:b/>
          <w:bCs/>
          <w:rtl/>
        </w:rPr>
        <w:t xml:space="preserve"> חודשים לאחר המועד המקורי שבו </w:t>
      </w:r>
      <w:r w:rsidRPr="00B97E44">
        <w:rPr>
          <w:rFonts w:hint="cs"/>
          <w:b/>
          <w:bCs/>
          <w:rtl/>
        </w:rPr>
        <w:t>היה אמור להיות מאושר</w:t>
      </w:r>
      <w:r w:rsidRPr="00B97E44">
        <w:rPr>
          <w:b/>
          <w:bCs/>
          <w:rtl/>
        </w:rPr>
        <w:t xml:space="preserve"> </w:t>
      </w:r>
      <w:r w:rsidRPr="00B97E44">
        <w:rPr>
          <w:rFonts w:hint="cs"/>
          <w:b/>
          <w:bCs/>
          <w:rtl/>
        </w:rPr>
        <w:t xml:space="preserve">תקציבה של </w:t>
      </w:r>
      <w:r w:rsidRPr="00B97E44">
        <w:rPr>
          <w:b/>
          <w:bCs/>
          <w:rtl/>
        </w:rPr>
        <w:t xml:space="preserve">תוכנית </w:t>
      </w:r>
      <w:r w:rsidRPr="00B97E44">
        <w:rPr>
          <w:rFonts w:hint="cs"/>
          <w:b/>
          <w:bCs/>
          <w:rtl/>
        </w:rPr>
        <w:t xml:space="preserve">הפיתוח </w:t>
      </w:r>
      <w:r w:rsidRPr="00B97E44">
        <w:rPr>
          <w:b/>
          <w:bCs/>
          <w:rtl/>
        </w:rPr>
        <w:t>לחבל התקומה</w:t>
      </w:r>
      <w:r w:rsidRPr="00B97E44">
        <w:rPr>
          <w:rFonts w:hint="cs"/>
          <w:b/>
          <w:bCs/>
          <w:rtl/>
        </w:rPr>
        <w:t xml:space="preserve"> - פוגע בהמשך פעולות השיקום ובקידום מיזמי הפיתוח האזוריים, ובהם קידום תשתיות ושירותים איכותיים ויצירת מקורות תעסוקה חדשים החשובים לפיתוח ולצמיחה של החבל ולמשיכת תושבים חדשים. הפגיעה מתחדדת נוכח התקופה המוגבלת לפעילותה של מינהלת תקומה.</w:t>
      </w:r>
    </w:p>
    <w:p w:rsidR="005B126E" w:rsidP="001916A9">
      <w:pPr>
        <w:spacing w:line="269" w:lineRule="auto"/>
        <w:rPr>
          <w:rtl/>
        </w:rPr>
      </w:pPr>
    </w:p>
    <w:p w:rsidR="005B126E" w:rsidP="001916A9">
      <w:pPr>
        <w:spacing w:line="269" w:lineRule="auto"/>
        <w:rPr>
          <w:rtl/>
        </w:rPr>
      </w:pPr>
      <w:r w:rsidRPr="00B97E44">
        <w:rPr>
          <w:rFonts w:hint="cs"/>
          <w:rtl/>
        </w:rPr>
        <w:t>מינהלת תקומה מסרה בתשובתה כי כאמור באוקטובר 2025 פורסמה לציבור תוכנית החומש המעודכנת וכי עד מועד משלוח התשובה בנובמבר 2025, פורסמו קולות קוראים בהיקף של 2 מיליאר</w:t>
      </w:r>
      <w:r w:rsidRPr="00B97E44">
        <w:rPr>
          <w:rFonts w:hint="eastAsia"/>
          <w:rtl/>
        </w:rPr>
        <w:t>די</w:t>
      </w:r>
      <w:r w:rsidRPr="00B97E44">
        <w:rPr>
          <w:rFonts w:hint="cs"/>
          <w:rtl/>
        </w:rPr>
        <w:t xml:space="preserve"> ש"ח מתוך 2.15 מיליארד</w:t>
      </w:r>
      <w:r w:rsidRPr="00B97E44">
        <w:rPr>
          <w:rFonts w:hint="eastAsia"/>
          <w:rtl/>
        </w:rPr>
        <w:t>י</w:t>
      </w:r>
      <w:r w:rsidRPr="00B97E44">
        <w:rPr>
          <w:rFonts w:hint="cs"/>
          <w:rtl/>
        </w:rPr>
        <w:t xml:space="preserve"> ש"ח ובכלל זה שני קולות קוראים שפורסמו בספטמבר ובאוקטובר 2025 - לאחר מועד סיום הביקורת - בהיקף של כמעט 1 מיליארד ש"ח.</w:t>
      </w:r>
      <w:bookmarkEnd w:id="25"/>
    </w:p>
    <w:p w:rsidR="005B126E" w:rsidP="001916A9">
      <w:pPr>
        <w:spacing w:line="269" w:lineRule="auto"/>
        <w:rPr>
          <w:rtl/>
        </w:rPr>
      </w:pPr>
    </w:p>
    <w:p w:rsidR="005B126E" w:rsidRPr="00B97E44" w:rsidP="001916A9">
      <w:pPr>
        <w:spacing w:line="269" w:lineRule="auto"/>
        <w:rPr>
          <w:rtl/>
        </w:rPr>
      </w:pPr>
      <w:r w:rsidRPr="00B97E44">
        <w:rPr>
          <w:rFonts w:hint="cs"/>
          <w:rtl/>
        </w:rPr>
        <w:t xml:space="preserve">מינהלת תקומה מסרה בתשובה </w:t>
      </w:r>
      <w:r>
        <w:rPr>
          <w:rFonts w:hint="cs"/>
          <w:rtl/>
        </w:rPr>
        <w:t xml:space="preserve">נוספת מינואר 2026 כי הקיצוץ התקציבי חייב עבודת מטה מורכבת לעדכון התוכנית, ביצוע התאמות תקציביות </w:t>
      </w:r>
      <w:r>
        <w:rPr>
          <w:rFonts w:hint="cs"/>
          <w:rtl/>
        </w:rPr>
        <w:t>ותיעדוף</w:t>
      </w:r>
      <w:r>
        <w:rPr>
          <w:rFonts w:hint="cs"/>
          <w:rtl/>
        </w:rPr>
        <w:t xml:space="preserve"> משימות מחדש כדי למצות את המשאבים באופן </w:t>
      </w:r>
      <w:r w:rsidRPr="00DD13EA">
        <w:rPr>
          <w:rFonts w:hint="cs"/>
          <w:rtl/>
        </w:rPr>
        <w:t>המיטבי - תהליך שכלל שיתוף ציבור מעמיק ועבודה מול הרשויות המקומיות ומשרדי הממשלה.</w:t>
      </w:r>
      <w:r w:rsidRPr="00DD13EA">
        <w:rPr>
          <w:rtl/>
        </w:rPr>
        <w:t xml:space="preserve"> על כן לא ניתן היה, על פי </w:t>
      </w:r>
      <w:r w:rsidRPr="00DD13EA">
        <w:rPr>
          <w:rFonts w:hint="eastAsia"/>
          <w:rtl/>
        </w:rPr>
        <w:t>המינהלת</w:t>
      </w:r>
      <w:r w:rsidRPr="00DD13EA">
        <w:rPr>
          <w:rtl/>
        </w:rPr>
        <w:t>,</w:t>
      </w:r>
      <w:r>
        <w:rPr>
          <w:rFonts w:hint="cs"/>
        </w:rPr>
        <w:t xml:space="preserve"> </w:t>
      </w:r>
      <w:r w:rsidRPr="00DD13EA">
        <w:rPr>
          <w:rtl/>
        </w:rPr>
        <w:t>לפרסם את התוכנית בטרם גובשו הפרמטרים התקציביים והחוקיים הסופיים.</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המועצה האזורית </w:t>
      </w:r>
      <w:r w:rsidRPr="00B97E44">
        <w:rPr>
          <w:rFonts w:hint="eastAsia"/>
          <w:b/>
          <w:bCs/>
          <w:rtl/>
        </w:rPr>
        <w:t>אשכול</w:t>
      </w:r>
      <w:r w:rsidRPr="00B97E44">
        <w:rPr>
          <w:rFonts w:hint="cs"/>
          <w:rtl/>
        </w:rPr>
        <w:t xml:space="preserve"> מסרה בתשובתה למשרד מבקר המדינה מנובמבר 2025 כי אומנם תוכנית חומש מעודכנת אושרה באוקטובר 2025, אך היא צפויה לייצר "צוואר בקבוק" ועומס על המועצה בהגשת קולות קוראים רבים עד תום השנה.</w:t>
      </w:r>
    </w:p>
    <w:p w:rsidR="005B126E" w:rsidP="001916A9">
      <w:pPr>
        <w:spacing w:line="269" w:lineRule="auto"/>
        <w:rPr>
          <w:b/>
          <w:bCs/>
          <w:rtl/>
        </w:rPr>
      </w:pPr>
    </w:p>
    <w:p w:rsidR="005B126E" w:rsidRPr="00B97E44" w:rsidP="001916A9">
      <w:pPr>
        <w:spacing w:line="269" w:lineRule="auto"/>
        <w:rPr>
          <w:b/>
          <w:bCs/>
          <w:rtl/>
        </w:rPr>
      </w:pPr>
      <w:r w:rsidRPr="00B97E44">
        <w:rPr>
          <w:rFonts w:hint="eastAsia"/>
          <w:b/>
          <w:bCs/>
          <w:rtl/>
        </w:rPr>
        <w:t>מומלץ</w:t>
      </w:r>
      <w:r w:rsidRPr="00B97E44">
        <w:rPr>
          <w:b/>
          <w:bCs/>
          <w:rtl/>
        </w:rPr>
        <w:t xml:space="preserve"> כי </w:t>
      </w:r>
      <w:r w:rsidRPr="00B97E44">
        <w:rPr>
          <w:rFonts w:hint="eastAsia"/>
          <w:b/>
          <w:bCs/>
          <w:rtl/>
        </w:rPr>
        <w:t>מינהלת</w:t>
      </w:r>
      <w:r w:rsidRPr="00B97E44">
        <w:rPr>
          <w:b/>
          <w:bCs/>
          <w:rtl/>
        </w:rPr>
        <w:t xml:space="preserve"> תקומה תפעל בשיתוף המועצה האזורית אשכול במימוש </w:t>
      </w:r>
      <w:r w:rsidRPr="00B97E44">
        <w:rPr>
          <w:rFonts w:hint="cs"/>
          <w:b/>
          <w:bCs/>
          <w:rtl/>
        </w:rPr>
        <w:t>הקולות הקוראים</w:t>
      </w:r>
      <w:r w:rsidRPr="00B97E44">
        <w:rPr>
          <w:b/>
          <w:bCs/>
          <w:rtl/>
        </w:rPr>
        <w:t xml:space="preserve"> </w:t>
      </w:r>
      <w:r w:rsidRPr="00B97E44">
        <w:rPr>
          <w:rFonts w:hint="cs"/>
          <w:b/>
          <w:bCs/>
          <w:rtl/>
        </w:rPr>
        <w:t xml:space="preserve">שפורסמו לאחר פרסום התוכנית המעודכנת כדי </w:t>
      </w:r>
      <w:r w:rsidRPr="00B97E44">
        <w:rPr>
          <w:b/>
          <w:bCs/>
          <w:rtl/>
        </w:rPr>
        <w:t xml:space="preserve">לוודא את מיצוי התקציבים </w:t>
      </w:r>
      <w:r w:rsidRPr="00B97E44">
        <w:rPr>
          <w:rFonts w:hint="eastAsia"/>
          <w:b/>
          <w:bCs/>
          <w:rtl/>
        </w:rPr>
        <w:t>שנועדו</w:t>
      </w:r>
      <w:r w:rsidRPr="00B97E44">
        <w:rPr>
          <w:b/>
          <w:bCs/>
          <w:rtl/>
        </w:rPr>
        <w:t xml:space="preserve"> למועצה</w:t>
      </w:r>
      <w:r w:rsidRPr="00B97E44">
        <w:rPr>
          <w:rFonts w:hint="cs"/>
          <w:b/>
          <w:bCs/>
          <w:rtl/>
        </w:rPr>
        <w:t xml:space="preserve"> ולכלל הרשויות המקומיות בחבל.</w:t>
      </w:r>
    </w:p>
    <w:p w:rsidR="005B126E" w:rsidP="001916A9">
      <w:pPr>
        <w:spacing w:line="269" w:lineRule="auto"/>
        <w:rPr>
          <w:b/>
          <w:bCs/>
          <w:rtl/>
        </w:rPr>
      </w:pPr>
    </w:p>
    <w:p w:rsidR="005B126E" w:rsidRPr="00B97E44" w:rsidP="0018262A">
      <w:pPr>
        <w:pStyle w:val="Heading3"/>
        <w:rPr>
          <w:rtl/>
        </w:rPr>
      </w:pPr>
      <w:r w:rsidRPr="00B97E44">
        <w:rPr>
          <w:rFonts w:hint="cs"/>
          <w:rtl/>
        </w:rPr>
        <w:t>מרכיבי תוכנית החומש</w:t>
      </w:r>
    </w:p>
    <w:p w:rsidR="005B126E" w:rsidP="001916A9">
      <w:pPr>
        <w:tabs>
          <w:tab w:val="left" w:pos="8590"/>
        </w:tabs>
        <w:spacing w:line="269" w:lineRule="auto"/>
        <w:rPr>
          <w:rtl/>
        </w:rPr>
      </w:pPr>
      <w:bookmarkStart w:id="26" w:name="_Hlk201823057"/>
    </w:p>
    <w:p w:rsidR="005B126E" w:rsidRPr="00B97E44" w:rsidP="001916A9">
      <w:pPr>
        <w:tabs>
          <w:tab w:val="left" w:pos="8590"/>
        </w:tabs>
        <w:spacing w:line="269" w:lineRule="auto"/>
        <w:rPr>
          <w:rtl/>
        </w:rPr>
      </w:pPr>
      <w:r w:rsidRPr="00B97E44">
        <w:rPr>
          <w:rFonts w:hint="cs"/>
          <w:rtl/>
        </w:rPr>
        <w:t xml:space="preserve">משרד מבקר המדינה בדק היבטים שונים בתוכנית החומש החיוניים לשיקום החבל ותושביו ובכלל זה היבטים בתחום החינוך, הרווחה, הקהילה, השלטון המקומי והסביבה. בביקורת נבדקו יעילות ומועילות של התוכניות, יישומן ומימושן. </w:t>
      </w:r>
    </w:p>
    <w:p w:rsidR="005B126E" w:rsidRPr="00B97E44" w:rsidP="001916A9">
      <w:pPr>
        <w:tabs>
          <w:tab w:val="left" w:pos="8590"/>
        </w:tabs>
        <w:spacing w:line="269" w:lineRule="auto"/>
        <w:rPr>
          <w:rtl/>
        </w:rPr>
      </w:pPr>
    </w:p>
    <w:p w:rsidR="005B126E" w:rsidRPr="00B97E44" w:rsidP="003474AA">
      <w:pPr>
        <w:pStyle w:val="Heading4"/>
        <w:rPr>
          <w:rtl/>
        </w:rPr>
      </w:pPr>
      <w:r w:rsidRPr="00B97E44">
        <w:rPr>
          <w:rFonts w:hint="cs"/>
          <w:rtl/>
        </w:rPr>
        <w:t xml:space="preserve">תוכנית החומש </w:t>
      </w:r>
      <w:r w:rsidRPr="003474AA">
        <w:rPr>
          <w:rFonts w:hint="cs"/>
          <w:rtl/>
        </w:rPr>
        <w:t>בתחום</w:t>
      </w:r>
      <w:r w:rsidRPr="00B97E44">
        <w:rPr>
          <w:rFonts w:hint="cs"/>
          <w:rtl/>
        </w:rPr>
        <w:t xml:space="preserve"> החינוך</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מתקפת </w:t>
      </w:r>
      <w:r w:rsidRPr="00B97E44">
        <w:rPr>
          <w:rtl/>
        </w:rPr>
        <w:t xml:space="preserve">שבעה באוקטובר </w:t>
      </w:r>
      <w:r w:rsidRPr="00B97E44">
        <w:rPr>
          <w:rFonts w:hint="cs"/>
          <w:rtl/>
        </w:rPr>
        <w:t>טלטלה את</w:t>
      </w:r>
      <w:r w:rsidRPr="00B97E44">
        <w:rPr>
          <w:rtl/>
        </w:rPr>
        <w:t xml:space="preserve"> כל ילדי ישראל, ובפרט </w:t>
      </w:r>
      <w:r w:rsidRPr="00B97E44">
        <w:rPr>
          <w:rFonts w:hint="cs"/>
          <w:rtl/>
        </w:rPr>
        <w:t>את</w:t>
      </w:r>
      <w:r w:rsidRPr="00B97E44">
        <w:rPr>
          <w:rtl/>
        </w:rPr>
        <w:t xml:space="preserve"> </w:t>
      </w:r>
      <w:r w:rsidRPr="00B97E44">
        <w:rPr>
          <w:rFonts w:hint="cs"/>
          <w:rtl/>
        </w:rPr>
        <w:t>כ-20,000 ה</w:t>
      </w:r>
      <w:r w:rsidRPr="00B97E44">
        <w:rPr>
          <w:rtl/>
        </w:rPr>
        <w:t>ילדי</w:t>
      </w:r>
      <w:r w:rsidRPr="00B97E44">
        <w:rPr>
          <w:rFonts w:hint="cs"/>
          <w:rtl/>
        </w:rPr>
        <w:t>ם</w:t>
      </w:r>
      <w:r w:rsidRPr="00B97E44">
        <w:rPr>
          <w:rtl/>
        </w:rPr>
        <w:t xml:space="preserve"> </w:t>
      </w:r>
      <w:r w:rsidRPr="00B97E44">
        <w:rPr>
          <w:rFonts w:hint="cs"/>
          <w:rtl/>
        </w:rPr>
        <w:t>והנערים שב</w:t>
      </w:r>
      <w:r w:rsidRPr="00B97E44">
        <w:rPr>
          <w:rtl/>
        </w:rPr>
        <w:t xml:space="preserve">חבל </w:t>
      </w:r>
      <w:r w:rsidRPr="00B97E44">
        <w:rPr>
          <w:rFonts w:hint="cs"/>
          <w:rtl/>
        </w:rPr>
        <w:t>ה</w:t>
      </w:r>
      <w:r w:rsidRPr="00B97E44">
        <w:rPr>
          <w:rtl/>
        </w:rPr>
        <w:t>תקומה. ילדים אלו חוו אירוע</w:t>
      </w:r>
      <w:r w:rsidRPr="00B97E44">
        <w:rPr>
          <w:rFonts w:hint="cs"/>
          <w:rtl/>
        </w:rPr>
        <w:t>ים</w:t>
      </w:r>
      <w:r w:rsidRPr="00B97E44">
        <w:rPr>
          <w:rtl/>
        </w:rPr>
        <w:t xml:space="preserve"> טראומטי</w:t>
      </w:r>
      <w:r w:rsidRPr="00B97E44">
        <w:rPr>
          <w:rFonts w:hint="cs"/>
          <w:rtl/>
        </w:rPr>
        <w:t>ים</w:t>
      </w:r>
      <w:r w:rsidRPr="00B97E44">
        <w:rPr>
          <w:rtl/>
        </w:rPr>
        <w:t xml:space="preserve"> במיוחד</w:t>
      </w:r>
      <w:r w:rsidRPr="00B97E44">
        <w:rPr>
          <w:rFonts w:hint="cs"/>
          <w:rtl/>
        </w:rPr>
        <w:t>, בהם גם ילדים ונערים שנחטפו, נפצעו או התייתמו, יש מהם שהיו עדים למעשי טבח, יש שבני משפחותיהם או חבריהם נחטפו, נרצחו או נפצעו ויש ש</w:t>
      </w:r>
      <w:r w:rsidRPr="00B97E44">
        <w:rPr>
          <w:rtl/>
        </w:rPr>
        <w:t>היו סגורים בממ</w:t>
      </w:r>
      <w:r w:rsidRPr="00B97E44">
        <w:rPr>
          <w:rFonts w:hint="cs"/>
          <w:rtl/>
        </w:rPr>
        <w:t>"</w:t>
      </w:r>
      <w:r w:rsidRPr="00B97E44">
        <w:rPr>
          <w:rtl/>
        </w:rPr>
        <w:t>ד שעות רבות</w:t>
      </w:r>
      <w:r w:rsidRPr="00B97E44">
        <w:rPr>
          <w:rFonts w:hint="cs"/>
          <w:rtl/>
        </w:rPr>
        <w:t xml:space="preserve"> כשמחבלים בבתיהם</w:t>
      </w:r>
      <w:r w:rsidRPr="00B97E44">
        <w:rPr>
          <w:rtl/>
        </w:rPr>
        <w:t xml:space="preserve">, ללא אפשרות לברוח או לפנות למקום בטוח. </w:t>
      </w:r>
      <w:bookmarkStart w:id="27" w:name="_Hlk216694524"/>
      <w:r w:rsidRPr="00B97E44">
        <w:rPr>
          <w:rFonts w:hint="cs"/>
          <w:rtl/>
        </w:rPr>
        <w:t>כשהמצב הביטחוני</w:t>
      </w:r>
      <w:r w:rsidRPr="00B97E44">
        <w:rPr>
          <w:rtl/>
        </w:rPr>
        <w:t xml:space="preserve"> </w:t>
      </w:r>
      <w:r w:rsidRPr="00B97E44">
        <w:rPr>
          <w:rFonts w:hint="cs"/>
          <w:rtl/>
        </w:rPr>
        <w:t>א</w:t>
      </w:r>
      <w:r w:rsidRPr="00B97E44">
        <w:rPr>
          <w:rFonts w:ascii="David" w:hAnsi="David" w:hint="cs"/>
          <w:rtl/>
        </w:rPr>
        <w:t>י</w:t>
      </w:r>
      <w:r w:rsidRPr="00B97E44">
        <w:rPr>
          <w:rFonts w:hint="cs"/>
          <w:rtl/>
        </w:rPr>
        <w:t>פשר</w:t>
      </w:r>
      <w:r w:rsidRPr="00B97E44">
        <w:rPr>
          <w:rFonts w:hint="cs"/>
          <w:rtl/>
        </w:rPr>
        <w:t xml:space="preserve">, </w:t>
      </w:r>
      <w:r w:rsidRPr="00B97E44">
        <w:rPr>
          <w:rtl/>
        </w:rPr>
        <w:t xml:space="preserve">פונו </w:t>
      </w:r>
      <w:r w:rsidRPr="00B97E44">
        <w:rPr>
          <w:rFonts w:hint="cs"/>
          <w:rtl/>
        </w:rPr>
        <w:t>תושבי החבל, ובכללם ה</w:t>
      </w:r>
      <w:r w:rsidRPr="00B97E44">
        <w:rPr>
          <w:rtl/>
        </w:rPr>
        <w:t>ילדי</w:t>
      </w:r>
      <w:r w:rsidRPr="00B97E44">
        <w:rPr>
          <w:rFonts w:hint="cs"/>
          <w:rtl/>
        </w:rPr>
        <w:t>ם</w:t>
      </w:r>
      <w:r w:rsidRPr="00B97E44">
        <w:rPr>
          <w:rtl/>
        </w:rPr>
        <w:t xml:space="preserve"> </w:t>
      </w:r>
      <w:r w:rsidRPr="00B97E44">
        <w:rPr>
          <w:rFonts w:hint="cs"/>
          <w:rtl/>
        </w:rPr>
        <w:t xml:space="preserve">והנערים, </w:t>
      </w:r>
      <w:r w:rsidRPr="00B97E44">
        <w:rPr>
          <w:rtl/>
        </w:rPr>
        <w:t xml:space="preserve">מבתיהם והועברו לשהות בבתי מלון, </w:t>
      </w:r>
      <w:r w:rsidRPr="00B97E44">
        <w:rPr>
          <w:rFonts w:hint="cs"/>
          <w:rtl/>
        </w:rPr>
        <w:t xml:space="preserve">מה שהגביר את </w:t>
      </w:r>
      <w:r w:rsidRPr="00B97E44">
        <w:rPr>
          <w:rtl/>
        </w:rPr>
        <w:t xml:space="preserve">חוסר </w:t>
      </w:r>
      <w:r w:rsidRPr="00B97E44">
        <w:rPr>
          <w:rFonts w:hint="cs"/>
          <w:rtl/>
        </w:rPr>
        <w:t>הו</w:t>
      </w:r>
      <w:r w:rsidRPr="00B97E44">
        <w:rPr>
          <w:rtl/>
        </w:rPr>
        <w:t>ודאות ו</w:t>
      </w:r>
      <w:r w:rsidRPr="00B97E44">
        <w:rPr>
          <w:rFonts w:hint="cs"/>
          <w:rtl/>
        </w:rPr>
        <w:t xml:space="preserve">את </w:t>
      </w:r>
      <w:r w:rsidRPr="00B97E44">
        <w:rPr>
          <w:rtl/>
        </w:rPr>
        <w:t>תחושת אי</w:t>
      </w:r>
      <w:r w:rsidRPr="00B97E44">
        <w:rPr>
          <w:rFonts w:hint="cs"/>
          <w:rtl/>
        </w:rPr>
        <w:t>-ה</w:t>
      </w:r>
      <w:r w:rsidRPr="00B97E44">
        <w:rPr>
          <w:rtl/>
        </w:rPr>
        <w:t>יציבות</w:t>
      </w:r>
      <w:bookmarkEnd w:id="27"/>
      <w:r w:rsidRPr="00B97E44">
        <w:rPr>
          <w:rFonts w:hint="cs"/>
          <w:rtl/>
        </w:rPr>
        <w:t xml:space="preserve">. </w:t>
      </w:r>
    </w:p>
    <w:p w:rsidR="005B126E" w:rsidP="001916A9">
      <w:pPr>
        <w:spacing w:line="269" w:lineRule="auto"/>
        <w:rPr>
          <w:rtl/>
        </w:rPr>
      </w:pPr>
    </w:p>
    <w:p w:rsidR="005B126E" w:rsidRPr="00B97E44" w:rsidP="001916A9">
      <w:pPr>
        <w:spacing w:line="269" w:lineRule="auto"/>
        <w:rPr>
          <w:rtl/>
        </w:rPr>
      </w:pPr>
      <w:r w:rsidRPr="00B97E44">
        <w:rPr>
          <w:rFonts w:hint="cs"/>
          <w:rtl/>
        </w:rPr>
        <w:t>ילדים ובני נוער הם אוכלוסייה פגיעה במיוחד להשפעות המלחמה</w:t>
      </w:r>
      <w:r>
        <w:rPr>
          <w:vertAlign w:val="superscript"/>
          <w:rtl/>
        </w:rPr>
        <w:footnoteReference w:id="31"/>
      </w:r>
      <w:r w:rsidRPr="00B97E44">
        <w:rPr>
          <w:rFonts w:hint="cs"/>
          <w:rtl/>
        </w:rPr>
        <w:t>, ו</w:t>
      </w:r>
      <w:r w:rsidRPr="00B97E44">
        <w:rPr>
          <w:rtl/>
        </w:rPr>
        <w:t xml:space="preserve">מצב המלחמה המתמשך </w:t>
      </w:r>
      <w:r w:rsidRPr="00B97E44">
        <w:rPr>
          <w:rFonts w:hint="cs"/>
          <w:rtl/>
        </w:rPr>
        <w:t>ה</w:t>
      </w:r>
      <w:r w:rsidRPr="00B97E44">
        <w:rPr>
          <w:rtl/>
        </w:rPr>
        <w:t>שפיע מאוד על כל תחומי החיים של הילדים ובני הנוע</w:t>
      </w:r>
      <w:r w:rsidRPr="00B97E44">
        <w:rPr>
          <w:rFonts w:hint="cs"/>
          <w:rtl/>
        </w:rPr>
        <w:t>ר,</w:t>
      </w:r>
      <w:r w:rsidRPr="00B97E44">
        <w:rPr>
          <w:rtl/>
        </w:rPr>
        <w:t xml:space="preserve"> שינה והעצים את </w:t>
      </w:r>
      <w:r w:rsidRPr="00B97E44">
        <w:rPr>
          <w:rFonts w:hint="cs"/>
          <w:rtl/>
        </w:rPr>
        <w:t xml:space="preserve">צורכיהם </w:t>
      </w:r>
      <w:r w:rsidRPr="00B97E44">
        <w:rPr>
          <w:rtl/>
        </w:rPr>
        <w:t xml:space="preserve">והגביר את </w:t>
      </w:r>
      <w:r>
        <w:rPr>
          <w:rFonts w:hint="cs"/>
          <w:rtl/>
        </w:rPr>
        <w:t>המחויבות</w:t>
      </w:r>
      <w:r w:rsidRPr="00B97E44">
        <w:rPr>
          <w:rtl/>
        </w:rPr>
        <w:t xml:space="preserve"> להבטחת שלומם הפיזי והרגשי</w:t>
      </w:r>
      <w:r>
        <w:rPr>
          <w:vertAlign w:val="superscript"/>
          <w:rtl/>
        </w:rPr>
        <w:footnoteReference w:id="32"/>
      </w:r>
      <w:r w:rsidRPr="00B97E44">
        <w:rPr>
          <w:rFonts w:hint="cs"/>
          <w:rtl/>
        </w:rPr>
        <w:t>, בייחוד על רקע העובדה כי הילדים ובני הנוער בחבל התקומה מתמודדים שנים</w:t>
      </w:r>
      <w:r w:rsidRPr="00B97E44">
        <w:rPr>
          <w:rtl/>
        </w:rPr>
        <w:t xml:space="preserve"> עם חשיפה חוזרת ונשנית לאיום קיומי </w:t>
      </w:r>
      <w:r w:rsidRPr="00B97E44">
        <w:rPr>
          <w:rFonts w:hint="cs"/>
          <w:rtl/>
        </w:rPr>
        <w:t>של שיגורי רקטות</w:t>
      </w:r>
      <w:r w:rsidRPr="00B97E44">
        <w:rPr>
          <w:rtl/>
        </w:rPr>
        <w:t xml:space="preserve"> מ</w:t>
      </w:r>
      <w:r w:rsidRPr="00B97E44">
        <w:rPr>
          <w:rFonts w:hint="cs"/>
          <w:rtl/>
        </w:rPr>
        <w:t xml:space="preserve">רצועת </w:t>
      </w:r>
      <w:r w:rsidRPr="00B97E44">
        <w:rPr>
          <w:rtl/>
        </w:rPr>
        <w:t>עזה</w:t>
      </w:r>
      <w:r>
        <w:rPr>
          <w:vertAlign w:val="superscript"/>
          <w:rtl/>
        </w:rPr>
        <w:footnoteReference w:id="33"/>
      </w:r>
      <w:r w:rsidRPr="00B97E44">
        <w:t>.</w:t>
      </w:r>
    </w:p>
    <w:p w:rsidR="005B126E" w:rsidP="001916A9">
      <w:pPr>
        <w:spacing w:line="269" w:lineRule="auto"/>
        <w:rPr>
          <w:rtl/>
        </w:rPr>
      </w:pPr>
    </w:p>
    <w:p w:rsidR="005B126E" w:rsidRPr="00B97E44" w:rsidP="001916A9">
      <w:pPr>
        <w:spacing w:line="269" w:lineRule="auto"/>
        <w:rPr>
          <w:rtl/>
        </w:rPr>
      </w:pPr>
      <w:r w:rsidRPr="00B97E44">
        <w:rPr>
          <w:rtl/>
        </w:rPr>
        <w:t xml:space="preserve">מערכת החינוך </w:t>
      </w:r>
      <w:r w:rsidRPr="00B97E44">
        <w:rPr>
          <w:rFonts w:hint="cs"/>
          <w:rtl/>
        </w:rPr>
        <w:t xml:space="preserve">היא </w:t>
      </w:r>
      <w:r w:rsidRPr="00B97E44">
        <w:rPr>
          <w:rtl/>
        </w:rPr>
        <w:t xml:space="preserve">המסגרת המרכזית </w:t>
      </w:r>
      <w:r w:rsidRPr="00B97E44">
        <w:rPr>
          <w:rFonts w:hint="cs"/>
          <w:rtl/>
        </w:rPr>
        <w:t>ש</w:t>
      </w:r>
      <w:r w:rsidRPr="00B97E44">
        <w:rPr>
          <w:rtl/>
        </w:rPr>
        <w:t>בה מצויים ילדי חבל התקומה בשעות הבוקר, הצ</w:t>
      </w:r>
      <w:r w:rsidRPr="00B97E44">
        <w:rPr>
          <w:rFonts w:hint="cs"/>
          <w:rtl/>
        </w:rPr>
        <w:t>ו</w:t>
      </w:r>
      <w:r w:rsidRPr="00B97E44">
        <w:rPr>
          <w:rtl/>
        </w:rPr>
        <w:t>הריים ולע</w:t>
      </w:r>
      <w:r w:rsidRPr="00B97E44">
        <w:rPr>
          <w:rFonts w:hint="cs"/>
          <w:rtl/>
        </w:rPr>
        <w:t>י</w:t>
      </w:r>
      <w:r w:rsidRPr="00B97E44">
        <w:rPr>
          <w:rtl/>
        </w:rPr>
        <w:t>תים אף אחר הצ</w:t>
      </w:r>
      <w:r w:rsidRPr="00B97E44">
        <w:rPr>
          <w:rFonts w:hint="cs"/>
          <w:rtl/>
        </w:rPr>
        <w:t>ו</w:t>
      </w:r>
      <w:r w:rsidRPr="00B97E44">
        <w:rPr>
          <w:rtl/>
        </w:rPr>
        <w:t>הריים, כך ש</w:t>
      </w:r>
      <w:r w:rsidRPr="00B97E44">
        <w:rPr>
          <w:rFonts w:hint="cs"/>
          <w:rtl/>
        </w:rPr>
        <w:t xml:space="preserve">מערכת זו ממלאת </w:t>
      </w:r>
      <w:r w:rsidRPr="00B97E44">
        <w:rPr>
          <w:rtl/>
        </w:rPr>
        <w:t>נפח</w:t>
      </w:r>
      <w:r w:rsidRPr="00B97E44">
        <w:rPr>
          <w:rFonts w:hint="cs"/>
          <w:rtl/>
        </w:rPr>
        <w:t xml:space="preserve"> גדול </w:t>
      </w:r>
      <w:r w:rsidRPr="00B97E44">
        <w:rPr>
          <w:rtl/>
        </w:rPr>
        <w:t>משגרת יומם של הילדים</w:t>
      </w:r>
      <w:r w:rsidRPr="00B97E44">
        <w:rPr>
          <w:rFonts w:hint="cs"/>
          <w:rtl/>
        </w:rPr>
        <w:t>.</w:t>
      </w:r>
      <w:r w:rsidRPr="00B97E44">
        <w:rPr>
          <w:rtl/>
        </w:rPr>
        <w:t xml:space="preserve"> </w:t>
      </w:r>
      <w:r w:rsidRPr="00B97E44">
        <w:rPr>
          <w:rFonts w:hint="cs"/>
          <w:rtl/>
        </w:rPr>
        <w:t xml:space="preserve">זמן שהותם בה הוא </w:t>
      </w:r>
      <w:r w:rsidRPr="00B97E44">
        <w:rPr>
          <w:rtl/>
        </w:rPr>
        <w:t xml:space="preserve">הזדמנות קריטית להטמיע תהליכי שיקום ותמיכה נפשית. </w:t>
      </w:r>
      <w:r w:rsidRPr="00B97E44">
        <w:rPr>
          <w:rFonts w:hint="cs"/>
          <w:rtl/>
        </w:rPr>
        <w:t xml:space="preserve">זהו אף </w:t>
      </w:r>
      <w:r w:rsidRPr="00B97E44">
        <w:rPr>
          <w:rtl/>
        </w:rPr>
        <w:t xml:space="preserve">המקום הנגיש ביותר לתמוך בתהליכים אלו ולהעניק </w:t>
      </w:r>
      <w:r w:rsidRPr="00B97E44">
        <w:rPr>
          <w:rFonts w:hint="cs"/>
          <w:rtl/>
        </w:rPr>
        <w:t xml:space="preserve">להם </w:t>
      </w:r>
      <w:r w:rsidRPr="00B97E44">
        <w:rPr>
          <w:rtl/>
        </w:rPr>
        <w:t xml:space="preserve">את הכלים הנדרשים להתמודד עם הטראומה </w:t>
      </w:r>
      <w:r w:rsidRPr="00B97E44">
        <w:rPr>
          <w:rFonts w:hint="cs"/>
          <w:rtl/>
        </w:rPr>
        <w:t>שחוו</w:t>
      </w:r>
      <w:r w:rsidRPr="00B97E44">
        <w:rPr>
          <w:rtl/>
        </w:rPr>
        <w:t>. על כן מערכת</w:t>
      </w:r>
      <w:r w:rsidRPr="00B97E44">
        <w:rPr>
          <w:rFonts w:hint="cs"/>
          <w:rtl/>
        </w:rPr>
        <w:t xml:space="preserve"> החינוך אינה רק </w:t>
      </w:r>
      <w:r w:rsidRPr="00B97E44">
        <w:rPr>
          <w:rtl/>
        </w:rPr>
        <w:t xml:space="preserve">מקום לימודים, אלא </w:t>
      </w:r>
      <w:r w:rsidRPr="00B97E44">
        <w:rPr>
          <w:rFonts w:hint="cs"/>
          <w:rtl/>
        </w:rPr>
        <w:t xml:space="preserve">יש בה משום </w:t>
      </w:r>
      <w:r w:rsidRPr="00B97E44">
        <w:rPr>
          <w:rtl/>
        </w:rPr>
        <w:t xml:space="preserve">פוטנציאל לשיקום אישי וקבוצתי שיכול </w:t>
      </w:r>
      <w:r w:rsidRPr="00B97E44">
        <w:rPr>
          <w:rFonts w:hint="cs"/>
          <w:rtl/>
        </w:rPr>
        <w:t>לסייע</w:t>
      </w:r>
      <w:r w:rsidRPr="00B97E44">
        <w:rPr>
          <w:rtl/>
        </w:rPr>
        <w:t xml:space="preserve"> באופן</w:t>
      </w:r>
      <w:r w:rsidRPr="00B97E44">
        <w:rPr>
          <w:rFonts w:hint="cs"/>
          <w:rtl/>
        </w:rPr>
        <w:t xml:space="preserve"> ניכר</w:t>
      </w:r>
      <w:r w:rsidRPr="00B97E44">
        <w:rPr>
          <w:rtl/>
        </w:rPr>
        <w:t xml:space="preserve"> </w:t>
      </w:r>
      <w:r w:rsidRPr="00B97E44">
        <w:rPr>
          <w:rFonts w:hint="cs"/>
          <w:rtl/>
        </w:rPr>
        <w:t>בהחלמתם</w:t>
      </w:r>
      <w:r w:rsidRPr="00B97E44">
        <w:rPr>
          <w:rtl/>
        </w:rPr>
        <w:t xml:space="preserve"> הנפשית והרגשית של הילדים </w:t>
      </w:r>
      <w:r w:rsidRPr="00B97E44">
        <w:rPr>
          <w:rFonts w:hint="cs"/>
          <w:rtl/>
        </w:rPr>
        <w:t>ב</w:t>
      </w:r>
      <w:r w:rsidRPr="00B97E44">
        <w:rPr>
          <w:rtl/>
        </w:rPr>
        <w:t xml:space="preserve">טווח </w:t>
      </w:r>
      <w:r w:rsidRPr="00B97E44">
        <w:rPr>
          <w:rtl/>
        </w:rPr>
        <w:t>ה</w:t>
      </w:r>
      <w:r w:rsidRPr="00B97E44">
        <w:rPr>
          <w:rFonts w:hint="cs"/>
          <w:rtl/>
        </w:rPr>
        <w:t>מיידי</w:t>
      </w:r>
      <w:r w:rsidRPr="00B97E44">
        <w:rPr>
          <w:rtl/>
        </w:rPr>
        <w:t xml:space="preserve"> והארוך</w:t>
      </w:r>
      <w:r>
        <w:rPr>
          <w:vertAlign w:val="superscript"/>
          <w:rtl/>
        </w:rPr>
        <w:footnoteReference w:id="34"/>
      </w:r>
      <w:r w:rsidRPr="00B97E44">
        <w:rPr>
          <w:rFonts w:hint="cs"/>
          <w:rtl/>
        </w:rPr>
        <w:t>.</w:t>
      </w:r>
    </w:p>
    <w:p w:rsidR="005B126E" w:rsidP="001916A9">
      <w:pPr>
        <w:spacing w:line="269" w:lineRule="auto"/>
        <w:rPr>
          <w:rtl/>
        </w:rPr>
      </w:pPr>
    </w:p>
    <w:p w:rsidR="005B126E" w:rsidRPr="00B97E44" w:rsidP="001916A9">
      <w:pPr>
        <w:spacing w:line="269" w:lineRule="auto"/>
        <w:rPr>
          <w:rtl/>
        </w:rPr>
      </w:pPr>
      <w:r w:rsidRPr="00B97E44">
        <w:rPr>
          <w:rFonts w:hint="cs"/>
          <w:rtl/>
        </w:rPr>
        <w:t>על פי משרד החינוך,</w:t>
      </w:r>
      <w:r w:rsidRPr="00B97E44">
        <w:rPr>
          <w:rtl/>
        </w:rPr>
        <w:t xml:space="preserve"> מערכת החינוך נדרשה להתמודד עם אתגרים יוצאי דופן</w:t>
      </w:r>
      <w:r w:rsidRPr="00B97E44">
        <w:rPr>
          <w:rFonts w:hint="cs"/>
          <w:rtl/>
        </w:rPr>
        <w:t xml:space="preserve"> הנוגעים לילדי החבל</w:t>
      </w:r>
      <w:r w:rsidRPr="00B97E44">
        <w:rPr>
          <w:rtl/>
        </w:rPr>
        <w:t>, הן בתחום ה</w:t>
      </w:r>
      <w:r w:rsidRPr="00B97E44">
        <w:rPr>
          <w:rFonts w:hint="cs"/>
          <w:rtl/>
        </w:rPr>
        <w:t>פדגוגי</w:t>
      </w:r>
      <w:r w:rsidRPr="00B97E44">
        <w:rPr>
          <w:rtl/>
        </w:rPr>
        <w:t xml:space="preserve"> והן בתחו</w:t>
      </w:r>
      <w:r w:rsidRPr="00B97E44">
        <w:rPr>
          <w:rFonts w:hint="cs"/>
          <w:rtl/>
        </w:rPr>
        <w:t>מי</w:t>
      </w:r>
      <w:r w:rsidRPr="00B97E44">
        <w:rPr>
          <w:rtl/>
        </w:rPr>
        <w:t xml:space="preserve"> הרווחה והטיפול הנפשי. </w:t>
      </w:r>
      <w:r w:rsidRPr="00B97E44">
        <w:rPr>
          <w:rFonts w:hint="cs"/>
          <w:rtl/>
        </w:rPr>
        <w:t>מספר</w:t>
      </w:r>
      <w:r w:rsidRPr="00B97E44">
        <w:rPr>
          <w:rtl/>
        </w:rPr>
        <w:t xml:space="preserve"> התלמידים המפונים מבתיהם, שהועברו בין מוסדות לימוד ברחבי הארץ, יצר אתגרים </w:t>
      </w:r>
      <w:r w:rsidRPr="00B97E44">
        <w:rPr>
          <w:rFonts w:hint="cs"/>
          <w:rtl/>
        </w:rPr>
        <w:t>בסיפוק הצורך ה</w:t>
      </w:r>
      <w:r w:rsidRPr="00B97E44">
        <w:rPr>
          <w:rtl/>
        </w:rPr>
        <w:t>חינוכי</w:t>
      </w:r>
      <w:r w:rsidRPr="00B97E44">
        <w:rPr>
          <w:rFonts w:hint="cs"/>
          <w:rtl/>
        </w:rPr>
        <w:t xml:space="preserve">. הפתרון </w:t>
      </w:r>
      <w:r w:rsidRPr="00B97E44">
        <w:rPr>
          <w:rtl/>
        </w:rPr>
        <w:t>המ</w:t>
      </w:r>
      <w:r w:rsidRPr="00B97E44">
        <w:rPr>
          <w:rFonts w:hint="cs"/>
          <w:rtl/>
        </w:rPr>
        <w:t>יי</w:t>
      </w:r>
      <w:r w:rsidRPr="00B97E44">
        <w:rPr>
          <w:rtl/>
        </w:rPr>
        <w:t>די</w:t>
      </w:r>
      <w:r w:rsidRPr="00B97E44">
        <w:rPr>
          <w:rtl/>
        </w:rPr>
        <w:t xml:space="preserve"> </w:t>
      </w:r>
      <w:r w:rsidRPr="00B97E44">
        <w:rPr>
          <w:rtl/>
        </w:rPr>
        <w:t>מצ</w:t>
      </w:r>
      <w:r w:rsidRPr="00B97E44">
        <w:rPr>
          <w:rFonts w:hint="cs"/>
          <w:rtl/>
        </w:rPr>
        <w:t>י</w:t>
      </w:r>
      <w:r w:rsidRPr="00B97E44">
        <w:rPr>
          <w:rtl/>
        </w:rPr>
        <w:t>דו</w:t>
      </w:r>
      <w:r w:rsidRPr="00B97E44">
        <w:rPr>
          <w:rtl/>
        </w:rPr>
        <w:t xml:space="preserve"> של משרד החינוך כלל שיבוץ תלמידים למוסדות חדשים, תוך </w:t>
      </w:r>
      <w:r w:rsidRPr="00B97E44">
        <w:rPr>
          <w:rFonts w:hint="cs"/>
          <w:rtl/>
        </w:rPr>
        <w:t xml:space="preserve">השקעת </w:t>
      </w:r>
      <w:r w:rsidRPr="00B97E44">
        <w:rPr>
          <w:rtl/>
        </w:rPr>
        <w:t>משאבים ייעודיים בת</w:t>
      </w:r>
      <w:r w:rsidRPr="00B97E44">
        <w:rPr>
          <w:rFonts w:hint="cs"/>
          <w:rtl/>
        </w:rPr>
        <w:t>ו</w:t>
      </w:r>
      <w:r w:rsidRPr="00B97E44">
        <w:rPr>
          <w:rtl/>
        </w:rPr>
        <w:t>כניות לימודיות ורגשיות שנועדו לצמצם את הפערים הפדגוגיים שנוצרו ולהקל על התלמידים בתהליך השיקום. עם זאת הנתונים</w:t>
      </w:r>
      <w:r w:rsidRPr="00B97E44">
        <w:rPr>
          <w:rFonts w:hint="cs"/>
          <w:rtl/>
        </w:rPr>
        <w:t xml:space="preserve"> המצויים בידי משרד החינוך</w:t>
      </w:r>
      <w:r w:rsidRPr="00B97E44">
        <w:rPr>
          <w:rtl/>
        </w:rPr>
        <w:t xml:space="preserve"> </w:t>
      </w:r>
      <w:r w:rsidRPr="00B97E44">
        <w:rPr>
          <w:rFonts w:hint="cs"/>
          <w:rtl/>
        </w:rPr>
        <w:t xml:space="preserve">מלמדים כי </w:t>
      </w:r>
      <w:r w:rsidRPr="00B97E44">
        <w:rPr>
          <w:rtl/>
        </w:rPr>
        <w:t>הפערים הללו לא היו רק בתחום הלמידה, אלא גם בהיבטים החברתיים והרגשיים, שבהם נדרש טיפול ממוקד</w:t>
      </w:r>
      <w:r w:rsidRPr="00B97E44">
        <w:rPr>
          <w:rFonts w:hint="cs"/>
          <w:rtl/>
        </w:rPr>
        <w:t>.</w:t>
      </w:r>
    </w:p>
    <w:p w:rsidR="005B126E" w:rsidP="001916A9">
      <w:pPr>
        <w:spacing w:line="269" w:lineRule="auto"/>
        <w:rPr>
          <w:rtl/>
        </w:rPr>
      </w:pPr>
    </w:p>
    <w:p w:rsidR="005B126E" w:rsidRPr="00B97E44" w:rsidP="001916A9">
      <w:pPr>
        <w:spacing w:line="269" w:lineRule="auto"/>
        <w:rPr>
          <w:rtl/>
        </w:rPr>
      </w:pPr>
      <w:r w:rsidRPr="00B97E44">
        <w:rPr>
          <w:rFonts w:hint="cs"/>
          <w:rtl/>
        </w:rPr>
        <w:t>בתוכנית החומש זכה</w:t>
      </w:r>
      <w:r w:rsidRPr="00B97E44">
        <w:rPr>
          <w:rtl/>
        </w:rPr>
        <w:t xml:space="preserve"> </w:t>
      </w:r>
      <w:r w:rsidRPr="00B97E44">
        <w:rPr>
          <w:rFonts w:hint="cs"/>
          <w:rtl/>
        </w:rPr>
        <w:t>תחום</w:t>
      </w:r>
      <w:r w:rsidRPr="00B97E44">
        <w:rPr>
          <w:rtl/>
        </w:rPr>
        <w:t xml:space="preserve"> </w:t>
      </w:r>
      <w:r w:rsidRPr="00B97E44">
        <w:rPr>
          <w:rFonts w:hint="cs"/>
          <w:rtl/>
        </w:rPr>
        <w:t>ה</w:t>
      </w:r>
      <w:r w:rsidRPr="00B97E44">
        <w:rPr>
          <w:rtl/>
        </w:rPr>
        <w:t xml:space="preserve">חינוך </w:t>
      </w:r>
      <w:r w:rsidRPr="00B97E44">
        <w:rPr>
          <w:rFonts w:hint="cs"/>
          <w:rtl/>
        </w:rPr>
        <w:t>ל</w:t>
      </w:r>
      <w:r w:rsidRPr="00B97E44">
        <w:rPr>
          <w:rtl/>
        </w:rPr>
        <w:t xml:space="preserve">תקציב הגבוה ביותר, </w:t>
      </w:r>
      <w:r w:rsidRPr="00B97E44">
        <w:rPr>
          <w:rFonts w:hint="cs"/>
          <w:rtl/>
        </w:rPr>
        <w:t>ב</w:t>
      </w:r>
      <w:r w:rsidRPr="00B97E44">
        <w:rPr>
          <w:rtl/>
        </w:rPr>
        <w:t xml:space="preserve">סכום </w:t>
      </w:r>
      <w:r w:rsidRPr="00B97E44">
        <w:rPr>
          <w:rFonts w:hint="cs"/>
          <w:rtl/>
        </w:rPr>
        <w:t>של</w:t>
      </w:r>
      <w:r w:rsidRPr="00B97E44">
        <w:rPr>
          <w:rtl/>
        </w:rPr>
        <w:t xml:space="preserve"> כ-</w:t>
      </w:r>
      <w:r>
        <w:rPr>
          <w:rFonts w:hint="cs"/>
          <w:rtl/>
        </w:rPr>
        <w:t>1.7</w:t>
      </w:r>
      <w:r w:rsidRPr="00B97E44">
        <w:rPr>
          <w:rtl/>
        </w:rPr>
        <w:t xml:space="preserve"> מיליארד ש"ח</w:t>
      </w:r>
      <w:r w:rsidRPr="00B97E44">
        <w:rPr>
          <w:rFonts w:hint="cs"/>
          <w:rtl/>
        </w:rPr>
        <w:t>, והוא מיועד לכמה נושאים - חינוך פורמלי, חינוך בלתי פורמלי, כוח אדם ותשתיות</w:t>
      </w:r>
      <w:r w:rsidRPr="00B97E44">
        <w:rPr>
          <w:rtl/>
        </w:rPr>
        <w:t xml:space="preserve">. היקף תקציב זה משקף את </w:t>
      </w:r>
      <w:r w:rsidRPr="00B97E44">
        <w:rPr>
          <w:rFonts w:hint="cs"/>
          <w:rtl/>
        </w:rPr>
        <w:t>התפיסה שלפיה יש להשקיע משאבים ניכרים</w:t>
      </w:r>
      <w:r w:rsidRPr="00B97E44">
        <w:rPr>
          <w:rtl/>
        </w:rPr>
        <w:t xml:space="preserve"> לשיקום מערכת החינוך בחבל התקומה</w:t>
      </w:r>
      <w:r w:rsidRPr="00B97E44">
        <w:rPr>
          <w:rFonts w:hint="cs"/>
          <w:rtl/>
        </w:rPr>
        <w:t xml:space="preserve"> ולהפעיל </w:t>
      </w:r>
      <w:r w:rsidRPr="00B97E44">
        <w:rPr>
          <w:rtl/>
        </w:rPr>
        <w:t>מגוון</w:t>
      </w:r>
      <w:r w:rsidRPr="00B97E44">
        <w:rPr>
          <w:rFonts w:hint="cs"/>
          <w:rtl/>
        </w:rPr>
        <w:t xml:space="preserve"> מיזמים לשם כך.</w:t>
      </w:r>
      <w:r w:rsidRPr="00B97E44">
        <w:rPr>
          <w:rtl/>
        </w:rPr>
        <w:t xml:space="preserve"> התוכנית כוללת</w:t>
      </w:r>
      <w:r w:rsidRPr="00B97E44">
        <w:rPr>
          <w:rFonts w:hint="cs"/>
          <w:rtl/>
        </w:rPr>
        <w:t>,</w:t>
      </w:r>
      <w:r w:rsidRPr="00B97E44">
        <w:rPr>
          <w:rtl/>
        </w:rPr>
        <w:t xml:space="preserve"> בין היתר</w:t>
      </w:r>
      <w:r w:rsidRPr="00B97E44">
        <w:rPr>
          <w:rFonts w:hint="cs"/>
          <w:rtl/>
        </w:rPr>
        <w:t>,</w:t>
      </w:r>
      <w:r w:rsidRPr="00B97E44">
        <w:rPr>
          <w:rtl/>
        </w:rPr>
        <w:t xml:space="preserve"> הקמת מבני חינוך תוספתיים אשר נועדו להוסיף כיתות ומבנים שיאפשרו </w:t>
      </w:r>
      <w:r w:rsidRPr="00B97E44">
        <w:rPr>
          <w:rFonts w:hint="cs"/>
          <w:rtl/>
        </w:rPr>
        <w:t>להרחיב את</w:t>
      </w:r>
      <w:r w:rsidRPr="00B97E44">
        <w:rPr>
          <w:rtl/>
        </w:rPr>
        <w:t xml:space="preserve"> שירותי החינו</w:t>
      </w:r>
      <w:r w:rsidRPr="00B97E44">
        <w:rPr>
          <w:rFonts w:hint="cs"/>
          <w:rtl/>
        </w:rPr>
        <w:t>ך</w:t>
      </w:r>
      <w:r w:rsidRPr="00B97E44">
        <w:rPr>
          <w:rtl/>
        </w:rPr>
        <w:t xml:space="preserve">, </w:t>
      </w:r>
      <w:r w:rsidRPr="00B97E44">
        <w:rPr>
          <w:rFonts w:hint="cs"/>
          <w:rtl/>
        </w:rPr>
        <w:t>ל</w:t>
      </w:r>
      <w:r w:rsidRPr="00B97E44">
        <w:rPr>
          <w:rtl/>
        </w:rPr>
        <w:t>הק</w:t>
      </w:r>
      <w:r w:rsidRPr="00B97E44">
        <w:rPr>
          <w:rFonts w:hint="cs"/>
          <w:rtl/>
        </w:rPr>
        <w:t>ים</w:t>
      </w:r>
      <w:r w:rsidRPr="00B97E44">
        <w:rPr>
          <w:rtl/>
        </w:rPr>
        <w:t xml:space="preserve"> מרחבים טכנולוגיים שיקדמו את המצוינות הדיגיטלית ויתמכו במורים ובתלמידים כאחד,</w:t>
      </w:r>
      <w:r w:rsidRPr="00B97E44">
        <w:rPr>
          <w:rFonts w:hint="cs"/>
          <w:rtl/>
        </w:rPr>
        <w:t xml:space="preserve"> לתמרץ את צוותי ההוראה</w:t>
      </w:r>
      <w:r w:rsidRPr="00B97E44">
        <w:rPr>
          <w:rtl/>
        </w:rPr>
        <w:t xml:space="preserve"> וכן</w:t>
      </w:r>
      <w:r w:rsidRPr="00B97E44">
        <w:rPr>
          <w:rFonts w:hint="cs"/>
          <w:rtl/>
        </w:rPr>
        <w:t xml:space="preserve"> לתמוך </w:t>
      </w:r>
      <w:r w:rsidRPr="00B97E44">
        <w:rPr>
          <w:rtl/>
        </w:rPr>
        <w:t xml:space="preserve">בפעילות חינוכית בלתי פורמלית, המספקת לילדים מגוון כלים חינוכיים ורגשיים מחוץ לשעות הלימודים. </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הביקורת העלתה כי משרד החינוך </w:t>
      </w:r>
      <w:r w:rsidRPr="00B97E44">
        <w:rPr>
          <w:rFonts w:hint="cs"/>
          <w:rtl/>
        </w:rPr>
        <w:t>ומינהלת</w:t>
      </w:r>
      <w:r w:rsidRPr="00B97E44">
        <w:rPr>
          <w:rFonts w:hint="cs"/>
          <w:rtl/>
        </w:rPr>
        <w:t xml:space="preserve"> תקומה לא עירבו את המועצה האזורית </w:t>
      </w:r>
      <w:r w:rsidRPr="00B97E44">
        <w:rPr>
          <w:rFonts w:hint="eastAsia"/>
          <w:b/>
          <w:bCs/>
          <w:rtl/>
        </w:rPr>
        <w:t>אשכול</w:t>
      </w:r>
      <w:r w:rsidRPr="00B97E44">
        <w:rPr>
          <w:rFonts w:hint="cs"/>
          <w:rtl/>
        </w:rPr>
        <w:t xml:space="preserve"> בגיבוש התוכנית ואף לא נועצו איתה בדבר הצרכים החינוכיים הנדרשים לשיקום התלמידים המתגוררים בה והאמצעים המתאימים להיענות לצרכים אלה. הדבר אינו מתיישב עם ההנחיה שהופיעה בהחלטה 980 שלפיה "</w:t>
      </w:r>
      <w:r w:rsidRPr="00B97E44">
        <w:rPr>
          <w:rFonts w:hint="cs"/>
          <w:rtl/>
        </w:rPr>
        <w:t>המינהלת</w:t>
      </w:r>
      <w:r w:rsidRPr="00B97E44">
        <w:rPr>
          <w:rFonts w:hint="cs"/>
          <w:rtl/>
        </w:rPr>
        <w:t xml:space="preserve"> תפעל עבור התושבים בשיתוף פעולה עם הרשויות המקומיות והגופים היציגים של היישובים".</w:t>
      </w:r>
    </w:p>
    <w:p w:rsidR="005B126E" w:rsidP="001916A9">
      <w:pPr>
        <w:spacing w:line="269" w:lineRule="auto"/>
        <w:rPr>
          <w:b/>
          <w:bCs/>
          <w:rtl/>
        </w:rPr>
      </w:pPr>
      <w:bookmarkStart w:id="28" w:name="_Hlk207631337"/>
    </w:p>
    <w:p w:rsidR="005B126E" w:rsidRPr="00B97E44" w:rsidP="001916A9">
      <w:pPr>
        <w:spacing w:line="269" w:lineRule="auto"/>
        <w:rPr>
          <w:b/>
          <w:bCs/>
          <w:rtl/>
        </w:rPr>
      </w:pPr>
      <w:r w:rsidRPr="00B97E44">
        <w:rPr>
          <w:rFonts w:hint="cs"/>
          <w:b/>
          <w:bCs/>
          <w:rtl/>
        </w:rPr>
        <w:t>נמצא כי על אף תפקידה המרכזי והחשוב של תוכנית החומש בתחום</w:t>
      </w:r>
      <w:r w:rsidRPr="00B97E44">
        <w:rPr>
          <w:b/>
          <w:bCs/>
          <w:rtl/>
        </w:rPr>
        <w:t xml:space="preserve"> </w:t>
      </w:r>
      <w:r w:rsidRPr="00B97E44">
        <w:rPr>
          <w:rFonts w:hint="cs"/>
          <w:b/>
          <w:bCs/>
          <w:rtl/>
        </w:rPr>
        <w:t>ה</w:t>
      </w:r>
      <w:r w:rsidRPr="00B97E44">
        <w:rPr>
          <w:rFonts w:hint="eastAsia"/>
          <w:b/>
          <w:bCs/>
          <w:rtl/>
        </w:rPr>
        <w:t>חינוך</w:t>
      </w:r>
      <w:r w:rsidRPr="00B97E44">
        <w:rPr>
          <w:rFonts w:hint="cs"/>
          <w:b/>
          <w:bCs/>
          <w:rtl/>
        </w:rPr>
        <w:t xml:space="preserve"> ועל אף היקף התקציב העצום שהוקצה לה, </w:t>
      </w:r>
      <w:r>
        <w:rPr>
          <w:rFonts w:hint="cs"/>
          <w:b/>
          <w:bCs/>
          <w:rtl/>
        </w:rPr>
        <w:t>המסתכם ב-</w:t>
      </w:r>
      <w:r w:rsidRPr="00B97E44">
        <w:rPr>
          <w:rFonts w:hint="cs"/>
          <w:b/>
          <w:bCs/>
          <w:rtl/>
        </w:rPr>
        <w:t xml:space="preserve">1.7 מיליארד ש"ח, גיבושה בראשית שנת 2024 נעשה ללא </w:t>
      </w:r>
      <w:r w:rsidRPr="00B97E44">
        <w:rPr>
          <w:rFonts w:hint="eastAsia"/>
          <w:b/>
          <w:bCs/>
          <w:rtl/>
        </w:rPr>
        <w:t>מעורבות</w:t>
      </w:r>
      <w:r w:rsidRPr="00B97E44">
        <w:rPr>
          <w:rFonts w:hint="cs"/>
          <w:b/>
          <w:bCs/>
          <w:rtl/>
        </w:rPr>
        <w:t xml:space="preserve"> או למצער היוועצות עם</w:t>
      </w:r>
      <w:r w:rsidRPr="00B97E44">
        <w:rPr>
          <w:b/>
          <w:bCs/>
          <w:rtl/>
        </w:rPr>
        <w:t xml:space="preserve"> המועצה </w:t>
      </w:r>
      <w:r w:rsidRPr="00B97E44">
        <w:rPr>
          <w:rFonts w:hint="eastAsia"/>
          <w:b/>
          <w:bCs/>
          <w:rtl/>
        </w:rPr>
        <w:t>האזורית</w:t>
      </w:r>
      <w:r w:rsidRPr="00B97E44">
        <w:rPr>
          <w:b/>
          <w:bCs/>
          <w:rtl/>
        </w:rPr>
        <w:t xml:space="preserve"> </w:t>
      </w:r>
      <w:r w:rsidRPr="00B97E44">
        <w:rPr>
          <w:rFonts w:hint="eastAsia"/>
          <w:b/>
          <w:bCs/>
          <w:rtl/>
        </w:rPr>
        <w:t>אשכול</w:t>
      </w:r>
      <w:r w:rsidRPr="00B97E44">
        <w:rPr>
          <w:rFonts w:hint="cs"/>
          <w:b/>
          <w:bCs/>
          <w:rtl/>
        </w:rPr>
        <w:t xml:space="preserve"> שתושביה נפגעו באופן חמור ביותר במתקפת הטרור בשבעה באוקטובר, ומשכך לא הובאו בחשבון תפיסותיה ורצונותיה</w:t>
      </w:r>
      <w:r w:rsidRPr="00B97E44">
        <w:rPr>
          <w:b/>
          <w:bCs/>
          <w:rtl/>
        </w:rPr>
        <w:t xml:space="preserve">. </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בתשובתה הוסיפה </w:t>
      </w:r>
      <w:r w:rsidRPr="00B97E44">
        <w:rPr>
          <w:rtl/>
        </w:rPr>
        <w:t xml:space="preserve">המועצה האזורית </w:t>
      </w:r>
      <w:r w:rsidRPr="00B97E44">
        <w:rPr>
          <w:b/>
          <w:bCs/>
          <w:rtl/>
        </w:rPr>
        <w:t>אשכול</w:t>
      </w:r>
      <w:r w:rsidRPr="00B97E44">
        <w:rPr>
          <w:rtl/>
        </w:rPr>
        <w:t xml:space="preserve"> כי קיימים צרכים רבים</w:t>
      </w:r>
      <w:r w:rsidRPr="00B97E44">
        <w:rPr>
          <w:rFonts w:hint="cs"/>
          <w:rtl/>
        </w:rPr>
        <w:t xml:space="preserve"> נוספים שיש למלא, ובהם הקמת מבנים לתלמידי כלל היישובים במועצה.</w:t>
      </w:r>
    </w:p>
    <w:p w:rsidR="005B126E" w:rsidRPr="00B97E44" w:rsidP="001916A9">
      <w:pPr>
        <w:spacing w:line="269" w:lineRule="auto"/>
        <w:ind w:left="-567"/>
        <w:rPr>
          <w:szCs w:val="20"/>
          <w:rtl/>
        </w:rPr>
      </w:pPr>
    </w:p>
    <w:p w:rsidR="005B126E" w:rsidRPr="00B97E44" w:rsidP="001916A9">
      <w:pPr>
        <w:spacing w:line="269" w:lineRule="auto"/>
        <w:rPr>
          <w:rtl/>
        </w:rPr>
      </w:pPr>
      <w:r w:rsidRPr="00B97E44">
        <w:rPr>
          <w:rFonts w:hint="cs"/>
          <w:rtl/>
        </w:rPr>
        <w:t xml:space="preserve">מינהלת תקומה השיבה כי </w:t>
      </w:r>
      <w:r w:rsidRPr="00B97E44">
        <w:rPr>
          <w:rtl/>
        </w:rPr>
        <w:t>בגיבושה של ת</w:t>
      </w:r>
      <w:r w:rsidRPr="00B97E44">
        <w:rPr>
          <w:rFonts w:hint="cs"/>
          <w:rtl/>
        </w:rPr>
        <w:t>ו</w:t>
      </w:r>
      <w:r w:rsidRPr="00B97E44">
        <w:rPr>
          <w:rtl/>
        </w:rPr>
        <w:t>כנית העבודה בתחום החינוך, התקיים דיאלוג רציף עם בעלי התפקידים</w:t>
      </w:r>
      <w:r w:rsidRPr="00B97E44">
        <w:rPr>
          <w:rFonts w:hint="cs"/>
          <w:rtl/>
        </w:rPr>
        <w:t xml:space="preserve"> </w:t>
      </w:r>
      <w:r w:rsidRPr="00B97E44">
        <w:rPr>
          <w:rtl/>
        </w:rPr>
        <w:t>ברשויות</w:t>
      </w:r>
      <w:r w:rsidRPr="00B97E44">
        <w:rPr>
          <w:rFonts w:hint="cs"/>
          <w:rtl/>
        </w:rPr>
        <w:t xml:space="preserve"> המקומיות וכי היא </w:t>
      </w:r>
      <w:r w:rsidRPr="00B97E44">
        <w:rPr>
          <w:rtl/>
        </w:rPr>
        <w:t>פעלה תוך שיתוף כלל רשויות החבל ובשיח אינטנסיבי וצמוד עמן לרבות</w:t>
      </w:r>
      <w:r w:rsidRPr="00B97E44">
        <w:rPr>
          <w:rFonts w:hint="cs"/>
          <w:rtl/>
        </w:rPr>
        <w:t xml:space="preserve"> </w:t>
      </w:r>
      <w:r w:rsidRPr="00B97E44">
        <w:rPr>
          <w:rtl/>
        </w:rPr>
        <w:t>בשיחות, במפגשים ו</w:t>
      </w:r>
      <w:r w:rsidRPr="00B97E44">
        <w:rPr>
          <w:rFonts w:hint="cs"/>
          <w:rtl/>
        </w:rPr>
        <w:t>ב</w:t>
      </w:r>
      <w:r w:rsidRPr="00B97E44">
        <w:rPr>
          <w:rtl/>
        </w:rPr>
        <w:t>דיונים תוך מיפוי צ</w:t>
      </w:r>
      <w:r w:rsidRPr="00B97E44">
        <w:rPr>
          <w:rFonts w:hint="cs"/>
          <w:rtl/>
        </w:rPr>
        <w:t>ו</w:t>
      </w:r>
      <w:r w:rsidRPr="00B97E44">
        <w:rPr>
          <w:rtl/>
        </w:rPr>
        <w:t xml:space="preserve">רכיהן </w:t>
      </w:r>
      <w:r w:rsidRPr="00B97E44">
        <w:rPr>
          <w:rFonts w:hint="cs"/>
          <w:rtl/>
        </w:rPr>
        <w:t>ובהתחשב ב</w:t>
      </w:r>
      <w:r w:rsidRPr="00B97E44">
        <w:rPr>
          <w:rtl/>
        </w:rPr>
        <w:t xml:space="preserve">שיקולים </w:t>
      </w:r>
      <w:r w:rsidRPr="00B97E44">
        <w:rPr>
          <w:rtl/>
        </w:rPr>
        <w:t>ו</w:t>
      </w:r>
      <w:r w:rsidRPr="00B97E44">
        <w:rPr>
          <w:rFonts w:hint="cs"/>
          <w:rtl/>
        </w:rPr>
        <w:t>ב</w:t>
      </w:r>
      <w:r w:rsidRPr="00B97E44">
        <w:rPr>
          <w:rtl/>
        </w:rPr>
        <w:t>איזונים</w:t>
      </w:r>
      <w:r w:rsidRPr="00B97E44">
        <w:rPr>
          <w:rtl/>
        </w:rPr>
        <w:t xml:space="preserve"> הנדרשים</w:t>
      </w:r>
      <w:r w:rsidRPr="00B97E44">
        <w:rPr>
          <w:rFonts w:hint="cs"/>
          <w:rtl/>
        </w:rPr>
        <w:t xml:space="preserve"> </w:t>
      </w:r>
      <w:r w:rsidRPr="00B97E44">
        <w:rPr>
          <w:rtl/>
        </w:rPr>
        <w:t>בהקשר זה</w:t>
      </w:r>
      <w:r w:rsidRPr="00B97E44">
        <w:t>.</w:t>
      </w:r>
      <w:r>
        <w:rPr>
          <w:rFonts w:hint="cs"/>
          <w:rtl/>
        </w:rPr>
        <w:t xml:space="preserve"> בתשובתה הנוספת מסרה מינהלת תקומה כי ניתן מענה על צורכי המועצה האזורית </w:t>
      </w:r>
      <w:r w:rsidRPr="00B544FF">
        <w:rPr>
          <w:rFonts w:hint="eastAsia"/>
          <w:b/>
          <w:bCs/>
          <w:rtl/>
        </w:rPr>
        <w:t>אשכול</w:t>
      </w:r>
      <w:r>
        <w:rPr>
          <w:rFonts w:hint="cs"/>
          <w:rtl/>
        </w:rPr>
        <w:t xml:space="preserve"> בנושא הקמת מבנים באמצעות תקציב שניתן למועצה לצורך בינוי בחבל באמצעות משרד החינוך. </w:t>
      </w:r>
    </w:p>
    <w:p w:rsidR="005B126E" w:rsidP="001916A9">
      <w:pPr>
        <w:spacing w:line="269" w:lineRule="auto"/>
        <w:rPr>
          <w:rtl/>
        </w:rPr>
      </w:pPr>
    </w:p>
    <w:p w:rsidR="005B126E" w:rsidRPr="00B97E44" w:rsidP="001916A9">
      <w:pPr>
        <w:spacing w:line="269" w:lineRule="auto"/>
        <w:rPr>
          <w:rFonts w:ascii="David" w:hAnsi="David"/>
          <w:sz w:val="24"/>
          <w:rtl/>
        </w:rPr>
      </w:pPr>
      <w:r w:rsidRPr="00B97E44">
        <w:rPr>
          <w:rtl/>
        </w:rPr>
        <w:t>משרד החינוך מסר בתשובתו</w:t>
      </w:r>
      <w:r w:rsidRPr="00B97E44">
        <w:rPr>
          <w:rFonts w:hint="cs"/>
          <w:rtl/>
        </w:rPr>
        <w:t xml:space="preserve"> מנובמבר 2025</w:t>
      </w:r>
      <w:r w:rsidRPr="00B97E44">
        <w:rPr>
          <w:rtl/>
        </w:rPr>
        <w:t xml:space="preserve"> כי הוא פועל בשיתוף פעולה הדוק עם מ</w:t>
      </w:r>
      <w:r w:rsidRPr="00B97E44">
        <w:rPr>
          <w:rFonts w:hint="cs"/>
          <w:rtl/>
        </w:rPr>
        <w:t>י</w:t>
      </w:r>
      <w:r w:rsidRPr="00B97E44">
        <w:rPr>
          <w:rtl/>
        </w:rPr>
        <w:t>נהלת תקומה ו</w:t>
      </w:r>
      <w:r w:rsidRPr="00B97E44">
        <w:rPr>
          <w:rFonts w:hint="cs"/>
          <w:rtl/>
        </w:rPr>
        <w:t xml:space="preserve">עם </w:t>
      </w:r>
      <w:r w:rsidRPr="00B97E44">
        <w:rPr>
          <w:rtl/>
        </w:rPr>
        <w:t xml:space="preserve">הרשויות המקומיות, </w:t>
      </w:r>
      <w:r w:rsidRPr="00B97E44">
        <w:rPr>
          <w:rFonts w:hint="cs"/>
          <w:rtl/>
        </w:rPr>
        <w:t xml:space="preserve">שהן </w:t>
      </w:r>
      <w:r w:rsidRPr="00B97E44">
        <w:rPr>
          <w:rtl/>
        </w:rPr>
        <w:t>הזרוע הביצועית בשטח</w:t>
      </w:r>
      <w:r w:rsidRPr="00B97E44">
        <w:rPr>
          <w:rFonts w:hint="cs"/>
          <w:rtl/>
        </w:rPr>
        <w:t>. עוד השיב כי מחוז הדרום במשרד</w:t>
      </w:r>
      <w:r w:rsidRPr="00B97E44">
        <w:rPr>
          <w:rFonts w:ascii="David" w:hAnsi="David" w:hint="cs"/>
          <w:sz w:val="24"/>
          <w:rtl/>
        </w:rPr>
        <w:t xml:space="preserve"> פועל עם כלל הרשויות בבניית תוכניות </w:t>
      </w:r>
      <w:r w:rsidRPr="00B97E44">
        <w:rPr>
          <w:rFonts w:ascii="David" w:hAnsi="David" w:hint="cs"/>
          <w:sz w:val="24"/>
          <w:rtl/>
        </w:rPr>
        <w:t>רשותיות</w:t>
      </w:r>
      <w:r w:rsidRPr="00B97E44">
        <w:rPr>
          <w:rFonts w:ascii="David" w:hAnsi="David" w:hint="cs"/>
          <w:sz w:val="24"/>
          <w:rtl/>
        </w:rPr>
        <w:t xml:space="preserve"> לניצול תקציבי תקומה תוך שיח מעמיק כדי לדייקן ולהתאימן למתווה ולתפיסה.</w:t>
      </w:r>
    </w:p>
    <w:bookmarkEnd w:id="28"/>
    <w:p w:rsidR="005B126E" w:rsidP="001916A9">
      <w:pPr>
        <w:spacing w:line="269" w:lineRule="auto"/>
        <w:rPr>
          <w:b/>
          <w:bCs/>
          <w:rtl/>
        </w:rPr>
      </w:pPr>
    </w:p>
    <w:p w:rsidR="005B126E" w:rsidRPr="00B97E44" w:rsidP="001916A9">
      <w:pPr>
        <w:spacing w:line="269" w:lineRule="auto"/>
        <w:rPr>
          <w:b/>
          <w:bCs/>
          <w:rtl/>
        </w:rPr>
      </w:pPr>
      <w:r w:rsidRPr="00B97E44">
        <w:rPr>
          <w:rFonts w:hint="cs"/>
          <w:b/>
          <w:bCs/>
          <w:rtl/>
        </w:rPr>
        <w:t xml:space="preserve">ניהול שיח פתוח וכן הוא הכרחי לצורך שיתוף פעולה בין כלל הגורמים האחראים על חינוך ילדי החבל. על </w:t>
      </w:r>
      <w:r w:rsidRPr="00B97E44">
        <w:rPr>
          <w:rFonts w:hint="eastAsia"/>
          <w:b/>
          <w:bCs/>
          <w:rtl/>
        </w:rPr>
        <w:t>מינהלת תקומה</w:t>
      </w:r>
      <w:r w:rsidRPr="00B97E44">
        <w:rPr>
          <w:b/>
          <w:bCs/>
          <w:rtl/>
        </w:rPr>
        <w:t xml:space="preserve"> </w:t>
      </w:r>
      <w:r w:rsidRPr="00B97E44">
        <w:rPr>
          <w:rFonts w:hint="eastAsia"/>
          <w:b/>
          <w:bCs/>
          <w:rtl/>
        </w:rPr>
        <w:t>ומשרד</w:t>
      </w:r>
      <w:r w:rsidRPr="00B97E44">
        <w:rPr>
          <w:b/>
          <w:bCs/>
          <w:rtl/>
        </w:rPr>
        <w:t xml:space="preserve"> </w:t>
      </w:r>
      <w:r w:rsidRPr="00B97E44">
        <w:rPr>
          <w:rFonts w:hint="eastAsia"/>
          <w:b/>
          <w:bCs/>
          <w:rtl/>
        </w:rPr>
        <w:t>החינוך</w:t>
      </w:r>
      <w:r w:rsidRPr="00B97E44">
        <w:rPr>
          <w:b/>
          <w:bCs/>
          <w:rtl/>
        </w:rPr>
        <w:t xml:space="preserve"> </w:t>
      </w:r>
      <w:r w:rsidRPr="00B97E44">
        <w:rPr>
          <w:rFonts w:hint="cs"/>
          <w:b/>
          <w:bCs/>
          <w:rtl/>
        </w:rPr>
        <w:t>לבחון אם נדרשות</w:t>
      </w:r>
      <w:r w:rsidRPr="00B97E44">
        <w:rPr>
          <w:b/>
          <w:bCs/>
          <w:rtl/>
        </w:rPr>
        <w:t xml:space="preserve"> התאמות </w:t>
      </w:r>
      <w:r w:rsidRPr="00B97E44">
        <w:rPr>
          <w:rFonts w:hint="cs"/>
          <w:b/>
          <w:bCs/>
          <w:rtl/>
        </w:rPr>
        <w:t xml:space="preserve">ביישום התוכנית לשנות הלימודים הבאות </w:t>
      </w:r>
      <w:r w:rsidRPr="00B97E44">
        <w:rPr>
          <w:rFonts w:hint="eastAsia"/>
          <w:b/>
          <w:bCs/>
          <w:rtl/>
        </w:rPr>
        <w:t>לאחר</w:t>
      </w:r>
      <w:r w:rsidRPr="00B97E44">
        <w:rPr>
          <w:b/>
          <w:bCs/>
          <w:rtl/>
        </w:rPr>
        <w:t xml:space="preserve"> </w:t>
      </w:r>
      <w:r w:rsidRPr="00B97E44">
        <w:rPr>
          <w:rFonts w:hint="eastAsia"/>
          <w:b/>
          <w:bCs/>
          <w:rtl/>
        </w:rPr>
        <w:t>שיח</w:t>
      </w:r>
      <w:r w:rsidRPr="00B97E44">
        <w:rPr>
          <w:b/>
          <w:bCs/>
          <w:rtl/>
        </w:rPr>
        <w:t xml:space="preserve"> </w:t>
      </w:r>
      <w:r w:rsidRPr="00B97E44">
        <w:rPr>
          <w:rFonts w:hint="cs"/>
          <w:b/>
          <w:bCs/>
          <w:rtl/>
        </w:rPr>
        <w:t xml:space="preserve">פתוח </w:t>
      </w:r>
      <w:r w:rsidRPr="00B97E44">
        <w:rPr>
          <w:rFonts w:hint="eastAsia"/>
          <w:b/>
          <w:bCs/>
          <w:rtl/>
        </w:rPr>
        <w:t>עם</w:t>
      </w:r>
      <w:r w:rsidRPr="00B97E44">
        <w:rPr>
          <w:b/>
          <w:bCs/>
          <w:rtl/>
        </w:rPr>
        <w:t xml:space="preserve"> </w:t>
      </w:r>
      <w:r w:rsidRPr="00B97E44">
        <w:rPr>
          <w:rFonts w:hint="eastAsia"/>
          <w:b/>
          <w:bCs/>
          <w:rtl/>
        </w:rPr>
        <w:t>הרשויות</w:t>
      </w:r>
      <w:r w:rsidRPr="00B97E44">
        <w:rPr>
          <w:b/>
          <w:bCs/>
          <w:rtl/>
        </w:rPr>
        <w:t xml:space="preserve"> </w:t>
      </w:r>
      <w:r w:rsidRPr="00B97E44">
        <w:rPr>
          <w:rFonts w:hint="eastAsia"/>
          <w:b/>
          <w:bCs/>
          <w:rtl/>
        </w:rPr>
        <w:t>המקומי</w:t>
      </w:r>
      <w:r w:rsidRPr="00B97E44">
        <w:rPr>
          <w:rFonts w:hint="cs"/>
          <w:b/>
          <w:bCs/>
          <w:rtl/>
        </w:rPr>
        <w:t>ו</w:t>
      </w:r>
      <w:r w:rsidRPr="00B97E44">
        <w:rPr>
          <w:rFonts w:hint="eastAsia"/>
          <w:b/>
          <w:bCs/>
          <w:rtl/>
        </w:rPr>
        <w:t>ת</w:t>
      </w:r>
      <w:r w:rsidRPr="00B97E44">
        <w:rPr>
          <w:b/>
          <w:bCs/>
          <w:rtl/>
        </w:rPr>
        <w:t xml:space="preserve"> </w:t>
      </w:r>
      <w:r w:rsidRPr="00B97E44">
        <w:rPr>
          <w:rFonts w:hint="cs"/>
          <w:b/>
          <w:bCs/>
          <w:rtl/>
        </w:rPr>
        <w:t xml:space="preserve">והיישובים </w:t>
      </w:r>
      <w:r w:rsidRPr="00B97E44">
        <w:rPr>
          <w:rFonts w:hint="eastAsia"/>
          <w:b/>
          <w:bCs/>
          <w:rtl/>
        </w:rPr>
        <w:t>בחבל התקומה</w:t>
      </w:r>
      <w:r w:rsidRPr="00B97E44">
        <w:rPr>
          <w:rFonts w:hint="cs"/>
          <w:b/>
          <w:bCs/>
          <w:rtl/>
        </w:rPr>
        <w:t>, מיפוי וניתוח צורכיהם ותפיסותיהם ביחס לחינוך ילדיהם ומתן ביטוי ככל הניתן לצרכים ולתפיסות אלה בתוכניות החינוך.</w:t>
      </w:r>
    </w:p>
    <w:p w:rsidR="005B126E" w:rsidRPr="00B97E44" w:rsidP="001916A9">
      <w:pPr>
        <w:spacing w:line="269" w:lineRule="auto"/>
        <w:rPr>
          <w:rtl/>
        </w:rPr>
      </w:pPr>
    </w:p>
    <w:p w:rsidR="005B126E" w:rsidRPr="00B97E44" w:rsidP="001916A9">
      <w:pPr>
        <w:pStyle w:val="Heading5"/>
        <w:spacing w:line="269" w:lineRule="auto"/>
        <w:rPr>
          <w:rtl/>
        </w:rPr>
      </w:pPr>
      <w:r w:rsidRPr="00B97E44">
        <w:rPr>
          <w:rFonts w:hint="cs"/>
          <w:rtl/>
        </w:rPr>
        <w:t>סל תקומה - בתחום החינוך</w:t>
      </w:r>
    </w:p>
    <w:p w:rsidR="005B126E" w:rsidP="001916A9">
      <w:pPr>
        <w:spacing w:line="269" w:lineRule="auto"/>
        <w:rPr>
          <w:rtl/>
        </w:rPr>
      </w:pPr>
    </w:p>
    <w:p w:rsidR="005B126E" w:rsidRPr="00B97E44" w:rsidP="001916A9">
      <w:pPr>
        <w:spacing w:line="269" w:lineRule="auto"/>
        <w:rPr>
          <w:rtl/>
        </w:rPr>
      </w:pPr>
      <w:r w:rsidRPr="00B97E44">
        <w:rPr>
          <w:rFonts w:hint="cs"/>
          <w:rtl/>
        </w:rPr>
        <w:t>הפרק המרכזי בתחום החינוך בתוכנית החומש הוא "</w:t>
      </w:r>
      <w:r w:rsidRPr="00B97E44">
        <w:rPr>
          <w:rtl/>
        </w:rPr>
        <w:t>סל תקומה</w:t>
      </w:r>
      <w:r w:rsidRPr="00B97E44">
        <w:rPr>
          <w:rFonts w:hint="cs"/>
          <w:rtl/>
        </w:rPr>
        <w:t>" המעניק</w:t>
      </w:r>
      <w:r w:rsidRPr="00B97E44">
        <w:rPr>
          <w:rtl/>
        </w:rPr>
        <w:t xml:space="preserve"> תקציב תוספתי </w:t>
      </w:r>
      <w:r w:rsidRPr="00B97E44">
        <w:rPr>
          <w:rFonts w:hint="cs"/>
          <w:rtl/>
        </w:rPr>
        <w:t>ש</w:t>
      </w:r>
      <w:r w:rsidRPr="00B97E44">
        <w:rPr>
          <w:rtl/>
        </w:rPr>
        <w:t xml:space="preserve">משרד החינוך </w:t>
      </w:r>
      <w:r w:rsidRPr="00B97E44">
        <w:rPr>
          <w:rFonts w:hint="cs"/>
          <w:rtl/>
        </w:rPr>
        <w:t xml:space="preserve">מעמיד </w:t>
      </w:r>
      <w:r w:rsidRPr="00B97E44">
        <w:rPr>
          <w:rtl/>
        </w:rPr>
        <w:t xml:space="preserve">לרשות מוסדות חינוך ורשויות מקומיות </w:t>
      </w:r>
      <w:r w:rsidRPr="00B97E44">
        <w:rPr>
          <w:rFonts w:hint="cs"/>
          <w:rtl/>
        </w:rPr>
        <w:t>בחבל התקומה</w:t>
      </w:r>
      <w:r w:rsidRPr="00B97E44">
        <w:rPr>
          <w:rtl/>
        </w:rPr>
        <w:t xml:space="preserve">, במטרה </w:t>
      </w:r>
      <w:r w:rsidRPr="00B97E44">
        <w:rPr>
          <w:rFonts w:hint="cs"/>
          <w:rtl/>
        </w:rPr>
        <w:t>לענות על הצרכים</w:t>
      </w:r>
      <w:r w:rsidRPr="00B97E44">
        <w:rPr>
          <w:rtl/>
        </w:rPr>
        <w:t xml:space="preserve"> </w:t>
      </w:r>
      <w:r w:rsidRPr="00B97E44">
        <w:rPr>
          <w:rFonts w:hint="cs"/>
          <w:rtl/>
        </w:rPr>
        <w:t>ה</w:t>
      </w:r>
      <w:r w:rsidRPr="00B97E44">
        <w:rPr>
          <w:rtl/>
        </w:rPr>
        <w:t xml:space="preserve">חינוכיים, </w:t>
      </w:r>
      <w:r w:rsidRPr="00B97E44">
        <w:rPr>
          <w:rFonts w:hint="cs"/>
          <w:rtl/>
        </w:rPr>
        <w:t>ה</w:t>
      </w:r>
      <w:r w:rsidRPr="00B97E44">
        <w:rPr>
          <w:rtl/>
        </w:rPr>
        <w:t>רגשיים ו</w:t>
      </w:r>
      <w:r w:rsidRPr="00B97E44">
        <w:rPr>
          <w:rFonts w:hint="cs"/>
          <w:rtl/>
        </w:rPr>
        <w:t>ה</w:t>
      </w:r>
      <w:r w:rsidRPr="00B97E44">
        <w:rPr>
          <w:rtl/>
        </w:rPr>
        <w:t xml:space="preserve">חברתיים </w:t>
      </w:r>
      <w:r w:rsidRPr="00B97E44">
        <w:rPr>
          <w:rFonts w:hint="cs"/>
          <w:rtl/>
        </w:rPr>
        <w:t>ש</w:t>
      </w:r>
      <w:r w:rsidRPr="00B97E44">
        <w:rPr>
          <w:rtl/>
        </w:rPr>
        <w:t>ל</w:t>
      </w:r>
      <w:r w:rsidRPr="00B97E44">
        <w:rPr>
          <w:rFonts w:hint="cs"/>
          <w:rtl/>
        </w:rPr>
        <w:t xml:space="preserve"> ה</w:t>
      </w:r>
      <w:r w:rsidRPr="00B97E44">
        <w:rPr>
          <w:rtl/>
        </w:rPr>
        <w:t>תלמידים שנפגעו מהמצ</w:t>
      </w:r>
      <w:r w:rsidRPr="00B97E44">
        <w:rPr>
          <w:rFonts w:hint="cs"/>
          <w:rtl/>
        </w:rPr>
        <w:t>ב</w:t>
      </w:r>
      <w:r w:rsidRPr="00B97E44">
        <w:rPr>
          <w:rtl/>
        </w:rPr>
        <w:t xml:space="preserve"> הביטחוני. </w:t>
      </w:r>
      <w:r w:rsidRPr="00B97E44">
        <w:rPr>
          <w:rFonts w:hint="cs"/>
          <w:rtl/>
        </w:rPr>
        <w:t xml:space="preserve">על פי נוהל עבודה לשנת הלימודים תשפ"ה שגיבשו משרד החינוך </w:t>
      </w:r>
      <w:r w:rsidRPr="00B97E44">
        <w:rPr>
          <w:rFonts w:hint="cs"/>
          <w:rtl/>
        </w:rPr>
        <w:t>ומינהלת</w:t>
      </w:r>
      <w:r w:rsidRPr="00B97E44">
        <w:rPr>
          <w:rFonts w:hint="cs"/>
          <w:rtl/>
        </w:rPr>
        <w:t xml:space="preserve"> תקומה (להלן - הנוהל)</w:t>
      </w:r>
      <w:r>
        <w:rPr>
          <w:vertAlign w:val="superscript"/>
          <w:rtl/>
        </w:rPr>
        <w:footnoteReference w:id="35"/>
      </w:r>
      <w:r w:rsidRPr="00B97E44">
        <w:rPr>
          <w:rFonts w:hint="cs"/>
          <w:rtl/>
        </w:rPr>
        <w:t xml:space="preserve"> </w:t>
      </w:r>
      <w:r w:rsidRPr="00B97E44">
        <w:rPr>
          <w:rtl/>
        </w:rPr>
        <w:t xml:space="preserve">התקציב </w:t>
      </w:r>
      <w:r w:rsidRPr="00B97E44">
        <w:rPr>
          <w:rFonts w:hint="cs"/>
          <w:rtl/>
        </w:rPr>
        <w:t xml:space="preserve">העומד על מיליארד ש"ח </w:t>
      </w:r>
      <w:r w:rsidRPr="00B97E44">
        <w:rPr>
          <w:rtl/>
        </w:rPr>
        <w:t>מיועד ל</w:t>
      </w:r>
      <w:r w:rsidRPr="00B97E44">
        <w:rPr>
          <w:rFonts w:hint="cs"/>
          <w:rtl/>
        </w:rPr>
        <w:t xml:space="preserve">בני </w:t>
      </w:r>
      <w:r w:rsidRPr="00B97E44">
        <w:rPr>
          <w:rtl/>
        </w:rPr>
        <w:t>כל הגילים</w:t>
      </w:r>
      <w:r w:rsidRPr="00B97E44">
        <w:rPr>
          <w:rFonts w:hint="cs"/>
          <w:rtl/>
        </w:rPr>
        <w:t>,</w:t>
      </w:r>
      <w:r w:rsidRPr="00B97E44">
        <w:rPr>
          <w:rtl/>
        </w:rPr>
        <w:t xml:space="preserve"> מגיל לידה ועד כיתה י"ב</w:t>
      </w:r>
      <w:r w:rsidRPr="00B97E44">
        <w:rPr>
          <w:rFonts w:hint="cs"/>
          <w:rtl/>
        </w:rPr>
        <w:t>,</w:t>
      </w:r>
      <w:r w:rsidRPr="00B97E44">
        <w:rPr>
          <w:rtl/>
        </w:rPr>
        <w:t xml:space="preserve"> ונועד לחזק את החוסן האישי והקהילתי, לקדם פדגוגיה מותאמת, להעצים את צוותי החינו</w:t>
      </w:r>
      <w:r w:rsidRPr="00B97E44">
        <w:rPr>
          <w:rFonts w:hint="cs"/>
          <w:rtl/>
        </w:rPr>
        <w:t>ך</w:t>
      </w:r>
      <w:r w:rsidRPr="00B97E44">
        <w:rPr>
          <w:rtl/>
        </w:rPr>
        <w:t xml:space="preserve"> ולסייע בהשבת שגרה לימודית מיטיבה.</w:t>
      </w:r>
      <w:r w:rsidRPr="00B97E44">
        <w:rPr>
          <w:rFonts w:hint="cs"/>
          <w:rtl/>
        </w:rPr>
        <w:t xml:space="preserve"> </w:t>
      </w:r>
    </w:p>
    <w:p w:rsidR="005B126E" w:rsidRPr="00B97E44" w:rsidP="001916A9">
      <w:pPr>
        <w:spacing w:line="269" w:lineRule="auto"/>
        <w:rPr>
          <w:rFonts w:eastAsiaTheme="majorEastAsia"/>
          <w:spacing w:val="40"/>
          <w:rtl/>
        </w:rPr>
      </w:pPr>
    </w:p>
    <w:p w:rsidR="005B126E" w:rsidRPr="000534C7" w:rsidP="001916A9">
      <w:pPr>
        <w:pStyle w:val="Heading6"/>
        <w:spacing w:line="269" w:lineRule="auto"/>
        <w:rPr>
          <w:sz w:val="24"/>
          <w:rtl/>
        </w:rPr>
      </w:pPr>
      <w:r w:rsidRPr="000534C7">
        <w:rPr>
          <w:rFonts w:hint="eastAsia"/>
          <w:sz w:val="24"/>
          <w:rtl/>
        </w:rPr>
        <w:t>סל</w:t>
      </w:r>
      <w:r w:rsidRPr="000534C7">
        <w:rPr>
          <w:sz w:val="24"/>
          <w:rtl/>
        </w:rPr>
        <w:t xml:space="preserve"> תקומה </w:t>
      </w:r>
      <w:r w:rsidRPr="000534C7">
        <w:rPr>
          <w:rFonts w:hint="eastAsia"/>
          <w:sz w:val="24"/>
          <w:rtl/>
        </w:rPr>
        <w:t>מגיל</w:t>
      </w:r>
      <w:r w:rsidRPr="000534C7">
        <w:rPr>
          <w:sz w:val="24"/>
          <w:rtl/>
        </w:rPr>
        <w:t xml:space="preserve"> </w:t>
      </w:r>
      <w:r w:rsidRPr="000534C7">
        <w:rPr>
          <w:rFonts w:hint="eastAsia"/>
          <w:sz w:val="24"/>
          <w:rtl/>
        </w:rPr>
        <w:t>שש</w:t>
      </w:r>
      <w:r w:rsidRPr="000534C7">
        <w:rPr>
          <w:rFonts w:hint="cs"/>
          <w:sz w:val="24"/>
          <w:rtl/>
        </w:rPr>
        <w:t xml:space="preserve"> עד כיתה י"ב</w:t>
      </w:r>
    </w:p>
    <w:p w:rsidR="005B126E" w:rsidRPr="00B97E44" w:rsidP="001916A9">
      <w:pPr>
        <w:spacing w:line="269" w:lineRule="auto"/>
        <w:rPr>
          <w:rFonts w:eastAsiaTheme="majorEastAsia"/>
          <w:spacing w:val="40"/>
          <w:rtl/>
        </w:rPr>
      </w:pPr>
    </w:p>
    <w:p w:rsidR="005B126E" w:rsidRPr="00B97E44" w:rsidP="001916A9">
      <w:pPr>
        <w:spacing w:line="269" w:lineRule="auto"/>
        <w:rPr>
          <w:rtl/>
        </w:rPr>
      </w:pPr>
      <w:r w:rsidRPr="00B97E44">
        <w:rPr>
          <w:rtl/>
        </w:rPr>
        <w:t xml:space="preserve">סל </w:t>
      </w:r>
      <w:r w:rsidRPr="00B97E44">
        <w:rPr>
          <w:rFonts w:hint="cs"/>
          <w:rtl/>
        </w:rPr>
        <w:t xml:space="preserve">תקומה לילדים מגיל שש עד כיתה י"ב ניתן </w:t>
      </w:r>
      <w:r w:rsidRPr="00B97E44">
        <w:rPr>
          <w:rtl/>
        </w:rPr>
        <w:t xml:space="preserve">במסגרת מערכת </w:t>
      </w:r>
      <w:r w:rsidRPr="00B97E44">
        <w:rPr>
          <w:rtl/>
        </w:rPr>
        <w:t>הגפ"ן</w:t>
      </w:r>
      <w:r>
        <w:rPr>
          <w:vertAlign w:val="superscript"/>
          <w:rtl/>
        </w:rPr>
        <w:footnoteReference w:id="36"/>
      </w:r>
      <w:r w:rsidRPr="00B97E44">
        <w:rPr>
          <w:rFonts w:hint="cs"/>
          <w:rtl/>
        </w:rPr>
        <w:t>.</w:t>
      </w:r>
      <w:r w:rsidRPr="00B97E44">
        <w:rPr>
          <w:rtl/>
        </w:rPr>
        <w:t xml:space="preserve"> </w:t>
      </w:r>
      <w:r w:rsidRPr="00B97E44">
        <w:rPr>
          <w:rFonts w:hint="cs"/>
          <w:rtl/>
        </w:rPr>
        <w:t>מחצית ממנו אמורה להינתן לרשויות המקומיות (סל רשותי) כדי להניח תשתיות לימודיות, רגשיות וחברתיות רוחביות ולספק מענים גם במסגרת החינוך הבלתי פורמלי והמחצית השנייה תינתן למוסדות החינוך,</w:t>
      </w:r>
      <w:r w:rsidRPr="00B97E44">
        <w:rPr>
          <w:rtl/>
        </w:rPr>
        <w:t xml:space="preserve"> שאמורים לגבש תוכניות עבודה מוסדיות הכוללות תגבור לימודי, סיוע רגשי, פעילות חווייתית והצטיידות חינוכית, בהתאם לצרכים הייחודיים של תלמידיהם ובהתאם לכללי מערכת </w:t>
      </w:r>
      <w:r w:rsidRPr="00B97E44">
        <w:rPr>
          <w:rtl/>
        </w:rPr>
        <w:t>הגפ"ן</w:t>
      </w:r>
      <w:r w:rsidRPr="00B97E44">
        <w:rPr>
          <w:rFonts w:hint="cs"/>
          <w:rtl/>
        </w:rPr>
        <w:t xml:space="preserve">. </w:t>
      </w:r>
    </w:p>
    <w:p w:rsidR="005B126E" w:rsidP="001916A9">
      <w:pPr>
        <w:spacing w:line="269" w:lineRule="auto"/>
        <w:rPr>
          <w:rtl/>
        </w:rPr>
      </w:pPr>
    </w:p>
    <w:p w:rsidR="005B126E" w:rsidRPr="00B97E44" w:rsidP="001916A9">
      <w:pPr>
        <w:spacing w:line="269" w:lineRule="auto"/>
        <w:rPr>
          <w:rtl/>
        </w:rPr>
      </w:pPr>
      <w:r w:rsidRPr="00B97E44">
        <w:rPr>
          <w:rFonts w:hint="cs"/>
          <w:rtl/>
        </w:rPr>
        <w:t>תקציב סל תקומה בתחום החינוך,</w:t>
      </w:r>
      <w:r w:rsidRPr="00B97E44">
        <w:rPr>
          <w:rtl/>
        </w:rPr>
        <w:t xml:space="preserve"> </w:t>
      </w:r>
      <w:r w:rsidRPr="00B97E44">
        <w:rPr>
          <w:rFonts w:hint="cs"/>
          <w:rtl/>
        </w:rPr>
        <w:t>ש-30% ממנו אמור לשמש למתן תמיכה רגשית, אמור להיות מחושב</w:t>
      </w:r>
      <w:r w:rsidRPr="00B97E44">
        <w:rPr>
          <w:rtl/>
        </w:rPr>
        <w:t xml:space="preserve"> באמצעות הקצאת תקציב </w:t>
      </w:r>
      <w:r w:rsidRPr="00B97E44">
        <w:rPr>
          <w:rFonts w:hint="cs"/>
          <w:rtl/>
        </w:rPr>
        <w:t>לכל</w:t>
      </w:r>
      <w:r w:rsidRPr="00B97E44">
        <w:rPr>
          <w:rtl/>
        </w:rPr>
        <w:t xml:space="preserve"> תלמיד, ל</w:t>
      </w:r>
      <w:r w:rsidRPr="00B97E44">
        <w:rPr>
          <w:rFonts w:hint="cs"/>
          <w:rtl/>
        </w:rPr>
        <w:t xml:space="preserve">פי </w:t>
      </w:r>
      <w:r w:rsidRPr="00B97E44">
        <w:rPr>
          <w:rtl/>
        </w:rPr>
        <w:t xml:space="preserve">מספר התלמידים </w:t>
      </w:r>
      <w:r w:rsidRPr="00B97E44">
        <w:rPr>
          <w:rFonts w:hint="cs"/>
          <w:rtl/>
        </w:rPr>
        <w:t>ש</w:t>
      </w:r>
      <w:r w:rsidRPr="00B97E44">
        <w:rPr>
          <w:rtl/>
        </w:rPr>
        <w:t xml:space="preserve">התגוררו בחבל התקומה </w:t>
      </w:r>
      <w:r w:rsidRPr="00B97E44">
        <w:rPr>
          <w:rFonts w:hint="cs"/>
          <w:rtl/>
        </w:rPr>
        <w:t xml:space="preserve">בתחילת שנת לימודים ובכללם מספר תלמידים שאינם גרים בחבל </w:t>
      </w:r>
      <w:r>
        <w:rPr>
          <w:rFonts w:hint="cs"/>
          <w:rtl/>
        </w:rPr>
        <w:t>ה</w:t>
      </w:r>
      <w:r w:rsidRPr="00B97E44">
        <w:rPr>
          <w:rFonts w:hint="cs"/>
          <w:rtl/>
        </w:rPr>
        <w:t>תקומה אך התגוררו בו ערב שבעה</w:t>
      </w:r>
      <w:r w:rsidRPr="00B97E44">
        <w:rPr>
          <w:rtl/>
        </w:rPr>
        <w:t xml:space="preserve"> באוקטובר 2023, בין </w:t>
      </w:r>
      <w:r w:rsidRPr="00B97E44">
        <w:rPr>
          <w:rFonts w:hint="cs"/>
          <w:rtl/>
        </w:rPr>
        <w:t>שהם לומדים</w:t>
      </w:r>
      <w:r w:rsidRPr="00B97E44">
        <w:rPr>
          <w:rtl/>
        </w:rPr>
        <w:t xml:space="preserve"> במוסד חינוכי בתחומי החבל ובין </w:t>
      </w:r>
      <w:r w:rsidRPr="00B97E44">
        <w:rPr>
          <w:rFonts w:hint="cs"/>
          <w:rtl/>
        </w:rPr>
        <w:t>ש</w:t>
      </w:r>
      <w:r w:rsidRPr="00B97E44">
        <w:rPr>
          <w:rtl/>
        </w:rPr>
        <w:t>מחוצה לו</w:t>
      </w:r>
      <w:r w:rsidRPr="00B97E44">
        <w:rPr>
          <w:rFonts w:hint="cs"/>
          <w:rtl/>
        </w:rPr>
        <w:t xml:space="preserve"> במתווה פוחת לכל משך התוכנית</w:t>
      </w:r>
      <w:r w:rsidRPr="00B97E44">
        <w:rPr>
          <w:rtl/>
        </w:rPr>
        <w:t xml:space="preserve">. </w:t>
      </w:r>
      <w:r w:rsidRPr="00B97E44">
        <w:rPr>
          <w:rFonts w:hint="cs"/>
          <w:rtl/>
        </w:rPr>
        <w:t>על פי חוזר משרד החינוך, בשנת הלימודים תשפ"ה הוקצו 13,500 ש"ח נוספים בגין כל ילד ונער בחבל מגיל לידה ועד כיתה י"ב והעלות לשנת תשפ"ה עמדה על כ-267 מיליו</w:t>
      </w:r>
      <w:r>
        <w:rPr>
          <w:rFonts w:hint="cs"/>
          <w:rtl/>
        </w:rPr>
        <w:t>ני</w:t>
      </w:r>
      <w:r w:rsidRPr="00B97E44">
        <w:rPr>
          <w:rFonts w:hint="cs"/>
          <w:rtl/>
        </w:rPr>
        <w:t xml:space="preserve"> לש"ח</w:t>
      </w:r>
      <w:r>
        <w:rPr>
          <w:vertAlign w:val="superscript"/>
          <w:rtl/>
        </w:rPr>
        <w:footnoteReference w:id="37"/>
      </w:r>
      <w:r w:rsidRPr="00B97E44">
        <w:rPr>
          <w:rFonts w:hint="cs"/>
          <w:rtl/>
        </w:rPr>
        <w:t>. יודגש כי מדובר בתוספת על התקצוב</w:t>
      </w:r>
      <w:r w:rsidRPr="00B97E44">
        <w:rPr>
          <w:rtl/>
        </w:rPr>
        <w:t xml:space="preserve"> הממוצע </w:t>
      </w:r>
      <w:r w:rsidRPr="00B97E44">
        <w:rPr>
          <w:rFonts w:hint="cs"/>
          <w:rtl/>
        </w:rPr>
        <w:t>ל</w:t>
      </w:r>
      <w:r w:rsidRPr="00B97E44">
        <w:rPr>
          <w:rtl/>
        </w:rPr>
        <w:t xml:space="preserve">תלמיד ביישובי חבל </w:t>
      </w:r>
      <w:r w:rsidRPr="00B97E44">
        <w:rPr>
          <w:rFonts w:hint="eastAsia"/>
          <w:rtl/>
        </w:rPr>
        <w:t>ה</w:t>
      </w:r>
      <w:r w:rsidRPr="00B97E44">
        <w:rPr>
          <w:rtl/>
        </w:rPr>
        <w:t xml:space="preserve">תקומה, אשר </w:t>
      </w:r>
      <w:r w:rsidRPr="00B97E44">
        <w:rPr>
          <w:rFonts w:hint="eastAsia"/>
          <w:rtl/>
        </w:rPr>
        <w:t>ערב</w:t>
      </w:r>
      <w:r w:rsidRPr="00B97E44">
        <w:rPr>
          <w:rtl/>
        </w:rPr>
        <w:t xml:space="preserve"> </w:t>
      </w:r>
      <w:r w:rsidRPr="00B97E44">
        <w:rPr>
          <w:rFonts w:hint="cs"/>
          <w:rtl/>
        </w:rPr>
        <w:t>מתקפת הטרור</w:t>
      </w:r>
      <w:r w:rsidRPr="00B97E44">
        <w:rPr>
          <w:rtl/>
        </w:rPr>
        <w:t xml:space="preserve"> </w:t>
      </w:r>
      <w:r w:rsidRPr="00B97E44">
        <w:rPr>
          <w:rFonts w:hint="cs"/>
          <w:rtl/>
        </w:rPr>
        <w:t>ב</w:t>
      </w:r>
      <w:r w:rsidRPr="00B97E44">
        <w:rPr>
          <w:rtl/>
        </w:rPr>
        <w:t xml:space="preserve">שבעה באוקטובר </w:t>
      </w:r>
      <w:r w:rsidRPr="00B97E44">
        <w:rPr>
          <w:rFonts w:hint="cs"/>
          <w:rtl/>
        </w:rPr>
        <w:t xml:space="preserve">עמד </w:t>
      </w:r>
      <w:r w:rsidRPr="00B97E44">
        <w:rPr>
          <w:rtl/>
        </w:rPr>
        <w:t>על כ-2</w:t>
      </w:r>
      <w:r w:rsidRPr="00B97E44">
        <w:rPr>
          <w:rFonts w:hint="cs"/>
          <w:rtl/>
        </w:rPr>
        <w:t>3</w:t>
      </w:r>
      <w:r w:rsidRPr="00B97E44">
        <w:rPr>
          <w:rtl/>
        </w:rPr>
        <w:t>,</w:t>
      </w:r>
      <w:r w:rsidRPr="00B97E44">
        <w:rPr>
          <w:rFonts w:hint="cs"/>
          <w:rtl/>
        </w:rPr>
        <w:t>755</w:t>
      </w:r>
      <w:r w:rsidRPr="00B97E44">
        <w:rPr>
          <w:rtl/>
        </w:rPr>
        <w:t xml:space="preserve"> ש"ח.</w:t>
      </w:r>
    </w:p>
    <w:p w:rsidR="005B126E" w:rsidRPr="00B97E44" w:rsidP="001916A9">
      <w:pPr>
        <w:spacing w:line="269" w:lineRule="auto"/>
        <w:rPr>
          <w:rtl/>
        </w:rPr>
      </w:pPr>
    </w:p>
    <w:p w:rsidR="005B126E" w:rsidRPr="00B97E44" w:rsidP="001916A9">
      <w:pPr>
        <w:pStyle w:val="Heading6"/>
        <w:spacing w:line="269" w:lineRule="auto"/>
      </w:pPr>
      <w:r w:rsidRPr="00B97E44">
        <w:rPr>
          <w:rFonts w:hint="cs"/>
          <w:rtl/>
        </w:rPr>
        <w:t xml:space="preserve">סל תקומה למוסדות חינוך </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כאמור, על פי </w:t>
      </w:r>
      <w:r w:rsidRPr="00B97E44">
        <w:rPr>
          <w:rtl/>
        </w:rPr>
        <w:t xml:space="preserve">קביעת מינהלת תקומה, סל תקומה מחולק בין מוסדות החינוך </w:t>
      </w:r>
      <w:r w:rsidRPr="00B97E44">
        <w:rPr>
          <w:rFonts w:hint="cs"/>
          <w:rtl/>
        </w:rPr>
        <w:t>ו</w:t>
      </w:r>
      <w:r w:rsidRPr="00B97E44">
        <w:rPr>
          <w:rtl/>
        </w:rPr>
        <w:t xml:space="preserve">בין רשויות </w:t>
      </w:r>
      <w:r w:rsidRPr="00B97E44">
        <w:rPr>
          <w:rFonts w:hint="cs"/>
          <w:rtl/>
        </w:rPr>
        <w:t>חבל התקומה</w:t>
      </w:r>
      <w:r w:rsidRPr="00B97E44">
        <w:rPr>
          <w:rtl/>
        </w:rPr>
        <w:t xml:space="preserve">. מנהלי המוסדות </w:t>
      </w:r>
      <w:r w:rsidRPr="00B97E44">
        <w:rPr>
          <w:rFonts w:hint="cs"/>
          <w:rtl/>
        </w:rPr>
        <w:t xml:space="preserve">הם שמנהלים את </w:t>
      </w:r>
      <w:r w:rsidRPr="00B97E44">
        <w:rPr>
          <w:rtl/>
        </w:rPr>
        <w:t xml:space="preserve">רכיב הסל המיועד </w:t>
      </w:r>
      <w:r w:rsidRPr="00B97E44">
        <w:rPr>
          <w:rFonts w:hint="cs"/>
          <w:rtl/>
        </w:rPr>
        <w:t xml:space="preserve">להם </w:t>
      </w:r>
      <w:r w:rsidRPr="00B97E44">
        <w:rPr>
          <w:rtl/>
        </w:rPr>
        <w:t xml:space="preserve">באמצעות מערכת </w:t>
      </w:r>
      <w:r w:rsidRPr="00B97E44">
        <w:rPr>
          <w:rFonts w:hint="cs"/>
          <w:rtl/>
        </w:rPr>
        <w:t>ה</w:t>
      </w:r>
      <w:r w:rsidRPr="00B97E44">
        <w:rPr>
          <w:rtl/>
        </w:rPr>
        <w:t>גפ"ן</w:t>
      </w:r>
      <w:r w:rsidRPr="00B97E44">
        <w:rPr>
          <w:rFonts w:hint="cs"/>
          <w:rtl/>
        </w:rPr>
        <w:t xml:space="preserve"> (סל מוסדי)</w:t>
      </w:r>
      <w:r w:rsidRPr="00B97E44">
        <w:rPr>
          <w:rtl/>
        </w:rPr>
        <w:t xml:space="preserve">. </w:t>
      </w:r>
      <w:bookmarkStart w:id="29" w:name="_Hlk218776915"/>
      <w:r w:rsidRPr="00B97E44">
        <w:rPr>
          <w:rtl/>
        </w:rPr>
        <w:t xml:space="preserve">תקצובו של כל מוסד נקבע </w:t>
      </w:r>
      <w:r w:rsidRPr="00B97E44">
        <w:rPr>
          <w:rFonts w:hint="cs"/>
          <w:rtl/>
        </w:rPr>
        <w:t>לפי</w:t>
      </w:r>
      <w:r w:rsidRPr="00B97E44">
        <w:rPr>
          <w:rtl/>
        </w:rPr>
        <w:t xml:space="preserve"> מספר התלמידים הלומדים בו </w:t>
      </w:r>
      <w:r w:rsidRPr="00B97E44">
        <w:rPr>
          <w:rFonts w:hint="cs"/>
          <w:rtl/>
        </w:rPr>
        <w:t>שזוהו</w:t>
      </w:r>
      <w:r w:rsidRPr="00B97E44">
        <w:rPr>
          <w:rtl/>
        </w:rPr>
        <w:t xml:space="preserve"> כתושבי חבל </w:t>
      </w:r>
      <w:r w:rsidRPr="00B97E44">
        <w:rPr>
          <w:rFonts w:hint="cs"/>
          <w:rtl/>
        </w:rPr>
        <w:t>ה</w:t>
      </w:r>
      <w:r w:rsidRPr="00B97E44">
        <w:rPr>
          <w:rtl/>
        </w:rPr>
        <w:t>תקומה</w:t>
      </w:r>
      <w:r w:rsidRPr="00B97E44">
        <w:rPr>
          <w:rFonts w:hint="cs"/>
          <w:rtl/>
        </w:rPr>
        <w:t xml:space="preserve"> בשבעה באוקטובר. בגין תלמיד המתגורר באחת מרשויות חבל התקומה אך ביישוב שאינו נמצא בטווח של עד 7 ק"מ מרצועת עזה - לא יוקצה למוסד סל תקומה על פי התוכנית.</w:t>
      </w:r>
    </w:p>
    <w:bookmarkEnd w:id="29"/>
    <w:p w:rsidR="005B126E" w:rsidP="001916A9">
      <w:pPr>
        <w:spacing w:line="269" w:lineRule="auto"/>
        <w:rPr>
          <w:rtl/>
        </w:rPr>
      </w:pPr>
    </w:p>
    <w:p w:rsidR="005B126E" w:rsidRPr="00B97E44" w:rsidP="001916A9">
      <w:pPr>
        <w:spacing w:line="269" w:lineRule="auto"/>
        <w:rPr>
          <w:rtl/>
        </w:rPr>
      </w:pPr>
      <w:r w:rsidRPr="00B97E44">
        <w:rPr>
          <w:rFonts w:hint="cs"/>
          <w:rtl/>
        </w:rPr>
        <w:t xml:space="preserve">זאת ועוד, יש ילדים המתגוררים בחבל </w:t>
      </w:r>
      <w:r>
        <w:rPr>
          <w:rFonts w:hint="cs"/>
          <w:rtl/>
        </w:rPr>
        <w:t>ה</w:t>
      </w:r>
      <w:r w:rsidRPr="00B97E44">
        <w:rPr>
          <w:rFonts w:hint="cs"/>
          <w:rtl/>
        </w:rPr>
        <w:t xml:space="preserve">תקומה ומתחנכים במוסדות שאינם בשטחי החבל ומשרתים גם תלמידים שגרים בחבל ומחוץ לו - דבר המאפיין בעיקר את הילדים המתגוררים במועצות האזוריות שבחבל. כך קשה להבטיח כי הכספים המועברים למוסדות החינוך ישרתו רק את ילדי חבל התקומה. </w:t>
      </w:r>
      <w:r w:rsidRPr="00B97E44">
        <w:rPr>
          <w:rtl/>
        </w:rPr>
        <w:t xml:space="preserve">מצב זה עלול להביא לפגיעה בהקצאת המשאבים </w:t>
      </w:r>
      <w:r w:rsidRPr="00B97E44">
        <w:rPr>
          <w:rFonts w:hint="cs"/>
          <w:rtl/>
        </w:rPr>
        <w:t>ל</w:t>
      </w:r>
      <w:r w:rsidRPr="00B97E44">
        <w:rPr>
          <w:rtl/>
        </w:rPr>
        <w:t>קבוצת היעד שנקבעה</w:t>
      </w:r>
      <w:r w:rsidRPr="00B97E44">
        <w:rPr>
          <w:rFonts w:hint="cs"/>
          <w:rtl/>
        </w:rPr>
        <w:t xml:space="preserve">. </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לפיכך בדק </w:t>
      </w:r>
      <w:r w:rsidRPr="00B97E44">
        <w:rPr>
          <w:rtl/>
        </w:rPr>
        <w:t xml:space="preserve">משרד מבקר המדינה </w:t>
      </w:r>
      <w:r w:rsidRPr="00B97E44">
        <w:rPr>
          <w:rFonts w:hint="cs"/>
          <w:rtl/>
        </w:rPr>
        <w:t>את ההקצאה ב</w:t>
      </w:r>
      <w:r>
        <w:rPr>
          <w:rFonts w:hint="cs"/>
          <w:rtl/>
        </w:rPr>
        <w:t>ארבעה</w:t>
      </w:r>
      <w:r w:rsidRPr="00B97E44">
        <w:rPr>
          <w:rFonts w:hint="cs"/>
          <w:rtl/>
        </w:rPr>
        <w:t xml:space="preserve"> מוסדות חינוך על-יסודי</w:t>
      </w:r>
      <w:r>
        <w:rPr>
          <w:vertAlign w:val="superscript"/>
          <w:rtl/>
        </w:rPr>
        <w:footnoteReference w:id="38"/>
      </w:r>
      <w:r w:rsidRPr="00B97E44">
        <w:rPr>
          <w:rFonts w:hint="cs"/>
          <w:rtl/>
        </w:rPr>
        <w:t xml:space="preserve"> שבהם למדו תלמידי חבל התקומה ערב שבעה באוקטובר ובחן מהו הסכום שקיבלו בגין הסל המוסדי בשנת הלימודים תשפ"ה, שאמור היה לעמוד על 6,750 ש"ח לתלמיד החבל על פי הנוהל. עוד הוא בדק מהו ה</w:t>
      </w:r>
      <w:r w:rsidRPr="00B97E44">
        <w:rPr>
          <w:rtl/>
        </w:rPr>
        <w:t xml:space="preserve">סכום </w:t>
      </w:r>
      <w:r w:rsidRPr="00B97E44">
        <w:rPr>
          <w:rFonts w:hint="cs"/>
          <w:rtl/>
        </w:rPr>
        <w:t>ה</w:t>
      </w:r>
      <w:r w:rsidRPr="00B97E44">
        <w:rPr>
          <w:rtl/>
        </w:rPr>
        <w:t xml:space="preserve">ממוצע </w:t>
      </w:r>
      <w:r w:rsidRPr="00B97E44">
        <w:rPr>
          <w:rFonts w:hint="cs"/>
          <w:rtl/>
        </w:rPr>
        <w:t>ל</w:t>
      </w:r>
      <w:r w:rsidRPr="00B97E44">
        <w:rPr>
          <w:rtl/>
        </w:rPr>
        <w:t>תלמיד במוסד החינוך</w:t>
      </w:r>
      <w:r w:rsidRPr="00B97E44">
        <w:rPr>
          <w:rFonts w:hint="cs"/>
          <w:rtl/>
        </w:rPr>
        <w:t xml:space="preserve">, באמצעות חלוקת סכום הסל במספר כל התלמידים הלומדים בו. </w:t>
      </w:r>
      <w:r w:rsidRPr="00B97E44">
        <w:rPr>
          <w:rtl/>
        </w:rPr>
        <w:t xml:space="preserve">תוצאות </w:t>
      </w:r>
      <w:r w:rsidRPr="00B97E44">
        <w:rPr>
          <w:rFonts w:hint="cs"/>
          <w:rtl/>
        </w:rPr>
        <w:t>ה</w:t>
      </w:r>
      <w:r w:rsidRPr="00B97E44">
        <w:rPr>
          <w:rtl/>
        </w:rPr>
        <w:t xml:space="preserve">בדיקה מובאות בלוח </w:t>
      </w:r>
      <w:r w:rsidRPr="00B97E44">
        <w:rPr>
          <w:rFonts w:hint="cs"/>
          <w:rtl/>
        </w:rPr>
        <w:t xml:space="preserve">3 </w:t>
      </w:r>
      <w:r w:rsidRPr="00B97E44">
        <w:rPr>
          <w:rtl/>
        </w:rPr>
        <w:t>להלן</w:t>
      </w:r>
      <w:r w:rsidRPr="00B97E44">
        <w:rPr>
          <w:rFonts w:hint="cs"/>
          <w:rtl/>
        </w:rPr>
        <w:t>.</w:t>
      </w:r>
    </w:p>
    <w:p w:rsidR="005B126E" w:rsidP="001916A9">
      <w:pPr>
        <w:spacing w:line="269" w:lineRule="auto"/>
        <w:jc w:val="center"/>
        <w:rPr>
          <w:rtl/>
        </w:rPr>
      </w:pPr>
    </w:p>
    <w:p w:rsidR="005B126E" w:rsidRPr="00B97E44" w:rsidP="001916A9">
      <w:pPr>
        <w:spacing w:line="269" w:lineRule="auto"/>
        <w:jc w:val="center"/>
        <w:rPr>
          <w:b/>
          <w:bCs/>
          <w:rtl/>
        </w:rPr>
      </w:pPr>
      <w:r w:rsidRPr="00B97E44">
        <w:rPr>
          <w:rFonts w:hint="cs"/>
          <w:rtl/>
        </w:rPr>
        <w:t>לוח 3</w:t>
      </w:r>
      <w:r>
        <w:rPr>
          <w:rFonts w:hint="cs"/>
          <w:rtl/>
        </w:rPr>
        <w:t>:</w:t>
      </w:r>
      <w:r w:rsidRPr="00B97E44">
        <w:rPr>
          <w:rFonts w:hint="cs"/>
          <w:b/>
          <w:bCs/>
          <w:rtl/>
        </w:rPr>
        <w:t xml:space="preserve"> </w:t>
      </w:r>
      <w:r w:rsidRPr="00B97E44">
        <w:rPr>
          <w:b/>
          <w:bCs/>
          <w:rtl/>
        </w:rPr>
        <w:t>סל תקומה אפקטיבי לתלמיד בארבעה מוסדות חינוך על-יסודי בחבל התקומה</w:t>
      </w:r>
      <w:r w:rsidRPr="00B97E44">
        <w:rPr>
          <w:rFonts w:hint="cs"/>
          <w:b/>
          <w:bCs/>
          <w:rtl/>
        </w:rPr>
        <w:t xml:space="preserve">, </w:t>
      </w:r>
      <w:r w:rsidR="00E66397">
        <w:rPr>
          <w:b/>
          <w:bCs/>
          <w:rtl/>
        </w:rPr>
        <w:br/>
      </w:r>
      <w:r w:rsidRPr="00B97E44">
        <w:rPr>
          <w:rFonts w:hint="cs"/>
          <w:b/>
          <w:bCs/>
          <w:rtl/>
        </w:rPr>
        <w:t xml:space="preserve">שנת הלימודים </w:t>
      </w:r>
      <w:r w:rsidRPr="00B97E44">
        <w:rPr>
          <w:rFonts w:hint="cs"/>
          <w:b/>
          <w:bCs/>
          <w:rtl/>
        </w:rPr>
        <w:t>התשפ"ה</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0"/>
        <w:gridCol w:w="1013"/>
        <w:gridCol w:w="1395"/>
        <w:gridCol w:w="1055"/>
        <w:gridCol w:w="1253"/>
        <w:gridCol w:w="1294"/>
        <w:gridCol w:w="1191"/>
      </w:tblGrid>
      <w:tr w:rsidTr="00E66397">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1010" w:type="dxa"/>
          </w:tcPr>
          <w:p w:rsidR="005B126E" w:rsidRPr="00BB7198" w:rsidP="001916A9">
            <w:pPr>
              <w:spacing w:line="269" w:lineRule="auto"/>
              <w:jc w:val="center"/>
              <w:rPr>
                <w:b/>
                <w:bCs/>
                <w:sz w:val="22"/>
                <w:szCs w:val="22"/>
                <w:rtl/>
              </w:rPr>
            </w:pPr>
            <w:r w:rsidRPr="00BB7198">
              <w:rPr>
                <w:rFonts w:hint="cs"/>
                <w:b/>
                <w:bCs/>
                <w:sz w:val="22"/>
                <w:szCs w:val="22"/>
                <w:rtl/>
              </w:rPr>
              <w:t>שם המוסד</w:t>
            </w:r>
          </w:p>
        </w:tc>
        <w:tc>
          <w:tcPr>
            <w:tcW w:w="1013" w:type="dxa"/>
          </w:tcPr>
          <w:p w:rsidR="005B126E" w:rsidRPr="00BB7198" w:rsidP="001916A9">
            <w:pPr>
              <w:spacing w:line="269" w:lineRule="auto"/>
              <w:jc w:val="center"/>
              <w:rPr>
                <w:b/>
                <w:bCs/>
                <w:sz w:val="22"/>
                <w:szCs w:val="22"/>
                <w:rtl/>
              </w:rPr>
            </w:pPr>
            <w:r w:rsidRPr="00BB7198">
              <w:rPr>
                <w:rFonts w:hint="cs"/>
                <w:b/>
                <w:bCs/>
                <w:sz w:val="22"/>
                <w:szCs w:val="22"/>
                <w:rtl/>
              </w:rPr>
              <w:t>הרשות המקומית</w:t>
            </w:r>
          </w:p>
        </w:tc>
        <w:tc>
          <w:tcPr>
            <w:tcW w:w="1395" w:type="dxa"/>
          </w:tcPr>
          <w:p w:rsidR="005B126E" w:rsidRPr="00BB7198" w:rsidP="001916A9">
            <w:pPr>
              <w:spacing w:line="269" w:lineRule="auto"/>
              <w:jc w:val="center"/>
              <w:rPr>
                <w:b/>
                <w:bCs/>
                <w:sz w:val="22"/>
                <w:szCs w:val="22"/>
                <w:rtl/>
              </w:rPr>
            </w:pPr>
            <w:r w:rsidRPr="00BB7198">
              <w:rPr>
                <w:rFonts w:hint="cs"/>
                <w:b/>
                <w:bCs/>
                <w:sz w:val="22"/>
                <w:szCs w:val="22"/>
                <w:rtl/>
              </w:rPr>
              <w:t>סה"כ תלמידים במוסד - תשפ"ה</w:t>
            </w:r>
          </w:p>
        </w:tc>
        <w:tc>
          <w:tcPr>
            <w:tcW w:w="1055" w:type="dxa"/>
          </w:tcPr>
          <w:p w:rsidR="005B126E" w:rsidRPr="00BB7198" w:rsidP="001916A9">
            <w:pPr>
              <w:spacing w:line="269" w:lineRule="auto"/>
              <w:jc w:val="center"/>
              <w:rPr>
                <w:b/>
                <w:bCs/>
                <w:sz w:val="22"/>
                <w:szCs w:val="22"/>
                <w:rtl/>
              </w:rPr>
            </w:pPr>
            <w:r w:rsidRPr="00BB7198">
              <w:rPr>
                <w:rFonts w:hint="cs"/>
                <w:b/>
                <w:bCs/>
                <w:sz w:val="22"/>
                <w:szCs w:val="22"/>
                <w:rtl/>
              </w:rPr>
              <w:t>תלמידי חבל התקומה שלמדו במוסד</w:t>
            </w:r>
          </w:p>
        </w:tc>
        <w:tc>
          <w:tcPr>
            <w:tcW w:w="1253" w:type="dxa"/>
          </w:tcPr>
          <w:p w:rsidR="005B126E" w:rsidRPr="00BB7198" w:rsidP="001916A9">
            <w:pPr>
              <w:spacing w:line="269" w:lineRule="auto"/>
              <w:jc w:val="center"/>
              <w:rPr>
                <w:b/>
                <w:bCs/>
                <w:sz w:val="22"/>
                <w:szCs w:val="22"/>
                <w:rtl/>
              </w:rPr>
            </w:pPr>
            <w:r w:rsidRPr="00BB7198">
              <w:rPr>
                <w:rFonts w:hint="cs"/>
                <w:b/>
                <w:bCs/>
                <w:sz w:val="22"/>
                <w:szCs w:val="22"/>
                <w:rtl/>
              </w:rPr>
              <w:t>סכום סל תקומה שהועבר למוסד בגין תשפ"ה בש"ח</w:t>
            </w:r>
          </w:p>
        </w:tc>
        <w:tc>
          <w:tcPr>
            <w:tcW w:w="1294" w:type="dxa"/>
          </w:tcPr>
          <w:p w:rsidR="005B126E" w:rsidRPr="00BB7198" w:rsidP="001916A9">
            <w:pPr>
              <w:spacing w:line="269" w:lineRule="auto"/>
              <w:jc w:val="center"/>
              <w:rPr>
                <w:b/>
                <w:bCs/>
                <w:sz w:val="22"/>
                <w:szCs w:val="22"/>
                <w:rtl/>
              </w:rPr>
            </w:pPr>
            <w:r w:rsidRPr="00BB7198">
              <w:rPr>
                <w:rFonts w:hint="cs"/>
                <w:b/>
                <w:bCs/>
                <w:sz w:val="22"/>
                <w:szCs w:val="22"/>
                <w:rtl/>
              </w:rPr>
              <w:t>מספר התלמידים במוסד שסכום הסל משקף</w:t>
            </w:r>
          </w:p>
        </w:tc>
        <w:tc>
          <w:tcPr>
            <w:tcW w:w="1191" w:type="dxa"/>
          </w:tcPr>
          <w:p w:rsidR="005B126E" w:rsidRPr="00BB7198" w:rsidP="001916A9">
            <w:pPr>
              <w:spacing w:line="269" w:lineRule="auto"/>
              <w:jc w:val="center"/>
              <w:rPr>
                <w:b/>
                <w:bCs/>
                <w:sz w:val="22"/>
                <w:szCs w:val="22"/>
                <w:rtl/>
              </w:rPr>
            </w:pPr>
            <w:r w:rsidRPr="00BB7198">
              <w:rPr>
                <w:rFonts w:hint="cs"/>
                <w:b/>
                <w:bCs/>
                <w:sz w:val="22"/>
                <w:szCs w:val="22"/>
                <w:rtl/>
              </w:rPr>
              <w:t>סל תקומה אפקטיבי בש"ח לתלמיד</w:t>
            </w:r>
          </w:p>
        </w:tc>
      </w:tr>
      <w:tr w:rsidTr="00E66397">
        <w:tblPrEx>
          <w:tblW w:w="0" w:type="auto"/>
          <w:jc w:val="center"/>
          <w:tblLook w:val="04A0"/>
        </w:tblPrEx>
        <w:trPr>
          <w:jc w:val="center"/>
        </w:trPr>
        <w:tc>
          <w:tcPr>
            <w:tcW w:w="1010" w:type="dxa"/>
          </w:tcPr>
          <w:p w:rsidR="005B126E" w:rsidRPr="00BB7198" w:rsidP="001916A9">
            <w:pPr>
              <w:spacing w:line="269" w:lineRule="auto"/>
              <w:jc w:val="left"/>
              <w:rPr>
                <w:b/>
                <w:bCs/>
                <w:sz w:val="22"/>
                <w:szCs w:val="22"/>
                <w:rtl/>
              </w:rPr>
            </w:pPr>
            <w:r w:rsidRPr="00BB7198">
              <w:rPr>
                <w:rFonts w:hint="cs"/>
                <w:b/>
                <w:bCs/>
                <w:sz w:val="22"/>
                <w:szCs w:val="22"/>
                <w:rtl/>
              </w:rPr>
              <w:t>חטיבת ביניים ממ"ד סעד</w:t>
            </w:r>
          </w:p>
        </w:tc>
        <w:tc>
          <w:tcPr>
            <w:tcW w:w="1013" w:type="dxa"/>
          </w:tcPr>
          <w:p w:rsidR="005B126E" w:rsidRPr="00BB7198" w:rsidP="001916A9">
            <w:pPr>
              <w:spacing w:line="269" w:lineRule="auto"/>
              <w:jc w:val="left"/>
              <w:rPr>
                <w:sz w:val="22"/>
                <w:szCs w:val="22"/>
                <w:rtl/>
              </w:rPr>
            </w:pPr>
            <w:r w:rsidRPr="00BB7198">
              <w:rPr>
                <w:rFonts w:hint="cs"/>
                <w:sz w:val="22"/>
                <w:szCs w:val="22"/>
                <w:rtl/>
              </w:rPr>
              <w:t>המועצה האזורית שדות נגב</w:t>
            </w:r>
          </w:p>
        </w:tc>
        <w:tc>
          <w:tcPr>
            <w:tcW w:w="1395" w:type="dxa"/>
          </w:tcPr>
          <w:p w:rsidR="005B126E" w:rsidRPr="00BB7198" w:rsidP="001916A9">
            <w:pPr>
              <w:spacing w:line="269" w:lineRule="auto"/>
              <w:jc w:val="left"/>
              <w:rPr>
                <w:sz w:val="22"/>
                <w:szCs w:val="22"/>
                <w:rtl/>
              </w:rPr>
            </w:pPr>
            <w:r w:rsidRPr="00BB7198">
              <w:rPr>
                <w:rFonts w:hint="cs"/>
                <w:sz w:val="22"/>
                <w:szCs w:val="22"/>
                <w:rtl/>
              </w:rPr>
              <w:t>119</w:t>
            </w:r>
          </w:p>
        </w:tc>
        <w:tc>
          <w:tcPr>
            <w:tcW w:w="1055" w:type="dxa"/>
          </w:tcPr>
          <w:p w:rsidR="005B126E" w:rsidRPr="00BB7198" w:rsidP="001916A9">
            <w:pPr>
              <w:spacing w:line="269" w:lineRule="auto"/>
              <w:jc w:val="left"/>
              <w:rPr>
                <w:sz w:val="22"/>
                <w:szCs w:val="22"/>
                <w:rtl/>
              </w:rPr>
            </w:pPr>
            <w:r w:rsidRPr="00BB7198">
              <w:rPr>
                <w:rFonts w:hint="cs"/>
                <w:sz w:val="22"/>
                <w:szCs w:val="22"/>
                <w:rtl/>
              </w:rPr>
              <w:t>86</w:t>
            </w:r>
          </w:p>
        </w:tc>
        <w:tc>
          <w:tcPr>
            <w:tcW w:w="1253" w:type="dxa"/>
          </w:tcPr>
          <w:p w:rsidR="005B126E" w:rsidRPr="00BB7198" w:rsidP="001916A9">
            <w:pPr>
              <w:spacing w:line="269" w:lineRule="auto"/>
              <w:jc w:val="left"/>
              <w:rPr>
                <w:sz w:val="22"/>
                <w:szCs w:val="22"/>
                <w:rtl/>
              </w:rPr>
            </w:pPr>
            <w:r w:rsidRPr="00BB7198">
              <w:rPr>
                <w:rFonts w:hint="cs"/>
                <w:sz w:val="22"/>
                <w:szCs w:val="22"/>
                <w:rtl/>
              </w:rPr>
              <w:t>553,500</w:t>
            </w:r>
          </w:p>
        </w:tc>
        <w:tc>
          <w:tcPr>
            <w:tcW w:w="1294" w:type="dxa"/>
          </w:tcPr>
          <w:p w:rsidR="005B126E" w:rsidRPr="00BB7198" w:rsidP="001916A9">
            <w:pPr>
              <w:spacing w:line="269" w:lineRule="auto"/>
              <w:jc w:val="left"/>
              <w:rPr>
                <w:sz w:val="22"/>
                <w:szCs w:val="22"/>
                <w:rtl/>
              </w:rPr>
            </w:pPr>
            <w:r w:rsidRPr="00BB7198">
              <w:rPr>
                <w:rFonts w:hint="cs"/>
                <w:sz w:val="22"/>
                <w:szCs w:val="22"/>
                <w:rtl/>
              </w:rPr>
              <w:t>89</w:t>
            </w:r>
          </w:p>
        </w:tc>
        <w:tc>
          <w:tcPr>
            <w:tcW w:w="1191" w:type="dxa"/>
          </w:tcPr>
          <w:p w:rsidR="005B126E" w:rsidRPr="00BB7198" w:rsidP="001916A9">
            <w:pPr>
              <w:spacing w:line="269" w:lineRule="auto"/>
              <w:jc w:val="left"/>
              <w:rPr>
                <w:sz w:val="22"/>
                <w:szCs w:val="22"/>
                <w:rtl/>
              </w:rPr>
            </w:pPr>
            <w:r w:rsidRPr="00BB7198">
              <w:rPr>
                <w:rFonts w:hint="cs"/>
                <w:sz w:val="22"/>
                <w:szCs w:val="22"/>
                <w:rtl/>
              </w:rPr>
              <w:t>4,651</w:t>
            </w:r>
          </w:p>
        </w:tc>
      </w:tr>
      <w:tr w:rsidTr="00E66397">
        <w:tblPrEx>
          <w:tblW w:w="0" w:type="auto"/>
          <w:jc w:val="center"/>
          <w:tblLook w:val="04A0"/>
        </w:tblPrEx>
        <w:trPr>
          <w:jc w:val="center"/>
        </w:trPr>
        <w:tc>
          <w:tcPr>
            <w:tcW w:w="1010" w:type="dxa"/>
          </w:tcPr>
          <w:p w:rsidR="005B126E" w:rsidRPr="00BB7198" w:rsidP="001916A9">
            <w:pPr>
              <w:spacing w:line="269" w:lineRule="auto"/>
              <w:jc w:val="left"/>
              <w:rPr>
                <w:b/>
                <w:bCs/>
                <w:sz w:val="22"/>
                <w:szCs w:val="22"/>
                <w:rtl/>
              </w:rPr>
            </w:pPr>
            <w:r w:rsidRPr="00BB7198">
              <w:rPr>
                <w:rFonts w:hint="cs"/>
                <w:b/>
                <w:bCs/>
                <w:sz w:val="22"/>
                <w:szCs w:val="22"/>
                <w:rtl/>
              </w:rPr>
              <w:t xml:space="preserve">תיכון מקיף כפר </w:t>
            </w:r>
            <w:r w:rsidRPr="00BB7198">
              <w:rPr>
                <w:rFonts w:hint="cs"/>
                <w:b/>
                <w:bCs/>
                <w:sz w:val="22"/>
                <w:szCs w:val="22"/>
                <w:rtl/>
              </w:rPr>
              <w:t>סילבר</w:t>
            </w:r>
          </w:p>
        </w:tc>
        <w:tc>
          <w:tcPr>
            <w:tcW w:w="1013" w:type="dxa"/>
          </w:tcPr>
          <w:p w:rsidR="005B126E" w:rsidRPr="00BB7198" w:rsidP="001916A9">
            <w:pPr>
              <w:spacing w:line="269" w:lineRule="auto"/>
              <w:jc w:val="left"/>
              <w:rPr>
                <w:sz w:val="22"/>
                <w:szCs w:val="22"/>
                <w:rtl/>
              </w:rPr>
            </w:pPr>
            <w:r w:rsidRPr="00BB7198">
              <w:rPr>
                <w:rFonts w:hint="cs"/>
                <w:sz w:val="22"/>
                <w:szCs w:val="22"/>
                <w:rtl/>
              </w:rPr>
              <w:t>המועצה האזורית חוף אשקלון</w:t>
            </w:r>
          </w:p>
        </w:tc>
        <w:tc>
          <w:tcPr>
            <w:tcW w:w="1395" w:type="dxa"/>
          </w:tcPr>
          <w:p w:rsidR="005B126E" w:rsidRPr="00BB7198" w:rsidP="001916A9">
            <w:pPr>
              <w:spacing w:line="269" w:lineRule="auto"/>
              <w:jc w:val="left"/>
              <w:rPr>
                <w:sz w:val="22"/>
                <w:szCs w:val="22"/>
                <w:rtl/>
              </w:rPr>
            </w:pPr>
            <w:r w:rsidRPr="00BB7198">
              <w:rPr>
                <w:rFonts w:hint="cs"/>
                <w:sz w:val="22"/>
                <w:szCs w:val="22"/>
                <w:rtl/>
              </w:rPr>
              <w:t>1,009</w:t>
            </w:r>
          </w:p>
        </w:tc>
        <w:tc>
          <w:tcPr>
            <w:tcW w:w="1055" w:type="dxa"/>
          </w:tcPr>
          <w:p w:rsidR="005B126E" w:rsidRPr="00BB7198" w:rsidP="001916A9">
            <w:pPr>
              <w:spacing w:line="269" w:lineRule="auto"/>
              <w:jc w:val="left"/>
              <w:rPr>
                <w:sz w:val="22"/>
                <w:szCs w:val="22"/>
                <w:rtl/>
              </w:rPr>
            </w:pPr>
            <w:r w:rsidRPr="00BB7198">
              <w:rPr>
                <w:rFonts w:hint="cs"/>
                <w:sz w:val="22"/>
                <w:szCs w:val="22"/>
                <w:rtl/>
              </w:rPr>
              <w:t>61</w:t>
            </w:r>
          </w:p>
        </w:tc>
        <w:tc>
          <w:tcPr>
            <w:tcW w:w="1253" w:type="dxa"/>
          </w:tcPr>
          <w:p w:rsidR="005B126E" w:rsidRPr="00BB7198" w:rsidP="001916A9">
            <w:pPr>
              <w:spacing w:line="269" w:lineRule="auto"/>
              <w:jc w:val="left"/>
              <w:rPr>
                <w:sz w:val="22"/>
                <w:szCs w:val="22"/>
                <w:rtl/>
              </w:rPr>
            </w:pPr>
            <w:r w:rsidRPr="00BB7198">
              <w:rPr>
                <w:rFonts w:hint="cs"/>
                <w:sz w:val="22"/>
                <w:szCs w:val="22"/>
                <w:rtl/>
              </w:rPr>
              <w:t>445,500</w:t>
            </w:r>
          </w:p>
        </w:tc>
        <w:tc>
          <w:tcPr>
            <w:tcW w:w="1294" w:type="dxa"/>
          </w:tcPr>
          <w:p w:rsidR="005B126E" w:rsidRPr="00BB7198" w:rsidP="001916A9">
            <w:pPr>
              <w:spacing w:line="269" w:lineRule="auto"/>
              <w:jc w:val="left"/>
              <w:rPr>
                <w:sz w:val="22"/>
                <w:szCs w:val="22"/>
                <w:rtl/>
              </w:rPr>
            </w:pPr>
            <w:r w:rsidRPr="00BB7198">
              <w:rPr>
                <w:rFonts w:hint="cs"/>
                <w:sz w:val="22"/>
                <w:szCs w:val="22"/>
                <w:rtl/>
              </w:rPr>
              <w:t>71</w:t>
            </w:r>
          </w:p>
        </w:tc>
        <w:tc>
          <w:tcPr>
            <w:tcW w:w="1191" w:type="dxa"/>
          </w:tcPr>
          <w:p w:rsidR="005B126E" w:rsidRPr="00BB7198" w:rsidP="001916A9">
            <w:pPr>
              <w:spacing w:line="269" w:lineRule="auto"/>
              <w:jc w:val="left"/>
              <w:rPr>
                <w:sz w:val="22"/>
                <w:szCs w:val="22"/>
                <w:rtl/>
              </w:rPr>
            </w:pPr>
            <w:r w:rsidRPr="00BB7198">
              <w:rPr>
                <w:rFonts w:hint="cs"/>
                <w:sz w:val="22"/>
                <w:szCs w:val="22"/>
                <w:rtl/>
              </w:rPr>
              <w:t>442</w:t>
            </w:r>
          </w:p>
        </w:tc>
      </w:tr>
      <w:tr w:rsidTr="00E66397">
        <w:tblPrEx>
          <w:tblW w:w="0" w:type="auto"/>
          <w:jc w:val="center"/>
          <w:tblLook w:val="04A0"/>
        </w:tblPrEx>
        <w:trPr>
          <w:jc w:val="center"/>
        </w:trPr>
        <w:tc>
          <w:tcPr>
            <w:tcW w:w="1010" w:type="dxa"/>
          </w:tcPr>
          <w:p w:rsidR="005B126E" w:rsidRPr="00BB7198" w:rsidP="001916A9">
            <w:pPr>
              <w:spacing w:line="269" w:lineRule="auto"/>
              <w:jc w:val="left"/>
              <w:rPr>
                <w:b/>
                <w:bCs/>
                <w:sz w:val="22"/>
                <w:szCs w:val="22"/>
                <w:rtl/>
              </w:rPr>
            </w:pPr>
            <w:r w:rsidRPr="00BB7198">
              <w:rPr>
                <w:rFonts w:hint="cs"/>
                <w:b/>
                <w:bCs/>
                <w:sz w:val="22"/>
                <w:szCs w:val="22"/>
                <w:rtl/>
              </w:rPr>
              <w:t>תיכון מקיף שקמה</w:t>
            </w:r>
          </w:p>
        </w:tc>
        <w:tc>
          <w:tcPr>
            <w:tcW w:w="1013" w:type="dxa"/>
          </w:tcPr>
          <w:p w:rsidR="005B126E" w:rsidRPr="00BB7198" w:rsidP="001916A9">
            <w:pPr>
              <w:spacing w:line="269" w:lineRule="auto"/>
              <w:jc w:val="left"/>
              <w:rPr>
                <w:sz w:val="22"/>
                <w:szCs w:val="22"/>
                <w:rtl/>
              </w:rPr>
            </w:pPr>
            <w:r w:rsidRPr="00BB7198">
              <w:rPr>
                <w:rFonts w:hint="cs"/>
                <w:sz w:val="22"/>
                <w:szCs w:val="22"/>
                <w:rtl/>
              </w:rPr>
              <w:t>המועצה האזורית חוף אשקלון</w:t>
            </w:r>
          </w:p>
        </w:tc>
        <w:tc>
          <w:tcPr>
            <w:tcW w:w="1395" w:type="dxa"/>
          </w:tcPr>
          <w:p w:rsidR="005B126E" w:rsidRPr="00BB7198" w:rsidP="001916A9">
            <w:pPr>
              <w:spacing w:line="269" w:lineRule="auto"/>
              <w:jc w:val="left"/>
              <w:rPr>
                <w:sz w:val="22"/>
                <w:szCs w:val="22"/>
                <w:rtl/>
              </w:rPr>
            </w:pPr>
            <w:r w:rsidRPr="00BB7198">
              <w:rPr>
                <w:rFonts w:hint="cs"/>
                <w:sz w:val="22"/>
                <w:szCs w:val="22"/>
                <w:rtl/>
              </w:rPr>
              <w:t>748</w:t>
            </w:r>
          </w:p>
        </w:tc>
        <w:tc>
          <w:tcPr>
            <w:tcW w:w="1055" w:type="dxa"/>
          </w:tcPr>
          <w:p w:rsidR="005B126E" w:rsidRPr="00BB7198" w:rsidP="001916A9">
            <w:pPr>
              <w:spacing w:line="269" w:lineRule="auto"/>
              <w:jc w:val="left"/>
              <w:rPr>
                <w:sz w:val="22"/>
                <w:szCs w:val="22"/>
                <w:rtl/>
              </w:rPr>
            </w:pPr>
            <w:r w:rsidRPr="00BB7198">
              <w:rPr>
                <w:rFonts w:hint="cs"/>
                <w:sz w:val="22"/>
                <w:szCs w:val="22"/>
                <w:rtl/>
              </w:rPr>
              <w:t>354</w:t>
            </w:r>
          </w:p>
        </w:tc>
        <w:tc>
          <w:tcPr>
            <w:tcW w:w="1253" w:type="dxa"/>
          </w:tcPr>
          <w:p w:rsidR="005B126E" w:rsidRPr="00BB7198" w:rsidP="001916A9">
            <w:pPr>
              <w:spacing w:line="269" w:lineRule="auto"/>
              <w:jc w:val="left"/>
              <w:rPr>
                <w:sz w:val="22"/>
                <w:szCs w:val="22"/>
                <w:rtl/>
              </w:rPr>
            </w:pPr>
            <w:r w:rsidRPr="00BB7198">
              <w:rPr>
                <w:rFonts w:hint="cs"/>
                <w:sz w:val="22"/>
                <w:szCs w:val="22"/>
                <w:rtl/>
              </w:rPr>
              <w:t>2,227,500</w:t>
            </w:r>
          </w:p>
        </w:tc>
        <w:tc>
          <w:tcPr>
            <w:tcW w:w="1294" w:type="dxa"/>
          </w:tcPr>
          <w:p w:rsidR="005B126E" w:rsidRPr="00BB7198" w:rsidP="001916A9">
            <w:pPr>
              <w:spacing w:line="269" w:lineRule="auto"/>
              <w:jc w:val="left"/>
              <w:rPr>
                <w:sz w:val="22"/>
                <w:szCs w:val="22"/>
                <w:rtl/>
              </w:rPr>
            </w:pPr>
            <w:r w:rsidRPr="00BB7198">
              <w:rPr>
                <w:rFonts w:hint="cs"/>
                <w:sz w:val="22"/>
                <w:szCs w:val="22"/>
                <w:rtl/>
              </w:rPr>
              <w:t>356</w:t>
            </w:r>
          </w:p>
        </w:tc>
        <w:tc>
          <w:tcPr>
            <w:tcW w:w="1191" w:type="dxa"/>
          </w:tcPr>
          <w:p w:rsidR="005B126E" w:rsidRPr="00BB7198" w:rsidP="001916A9">
            <w:pPr>
              <w:spacing w:line="269" w:lineRule="auto"/>
              <w:jc w:val="left"/>
              <w:rPr>
                <w:sz w:val="22"/>
                <w:szCs w:val="22"/>
                <w:rtl/>
              </w:rPr>
            </w:pPr>
            <w:r w:rsidRPr="00BB7198">
              <w:rPr>
                <w:rFonts w:hint="cs"/>
                <w:sz w:val="22"/>
                <w:szCs w:val="22"/>
                <w:rtl/>
              </w:rPr>
              <w:t>2,978</w:t>
            </w:r>
          </w:p>
        </w:tc>
      </w:tr>
      <w:tr w:rsidTr="00E66397">
        <w:tblPrEx>
          <w:tblW w:w="0" w:type="auto"/>
          <w:jc w:val="center"/>
          <w:tblLook w:val="04A0"/>
        </w:tblPrEx>
        <w:trPr>
          <w:jc w:val="center"/>
        </w:trPr>
        <w:tc>
          <w:tcPr>
            <w:tcW w:w="1010" w:type="dxa"/>
          </w:tcPr>
          <w:p w:rsidR="005B126E" w:rsidRPr="00BB7198" w:rsidP="001916A9">
            <w:pPr>
              <w:spacing w:line="269" w:lineRule="auto"/>
              <w:jc w:val="left"/>
              <w:rPr>
                <w:b/>
                <w:bCs/>
                <w:sz w:val="22"/>
                <w:szCs w:val="22"/>
                <w:rtl/>
              </w:rPr>
            </w:pPr>
            <w:r w:rsidRPr="00BB7198">
              <w:rPr>
                <w:rFonts w:hint="cs"/>
                <w:b/>
                <w:bCs/>
                <w:sz w:val="22"/>
                <w:szCs w:val="22"/>
                <w:rtl/>
              </w:rPr>
              <w:t>בית החינוך נופי הבשור</w:t>
            </w:r>
          </w:p>
        </w:tc>
        <w:tc>
          <w:tcPr>
            <w:tcW w:w="1013" w:type="dxa"/>
          </w:tcPr>
          <w:p w:rsidR="005B126E" w:rsidRPr="00BB7198" w:rsidP="001916A9">
            <w:pPr>
              <w:spacing w:line="269" w:lineRule="auto"/>
              <w:jc w:val="left"/>
              <w:rPr>
                <w:sz w:val="22"/>
                <w:szCs w:val="22"/>
                <w:rtl/>
              </w:rPr>
            </w:pPr>
            <w:r w:rsidRPr="00BB7198">
              <w:rPr>
                <w:rFonts w:hint="cs"/>
                <w:sz w:val="22"/>
                <w:szCs w:val="22"/>
                <w:rtl/>
              </w:rPr>
              <w:t>המועצה האזורית אשכול</w:t>
            </w:r>
          </w:p>
        </w:tc>
        <w:tc>
          <w:tcPr>
            <w:tcW w:w="1395" w:type="dxa"/>
          </w:tcPr>
          <w:p w:rsidR="005B126E" w:rsidRPr="00BB7198" w:rsidP="001916A9">
            <w:pPr>
              <w:spacing w:line="269" w:lineRule="auto"/>
              <w:jc w:val="left"/>
              <w:rPr>
                <w:sz w:val="22"/>
                <w:szCs w:val="22"/>
                <w:rtl/>
              </w:rPr>
            </w:pPr>
            <w:r w:rsidRPr="00BB7198">
              <w:rPr>
                <w:rFonts w:hint="cs"/>
                <w:sz w:val="22"/>
                <w:szCs w:val="22"/>
                <w:rtl/>
              </w:rPr>
              <w:t>840</w:t>
            </w:r>
          </w:p>
        </w:tc>
        <w:tc>
          <w:tcPr>
            <w:tcW w:w="1055" w:type="dxa"/>
          </w:tcPr>
          <w:p w:rsidR="005B126E" w:rsidRPr="00BB7198" w:rsidP="001916A9">
            <w:pPr>
              <w:spacing w:line="269" w:lineRule="auto"/>
              <w:jc w:val="left"/>
              <w:rPr>
                <w:sz w:val="22"/>
                <w:szCs w:val="22"/>
                <w:rtl/>
              </w:rPr>
            </w:pPr>
            <w:r w:rsidRPr="00BB7198">
              <w:rPr>
                <w:rFonts w:hint="cs"/>
                <w:sz w:val="22"/>
                <w:szCs w:val="22"/>
                <w:rtl/>
              </w:rPr>
              <w:t>616</w:t>
            </w:r>
          </w:p>
        </w:tc>
        <w:tc>
          <w:tcPr>
            <w:tcW w:w="1253" w:type="dxa"/>
          </w:tcPr>
          <w:p w:rsidR="005B126E" w:rsidRPr="00BB7198" w:rsidP="001916A9">
            <w:pPr>
              <w:spacing w:line="269" w:lineRule="auto"/>
              <w:jc w:val="left"/>
              <w:rPr>
                <w:sz w:val="22"/>
                <w:szCs w:val="22"/>
                <w:rtl/>
              </w:rPr>
            </w:pPr>
            <w:r w:rsidRPr="00BB7198">
              <w:rPr>
                <w:rFonts w:hint="cs"/>
                <w:sz w:val="22"/>
                <w:szCs w:val="22"/>
                <w:rtl/>
              </w:rPr>
              <w:t>4,927,500</w:t>
            </w:r>
          </w:p>
        </w:tc>
        <w:tc>
          <w:tcPr>
            <w:tcW w:w="1294" w:type="dxa"/>
          </w:tcPr>
          <w:p w:rsidR="005B126E" w:rsidRPr="00BB7198" w:rsidP="001916A9">
            <w:pPr>
              <w:spacing w:line="269" w:lineRule="auto"/>
              <w:jc w:val="left"/>
              <w:rPr>
                <w:sz w:val="22"/>
                <w:szCs w:val="22"/>
                <w:rtl/>
              </w:rPr>
            </w:pPr>
            <w:r w:rsidRPr="00BB7198">
              <w:rPr>
                <w:rFonts w:hint="cs"/>
                <w:sz w:val="22"/>
                <w:szCs w:val="22"/>
                <w:rtl/>
              </w:rPr>
              <w:t>788</w:t>
            </w:r>
          </w:p>
        </w:tc>
        <w:tc>
          <w:tcPr>
            <w:tcW w:w="1191" w:type="dxa"/>
          </w:tcPr>
          <w:p w:rsidR="005B126E" w:rsidRPr="00BB7198" w:rsidP="001916A9">
            <w:pPr>
              <w:spacing w:line="269" w:lineRule="auto"/>
              <w:jc w:val="left"/>
              <w:rPr>
                <w:sz w:val="22"/>
                <w:szCs w:val="22"/>
                <w:rtl/>
              </w:rPr>
            </w:pPr>
            <w:r w:rsidRPr="00BB7198">
              <w:rPr>
                <w:rFonts w:hint="cs"/>
                <w:sz w:val="22"/>
                <w:szCs w:val="22"/>
                <w:rtl/>
              </w:rPr>
              <w:t>5,866</w:t>
            </w:r>
          </w:p>
        </w:tc>
      </w:tr>
    </w:tbl>
    <w:p w:rsidR="005B126E" w:rsidRPr="00B97E44" w:rsidP="001916A9">
      <w:pPr>
        <w:spacing w:line="269" w:lineRule="auto"/>
        <w:rPr>
          <w:sz w:val="16"/>
          <w:szCs w:val="20"/>
          <w:rtl/>
        </w:rPr>
      </w:pPr>
      <w:r w:rsidRPr="00B97E44">
        <w:rPr>
          <w:rFonts w:hint="cs"/>
          <w:sz w:val="16"/>
          <w:szCs w:val="20"/>
          <w:rtl/>
        </w:rPr>
        <w:t xml:space="preserve">על פי נתוני משרד החינוך </w:t>
      </w:r>
      <w:r w:rsidRPr="00B97E44">
        <w:rPr>
          <w:rFonts w:hint="cs"/>
          <w:sz w:val="16"/>
          <w:szCs w:val="20"/>
          <w:rtl/>
        </w:rPr>
        <w:t>ומינהלת</w:t>
      </w:r>
      <w:r w:rsidRPr="00B97E44">
        <w:rPr>
          <w:rFonts w:hint="cs"/>
          <w:sz w:val="16"/>
          <w:szCs w:val="20"/>
          <w:rtl/>
        </w:rPr>
        <w:t xml:space="preserve"> תקומה, בעיבוד משרד מבקר המדינה.</w:t>
      </w:r>
    </w:p>
    <w:p w:rsidR="005B126E" w:rsidP="001916A9">
      <w:pPr>
        <w:spacing w:line="269" w:lineRule="auto"/>
        <w:rPr>
          <w:b/>
          <w:bCs/>
          <w:rtl/>
        </w:rPr>
      </w:pPr>
    </w:p>
    <w:p w:rsidR="005B126E" w:rsidRPr="00B97E44" w:rsidP="001916A9">
      <w:pPr>
        <w:spacing w:line="269" w:lineRule="auto"/>
        <w:rPr>
          <w:b/>
          <w:bCs/>
        </w:rPr>
      </w:pPr>
      <w:r w:rsidRPr="00B97E44">
        <w:rPr>
          <w:b/>
          <w:bCs/>
          <w:rtl/>
        </w:rPr>
        <w:t xml:space="preserve">הנתונים לעיל </w:t>
      </w:r>
      <w:r w:rsidRPr="00B97E44">
        <w:rPr>
          <w:rFonts w:hint="cs"/>
          <w:b/>
          <w:bCs/>
          <w:rtl/>
        </w:rPr>
        <w:t xml:space="preserve">מלמדים על </w:t>
      </w:r>
      <w:r w:rsidRPr="00B97E44">
        <w:rPr>
          <w:b/>
          <w:bCs/>
          <w:rtl/>
        </w:rPr>
        <w:t xml:space="preserve">פער גדול בסל תקומה אפקטיבי לתלמיד בין </w:t>
      </w:r>
      <w:r w:rsidRPr="00B97E44">
        <w:rPr>
          <w:rFonts w:hint="cs"/>
          <w:b/>
          <w:bCs/>
          <w:rtl/>
        </w:rPr>
        <w:t xml:space="preserve">ארבעת </w:t>
      </w:r>
      <w:r w:rsidRPr="00B97E44">
        <w:rPr>
          <w:b/>
          <w:bCs/>
          <w:rtl/>
        </w:rPr>
        <w:t>מוסדות החינוך</w:t>
      </w:r>
      <w:r w:rsidRPr="00B97E44">
        <w:rPr>
          <w:rFonts w:hint="cs"/>
          <w:b/>
          <w:bCs/>
          <w:rtl/>
        </w:rPr>
        <w:t xml:space="preserve">. נמצא כי </w:t>
      </w:r>
      <w:r w:rsidRPr="00B97E44">
        <w:rPr>
          <w:b/>
          <w:bCs/>
          <w:rtl/>
        </w:rPr>
        <w:t>סל תקומה לתלמיד</w:t>
      </w:r>
      <w:r w:rsidRPr="00B97E44">
        <w:rPr>
          <w:rFonts w:hint="cs"/>
          <w:b/>
          <w:bCs/>
          <w:rtl/>
        </w:rPr>
        <w:t xml:space="preserve">, שהיה אמור לעמוד על 6,750 ש"ח, בפועל היה נמוך מכך - </w:t>
      </w:r>
      <w:r w:rsidRPr="00B97E44">
        <w:rPr>
          <w:b/>
          <w:bCs/>
          <w:rtl/>
        </w:rPr>
        <w:t xml:space="preserve">במקיף כפר </w:t>
      </w:r>
      <w:r w:rsidRPr="00B97E44">
        <w:rPr>
          <w:b/>
          <w:bCs/>
          <w:rtl/>
        </w:rPr>
        <w:t>סילבר</w:t>
      </w:r>
      <w:r w:rsidRPr="00B97E44">
        <w:rPr>
          <w:b/>
          <w:bCs/>
          <w:rtl/>
        </w:rPr>
        <w:t xml:space="preserve"> הוא הנמוך ביותר</w:t>
      </w:r>
      <w:r w:rsidRPr="00B97E44">
        <w:rPr>
          <w:rFonts w:hint="cs"/>
          <w:b/>
          <w:bCs/>
          <w:rtl/>
        </w:rPr>
        <w:t xml:space="preserve"> </w:t>
      </w:r>
      <w:r w:rsidRPr="00B97E44">
        <w:rPr>
          <w:b/>
          <w:bCs/>
          <w:rtl/>
        </w:rPr>
        <w:t>ועומד על 442 ש"ח</w:t>
      </w:r>
      <w:r w:rsidRPr="00B97E44">
        <w:rPr>
          <w:rFonts w:hint="cs"/>
          <w:b/>
          <w:bCs/>
          <w:rtl/>
        </w:rPr>
        <w:t>,</w:t>
      </w:r>
      <w:r w:rsidRPr="00B97E44">
        <w:rPr>
          <w:b/>
          <w:bCs/>
          <w:rtl/>
        </w:rPr>
        <w:t xml:space="preserve"> ובנופי הבשור</w:t>
      </w:r>
      <w:r w:rsidRPr="00B97E44">
        <w:rPr>
          <w:rFonts w:hint="cs"/>
          <w:b/>
          <w:bCs/>
          <w:rtl/>
        </w:rPr>
        <w:t xml:space="preserve"> </w:t>
      </w:r>
      <w:r w:rsidRPr="00B97E44">
        <w:rPr>
          <w:b/>
          <w:bCs/>
          <w:rtl/>
        </w:rPr>
        <w:t xml:space="preserve">הוא הגבוה ביותר במדגם ועומד על 5,866 ש"ח, פי 13 מסל תקומה במקיף כפר </w:t>
      </w:r>
      <w:r w:rsidRPr="00B97E44">
        <w:rPr>
          <w:b/>
          <w:bCs/>
          <w:rtl/>
        </w:rPr>
        <w:t>סילבר</w:t>
      </w:r>
      <w:r w:rsidRPr="00B97E44">
        <w:rPr>
          <w:b/>
          <w:bCs/>
          <w:rtl/>
        </w:rPr>
        <w:t>.</w:t>
      </w:r>
      <w:r w:rsidRPr="00B97E44">
        <w:rPr>
          <w:rFonts w:hint="cs"/>
          <w:b/>
          <w:bCs/>
          <w:rtl/>
        </w:rPr>
        <w:t xml:space="preserve"> הפער נובע מכך</w:t>
      </w:r>
      <w:r w:rsidRPr="00B97E44">
        <w:rPr>
          <w:b/>
          <w:bCs/>
          <w:rtl/>
        </w:rPr>
        <w:t xml:space="preserve"> </w:t>
      </w:r>
      <w:r w:rsidRPr="00B97E44">
        <w:rPr>
          <w:rFonts w:hint="cs"/>
          <w:b/>
          <w:bCs/>
          <w:rtl/>
        </w:rPr>
        <w:t>שסל תקומה ניתן בגין תלמידים מחבל התקומה הרשומים בבית הספר אך בפועל מתחלק בין כלל תלמידי בית הספר.</w:t>
      </w:r>
    </w:p>
    <w:p w:rsidR="005B126E" w:rsidP="001916A9">
      <w:pPr>
        <w:spacing w:line="269" w:lineRule="auto"/>
        <w:rPr>
          <w:b/>
          <w:bCs/>
          <w:rtl/>
        </w:rPr>
      </w:pPr>
    </w:p>
    <w:p w:rsidR="005B126E" w:rsidRPr="00B97E44" w:rsidP="001916A9">
      <w:pPr>
        <w:spacing w:line="269" w:lineRule="auto"/>
        <w:rPr>
          <w:b/>
          <w:bCs/>
          <w:rtl/>
        </w:rPr>
      </w:pPr>
      <w:r w:rsidRPr="00B97E44">
        <w:rPr>
          <w:b/>
          <w:bCs/>
          <w:rtl/>
        </w:rPr>
        <w:t>עוד נמצא כי ב</w:t>
      </w:r>
      <w:r w:rsidRPr="00B97E44">
        <w:rPr>
          <w:rFonts w:hint="eastAsia"/>
          <w:b/>
          <w:bCs/>
          <w:rtl/>
        </w:rPr>
        <w:t>כמה</w:t>
      </w:r>
      <w:r w:rsidRPr="00B97E44">
        <w:rPr>
          <w:b/>
          <w:bCs/>
          <w:rtl/>
        </w:rPr>
        <w:t xml:space="preserve"> מקרים נכללו במסגרת הסל המוסדי תוכניות </w:t>
      </w:r>
      <w:r w:rsidRPr="00B97E44">
        <w:rPr>
          <w:rFonts w:hint="eastAsia"/>
          <w:b/>
          <w:bCs/>
          <w:rtl/>
        </w:rPr>
        <w:t>ממוקדות</w:t>
      </w:r>
      <w:r w:rsidRPr="00B97E44">
        <w:rPr>
          <w:b/>
          <w:bCs/>
          <w:rtl/>
        </w:rPr>
        <w:t xml:space="preserve"> לתלמידים המוגדרים "תלמידי תקומה". עם זאת, בשל מורכבות יישומית ותפעולית, לא ניתן היה להחיל הבחנה זו על כלל התוכניות, ובפועל חלק מהן יושמו באופן רוחבי והיטיבו עם כלל תלמידי בית הספר, בין </w:t>
      </w:r>
      <w:r w:rsidRPr="00B97E44">
        <w:rPr>
          <w:rFonts w:hint="eastAsia"/>
          <w:b/>
          <w:bCs/>
          <w:rtl/>
        </w:rPr>
        <w:t>שהם</w:t>
      </w:r>
      <w:r w:rsidRPr="00B97E44">
        <w:rPr>
          <w:b/>
          <w:bCs/>
          <w:rtl/>
        </w:rPr>
        <w:t xml:space="preserve"> </w:t>
      </w:r>
      <w:r w:rsidRPr="00B97E44">
        <w:rPr>
          <w:rFonts w:hint="eastAsia"/>
          <w:b/>
          <w:bCs/>
          <w:rtl/>
        </w:rPr>
        <w:t>שייכים</w:t>
      </w:r>
      <w:r w:rsidRPr="00B97E44">
        <w:rPr>
          <w:b/>
          <w:bCs/>
          <w:rtl/>
        </w:rPr>
        <w:t xml:space="preserve"> </w:t>
      </w:r>
      <w:r w:rsidRPr="00B97E44">
        <w:rPr>
          <w:rFonts w:hint="eastAsia"/>
          <w:b/>
          <w:bCs/>
          <w:rtl/>
        </w:rPr>
        <w:t>לחבל</w:t>
      </w:r>
      <w:r w:rsidRPr="00B97E44">
        <w:rPr>
          <w:b/>
          <w:bCs/>
          <w:rtl/>
        </w:rPr>
        <w:t xml:space="preserve"> </w:t>
      </w:r>
      <w:r w:rsidRPr="00B97E44">
        <w:rPr>
          <w:rFonts w:hint="eastAsia"/>
          <w:b/>
          <w:bCs/>
          <w:rtl/>
        </w:rPr>
        <w:t>התקומה</w:t>
      </w:r>
      <w:r w:rsidRPr="00B97E44">
        <w:rPr>
          <w:b/>
          <w:bCs/>
          <w:rtl/>
        </w:rPr>
        <w:t xml:space="preserve"> ובין אם לאו.</w:t>
      </w:r>
    </w:p>
    <w:p w:rsidR="005B126E" w:rsidP="001916A9">
      <w:pPr>
        <w:spacing w:line="269" w:lineRule="auto"/>
        <w:rPr>
          <w:b/>
          <w:bCs/>
          <w:rtl/>
        </w:rPr>
      </w:pPr>
    </w:p>
    <w:p w:rsidR="005B126E" w:rsidRPr="00B97E44" w:rsidP="001916A9">
      <w:pPr>
        <w:spacing w:line="269" w:lineRule="auto"/>
        <w:rPr>
          <w:b/>
          <w:bCs/>
          <w:rtl/>
        </w:rPr>
      </w:pPr>
      <w:r w:rsidRPr="00B97E44">
        <w:rPr>
          <w:rFonts w:hint="eastAsia"/>
          <w:b/>
          <w:bCs/>
          <w:rtl/>
        </w:rPr>
        <w:t>המועצה</w:t>
      </w:r>
      <w:r w:rsidRPr="00B97E44">
        <w:rPr>
          <w:b/>
          <w:bCs/>
          <w:rtl/>
        </w:rPr>
        <w:t xml:space="preserve"> </w:t>
      </w:r>
      <w:r w:rsidRPr="00B97E44">
        <w:rPr>
          <w:rFonts w:hint="eastAsia"/>
          <w:b/>
          <w:bCs/>
          <w:rtl/>
        </w:rPr>
        <w:t>האזורית</w:t>
      </w:r>
      <w:r w:rsidRPr="00B97E44">
        <w:rPr>
          <w:b/>
          <w:bCs/>
          <w:rtl/>
        </w:rPr>
        <w:t xml:space="preserve"> אשכול מסרה גם היא למשרד מבקר המדינה כבר באוקטובר 2024 כי התלמידים מחבל התקומה שלומדים בתחומי המועצה מקבלים בפועל רק כ-30% מהתקציב המוקצה להם. זאת כיוון שתלמידי היישובים המפונים מבין יישובי המועצה </w:t>
      </w:r>
      <w:r w:rsidRPr="00B97E44">
        <w:rPr>
          <w:rFonts w:hint="eastAsia"/>
          <w:b/>
          <w:bCs/>
          <w:rtl/>
        </w:rPr>
        <w:t>אינם</w:t>
      </w:r>
      <w:r w:rsidRPr="00B97E44">
        <w:rPr>
          <w:b/>
          <w:bCs/>
          <w:rtl/>
        </w:rPr>
        <w:t xml:space="preserve"> </w:t>
      </w:r>
      <w:r w:rsidRPr="00B97E44">
        <w:rPr>
          <w:rFonts w:hint="eastAsia"/>
          <w:b/>
          <w:bCs/>
          <w:rtl/>
        </w:rPr>
        <w:t>חולקים</w:t>
      </w:r>
      <w:r w:rsidRPr="00B97E44">
        <w:rPr>
          <w:b/>
          <w:bCs/>
          <w:rtl/>
        </w:rPr>
        <w:t xml:space="preserve"> </w:t>
      </w:r>
      <w:r w:rsidRPr="00B97E44">
        <w:rPr>
          <w:rFonts w:hint="eastAsia"/>
          <w:b/>
          <w:bCs/>
          <w:rtl/>
        </w:rPr>
        <w:t>את</w:t>
      </w:r>
      <w:r w:rsidRPr="00B97E44">
        <w:rPr>
          <w:b/>
          <w:bCs/>
          <w:rtl/>
        </w:rPr>
        <w:t xml:space="preserve"> </w:t>
      </w:r>
      <w:r w:rsidRPr="00B97E44">
        <w:rPr>
          <w:rFonts w:hint="eastAsia"/>
          <w:b/>
          <w:bCs/>
          <w:rtl/>
        </w:rPr>
        <w:t>הסכום</w:t>
      </w:r>
      <w:r w:rsidRPr="00B97E44">
        <w:rPr>
          <w:b/>
          <w:bCs/>
          <w:rtl/>
        </w:rPr>
        <w:t xml:space="preserve"> </w:t>
      </w:r>
      <w:r w:rsidRPr="00B97E44">
        <w:rPr>
          <w:rFonts w:hint="eastAsia"/>
          <w:b/>
          <w:bCs/>
          <w:rtl/>
        </w:rPr>
        <w:t>המוקצה</w:t>
      </w:r>
      <w:r w:rsidRPr="00B97E44">
        <w:rPr>
          <w:b/>
          <w:bCs/>
          <w:rtl/>
        </w:rPr>
        <w:t xml:space="preserve"> </w:t>
      </w:r>
      <w:r w:rsidRPr="00B97E44">
        <w:rPr>
          <w:rFonts w:hint="eastAsia"/>
          <w:b/>
          <w:bCs/>
          <w:rtl/>
        </w:rPr>
        <w:t>להם</w:t>
      </w:r>
      <w:r w:rsidRPr="00B97E44">
        <w:rPr>
          <w:rFonts w:hint="cs"/>
          <w:b/>
          <w:bCs/>
          <w:rtl/>
        </w:rPr>
        <w:t xml:space="preserve"> עם תלמידים אחרים, ואילו </w:t>
      </w:r>
      <w:r w:rsidRPr="00B97E44">
        <w:rPr>
          <w:rFonts w:hint="eastAsia"/>
          <w:b/>
          <w:bCs/>
          <w:rtl/>
        </w:rPr>
        <w:t>התלמידים</w:t>
      </w:r>
      <w:r w:rsidRPr="00B97E44">
        <w:rPr>
          <w:b/>
          <w:bCs/>
          <w:rtl/>
        </w:rPr>
        <w:t xml:space="preserve"> </w:t>
      </w:r>
      <w:r w:rsidRPr="00B97E44">
        <w:rPr>
          <w:rFonts w:hint="eastAsia"/>
          <w:b/>
          <w:bCs/>
          <w:rtl/>
        </w:rPr>
        <w:t>שחזרו</w:t>
      </w:r>
      <w:r w:rsidRPr="00B97E44">
        <w:rPr>
          <w:b/>
          <w:bCs/>
          <w:rtl/>
        </w:rPr>
        <w:t xml:space="preserve"> </w:t>
      </w:r>
      <w:r w:rsidRPr="00B97E44">
        <w:rPr>
          <w:rFonts w:hint="eastAsia"/>
          <w:b/>
          <w:bCs/>
          <w:rtl/>
        </w:rPr>
        <w:t>לחבל</w:t>
      </w:r>
      <w:r w:rsidRPr="00B97E44">
        <w:rPr>
          <w:b/>
          <w:bCs/>
          <w:rtl/>
        </w:rPr>
        <w:t xml:space="preserve"> </w:t>
      </w:r>
      <w:r w:rsidRPr="00B97E44">
        <w:rPr>
          <w:rFonts w:hint="eastAsia"/>
          <w:b/>
          <w:bCs/>
          <w:rtl/>
        </w:rPr>
        <w:t>חולקים</w:t>
      </w:r>
      <w:r w:rsidRPr="00B97E44">
        <w:rPr>
          <w:b/>
          <w:bCs/>
          <w:rtl/>
        </w:rPr>
        <w:t xml:space="preserve"> </w:t>
      </w:r>
      <w:r w:rsidRPr="00B97E44">
        <w:rPr>
          <w:rFonts w:hint="eastAsia"/>
          <w:b/>
          <w:bCs/>
          <w:rtl/>
        </w:rPr>
        <w:t>את</w:t>
      </w:r>
      <w:r w:rsidRPr="00B97E44">
        <w:rPr>
          <w:b/>
          <w:bCs/>
          <w:rtl/>
        </w:rPr>
        <w:t xml:space="preserve"> </w:t>
      </w:r>
      <w:r w:rsidRPr="00B97E44">
        <w:rPr>
          <w:rFonts w:hint="eastAsia"/>
          <w:b/>
          <w:bCs/>
          <w:rtl/>
        </w:rPr>
        <w:t>התקציב</w:t>
      </w:r>
      <w:r w:rsidRPr="00B97E44">
        <w:rPr>
          <w:b/>
          <w:bCs/>
          <w:rtl/>
        </w:rPr>
        <w:t xml:space="preserve"> </w:t>
      </w:r>
      <w:r w:rsidRPr="00B97E44">
        <w:rPr>
          <w:rFonts w:hint="eastAsia"/>
          <w:b/>
          <w:bCs/>
          <w:rtl/>
        </w:rPr>
        <w:t>המוקצה</w:t>
      </w:r>
      <w:r w:rsidRPr="00B97E44">
        <w:rPr>
          <w:b/>
          <w:bCs/>
          <w:rtl/>
        </w:rPr>
        <w:t xml:space="preserve"> </w:t>
      </w:r>
      <w:r w:rsidRPr="00B97E44">
        <w:rPr>
          <w:rFonts w:hint="eastAsia"/>
          <w:b/>
          <w:bCs/>
          <w:rtl/>
        </w:rPr>
        <w:t>להם</w:t>
      </w:r>
      <w:r w:rsidRPr="00B97E44">
        <w:rPr>
          <w:b/>
          <w:bCs/>
          <w:rtl/>
        </w:rPr>
        <w:t xml:space="preserve"> </w:t>
      </w:r>
      <w:r w:rsidRPr="00B97E44">
        <w:rPr>
          <w:rFonts w:hint="eastAsia"/>
          <w:b/>
          <w:bCs/>
          <w:rtl/>
        </w:rPr>
        <w:t>עם</w:t>
      </w:r>
      <w:r w:rsidRPr="00B97E44">
        <w:rPr>
          <w:b/>
          <w:bCs/>
          <w:rtl/>
        </w:rPr>
        <w:t xml:space="preserve"> </w:t>
      </w:r>
      <w:r w:rsidRPr="00B97E44">
        <w:rPr>
          <w:rFonts w:hint="eastAsia"/>
          <w:b/>
          <w:bCs/>
          <w:rtl/>
        </w:rPr>
        <w:t>שאר</w:t>
      </w:r>
      <w:r w:rsidRPr="00B97E44">
        <w:rPr>
          <w:b/>
          <w:bCs/>
          <w:rtl/>
        </w:rPr>
        <w:t xml:space="preserve"> </w:t>
      </w:r>
      <w:r w:rsidRPr="00B97E44">
        <w:rPr>
          <w:rFonts w:hint="eastAsia"/>
          <w:b/>
          <w:bCs/>
          <w:rtl/>
        </w:rPr>
        <w:t>תלמידי</w:t>
      </w:r>
      <w:r w:rsidRPr="00B97E44">
        <w:rPr>
          <w:rFonts w:hint="cs"/>
          <w:b/>
          <w:bCs/>
          <w:rtl/>
        </w:rPr>
        <w:t xml:space="preserve"> בית הספר</w:t>
      </w:r>
      <w:r w:rsidRPr="00B97E44">
        <w:rPr>
          <w:b/>
          <w:bCs/>
          <w:rtl/>
        </w:rPr>
        <w:t xml:space="preserve"> </w:t>
      </w:r>
      <w:r w:rsidRPr="00B97E44">
        <w:rPr>
          <w:rFonts w:hint="eastAsia"/>
          <w:b/>
          <w:bCs/>
          <w:rtl/>
        </w:rPr>
        <w:t>שאינם</w:t>
      </w:r>
      <w:r w:rsidRPr="00B97E44">
        <w:rPr>
          <w:b/>
          <w:bCs/>
          <w:rtl/>
        </w:rPr>
        <w:t xml:space="preserve"> </w:t>
      </w:r>
      <w:r w:rsidRPr="00B97E44">
        <w:rPr>
          <w:rFonts w:hint="eastAsia"/>
          <w:b/>
          <w:bCs/>
          <w:rtl/>
        </w:rPr>
        <w:t>מתגוררים</w:t>
      </w:r>
      <w:r w:rsidRPr="00B97E44">
        <w:rPr>
          <w:b/>
          <w:bCs/>
          <w:rtl/>
        </w:rPr>
        <w:t xml:space="preserve"> </w:t>
      </w:r>
      <w:r w:rsidRPr="00B97E44">
        <w:rPr>
          <w:rFonts w:hint="eastAsia"/>
          <w:b/>
          <w:bCs/>
          <w:rtl/>
        </w:rPr>
        <w:t>בחבל</w:t>
      </w:r>
      <w:r w:rsidRPr="00B97E44">
        <w:rPr>
          <w:b/>
          <w:bCs/>
          <w:rtl/>
        </w:rPr>
        <w:t>.</w:t>
      </w:r>
    </w:p>
    <w:p w:rsidR="005B126E" w:rsidP="001916A9">
      <w:pPr>
        <w:spacing w:line="269" w:lineRule="auto"/>
        <w:rPr>
          <w:b/>
          <w:bCs/>
          <w:sz w:val="24"/>
          <w:rtl/>
        </w:rPr>
      </w:pPr>
    </w:p>
    <w:p w:rsidR="005B126E" w:rsidRPr="00B97E44" w:rsidP="001916A9">
      <w:pPr>
        <w:spacing w:line="269" w:lineRule="auto"/>
        <w:rPr>
          <w:sz w:val="24"/>
          <w:rtl/>
        </w:rPr>
      </w:pPr>
      <w:r w:rsidRPr="00B97E44">
        <w:rPr>
          <w:rFonts w:hint="eastAsia"/>
          <w:b/>
          <w:bCs/>
          <w:sz w:val="24"/>
          <w:rtl/>
        </w:rPr>
        <w:t>עולה</w:t>
      </w:r>
      <w:r w:rsidRPr="00B97E44">
        <w:rPr>
          <w:b/>
          <w:bCs/>
          <w:sz w:val="24"/>
          <w:rtl/>
        </w:rPr>
        <w:t xml:space="preserve"> </w:t>
      </w:r>
      <w:bookmarkStart w:id="30" w:name="_Hlk207631589"/>
      <w:r w:rsidRPr="00B97E44">
        <w:rPr>
          <w:b/>
          <w:bCs/>
          <w:sz w:val="24"/>
          <w:rtl/>
        </w:rPr>
        <w:t xml:space="preserve">שמודל התקצוב הנוכחי של סל תקומה למוסדות החינוך </w:t>
      </w:r>
      <w:r w:rsidRPr="00B97E44">
        <w:rPr>
          <w:rFonts w:hint="eastAsia"/>
          <w:b/>
          <w:bCs/>
          <w:sz w:val="24"/>
          <w:rtl/>
        </w:rPr>
        <w:t>אינו</w:t>
      </w:r>
      <w:r w:rsidRPr="00B97E44">
        <w:rPr>
          <w:b/>
          <w:bCs/>
          <w:sz w:val="24"/>
          <w:rtl/>
        </w:rPr>
        <w:t xml:space="preserve"> מבטיח חלוקה הוגנת של המשאבים שנועדו לאפשר למוסדות החינוך ולרשויות חבל התקומה לספק </w:t>
      </w:r>
      <w:r w:rsidRPr="00B97E44">
        <w:rPr>
          <w:rFonts w:hint="cs"/>
          <w:b/>
          <w:bCs/>
          <w:sz w:val="24"/>
          <w:rtl/>
        </w:rPr>
        <w:t>פתרונות ודרכי פעולה</w:t>
      </w:r>
      <w:r w:rsidRPr="00B97E44">
        <w:rPr>
          <w:b/>
          <w:bCs/>
          <w:sz w:val="24"/>
          <w:rtl/>
        </w:rPr>
        <w:t xml:space="preserve"> </w:t>
      </w:r>
      <w:r w:rsidRPr="00B97E44">
        <w:rPr>
          <w:rFonts w:hint="eastAsia"/>
          <w:b/>
          <w:bCs/>
          <w:sz w:val="24"/>
          <w:rtl/>
        </w:rPr>
        <w:t>לימודיים</w:t>
      </w:r>
      <w:r w:rsidRPr="00B97E44">
        <w:rPr>
          <w:b/>
          <w:bCs/>
          <w:sz w:val="24"/>
          <w:rtl/>
        </w:rPr>
        <w:t>, חינוכיים, רגשיים וחברתיים לתלמידים שנפגעו מהמצ</w:t>
      </w:r>
      <w:r w:rsidRPr="00B97E44">
        <w:rPr>
          <w:rFonts w:hint="cs"/>
          <w:b/>
          <w:bCs/>
          <w:sz w:val="24"/>
          <w:rtl/>
        </w:rPr>
        <w:t>ב</w:t>
      </w:r>
      <w:r w:rsidRPr="00B97E44">
        <w:rPr>
          <w:b/>
          <w:bCs/>
          <w:sz w:val="24"/>
          <w:rtl/>
        </w:rPr>
        <w:t xml:space="preserve"> הביטחוני (בין היתר באמצעות רכש </w:t>
      </w:r>
      <w:r w:rsidRPr="00B97E44">
        <w:rPr>
          <w:rFonts w:hint="eastAsia"/>
          <w:b/>
          <w:bCs/>
          <w:sz w:val="24"/>
          <w:rtl/>
        </w:rPr>
        <w:t>תוכניות</w:t>
      </w:r>
      <w:r w:rsidRPr="00B97E44">
        <w:rPr>
          <w:b/>
          <w:bCs/>
          <w:sz w:val="24"/>
          <w:rtl/>
        </w:rPr>
        <w:t xml:space="preserve">). </w:t>
      </w:r>
      <w:bookmarkEnd w:id="30"/>
    </w:p>
    <w:p w:rsidR="005B126E" w:rsidP="001916A9">
      <w:pPr>
        <w:spacing w:line="269" w:lineRule="auto"/>
        <w:rPr>
          <w:rtl/>
        </w:rPr>
      </w:pPr>
    </w:p>
    <w:p w:rsidR="005B126E" w:rsidRPr="00B97E44" w:rsidP="001916A9">
      <w:pPr>
        <w:spacing w:line="269" w:lineRule="auto"/>
        <w:rPr>
          <w:rtl/>
        </w:rPr>
      </w:pPr>
      <w:r w:rsidRPr="00B97E44">
        <w:rPr>
          <w:rtl/>
        </w:rPr>
        <w:t>מ</w:t>
      </w:r>
      <w:r w:rsidRPr="00B97E44">
        <w:rPr>
          <w:rFonts w:hint="cs"/>
          <w:rtl/>
        </w:rPr>
        <w:t>י</w:t>
      </w:r>
      <w:r w:rsidRPr="00B97E44">
        <w:rPr>
          <w:rtl/>
        </w:rPr>
        <w:t xml:space="preserve">נהלת תקומה מסרה בתשובתה כי </w:t>
      </w:r>
      <w:r w:rsidRPr="00B97E44">
        <w:rPr>
          <w:rFonts w:hint="cs"/>
          <w:rtl/>
        </w:rPr>
        <w:t xml:space="preserve">אין לבחון את </w:t>
      </w:r>
      <w:r w:rsidRPr="00B97E44">
        <w:rPr>
          <w:rtl/>
        </w:rPr>
        <w:t>המענה החינוכי תוך התמקדות בתקציב בלבד ולא במהות המענה החינוכי שניתן לילדי החבל, שכן מטרת</w:t>
      </w:r>
      <w:r w:rsidRPr="00B97E44">
        <w:rPr>
          <w:rFonts w:hint="cs"/>
          <w:rtl/>
        </w:rPr>
        <w:t>ו</w:t>
      </w:r>
      <w:r w:rsidRPr="00B97E44">
        <w:rPr>
          <w:rtl/>
        </w:rPr>
        <w:t xml:space="preserve"> היא לשקם ולהצמיח בהתאם לשיקול דעת מקצועי המשתנה בין הפרט לקבוצה.</w:t>
      </w:r>
      <w:r w:rsidRPr="00B97E44">
        <w:rPr>
          <w:rFonts w:hint="cs"/>
          <w:rtl/>
        </w:rPr>
        <w:t xml:space="preserve"> עוד היא מסרה</w:t>
      </w:r>
      <w:r w:rsidRPr="00B97E44">
        <w:rPr>
          <w:rtl/>
        </w:rPr>
        <w:t xml:space="preserve"> כי לעיתים טובת התלמיד, גם זה השוהה מחוץ לחבל, מחייבת שילוב בקבוצה לחיזוק תחושת השייכות, ולכן התקציב המועבר לבתי הספר משמש לתוכניות המותאמות לצרכים אלו ולא רק לליווי פרטני. </w:t>
      </w:r>
      <w:r w:rsidRPr="00B97E44">
        <w:rPr>
          <w:rtl/>
        </w:rPr>
        <w:t>המ</w:t>
      </w:r>
      <w:r w:rsidRPr="00B97E44">
        <w:rPr>
          <w:rFonts w:hint="cs"/>
          <w:rtl/>
        </w:rPr>
        <w:t>י</w:t>
      </w:r>
      <w:r w:rsidRPr="00B97E44">
        <w:rPr>
          <w:rtl/>
        </w:rPr>
        <w:t>נהלת</w:t>
      </w:r>
      <w:r w:rsidRPr="00B97E44">
        <w:rPr>
          <w:rtl/>
        </w:rPr>
        <w:t xml:space="preserve"> הדגישה כי יעילות המענה נמדדת בטיב ההתערבות ובסוג הכלי שנבחר, ולא בהכרח בגובה הסכום המושקע.</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מחוז הדרום של משרד החינוך השיב בנובמבר 2025 למשרד מבקר המדינה </w:t>
      </w:r>
      <w:r w:rsidRPr="00B97E44">
        <w:rPr>
          <w:rFonts w:ascii="David" w:hAnsi="David" w:hint="cs"/>
          <w:sz w:val="24"/>
          <w:rtl/>
        </w:rPr>
        <w:t>כי בהתאם לנוהל, תקציב המועבר למוסד חינוך בחבל התקומה שבו לא ניתן להפריד בין אוכלוסיית החבל ובין אוכלוסייה מחוץ לו הלומדות בכפיפה אחת - לא תתקיים הפרדה במימוש התוכניות, אך מנהל המוסד החינוכי נדרש להקדיש תשומת לב ולנקוט דרכי פעולה מותאמות וממוקדות בהתאם לצורכי התלמידים.</w:t>
      </w:r>
    </w:p>
    <w:p w:rsidR="005B126E" w:rsidP="001916A9">
      <w:pPr>
        <w:spacing w:line="269" w:lineRule="auto"/>
        <w:rPr>
          <w:rtl/>
        </w:rPr>
      </w:pPr>
    </w:p>
    <w:p w:rsidR="005B126E" w:rsidRPr="00B97E44" w:rsidP="001916A9">
      <w:pPr>
        <w:spacing w:line="269" w:lineRule="auto"/>
        <w:rPr>
          <w:rtl/>
        </w:rPr>
      </w:pPr>
      <w:r w:rsidRPr="00B97E44">
        <w:rPr>
          <w:rtl/>
        </w:rPr>
        <w:t xml:space="preserve">המועצה האזורית </w:t>
      </w:r>
      <w:r w:rsidRPr="00B97E44">
        <w:rPr>
          <w:b/>
          <w:bCs/>
          <w:rtl/>
        </w:rPr>
        <w:t>אשכול</w:t>
      </w:r>
      <w:r w:rsidRPr="00B97E44">
        <w:rPr>
          <w:rtl/>
        </w:rPr>
        <w:t xml:space="preserve"> מסרה בתשובתה כי מטרת המועצה היא להשקיע משאבים בכלל תלמידי המועצה הלומדים במוסדות החינוך, ולא רק באוכלוסיית היעד של תוכנית השיקום.</w:t>
      </w:r>
    </w:p>
    <w:p w:rsidR="005B126E" w:rsidP="001916A9">
      <w:pPr>
        <w:spacing w:line="269" w:lineRule="auto"/>
        <w:rPr>
          <w:b/>
          <w:bCs/>
          <w:rtl/>
        </w:rPr>
      </w:pPr>
    </w:p>
    <w:p w:rsidR="005B126E" w:rsidRPr="00B97E44" w:rsidP="001916A9">
      <w:pPr>
        <w:spacing w:line="269" w:lineRule="auto"/>
        <w:rPr>
          <w:b/>
          <w:bCs/>
          <w:rtl/>
        </w:rPr>
      </w:pPr>
      <w:r w:rsidRPr="00B97E44">
        <w:rPr>
          <w:b/>
          <w:bCs/>
          <w:rtl/>
        </w:rPr>
        <w:t xml:space="preserve">משרד מבקר המדינה ממליץ </w:t>
      </w:r>
      <w:r w:rsidRPr="00B97E44">
        <w:rPr>
          <w:b/>
          <w:bCs/>
          <w:rtl/>
        </w:rPr>
        <w:t>למינהלת</w:t>
      </w:r>
      <w:r w:rsidRPr="00B97E44">
        <w:rPr>
          <w:b/>
          <w:bCs/>
          <w:rtl/>
        </w:rPr>
        <w:t xml:space="preserve"> תקומה ולמשרד החינוך </w:t>
      </w:r>
      <w:r w:rsidRPr="00B97E44">
        <w:rPr>
          <w:rFonts w:hint="cs"/>
          <w:b/>
          <w:bCs/>
          <w:rtl/>
        </w:rPr>
        <w:t>לבדוק ביסודיות</w:t>
      </w:r>
      <w:r w:rsidRPr="00B97E44">
        <w:rPr>
          <w:b/>
          <w:bCs/>
          <w:rtl/>
        </w:rPr>
        <w:t xml:space="preserve"> את שיעורם של תלמידי חבל התקומה במוסדות החינוך שאליהם מועברים תקציבי סל תקומה. בהתאם לממצאי </w:t>
      </w:r>
      <w:r w:rsidRPr="00B97E44">
        <w:rPr>
          <w:rFonts w:hint="cs"/>
          <w:b/>
          <w:bCs/>
          <w:rtl/>
        </w:rPr>
        <w:t>הבדיקה לוודא שיש</w:t>
      </w:r>
      <w:r w:rsidRPr="00B97E44">
        <w:rPr>
          <w:b/>
          <w:bCs/>
          <w:rtl/>
        </w:rPr>
        <w:t xml:space="preserve"> בת</w:t>
      </w:r>
      <w:r w:rsidRPr="00B97E44">
        <w:rPr>
          <w:rFonts w:hint="cs"/>
          <w:b/>
          <w:bCs/>
          <w:rtl/>
        </w:rPr>
        <w:t>ו</w:t>
      </w:r>
      <w:r w:rsidRPr="00B97E44">
        <w:rPr>
          <w:b/>
          <w:bCs/>
          <w:rtl/>
        </w:rPr>
        <w:t>כנית</w:t>
      </w:r>
      <w:r w:rsidRPr="00B97E44">
        <w:rPr>
          <w:rFonts w:hint="cs"/>
          <w:b/>
          <w:bCs/>
          <w:rtl/>
        </w:rPr>
        <w:t xml:space="preserve"> מענים מספקים לכלל תלמידי החבל</w:t>
      </w:r>
      <w:r w:rsidRPr="00B97E44">
        <w:rPr>
          <w:b/>
          <w:bCs/>
          <w:rtl/>
        </w:rPr>
        <w:t>, לרבות שינוי בפריסת התקציב</w:t>
      </w:r>
      <w:r w:rsidRPr="00B97E44">
        <w:rPr>
          <w:rFonts w:hint="cs"/>
          <w:b/>
          <w:bCs/>
          <w:rtl/>
        </w:rPr>
        <w:t xml:space="preserve"> ו</w:t>
      </w:r>
      <w:r w:rsidRPr="00B97E44">
        <w:rPr>
          <w:b/>
          <w:bCs/>
          <w:rtl/>
        </w:rPr>
        <w:t>אופן החלוקה בין מוסדות החינוך</w:t>
      </w:r>
      <w:r w:rsidRPr="00B97E44">
        <w:rPr>
          <w:rFonts w:hint="cs"/>
          <w:b/>
          <w:bCs/>
          <w:rtl/>
        </w:rPr>
        <w:t xml:space="preserve">, </w:t>
      </w:r>
      <w:r w:rsidRPr="00B97E44">
        <w:rPr>
          <w:b/>
          <w:bCs/>
          <w:rtl/>
        </w:rPr>
        <w:t>כדי להבטיח מיקוד אפקטיבי של המשאבים באוכלוסיית היעד של התוכנית ושימוש מיטבי</w:t>
      </w:r>
      <w:r w:rsidRPr="00B97E44">
        <w:rPr>
          <w:rFonts w:hint="cs"/>
          <w:b/>
          <w:bCs/>
          <w:rtl/>
        </w:rPr>
        <w:t xml:space="preserve"> בסל תקומה.</w:t>
      </w:r>
    </w:p>
    <w:p w:rsidR="005B126E" w:rsidRPr="00B97E44" w:rsidP="001916A9">
      <w:pPr>
        <w:spacing w:line="269" w:lineRule="auto"/>
        <w:rPr>
          <w:b/>
          <w:bCs/>
          <w:rtl/>
        </w:rPr>
      </w:pPr>
    </w:p>
    <w:p w:rsidR="005B126E" w:rsidRPr="00B97E44" w:rsidP="001916A9">
      <w:pPr>
        <w:pStyle w:val="Heading6"/>
        <w:spacing w:line="269" w:lineRule="auto"/>
        <w:rPr>
          <w:rtl/>
        </w:rPr>
      </w:pPr>
      <w:r w:rsidRPr="00B97E44">
        <w:rPr>
          <w:rFonts w:hint="cs"/>
          <w:rtl/>
        </w:rPr>
        <w:t xml:space="preserve">סל תקומה מגיל לידה עד שש </w:t>
      </w:r>
    </w:p>
    <w:p w:rsidR="005B126E" w:rsidP="001916A9">
      <w:pPr>
        <w:spacing w:line="269" w:lineRule="auto"/>
        <w:rPr>
          <w:rtl/>
        </w:rPr>
      </w:pPr>
    </w:p>
    <w:p w:rsidR="005B126E" w:rsidRPr="00B97E44" w:rsidP="001916A9">
      <w:pPr>
        <w:spacing w:line="269" w:lineRule="auto"/>
      </w:pPr>
      <w:r w:rsidRPr="00B97E44">
        <w:rPr>
          <w:rFonts w:hint="cs"/>
          <w:rtl/>
        </w:rPr>
        <w:t xml:space="preserve">על </w:t>
      </w:r>
      <w:r w:rsidRPr="00B97E44">
        <w:rPr>
          <w:rFonts w:hint="eastAsia"/>
          <w:rtl/>
        </w:rPr>
        <w:t>פי</w:t>
      </w:r>
      <w:r w:rsidRPr="00B97E44">
        <w:rPr>
          <w:rtl/>
        </w:rPr>
        <w:t xml:space="preserve"> </w:t>
      </w:r>
      <w:r>
        <w:rPr>
          <w:rFonts w:hint="cs"/>
          <w:rtl/>
        </w:rPr>
        <w:t>נוהל</w:t>
      </w:r>
      <w:r w:rsidRPr="00B97E44">
        <w:rPr>
          <w:rFonts w:hint="cs"/>
          <w:rtl/>
        </w:rPr>
        <w:t xml:space="preserve"> משרד החינוך</w:t>
      </w:r>
      <w:r>
        <w:rPr>
          <w:rStyle w:val="FootnoteReference1"/>
          <w:rtl/>
        </w:rPr>
        <w:footnoteReference w:id="39"/>
      </w:r>
      <w:r w:rsidRPr="00B97E44">
        <w:rPr>
          <w:rFonts w:hint="cs"/>
          <w:rtl/>
        </w:rPr>
        <w:t xml:space="preserve">, בין </w:t>
      </w:r>
      <w:r w:rsidRPr="00B97E44">
        <w:rPr>
          <w:rFonts w:hint="eastAsia"/>
          <w:rtl/>
        </w:rPr>
        <w:t>סוגי</w:t>
      </w:r>
      <w:r w:rsidRPr="00B97E44">
        <w:rPr>
          <w:rtl/>
        </w:rPr>
        <w:t xml:space="preserve"> </w:t>
      </w:r>
      <w:r w:rsidRPr="00B97E44">
        <w:rPr>
          <w:rFonts w:hint="cs"/>
          <w:rtl/>
        </w:rPr>
        <w:t xml:space="preserve">הפתרונות </w:t>
      </w:r>
      <w:r w:rsidRPr="00B97E44">
        <w:rPr>
          <w:rFonts w:hint="eastAsia"/>
          <w:rtl/>
        </w:rPr>
        <w:t>והתוכניות</w:t>
      </w:r>
      <w:r w:rsidRPr="00B97E44">
        <w:rPr>
          <w:rtl/>
        </w:rPr>
        <w:t xml:space="preserve"> </w:t>
      </w:r>
      <w:r w:rsidRPr="00B97E44">
        <w:rPr>
          <w:rFonts w:hint="cs"/>
          <w:rtl/>
        </w:rPr>
        <w:t>ה</w:t>
      </w:r>
      <w:r w:rsidRPr="00B97E44">
        <w:rPr>
          <w:rFonts w:hint="eastAsia"/>
          <w:rtl/>
        </w:rPr>
        <w:t>כלולים</w:t>
      </w:r>
      <w:r w:rsidRPr="00B97E44">
        <w:rPr>
          <w:rtl/>
        </w:rPr>
        <w:t xml:space="preserve"> </w:t>
      </w:r>
      <w:r w:rsidRPr="00B97E44">
        <w:rPr>
          <w:rFonts w:hint="eastAsia"/>
          <w:rtl/>
        </w:rPr>
        <w:t>בסל</w:t>
      </w:r>
      <w:r w:rsidRPr="00B97E44">
        <w:rPr>
          <w:rtl/>
        </w:rPr>
        <w:t xml:space="preserve"> </w:t>
      </w:r>
      <w:r w:rsidRPr="00B97E44">
        <w:rPr>
          <w:rFonts w:hint="eastAsia"/>
          <w:rtl/>
        </w:rPr>
        <w:t>שהרשות</w:t>
      </w:r>
      <w:r w:rsidRPr="00B97E44">
        <w:rPr>
          <w:rtl/>
        </w:rPr>
        <w:t xml:space="preserve"> המקומית אמורה לספק </w:t>
      </w:r>
      <w:r w:rsidRPr="00B97E44">
        <w:rPr>
          <w:rFonts w:hint="cs"/>
          <w:rtl/>
        </w:rPr>
        <w:t xml:space="preserve">מצויים גם </w:t>
      </w:r>
      <w:r w:rsidRPr="00B97E44">
        <w:rPr>
          <w:rtl/>
        </w:rPr>
        <w:t>מענים פדגוגיים ורגשיים</w:t>
      </w:r>
      <w:r w:rsidRPr="00B97E44">
        <w:rPr>
          <w:rFonts w:hint="cs"/>
          <w:rtl/>
        </w:rPr>
        <w:t xml:space="preserve">, </w:t>
      </w:r>
      <w:r w:rsidRPr="00B97E44">
        <w:rPr>
          <w:rtl/>
        </w:rPr>
        <w:t>סל חינוך חברתי</w:t>
      </w:r>
      <w:r w:rsidRPr="00B97E44">
        <w:rPr>
          <w:rFonts w:hint="cs"/>
          <w:rtl/>
        </w:rPr>
        <w:t>-</w:t>
      </w:r>
      <w:r w:rsidRPr="00B97E44">
        <w:rPr>
          <w:rtl/>
        </w:rPr>
        <w:t>ערכי</w:t>
      </w:r>
      <w:r w:rsidRPr="00B97E44">
        <w:rPr>
          <w:rFonts w:hint="cs"/>
          <w:rtl/>
        </w:rPr>
        <w:t xml:space="preserve"> </w:t>
      </w:r>
      <w:r w:rsidRPr="00B97E44">
        <w:rPr>
          <w:rtl/>
        </w:rPr>
        <w:t>והעשרה</w:t>
      </w:r>
      <w:r w:rsidRPr="00B97E44">
        <w:rPr>
          <w:rFonts w:hint="cs"/>
          <w:rtl/>
        </w:rPr>
        <w:t>.</w:t>
      </w:r>
    </w:p>
    <w:p w:rsidR="005B126E" w:rsidP="001916A9">
      <w:pPr>
        <w:spacing w:line="269" w:lineRule="auto"/>
        <w:rPr>
          <w:rtl/>
        </w:rPr>
      </w:pPr>
    </w:p>
    <w:p w:rsidR="005B126E" w:rsidRPr="00B97E44" w:rsidP="001916A9">
      <w:pPr>
        <w:spacing w:line="269" w:lineRule="auto"/>
        <w:rPr>
          <w:rtl/>
        </w:rPr>
      </w:pPr>
      <w:r w:rsidRPr="00B97E44">
        <w:rPr>
          <w:rFonts w:hint="cs"/>
          <w:rtl/>
        </w:rPr>
        <w:t>מ</w:t>
      </w:r>
      <w:r w:rsidRPr="00B97E44">
        <w:rPr>
          <w:rtl/>
        </w:rPr>
        <w:t>שנת 2022</w:t>
      </w:r>
      <w:r w:rsidRPr="00B97E44">
        <w:rPr>
          <w:rFonts w:hint="cs"/>
          <w:rtl/>
        </w:rPr>
        <w:t xml:space="preserve"> קיבל </w:t>
      </w:r>
      <w:r w:rsidRPr="00B97E44">
        <w:rPr>
          <w:rtl/>
        </w:rPr>
        <w:t xml:space="preserve">משרד החינוך את האחריות </w:t>
      </w:r>
      <w:r w:rsidRPr="00B97E44">
        <w:rPr>
          <w:rFonts w:hint="cs"/>
          <w:rtl/>
        </w:rPr>
        <w:t xml:space="preserve">לפיקוח על מעונות לילדים בגיל </w:t>
      </w:r>
      <w:r w:rsidRPr="00B97E44">
        <w:rPr>
          <w:rtl/>
        </w:rPr>
        <w:t xml:space="preserve">לידה עד </w:t>
      </w:r>
      <w:r w:rsidRPr="00B97E44">
        <w:rPr>
          <w:rFonts w:hint="cs"/>
          <w:rtl/>
        </w:rPr>
        <w:t>שלוש</w:t>
      </w:r>
      <w:r>
        <w:rPr>
          <w:vertAlign w:val="superscript"/>
          <w:rtl/>
        </w:rPr>
        <w:footnoteReference w:id="40"/>
      </w:r>
      <w:r w:rsidRPr="00B97E44">
        <w:rPr>
          <w:rFonts w:hint="cs"/>
          <w:rtl/>
        </w:rPr>
        <w:t xml:space="preserve">, אך </w:t>
      </w:r>
      <w:r w:rsidRPr="00B97E44">
        <w:rPr>
          <w:rtl/>
        </w:rPr>
        <w:t xml:space="preserve">נכון </w:t>
      </w:r>
      <w:r w:rsidRPr="00B97E44">
        <w:rPr>
          <w:rFonts w:hint="cs"/>
          <w:rtl/>
        </w:rPr>
        <w:t>למועד הביקורת</w:t>
      </w:r>
      <w:r w:rsidRPr="00B97E44">
        <w:rPr>
          <w:rtl/>
        </w:rPr>
        <w:t xml:space="preserve"> החינוך </w:t>
      </w:r>
      <w:r w:rsidRPr="00B544FF">
        <w:rPr>
          <w:rFonts w:hint="eastAsia"/>
          <w:rtl/>
        </w:rPr>
        <w:t>מ</w:t>
      </w:r>
      <w:r w:rsidRPr="00B544FF">
        <w:rPr>
          <w:rtl/>
        </w:rPr>
        <w:t>גי</w:t>
      </w:r>
      <w:r w:rsidRPr="00B97E44">
        <w:rPr>
          <w:rtl/>
        </w:rPr>
        <w:t xml:space="preserve">ל לידה עד </w:t>
      </w:r>
      <w:r w:rsidRPr="00B97E44">
        <w:rPr>
          <w:rFonts w:hint="cs"/>
          <w:rtl/>
        </w:rPr>
        <w:t>שלוש</w:t>
      </w:r>
      <w:r w:rsidRPr="00B97E44">
        <w:rPr>
          <w:rtl/>
        </w:rPr>
        <w:t xml:space="preserve"> בישראל אינו מוסדר בחוק </w:t>
      </w:r>
      <w:r w:rsidRPr="00B97E44">
        <w:rPr>
          <w:rFonts w:hint="cs"/>
          <w:rtl/>
        </w:rPr>
        <w:t>לימוד</w:t>
      </w:r>
      <w:r w:rsidRPr="00B97E44">
        <w:rPr>
          <w:rtl/>
        </w:rPr>
        <w:t xml:space="preserve"> חובה</w:t>
      </w:r>
      <w:r w:rsidRPr="00B97E44">
        <w:rPr>
          <w:rFonts w:hint="cs"/>
          <w:rtl/>
        </w:rPr>
        <w:t>, התש"ט-1949, והמדינה אינה אחראית מכוח חוק לחינוך בגילים אלו</w:t>
      </w:r>
      <w:r w:rsidRPr="00B97E44">
        <w:rPr>
          <w:b/>
          <w:bCs/>
          <w:rtl/>
        </w:rPr>
        <w:t xml:space="preserve"> </w:t>
      </w:r>
      <w:r w:rsidRPr="00B97E44">
        <w:rPr>
          <w:rFonts w:hint="cs"/>
          <w:rtl/>
        </w:rPr>
        <w:t xml:space="preserve">אלא רק </w:t>
      </w:r>
      <w:r w:rsidRPr="00B97E44">
        <w:rPr>
          <w:rtl/>
        </w:rPr>
        <w:t>מגיל שלוש ו</w:t>
      </w:r>
      <w:r w:rsidRPr="00B97E44">
        <w:rPr>
          <w:rFonts w:hint="cs"/>
          <w:rtl/>
        </w:rPr>
        <w:t>עד כיתה י"ב</w:t>
      </w:r>
      <w:r w:rsidRPr="00B97E44">
        <w:rPr>
          <w:rtl/>
        </w:rPr>
        <w:t>.</w:t>
      </w:r>
      <w:r w:rsidRPr="00B97E44">
        <w:rPr>
          <w:rFonts w:hint="cs"/>
          <w:rtl/>
        </w:rPr>
        <w:t xml:space="preserve"> ואולם</w:t>
      </w:r>
      <w:r w:rsidRPr="00B97E44">
        <w:rPr>
          <w:rtl/>
        </w:rPr>
        <w:t xml:space="preserve"> </w:t>
      </w:r>
      <w:r w:rsidRPr="00B97E44">
        <w:rPr>
          <w:rFonts w:hint="cs"/>
          <w:rtl/>
        </w:rPr>
        <w:t xml:space="preserve">משרד החינוך </w:t>
      </w:r>
      <w:r w:rsidRPr="00B97E44">
        <w:rPr>
          <w:rFonts w:hint="cs"/>
          <w:rtl/>
        </w:rPr>
        <w:t>ומינהלת</w:t>
      </w:r>
      <w:r w:rsidRPr="00B97E44">
        <w:rPr>
          <w:rFonts w:hint="cs"/>
          <w:rtl/>
        </w:rPr>
        <w:t xml:space="preserve"> תקומה החליטו</w:t>
      </w:r>
      <w:r w:rsidRPr="00B97E44">
        <w:rPr>
          <w:rtl/>
        </w:rPr>
        <w:t xml:space="preserve"> כי בניית חוסן קהילתי ונפשי</w:t>
      </w:r>
      <w:r w:rsidRPr="00B97E44">
        <w:rPr>
          <w:rFonts w:hint="cs"/>
          <w:rtl/>
        </w:rPr>
        <w:t xml:space="preserve"> לילדי החבל</w:t>
      </w:r>
      <w:r w:rsidRPr="00B97E44">
        <w:rPr>
          <w:rtl/>
        </w:rPr>
        <w:t xml:space="preserve"> לא תתאפשר ללא </w:t>
      </w:r>
      <w:r w:rsidRPr="00B97E44">
        <w:rPr>
          <w:rFonts w:hint="cs"/>
          <w:rtl/>
        </w:rPr>
        <w:t xml:space="preserve">התערבות </w:t>
      </w:r>
      <w:r w:rsidRPr="00B97E44">
        <w:rPr>
          <w:rtl/>
        </w:rPr>
        <w:t>עמוק</w:t>
      </w:r>
      <w:r w:rsidRPr="00B97E44">
        <w:rPr>
          <w:rFonts w:hint="cs"/>
          <w:rtl/>
        </w:rPr>
        <w:t>ה</w:t>
      </w:r>
      <w:r w:rsidRPr="00B97E44">
        <w:rPr>
          <w:rtl/>
        </w:rPr>
        <w:t xml:space="preserve"> ושיטתי</w:t>
      </w:r>
      <w:r w:rsidRPr="00B97E44">
        <w:rPr>
          <w:rFonts w:hint="cs"/>
          <w:rtl/>
        </w:rPr>
        <w:t>ת</w:t>
      </w:r>
      <w:r w:rsidRPr="00B97E44">
        <w:rPr>
          <w:rtl/>
        </w:rPr>
        <w:t xml:space="preserve"> </w:t>
      </w:r>
      <w:r w:rsidRPr="00B97E44">
        <w:rPr>
          <w:rFonts w:hint="cs"/>
          <w:rtl/>
        </w:rPr>
        <w:t>ב</w:t>
      </w:r>
      <w:r w:rsidRPr="00B97E44">
        <w:rPr>
          <w:rtl/>
        </w:rPr>
        <w:t>גיל הרך</w:t>
      </w:r>
      <w:r w:rsidRPr="00B97E44">
        <w:rPr>
          <w:rFonts w:hint="cs"/>
          <w:rtl/>
        </w:rPr>
        <w:t>,</w:t>
      </w:r>
      <w:r w:rsidRPr="00B97E44">
        <w:rPr>
          <w:rtl/>
        </w:rPr>
        <w:t xml:space="preserve"> </w:t>
      </w:r>
      <w:r w:rsidRPr="00B97E44">
        <w:rPr>
          <w:rFonts w:hint="cs"/>
          <w:rtl/>
        </w:rPr>
        <w:t xml:space="preserve">שהוא </w:t>
      </w:r>
      <w:r w:rsidRPr="00B97E44">
        <w:rPr>
          <w:rtl/>
        </w:rPr>
        <w:t>השלב הרגיש ביותר בהתפתחות הילד</w:t>
      </w:r>
      <w:r w:rsidRPr="00B97E44">
        <w:rPr>
          <w:rFonts w:hint="cs"/>
          <w:rtl/>
        </w:rPr>
        <w:t>, ולכן החליטו להכליל במסגרת סל תקומה גם פעוטות מגיל לידה עד שלוש.</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החלטת מינהלת תקומה לתקצב גם תינוקות ופעוטות מגיל לידה עד שלוש בחבל התקומה, שמספרם ערב שבעה באוקטובר עמד על 3,867, מבוססת, בין היתר, על </w:t>
      </w:r>
      <w:r w:rsidRPr="00B97E44">
        <w:rPr>
          <w:rtl/>
        </w:rPr>
        <w:t xml:space="preserve">מחקר </w:t>
      </w:r>
      <w:r w:rsidRPr="00B97E44">
        <w:rPr>
          <w:rFonts w:hint="cs"/>
          <w:rtl/>
        </w:rPr>
        <w:t xml:space="preserve">שערכו ג'וינט ישראל וחברת </w:t>
      </w:r>
      <w:r w:rsidRPr="00B97E44">
        <w:rPr>
          <w:rFonts w:hint="cs"/>
        </w:rPr>
        <w:t>S</w:t>
      </w:r>
      <w:r w:rsidRPr="00B97E44">
        <w:t>ocial Finance Israel</w:t>
      </w:r>
      <w:r w:rsidRPr="00B97E44">
        <w:rPr>
          <w:rFonts w:hint="cs"/>
          <w:rtl/>
        </w:rPr>
        <w:t>. המחקר נשען על נתונים מישראל ומהעולם ו</w:t>
      </w:r>
      <w:r w:rsidRPr="00B97E44">
        <w:rPr>
          <w:rtl/>
        </w:rPr>
        <w:t xml:space="preserve">בוחן את הכדאיות הכלכלית של השקעה תוספתית בילדים </w:t>
      </w:r>
      <w:r w:rsidRPr="00B97E44">
        <w:rPr>
          <w:rFonts w:hint="cs"/>
          <w:rtl/>
        </w:rPr>
        <w:t>מגיל</w:t>
      </w:r>
      <w:r w:rsidRPr="00B97E44">
        <w:rPr>
          <w:rtl/>
        </w:rPr>
        <w:t xml:space="preserve"> לידה עד </w:t>
      </w:r>
      <w:r w:rsidRPr="00B97E44">
        <w:rPr>
          <w:rFonts w:hint="cs"/>
          <w:rtl/>
        </w:rPr>
        <w:t>שש. המחקר</w:t>
      </w:r>
      <w:r w:rsidRPr="00B97E44">
        <w:rPr>
          <w:rtl/>
        </w:rPr>
        <w:t xml:space="preserve"> מראה כי להשקעה בגילים אלה</w:t>
      </w:r>
      <w:r w:rsidRPr="00B97E44">
        <w:rPr>
          <w:rFonts w:hint="cs"/>
          <w:rtl/>
        </w:rPr>
        <w:t>,</w:t>
      </w:r>
      <w:r w:rsidRPr="00B97E44">
        <w:rPr>
          <w:rtl/>
        </w:rPr>
        <w:t xml:space="preserve"> בעיקר בתחומי החינוך והטיפול</w:t>
      </w:r>
      <w:r w:rsidRPr="00B97E44">
        <w:rPr>
          <w:rFonts w:hint="cs"/>
          <w:rtl/>
        </w:rPr>
        <w:t>,</w:t>
      </w:r>
      <w:r w:rsidRPr="00B97E44">
        <w:rPr>
          <w:rtl/>
        </w:rPr>
        <w:t xml:space="preserve"> יש תועלות כלכליות </w:t>
      </w:r>
      <w:r w:rsidRPr="00B97E44">
        <w:rPr>
          <w:rFonts w:hint="cs"/>
          <w:rtl/>
        </w:rPr>
        <w:t>ניכרות</w:t>
      </w:r>
      <w:r w:rsidRPr="00B97E44">
        <w:rPr>
          <w:rtl/>
        </w:rPr>
        <w:t xml:space="preserve"> לטווח הארוך. על פי הממצאים, כל שקל </w:t>
      </w:r>
      <w:r w:rsidRPr="00B97E44">
        <w:rPr>
          <w:rFonts w:hint="cs"/>
          <w:rtl/>
        </w:rPr>
        <w:t>ה</w:t>
      </w:r>
      <w:r w:rsidRPr="00B97E44">
        <w:rPr>
          <w:rtl/>
        </w:rPr>
        <w:t>מושקע בילדים בגיל הרך צפוי להניב תועלת של כ-4.8 ש</w:t>
      </w:r>
      <w:r w:rsidRPr="00B97E44">
        <w:rPr>
          <w:rFonts w:hint="cs"/>
          <w:rtl/>
        </w:rPr>
        <w:t>"ח</w:t>
      </w:r>
      <w:r w:rsidRPr="00B97E44">
        <w:rPr>
          <w:rtl/>
        </w:rPr>
        <w:t xml:space="preserve"> למשק, בזכות עלייה בהישגים לימודיים, שיפור בתעסוקה ובהכנסות בעתיד, לצד חיסכון בעלויות </w:t>
      </w:r>
      <w:r w:rsidRPr="00B97E44">
        <w:rPr>
          <w:rFonts w:hint="cs"/>
          <w:rtl/>
        </w:rPr>
        <w:t>כגון</w:t>
      </w:r>
      <w:r w:rsidRPr="00B97E44">
        <w:rPr>
          <w:rtl/>
        </w:rPr>
        <w:t xml:space="preserve"> בריאות ו</w:t>
      </w:r>
      <w:r w:rsidRPr="00B97E44">
        <w:rPr>
          <w:rFonts w:hint="cs"/>
          <w:rtl/>
        </w:rPr>
        <w:t xml:space="preserve">צמצום </w:t>
      </w:r>
      <w:r w:rsidRPr="00B97E44">
        <w:rPr>
          <w:rtl/>
        </w:rPr>
        <w:t>פשיעה</w:t>
      </w:r>
      <w:r>
        <w:rPr>
          <w:vertAlign w:val="superscript"/>
          <w:rtl/>
        </w:rPr>
        <w:footnoteReference w:id="41"/>
      </w:r>
      <w:r w:rsidRPr="00B97E44">
        <w:rPr>
          <w:rtl/>
        </w:rPr>
        <w:t xml:space="preserve">. </w:t>
      </w:r>
      <w:r w:rsidRPr="00B97E44">
        <w:rPr>
          <w:rFonts w:hint="cs"/>
          <w:rtl/>
        </w:rPr>
        <w:t>הוגי תוכנית החומש התבססו בהחלטתם גם על נייר חזון ומדיניות לגיל הרך שביקש להציע רפורמה מקיפה בתחום הגיל הרך בישראל ולהתמקד ראשית בשיפור איכות הטיפול בילדים בדגש על הכשרת כוח האדם והגדלת מספר אנשי הצוות החינוכי (צמצום היחס בין מספר הילדים למספר אנשי הצוות) ובהמשך בהרחבת המסגרות הקיימות ובהגדלת סבסודן</w:t>
      </w:r>
      <w:r>
        <w:rPr>
          <w:vertAlign w:val="superscript"/>
          <w:rtl/>
        </w:rPr>
        <w:footnoteReference w:id="42"/>
      </w:r>
      <w:r w:rsidRPr="00B97E44">
        <w:rPr>
          <w:rFonts w:hint="cs"/>
          <w:rtl/>
        </w:rPr>
        <w:t>.</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על פי תוכנית החומש תקציב סל תקומה מגיל </w:t>
      </w:r>
      <w:r w:rsidRPr="00B97E44">
        <w:rPr>
          <w:rtl/>
        </w:rPr>
        <w:t xml:space="preserve">לידה עד </w:t>
      </w:r>
      <w:r w:rsidRPr="00B97E44">
        <w:rPr>
          <w:rFonts w:hint="cs"/>
          <w:rtl/>
        </w:rPr>
        <w:t>שש</w:t>
      </w:r>
      <w:r w:rsidRPr="00B97E44">
        <w:rPr>
          <w:rtl/>
        </w:rPr>
        <w:t xml:space="preserve"> יועבר במלואו לרשות המקומית ויוגדר כחלק מהסל </w:t>
      </w:r>
      <w:r w:rsidRPr="00B97E44">
        <w:rPr>
          <w:rtl/>
        </w:rPr>
        <w:t>הרשותי</w:t>
      </w:r>
      <w:r w:rsidRPr="00B97E44">
        <w:rPr>
          <w:rtl/>
        </w:rPr>
        <w:t>. הרשות היא האחראית לתכנן, להפעיל ול</w:t>
      </w:r>
      <w:r w:rsidRPr="00B97E44">
        <w:rPr>
          <w:rFonts w:hint="cs"/>
          <w:rtl/>
        </w:rPr>
        <w:t>העניק</w:t>
      </w:r>
      <w:r w:rsidRPr="00B97E44">
        <w:rPr>
          <w:rtl/>
        </w:rPr>
        <w:t xml:space="preserve"> את </w:t>
      </w:r>
      <w:r w:rsidRPr="00B97E44">
        <w:rPr>
          <w:rFonts w:hint="cs"/>
          <w:rtl/>
        </w:rPr>
        <w:t>השירותים</w:t>
      </w:r>
      <w:r w:rsidRPr="00B97E44">
        <w:rPr>
          <w:rtl/>
        </w:rPr>
        <w:t xml:space="preserve"> </w:t>
      </w:r>
      <w:r w:rsidRPr="00B97E44">
        <w:rPr>
          <w:rFonts w:hint="cs"/>
          <w:rtl/>
        </w:rPr>
        <w:t>בסל זה, והם יכולים</w:t>
      </w:r>
      <w:r w:rsidRPr="00B97E44">
        <w:rPr>
          <w:rtl/>
        </w:rPr>
        <w:t xml:space="preserve"> לכלול סייע</w:t>
      </w:r>
      <w:r w:rsidRPr="00B97E44">
        <w:rPr>
          <w:rFonts w:hint="cs"/>
          <w:rtl/>
        </w:rPr>
        <w:t>ים וסייעות</w:t>
      </w:r>
      <w:r w:rsidRPr="00B97E44">
        <w:rPr>
          <w:rtl/>
        </w:rPr>
        <w:t xml:space="preserve"> </w:t>
      </w:r>
      <w:r w:rsidRPr="00B97E44">
        <w:rPr>
          <w:rFonts w:hint="cs"/>
          <w:rtl/>
        </w:rPr>
        <w:t>לתגבור</w:t>
      </w:r>
      <w:r w:rsidRPr="00B97E44">
        <w:rPr>
          <w:rtl/>
        </w:rPr>
        <w:t xml:space="preserve">, ליווי רגשי, תוכניות חוסן, ציוד מותאם לגיל הרך, סדנאות לצוותים ולהורים, וכן פעילויות חווייתיות וקהילתיות. התכנון, האישור והביצוע </w:t>
      </w:r>
      <w:r w:rsidRPr="00B97E44">
        <w:rPr>
          <w:rFonts w:hint="cs"/>
          <w:rtl/>
        </w:rPr>
        <w:t xml:space="preserve">אמורים להיעשות </w:t>
      </w:r>
      <w:r w:rsidRPr="00B97E44">
        <w:rPr>
          <w:rtl/>
        </w:rPr>
        <w:t xml:space="preserve">במערכת </w:t>
      </w:r>
      <w:r w:rsidRPr="00B97E44">
        <w:rPr>
          <w:rtl/>
        </w:rPr>
        <w:t>הגפ"ן</w:t>
      </w:r>
      <w:r w:rsidRPr="00B97E44">
        <w:rPr>
          <w:rtl/>
        </w:rPr>
        <w:t xml:space="preserve"> ותחת בקרה שוטפת של מנהל אגף החינוך</w:t>
      </w:r>
      <w:r w:rsidRPr="00B97E44">
        <w:rPr>
          <w:rFonts w:hint="cs"/>
          <w:rtl/>
        </w:rPr>
        <w:t xml:space="preserve"> ברשות</w:t>
      </w:r>
      <w:r w:rsidRPr="00B97E44">
        <w:rPr>
          <w:rtl/>
        </w:rPr>
        <w:t>, גזבר הרשות ומחוז משרד החינוך</w:t>
      </w:r>
      <w:r w:rsidRPr="00B97E44">
        <w:rPr>
          <w:rFonts w:hint="cs"/>
          <w:rtl/>
        </w:rPr>
        <w:t xml:space="preserve"> ו</w:t>
      </w:r>
      <w:r w:rsidRPr="00B97E44">
        <w:rPr>
          <w:rtl/>
        </w:rPr>
        <w:t>תוך הקפדה על עמידה בנ</w:t>
      </w:r>
      <w:r w:rsidRPr="00B97E44">
        <w:rPr>
          <w:rFonts w:hint="cs"/>
          <w:rtl/>
        </w:rPr>
        <w:t>ו</w:t>
      </w:r>
      <w:r w:rsidRPr="00B97E44">
        <w:rPr>
          <w:rtl/>
        </w:rPr>
        <w:t xml:space="preserve">הלי התוכנית והקצאת 30% </w:t>
      </w:r>
      <w:r w:rsidRPr="00B97E44">
        <w:rPr>
          <w:rFonts w:hint="cs"/>
          <w:rtl/>
        </w:rPr>
        <w:t xml:space="preserve">מהתקציב </w:t>
      </w:r>
      <w:r w:rsidRPr="00B97E44">
        <w:rPr>
          <w:rtl/>
        </w:rPr>
        <w:t xml:space="preserve">לפחות </w:t>
      </w:r>
      <w:r w:rsidRPr="00B97E44">
        <w:rPr>
          <w:rFonts w:hint="cs"/>
          <w:rtl/>
        </w:rPr>
        <w:t>לתמיכה רגשית. הרשות יכולה גם לקדם שירותים במסגרת סל זה באמצעות העברת</w:t>
      </w:r>
      <w:r w:rsidRPr="00B97E44">
        <w:rPr>
          <w:rtl/>
        </w:rPr>
        <w:t xml:space="preserve"> תקציב</w:t>
      </w:r>
      <w:r w:rsidRPr="00B97E44">
        <w:rPr>
          <w:rFonts w:hint="cs"/>
          <w:rtl/>
        </w:rPr>
        <w:t xml:space="preserve"> </w:t>
      </w:r>
      <w:r w:rsidRPr="00B97E44">
        <w:rPr>
          <w:rtl/>
        </w:rPr>
        <w:t>ל</w:t>
      </w:r>
      <w:r w:rsidRPr="00B97E44">
        <w:rPr>
          <w:rFonts w:hint="cs"/>
          <w:rtl/>
        </w:rPr>
        <w:t>י</w:t>
      </w:r>
      <w:r w:rsidRPr="00B97E44">
        <w:rPr>
          <w:rtl/>
        </w:rPr>
        <w:t>ישובים</w:t>
      </w:r>
      <w:r w:rsidRPr="00B97E44">
        <w:rPr>
          <w:rFonts w:hint="cs"/>
          <w:rtl/>
        </w:rPr>
        <w:t xml:space="preserve"> או ל</w:t>
      </w:r>
      <w:r w:rsidRPr="00B97E44">
        <w:rPr>
          <w:rtl/>
        </w:rPr>
        <w:t xml:space="preserve">קיבוצים </w:t>
      </w:r>
      <w:r w:rsidRPr="00B97E44">
        <w:rPr>
          <w:rFonts w:hint="cs"/>
          <w:rtl/>
        </w:rPr>
        <w:t xml:space="preserve">השייכים אליה. לדוגמה במועצה האזורית </w:t>
      </w:r>
      <w:r w:rsidRPr="00B97E44">
        <w:rPr>
          <w:rFonts w:hint="eastAsia"/>
          <w:b/>
          <w:bCs/>
          <w:rtl/>
        </w:rPr>
        <w:t>אשכול</w:t>
      </w:r>
      <w:r w:rsidRPr="00B97E44">
        <w:rPr>
          <w:rFonts w:hint="cs"/>
          <w:rtl/>
        </w:rPr>
        <w:t xml:space="preserve"> בחרו לממש את רוב התקציב עבור גיל לידה עד שש להעסקת סייעת נוספת.</w:t>
      </w:r>
    </w:p>
    <w:p w:rsidR="005B126E" w:rsidP="001916A9">
      <w:pPr>
        <w:spacing w:line="269" w:lineRule="auto"/>
        <w:rPr>
          <w:rtl/>
        </w:rPr>
      </w:pPr>
    </w:p>
    <w:p w:rsidR="005B126E" w:rsidRPr="00B97E44" w:rsidP="001916A9">
      <w:pPr>
        <w:spacing w:line="269" w:lineRule="auto"/>
        <w:rPr>
          <w:rtl/>
        </w:rPr>
      </w:pPr>
      <w:r w:rsidRPr="00B97E44">
        <w:rPr>
          <w:rtl/>
        </w:rPr>
        <w:t xml:space="preserve">בעקבות </w:t>
      </w:r>
      <w:r w:rsidRPr="00B97E44">
        <w:rPr>
          <w:rFonts w:hint="cs"/>
          <w:rtl/>
        </w:rPr>
        <w:t>מתקפת הטרור בשבעה</w:t>
      </w:r>
      <w:r w:rsidRPr="00B97E44">
        <w:rPr>
          <w:rtl/>
        </w:rPr>
        <w:t xml:space="preserve"> באוקטובר והפעילות הצבאית הנרחבת בסמוך לרצועת עזה, נדרשו 1</w:t>
      </w:r>
      <w:r w:rsidRPr="00B97E44">
        <w:rPr>
          <w:rFonts w:hint="cs"/>
          <w:rtl/>
        </w:rPr>
        <w:t>2</w:t>
      </w:r>
      <w:r w:rsidRPr="00B97E44">
        <w:rPr>
          <w:rtl/>
        </w:rPr>
        <w:t xml:space="preserve"> קיבוצים</w:t>
      </w:r>
      <w:r w:rsidRPr="00B97E44">
        <w:rPr>
          <w:rFonts w:hint="cs"/>
          <w:rtl/>
        </w:rPr>
        <w:t xml:space="preserve"> ומושב אחד</w:t>
      </w:r>
      <w:r w:rsidRPr="00B97E44">
        <w:rPr>
          <w:rtl/>
        </w:rPr>
        <w:t xml:space="preserve"> באזור </w:t>
      </w:r>
      <w:r w:rsidRPr="00B97E44">
        <w:rPr>
          <w:rFonts w:hint="cs"/>
          <w:rtl/>
        </w:rPr>
        <w:t>חבל התקומה</w:t>
      </w:r>
      <w:r w:rsidRPr="00B97E44">
        <w:rPr>
          <w:rtl/>
        </w:rPr>
        <w:t xml:space="preserve"> להתפנות ממקום מושבם ולעבור למגורים זמניים. </w:t>
      </w:r>
      <w:r w:rsidRPr="00B97E44">
        <w:rPr>
          <w:rFonts w:hint="cs"/>
          <w:rtl/>
        </w:rPr>
        <w:t xml:space="preserve">בחלק מהמקרים </w:t>
      </w:r>
      <w:r w:rsidRPr="00B97E44">
        <w:rPr>
          <w:rtl/>
        </w:rPr>
        <w:t xml:space="preserve">מגורים אלה </w:t>
      </w:r>
      <w:r w:rsidRPr="00B97E44">
        <w:rPr>
          <w:rFonts w:hint="cs"/>
          <w:rtl/>
        </w:rPr>
        <w:t xml:space="preserve">נמשכו לכל אורך שנת הלימודים </w:t>
      </w:r>
      <w:r w:rsidRPr="00B97E44">
        <w:rPr>
          <w:rFonts w:hint="cs"/>
          <w:rtl/>
        </w:rPr>
        <w:t>התשפ"ה</w:t>
      </w:r>
      <w:r w:rsidRPr="00B97E44">
        <w:rPr>
          <w:rFonts w:hint="cs"/>
          <w:rtl/>
        </w:rPr>
        <w:t xml:space="preserve">, ותושבי ארבעה מהיישובים אף צפויים להמשיך ולהתגורר מחוץ למקום מגוריהם הקבוע גם בשנת הלימודים </w:t>
      </w:r>
      <w:r w:rsidRPr="00B97E44">
        <w:rPr>
          <w:rFonts w:hint="cs"/>
          <w:rtl/>
        </w:rPr>
        <w:t>התשפ"ו</w:t>
      </w:r>
      <w:r w:rsidRPr="00B97E44">
        <w:rPr>
          <w:rFonts w:hint="cs"/>
          <w:rtl/>
        </w:rPr>
        <w:t xml:space="preserve">. </w:t>
      </w:r>
    </w:p>
    <w:p w:rsidR="005B126E" w:rsidP="001916A9">
      <w:pPr>
        <w:spacing w:line="269" w:lineRule="auto"/>
        <w:rPr>
          <w:rtl/>
        </w:rPr>
      </w:pPr>
    </w:p>
    <w:p w:rsidR="005B126E" w:rsidRPr="00B97E44" w:rsidP="001916A9">
      <w:pPr>
        <w:spacing w:line="269" w:lineRule="auto"/>
        <w:rPr>
          <w:rtl/>
        </w:rPr>
      </w:pPr>
      <w:r w:rsidRPr="00B97E44">
        <w:rPr>
          <w:rFonts w:hint="cs"/>
          <w:rtl/>
        </w:rPr>
        <w:t>שלא כמו ביישובים עירוניים,</w:t>
      </w:r>
      <w:r w:rsidRPr="00B97E44">
        <w:rPr>
          <w:rtl/>
        </w:rPr>
        <w:t xml:space="preserve"> </w:t>
      </w:r>
      <w:r w:rsidRPr="00B97E44">
        <w:rPr>
          <w:rFonts w:hint="cs"/>
          <w:rtl/>
        </w:rPr>
        <w:t xml:space="preserve">בקיבוצים </w:t>
      </w:r>
      <w:r w:rsidRPr="00B97E44">
        <w:rPr>
          <w:rtl/>
        </w:rPr>
        <w:t>מערך הגיל הרך הוא חלק בלתי נפרד מהקהילה</w:t>
      </w:r>
      <w:r w:rsidRPr="00B97E44">
        <w:rPr>
          <w:rFonts w:hint="cs"/>
          <w:rtl/>
        </w:rPr>
        <w:t>, ו</w:t>
      </w:r>
      <w:r w:rsidRPr="00B97E44">
        <w:rPr>
          <w:rtl/>
        </w:rPr>
        <w:t>הקיבוצים עצמם משקיעים משאבים בקיום המסגרות ו</w:t>
      </w:r>
      <w:r w:rsidRPr="00B97E44">
        <w:rPr>
          <w:rFonts w:hint="cs"/>
          <w:rtl/>
        </w:rPr>
        <w:t>ב</w:t>
      </w:r>
      <w:r w:rsidRPr="00B97E44">
        <w:rPr>
          <w:rtl/>
        </w:rPr>
        <w:t>העשרת</w:t>
      </w:r>
      <w:r w:rsidRPr="00B97E44">
        <w:rPr>
          <w:rFonts w:hint="cs"/>
          <w:rtl/>
        </w:rPr>
        <w:t>ן</w:t>
      </w:r>
      <w:r w:rsidRPr="00B97E44">
        <w:rPr>
          <w:rtl/>
        </w:rPr>
        <w:t xml:space="preserve"> </w:t>
      </w:r>
      <w:r w:rsidRPr="00B97E44">
        <w:rPr>
          <w:rFonts w:hint="cs"/>
          <w:rtl/>
        </w:rPr>
        <w:t>-</w:t>
      </w:r>
      <w:r w:rsidRPr="00B97E44">
        <w:rPr>
          <w:rtl/>
        </w:rPr>
        <w:t xml:space="preserve"> למשל שיפוץ מבנים, העסקת כוח אדם נוסף לתמיכה והפעלת תוכניות ייחודיות </w:t>
      </w:r>
      <w:r w:rsidRPr="00B97E44">
        <w:rPr>
          <w:rFonts w:hint="cs"/>
          <w:rtl/>
        </w:rPr>
        <w:t xml:space="preserve">לפי </w:t>
      </w:r>
      <w:r w:rsidRPr="00B97E44">
        <w:rPr>
          <w:rtl/>
        </w:rPr>
        <w:t>ערכי הקיבוץ</w:t>
      </w:r>
      <w:r w:rsidRPr="00B97E44">
        <w:rPr>
          <w:rFonts w:hint="cs"/>
          <w:rtl/>
        </w:rPr>
        <w:t>. מדובר ב</w:t>
      </w:r>
      <w:r w:rsidRPr="00B97E44">
        <w:rPr>
          <w:rtl/>
        </w:rPr>
        <w:t xml:space="preserve">יוזמות מקומיות נוספות שאינן מעוגנות בהסדר סטטוטורי, אלא במסגרת האוטונומיה הקהילתית וביכולת התקציב המקומית. בקיבוצים רבים נהוג מודל יום ארוך ופעילות חינוכית משלימה במסגרת הקהילתית </w:t>
      </w:r>
      <w:r w:rsidRPr="00B97E44">
        <w:rPr>
          <w:rFonts w:hint="cs"/>
          <w:rtl/>
        </w:rPr>
        <w:t>נוסף</w:t>
      </w:r>
      <w:r w:rsidRPr="00B97E44">
        <w:rPr>
          <w:rtl/>
        </w:rPr>
        <w:t xml:space="preserve"> לשעות הגן הרשמיות</w:t>
      </w:r>
      <w:r w:rsidRPr="00B97E44">
        <w:rPr>
          <w:rFonts w:hint="cs"/>
          <w:rtl/>
        </w:rPr>
        <w:t>. על</w:t>
      </w:r>
      <w:r w:rsidRPr="00B97E44">
        <w:rPr>
          <w:rtl/>
        </w:rPr>
        <w:t xml:space="preserve"> פעילות זו (כגון צהרונים או פעילויות </w:t>
      </w:r>
      <w:r w:rsidRPr="00B97E44">
        <w:rPr>
          <w:rFonts w:hint="cs"/>
          <w:rtl/>
        </w:rPr>
        <w:t>אחר הצוהריים</w:t>
      </w:r>
      <w:r w:rsidRPr="00B97E44">
        <w:rPr>
          <w:rtl/>
        </w:rPr>
        <w:t>) מפקח</w:t>
      </w:r>
      <w:r w:rsidRPr="00B97E44">
        <w:rPr>
          <w:rFonts w:hint="cs"/>
          <w:rtl/>
        </w:rPr>
        <w:t>ים</w:t>
      </w:r>
      <w:r w:rsidRPr="00B97E44">
        <w:rPr>
          <w:rtl/>
        </w:rPr>
        <w:t xml:space="preserve"> לרוב הקיבוץ עצמו או המועצה האזורית במסגרת החינוך הבלתי</w:t>
      </w:r>
      <w:r w:rsidRPr="00B97E44">
        <w:rPr>
          <w:rFonts w:hint="cs"/>
          <w:rtl/>
        </w:rPr>
        <w:t xml:space="preserve"> </w:t>
      </w:r>
      <w:r w:rsidRPr="00B97E44">
        <w:rPr>
          <w:rtl/>
        </w:rPr>
        <w:t>פורמלי, ולא</w:t>
      </w:r>
      <w:r w:rsidRPr="00B97E44">
        <w:rPr>
          <w:rFonts w:hint="cs"/>
          <w:rtl/>
        </w:rPr>
        <w:t xml:space="preserve"> משרד החינוך</w:t>
      </w:r>
      <w:r w:rsidRPr="00B97E44">
        <w:rPr>
          <w:rtl/>
        </w:rPr>
        <w:t xml:space="preserve"> ישירות</w:t>
      </w:r>
      <w:r>
        <w:rPr>
          <w:vertAlign w:val="superscript"/>
          <w:rtl/>
        </w:rPr>
        <w:footnoteReference w:id="43"/>
      </w:r>
      <w:r w:rsidRPr="00B97E44">
        <w:t>.</w:t>
      </w:r>
      <w:r w:rsidRPr="00B97E44">
        <w:rPr>
          <w:rFonts w:hint="cs"/>
          <w:rtl/>
        </w:rPr>
        <w:t xml:space="preserve"> יש לציין כי התקציבים שלהם זכאי מערך הגיל הרך בקיבוץ מועברים</w:t>
      </w:r>
      <w:r>
        <w:rPr>
          <w:rFonts w:hint="cs"/>
          <w:rtl/>
        </w:rPr>
        <w:t xml:space="preserve"> </w:t>
      </w:r>
      <w:r w:rsidRPr="00B97E44">
        <w:rPr>
          <w:rFonts w:hint="cs"/>
          <w:rtl/>
        </w:rPr>
        <w:t>ממשרד החינוך לרשות המקומית באופן שוטף והיא מעבירה אותם לקיבוץ.</w:t>
      </w:r>
    </w:p>
    <w:p w:rsidR="005B126E" w:rsidP="001916A9">
      <w:pPr>
        <w:spacing w:line="269" w:lineRule="auto"/>
        <w:rPr>
          <w:rtl/>
        </w:rPr>
      </w:pPr>
    </w:p>
    <w:p w:rsidR="005B126E" w:rsidP="001916A9">
      <w:pPr>
        <w:spacing w:line="269" w:lineRule="auto"/>
        <w:rPr>
          <w:rtl/>
        </w:rPr>
      </w:pPr>
      <w:r w:rsidRPr="00B97E44">
        <w:rPr>
          <w:rtl/>
        </w:rPr>
        <w:t xml:space="preserve">בקיבוצים </w:t>
      </w:r>
      <w:r w:rsidRPr="00B97E44">
        <w:rPr>
          <w:rFonts w:hint="cs"/>
          <w:rtl/>
        </w:rPr>
        <w:t>בחבל התקומה</w:t>
      </w:r>
      <w:r w:rsidRPr="00B97E44">
        <w:rPr>
          <w:rtl/>
        </w:rPr>
        <w:t xml:space="preserve"> פ</w:t>
      </w:r>
      <w:r w:rsidRPr="00B97E44">
        <w:rPr>
          <w:rFonts w:hint="cs"/>
          <w:rtl/>
        </w:rPr>
        <w:t>ועלות</w:t>
      </w:r>
      <w:r w:rsidRPr="00B97E44">
        <w:rPr>
          <w:rtl/>
        </w:rPr>
        <w:t xml:space="preserve"> </w:t>
      </w:r>
      <w:r w:rsidRPr="00B97E44">
        <w:rPr>
          <w:rFonts w:hint="cs"/>
          <w:rtl/>
        </w:rPr>
        <w:t>מסגרות</w:t>
      </w:r>
      <w:r w:rsidRPr="00B97E44">
        <w:rPr>
          <w:rtl/>
        </w:rPr>
        <w:t xml:space="preserve"> חינו</w:t>
      </w:r>
      <w:r w:rsidRPr="00B97E44">
        <w:rPr>
          <w:rFonts w:hint="cs"/>
          <w:rtl/>
        </w:rPr>
        <w:t>ך</w:t>
      </w:r>
      <w:r w:rsidRPr="00B97E44">
        <w:rPr>
          <w:rtl/>
        </w:rPr>
        <w:t xml:space="preserve"> </w:t>
      </w:r>
      <w:r w:rsidRPr="00B97E44">
        <w:rPr>
          <w:rFonts w:hint="cs"/>
          <w:rtl/>
        </w:rPr>
        <w:t xml:space="preserve">מגיל </w:t>
      </w:r>
      <w:r w:rsidRPr="00B97E44">
        <w:rPr>
          <w:rtl/>
        </w:rPr>
        <w:t xml:space="preserve">לידה עד </w:t>
      </w:r>
      <w:r w:rsidRPr="00B97E44">
        <w:rPr>
          <w:rFonts w:hint="cs"/>
          <w:rtl/>
        </w:rPr>
        <w:t>שש</w:t>
      </w:r>
      <w:r w:rsidRPr="00B97E44">
        <w:rPr>
          <w:rtl/>
        </w:rPr>
        <w:t xml:space="preserve">, </w:t>
      </w:r>
      <w:r w:rsidRPr="00B97E44">
        <w:rPr>
          <w:rFonts w:hint="cs"/>
          <w:rtl/>
        </w:rPr>
        <w:t>ש</w:t>
      </w:r>
      <w:r w:rsidRPr="00B97E44">
        <w:rPr>
          <w:rtl/>
        </w:rPr>
        <w:t>מומנ</w:t>
      </w:r>
      <w:r w:rsidRPr="00B97E44">
        <w:rPr>
          <w:rFonts w:hint="cs"/>
          <w:rtl/>
        </w:rPr>
        <w:t>ו בחלקן</w:t>
      </w:r>
      <w:r w:rsidRPr="00B97E44">
        <w:rPr>
          <w:rtl/>
        </w:rPr>
        <w:t xml:space="preserve"> על ידי הקיבוץ. לאחר הפינוי, המשך הפעלת המסגרות </w:t>
      </w:r>
      <w:r w:rsidRPr="00B97E44">
        <w:rPr>
          <w:rFonts w:hint="cs"/>
          <w:rtl/>
        </w:rPr>
        <w:t xml:space="preserve">האלה </w:t>
      </w:r>
      <w:r w:rsidRPr="00B97E44">
        <w:rPr>
          <w:rtl/>
        </w:rPr>
        <w:t xml:space="preserve">דרש משאבים נוספים, בין היתר בגין צורך בתגבור כוח אדם </w:t>
      </w:r>
      <w:r w:rsidRPr="00B97E44">
        <w:rPr>
          <w:rFonts w:hint="cs"/>
          <w:rtl/>
        </w:rPr>
        <w:t xml:space="preserve">בשל </w:t>
      </w:r>
      <w:r w:rsidRPr="00B97E44">
        <w:rPr>
          <w:rtl/>
        </w:rPr>
        <w:t>מצבם הנפשי של הילדים שחוו טראומה, וכן בשל הפעלת מסגרות כפולות בשני אתרים נפרדים עקב פיצול אוכלוסיית הקיבוץ בין מוקדי מגורים זמניים.</w:t>
      </w:r>
    </w:p>
    <w:p w:rsidR="003474AA" w:rsidRPr="00B97E44" w:rsidP="001916A9">
      <w:pPr>
        <w:spacing w:line="269" w:lineRule="auto"/>
        <w:rPr>
          <w:rtl/>
        </w:rPr>
      </w:pPr>
    </w:p>
    <w:p w:rsidR="005B126E" w:rsidRPr="00B97E44" w:rsidP="001916A9">
      <w:pPr>
        <w:spacing w:line="269" w:lineRule="auto"/>
        <w:rPr>
          <w:rtl/>
        </w:rPr>
      </w:pPr>
      <w:r w:rsidRPr="00B97E44">
        <w:rPr>
          <w:rFonts w:hint="cs"/>
          <w:rtl/>
        </w:rPr>
        <w:t>ל</w:t>
      </w:r>
      <w:r w:rsidRPr="00B97E44">
        <w:rPr>
          <w:rtl/>
        </w:rPr>
        <w:t>פיכך, קיבוצים אלו נדרשו להזרמת תקציבים נוספים לצורך המשך הפעלת מסגרות החינוך ולצורך שמירה על רציפות שירותי החינו</w:t>
      </w:r>
      <w:r w:rsidRPr="00B97E44">
        <w:rPr>
          <w:rFonts w:hint="cs"/>
          <w:rtl/>
        </w:rPr>
        <w:t>ך</w:t>
      </w:r>
      <w:r w:rsidRPr="00B97E44">
        <w:rPr>
          <w:rtl/>
        </w:rPr>
        <w:t xml:space="preserve"> לילדים </w:t>
      </w:r>
      <w:r w:rsidRPr="00B97E44">
        <w:rPr>
          <w:rFonts w:hint="cs"/>
          <w:rtl/>
        </w:rPr>
        <w:t>מגיל</w:t>
      </w:r>
      <w:r w:rsidRPr="00B97E44">
        <w:rPr>
          <w:rtl/>
        </w:rPr>
        <w:t xml:space="preserve"> לידה עד </w:t>
      </w:r>
      <w:r w:rsidRPr="00B97E44">
        <w:rPr>
          <w:rFonts w:hint="cs"/>
          <w:rtl/>
        </w:rPr>
        <w:t>שש</w:t>
      </w:r>
      <w:r w:rsidRPr="00B97E44">
        <w:rPr>
          <w:rtl/>
        </w:rPr>
        <w:t>. הזרמת התקציבים הייתה חיונית להבטחת תפקוד</w:t>
      </w:r>
      <w:r w:rsidRPr="00B97E44">
        <w:rPr>
          <w:rFonts w:hint="cs"/>
          <w:rtl/>
        </w:rPr>
        <w:t>ן של</w:t>
      </w:r>
      <w:r w:rsidRPr="00B97E44">
        <w:rPr>
          <w:rtl/>
        </w:rPr>
        <w:t xml:space="preserve"> מסגרות החינוך תחת תנאים מאתגרים</w:t>
      </w:r>
      <w:r w:rsidRPr="00B97E44">
        <w:rPr>
          <w:rFonts w:hint="cs"/>
          <w:rtl/>
        </w:rPr>
        <w:t xml:space="preserve"> כאמור.</w:t>
      </w:r>
    </w:p>
    <w:p w:rsidR="005B126E" w:rsidP="001916A9">
      <w:pPr>
        <w:spacing w:line="269" w:lineRule="auto"/>
        <w:rPr>
          <w:b/>
          <w:bCs/>
          <w:rtl/>
        </w:rPr>
      </w:pPr>
    </w:p>
    <w:p w:rsidR="005B126E" w:rsidRPr="00B97E44" w:rsidP="001916A9">
      <w:pPr>
        <w:spacing w:line="269" w:lineRule="auto"/>
        <w:rPr>
          <w:rtl/>
        </w:rPr>
      </w:pPr>
      <w:r w:rsidRPr="00B97E44">
        <w:rPr>
          <w:rFonts w:hint="cs"/>
          <w:b/>
          <w:bCs/>
          <w:rtl/>
        </w:rPr>
        <w:t xml:space="preserve">בביקורת עלה </w:t>
      </w:r>
      <w:r w:rsidRPr="00B97E44">
        <w:rPr>
          <w:rFonts w:hint="eastAsia"/>
          <w:b/>
          <w:bCs/>
          <w:rtl/>
        </w:rPr>
        <w:t>כי</w:t>
      </w:r>
      <w:r w:rsidRPr="00B97E44">
        <w:rPr>
          <w:rFonts w:hint="cs"/>
          <w:b/>
          <w:bCs/>
          <w:rtl/>
        </w:rPr>
        <w:t xml:space="preserve"> נכון ליוני 2025 ארבעה יישובים לפחות מ</w:t>
      </w:r>
      <w:r w:rsidRPr="00B97E44">
        <w:rPr>
          <w:b/>
          <w:bCs/>
          <w:rtl/>
        </w:rPr>
        <w:t>יישובי פורום "הביתה"</w:t>
      </w:r>
      <w:r>
        <w:rPr>
          <w:rStyle w:val="FootnoteReference1"/>
          <w:b/>
          <w:bCs/>
          <w:rtl/>
        </w:rPr>
        <w:footnoteReference w:id="44"/>
      </w:r>
      <w:r w:rsidRPr="00B97E44">
        <w:rPr>
          <w:rFonts w:hint="cs"/>
          <w:b/>
          <w:bCs/>
        </w:rPr>
        <w:t xml:space="preserve"> </w:t>
      </w:r>
      <w:r w:rsidRPr="00B97E44">
        <w:rPr>
          <w:rFonts w:hint="cs"/>
          <w:b/>
          <w:bCs/>
          <w:rtl/>
        </w:rPr>
        <w:t>-</w:t>
      </w:r>
      <w:r w:rsidRPr="00B97E44">
        <w:rPr>
          <w:rFonts w:hint="cs"/>
          <w:b/>
          <w:bCs/>
        </w:rPr>
        <w:t xml:space="preserve"> </w:t>
      </w:r>
      <w:r w:rsidRPr="00B97E44">
        <w:rPr>
          <w:b/>
          <w:bCs/>
          <w:rtl/>
        </w:rPr>
        <w:t>בארי, כפר עזה, ניר עוז, נחל עוז, כיסופים, נירים, חולית, נתיב העשרה, רעים, ניר יצחק, סופה ועלומים</w:t>
      </w:r>
      <w:r w:rsidRPr="00B97E44">
        <w:rPr>
          <w:rFonts w:hint="cs"/>
          <w:b/>
          <w:bCs/>
          <w:vertAlign w:val="superscript"/>
          <w:rtl/>
        </w:rPr>
        <w:t xml:space="preserve"> </w:t>
      </w:r>
      <w:r w:rsidRPr="00B97E44">
        <w:rPr>
          <w:rFonts w:hint="cs"/>
          <w:b/>
          <w:bCs/>
          <w:rtl/>
        </w:rPr>
        <w:t xml:space="preserve">- </w:t>
      </w:r>
      <w:r w:rsidRPr="00B97E44">
        <w:rPr>
          <w:b/>
          <w:bCs/>
          <w:rtl/>
        </w:rPr>
        <w:t xml:space="preserve">טרם קיבלו את הסכומים המגיעים להם במסגרת סל תקומה </w:t>
      </w:r>
      <w:r w:rsidRPr="00B97E44">
        <w:rPr>
          <w:rFonts w:hint="cs"/>
          <w:b/>
          <w:bCs/>
          <w:rtl/>
        </w:rPr>
        <w:t>בגין</w:t>
      </w:r>
      <w:r w:rsidRPr="00B97E44">
        <w:rPr>
          <w:b/>
          <w:bCs/>
          <w:rtl/>
        </w:rPr>
        <w:t xml:space="preserve"> הפעלת מסגרות החינוך </w:t>
      </w:r>
      <w:r w:rsidRPr="00B97E44">
        <w:rPr>
          <w:rFonts w:hint="cs"/>
          <w:b/>
          <w:bCs/>
          <w:rtl/>
        </w:rPr>
        <w:t xml:space="preserve">מגיל </w:t>
      </w:r>
      <w:r w:rsidRPr="00B97E44">
        <w:rPr>
          <w:b/>
          <w:bCs/>
          <w:rtl/>
        </w:rPr>
        <w:t xml:space="preserve">לידה עד </w:t>
      </w:r>
      <w:r w:rsidRPr="00B97E44">
        <w:rPr>
          <w:rFonts w:hint="cs"/>
          <w:b/>
          <w:bCs/>
          <w:rtl/>
        </w:rPr>
        <w:t>שש</w:t>
      </w:r>
      <w:r w:rsidRPr="00B97E44">
        <w:rPr>
          <w:b/>
          <w:bCs/>
          <w:rtl/>
        </w:rPr>
        <w:t>, בעוד ארבעה יישובים אחרים קיבלו סכומים נמוכים יחסית להיקף סל</w:t>
      </w:r>
      <w:r w:rsidRPr="00B97E44">
        <w:rPr>
          <w:rFonts w:hint="cs"/>
          <w:b/>
          <w:bCs/>
          <w:rtl/>
        </w:rPr>
        <w:t xml:space="preserve"> תקומה</w:t>
      </w:r>
      <w:r w:rsidRPr="00B97E44">
        <w:rPr>
          <w:b/>
          <w:bCs/>
          <w:rtl/>
        </w:rPr>
        <w:t xml:space="preserve"> שנקבע</w:t>
      </w:r>
      <w:r w:rsidRPr="00B97E44">
        <w:rPr>
          <w:rFonts w:hint="cs"/>
          <w:b/>
          <w:bCs/>
          <w:rtl/>
        </w:rPr>
        <w:t>.</w:t>
      </w:r>
      <w:r w:rsidRPr="00B97E44">
        <w:rPr>
          <w:b/>
          <w:bCs/>
          <w:rtl/>
        </w:rPr>
        <w:t xml:space="preserve"> </w:t>
      </w:r>
      <w:r w:rsidRPr="00B97E44">
        <w:rPr>
          <w:rFonts w:hint="cs"/>
          <w:b/>
          <w:bCs/>
          <w:rtl/>
        </w:rPr>
        <w:t xml:space="preserve">שמונה </w:t>
      </w:r>
      <w:r w:rsidRPr="00B97E44">
        <w:rPr>
          <w:b/>
          <w:bCs/>
          <w:rtl/>
        </w:rPr>
        <w:t>יישובים אלו שייכים למועצות האזוריות אשכול ושער הנגב</w:t>
      </w:r>
      <w:r w:rsidRPr="00B97E44">
        <w:rPr>
          <w:rtl/>
        </w:rPr>
        <w:t>.</w:t>
      </w:r>
    </w:p>
    <w:p w:rsidR="005B126E" w:rsidP="001916A9">
      <w:pPr>
        <w:spacing w:line="269" w:lineRule="auto"/>
        <w:rPr>
          <w:rtl/>
        </w:rPr>
      </w:pPr>
    </w:p>
    <w:p w:rsidR="005B126E" w:rsidP="001916A9">
      <w:pPr>
        <w:spacing w:line="269" w:lineRule="auto"/>
        <w:rPr>
          <w:rtl/>
        </w:rPr>
      </w:pPr>
      <w:r w:rsidRPr="00B97E44">
        <w:rPr>
          <w:rFonts w:hint="cs"/>
          <w:rtl/>
        </w:rPr>
        <w:t>מינהלת תקומה מסרה בתשובתה כי בבדיקה שנעשתה עולה כי התקציב מועבר לרשויות המקומיות בכמה פעימות, האחרונה שבהן הייתה ביולי 2025.</w:t>
      </w:r>
      <w:r>
        <w:rPr>
          <w:rFonts w:hint="cs"/>
          <w:rtl/>
        </w:rPr>
        <w:t xml:space="preserve"> בתשובה נוספת מסרה </w:t>
      </w:r>
      <w:r>
        <w:rPr>
          <w:rFonts w:hint="cs"/>
          <w:rtl/>
        </w:rPr>
        <w:t>המינהלת</w:t>
      </w:r>
      <w:r>
        <w:rPr>
          <w:rFonts w:hint="cs"/>
          <w:rtl/>
        </w:rPr>
        <w:t xml:space="preserve"> כי לרוב התקציב מועבר לרשויות באמצעות משרד החינוך, וכי מינהלת תקומה ערה לחשיבות של העברת התקציבים במועדם ומקפידה לפעול בהתאם לכך. </w:t>
      </w:r>
    </w:p>
    <w:p w:rsidR="003474AA" w:rsidRPr="00E66397" w:rsidP="001916A9">
      <w:pPr>
        <w:spacing w:line="269" w:lineRule="auto"/>
        <w:rPr>
          <w:rtl/>
        </w:rPr>
      </w:pPr>
    </w:p>
    <w:p w:rsidR="005B126E" w:rsidRPr="00B97E44" w:rsidP="001916A9">
      <w:pPr>
        <w:spacing w:line="269" w:lineRule="auto"/>
        <w:rPr>
          <w:rtl/>
        </w:rPr>
      </w:pPr>
      <w:r w:rsidRPr="00B97E44">
        <w:rPr>
          <w:rFonts w:hint="cs"/>
          <w:rtl/>
        </w:rPr>
        <w:t xml:space="preserve">משרד החינוך מסר בתשובתו כי מנגנון העבודה שנקבע הוא באמצעות מערכת </w:t>
      </w:r>
      <w:r w:rsidRPr="00B97E44">
        <w:rPr>
          <w:rFonts w:hint="cs"/>
          <w:rtl/>
        </w:rPr>
        <w:t>הגפ"ן</w:t>
      </w:r>
      <w:r w:rsidRPr="00B97E44">
        <w:rPr>
          <w:rFonts w:hint="cs"/>
          <w:rtl/>
        </w:rPr>
        <w:t>, ולכן התקציב מועבר ישירות לרשויות המקומיות.</w:t>
      </w:r>
      <w:r>
        <w:rPr>
          <w:rFonts w:hint="cs"/>
          <w:rtl/>
        </w:rPr>
        <w:t xml:space="preserve"> בתשובה נוספת מינואר 2026 מסר משרד החינוך כי בשנת הלימודים </w:t>
      </w:r>
      <w:r>
        <w:rPr>
          <w:rFonts w:hint="cs"/>
          <w:rtl/>
        </w:rPr>
        <w:t>התשפ"ו</w:t>
      </w:r>
      <w:r>
        <w:rPr>
          <w:rFonts w:hint="cs"/>
          <w:rtl/>
        </w:rPr>
        <w:t xml:space="preserve"> מועברים התקציבים בשלוש פעימות לאורך השנה.</w:t>
      </w:r>
    </w:p>
    <w:p w:rsidR="005B126E" w:rsidRPr="00B97E44" w:rsidP="001916A9">
      <w:pPr>
        <w:spacing w:line="269" w:lineRule="auto"/>
        <w:ind w:left="-567"/>
        <w:rPr>
          <w:szCs w:val="20"/>
          <w:rtl/>
        </w:rPr>
      </w:pPr>
    </w:p>
    <w:p w:rsidR="005B126E" w:rsidRPr="00B97E44" w:rsidP="001916A9">
      <w:pPr>
        <w:spacing w:line="269" w:lineRule="auto"/>
        <w:rPr>
          <w:rtl/>
        </w:rPr>
      </w:pPr>
      <w:r w:rsidRPr="00B97E44">
        <w:rPr>
          <w:rtl/>
        </w:rPr>
        <w:t xml:space="preserve">המועצה האזורית </w:t>
      </w:r>
      <w:r w:rsidRPr="00B97E44">
        <w:rPr>
          <w:b/>
          <w:bCs/>
          <w:rtl/>
        </w:rPr>
        <w:t>אשכול</w:t>
      </w:r>
      <w:r w:rsidRPr="00B97E44">
        <w:rPr>
          <w:rtl/>
        </w:rPr>
        <w:t xml:space="preserve"> מסרה בתשובתה כי </w:t>
      </w:r>
      <w:r w:rsidRPr="00B97E44">
        <w:rPr>
          <w:rFonts w:hint="cs"/>
          <w:rtl/>
        </w:rPr>
        <w:t xml:space="preserve">הקצתה כ-5.5 מיליוני ש"ח לסל התקומה לגיל הרך ביישובים המפונים לשנת תשפ"ה וכי </w:t>
      </w:r>
      <w:r w:rsidRPr="00B97E44">
        <w:rPr>
          <w:rtl/>
        </w:rPr>
        <w:t>נכון לשנת תשפ"ו הוסדר מנגנון תקשורת לניהול משותף של כספי תקומה לגיל הרך בקיבוצים.</w:t>
      </w:r>
    </w:p>
    <w:p w:rsidR="005B126E" w:rsidRPr="00B97E44" w:rsidP="001916A9">
      <w:pPr>
        <w:spacing w:line="269" w:lineRule="auto"/>
        <w:ind w:left="-567"/>
        <w:rPr>
          <w:szCs w:val="20"/>
          <w:rtl/>
        </w:rPr>
      </w:pPr>
    </w:p>
    <w:p w:rsidR="005B126E" w:rsidRPr="00B97E44" w:rsidP="001916A9">
      <w:pPr>
        <w:spacing w:line="269" w:lineRule="auto"/>
        <w:rPr>
          <w:rtl/>
        </w:rPr>
      </w:pPr>
      <w:r w:rsidRPr="00B97E44">
        <w:rPr>
          <w:rFonts w:hint="cs"/>
          <w:rtl/>
        </w:rPr>
        <w:t xml:space="preserve">המועצה האזורית </w:t>
      </w:r>
      <w:r w:rsidRPr="00B97E44">
        <w:rPr>
          <w:rFonts w:hint="eastAsia"/>
          <w:b/>
          <w:bCs/>
          <w:rtl/>
        </w:rPr>
        <w:t>שער</w:t>
      </w:r>
      <w:r w:rsidRPr="00B97E44">
        <w:rPr>
          <w:b/>
          <w:bCs/>
          <w:rtl/>
        </w:rPr>
        <w:t xml:space="preserve"> </w:t>
      </w:r>
      <w:r w:rsidRPr="00B97E44">
        <w:rPr>
          <w:rFonts w:hint="eastAsia"/>
          <w:b/>
          <w:bCs/>
          <w:rtl/>
        </w:rPr>
        <w:t>הנגב</w:t>
      </w:r>
      <w:r w:rsidRPr="00B97E44">
        <w:rPr>
          <w:rFonts w:hint="cs"/>
          <w:rtl/>
        </w:rPr>
        <w:t xml:space="preserve"> מסרה בתשובתה למשרד מבקר המדינה מנובמבר 2025 כי אינה מכירה פערים בינה לבין היישובים וכי היא פעלה עימם בשיתוף פעולה מלא.</w:t>
      </w:r>
    </w:p>
    <w:p w:rsidR="005B126E" w:rsidRPr="00B97E44" w:rsidP="001916A9">
      <w:pPr>
        <w:spacing w:line="269" w:lineRule="auto"/>
        <w:ind w:left="-567"/>
        <w:rPr>
          <w:szCs w:val="20"/>
          <w:rtl/>
        </w:rPr>
      </w:pPr>
    </w:p>
    <w:p w:rsidR="005B126E" w:rsidRPr="00B97E44" w:rsidP="001916A9">
      <w:pPr>
        <w:spacing w:line="269" w:lineRule="auto"/>
        <w:rPr>
          <w:b/>
          <w:bCs/>
          <w:rtl/>
        </w:rPr>
      </w:pPr>
      <w:r w:rsidRPr="00B97E44">
        <w:rPr>
          <w:rFonts w:hint="cs"/>
          <w:b/>
          <w:bCs/>
          <w:rtl/>
        </w:rPr>
        <w:t>על מינהלת</w:t>
      </w:r>
      <w:r w:rsidRPr="00B97E44">
        <w:rPr>
          <w:b/>
          <w:bCs/>
          <w:rtl/>
        </w:rPr>
        <w:t xml:space="preserve"> תקומה, משרד החינוך ו</w:t>
      </w:r>
      <w:r w:rsidRPr="00B97E44">
        <w:rPr>
          <w:rFonts w:hint="cs"/>
          <w:b/>
          <w:bCs/>
          <w:rtl/>
        </w:rPr>
        <w:t>ה</w:t>
      </w:r>
      <w:r w:rsidRPr="00B97E44">
        <w:rPr>
          <w:b/>
          <w:bCs/>
          <w:rtl/>
        </w:rPr>
        <w:t xml:space="preserve">מועצות האזוריות אשכול ושער הנגב </w:t>
      </w:r>
      <w:r w:rsidRPr="00B97E44">
        <w:rPr>
          <w:rFonts w:hint="cs"/>
          <w:b/>
          <w:bCs/>
          <w:rtl/>
        </w:rPr>
        <w:t>להקפיד על ה</w:t>
      </w:r>
      <w:r w:rsidRPr="00B97E44">
        <w:rPr>
          <w:b/>
          <w:bCs/>
          <w:rtl/>
        </w:rPr>
        <w:t xml:space="preserve">עברת הכספים </w:t>
      </w:r>
      <w:r w:rsidRPr="00B97E44">
        <w:rPr>
          <w:rFonts w:hint="cs"/>
          <w:b/>
          <w:bCs/>
          <w:rtl/>
        </w:rPr>
        <w:t>במהירות ולהסדיר את</w:t>
      </w:r>
      <w:r w:rsidRPr="00B97E44">
        <w:rPr>
          <w:b/>
          <w:bCs/>
          <w:rtl/>
        </w:rPr>
        <w:t xml:space="preserve"> הזרמתם באופן שיבטיח</w:t>
      </w:r>
      <w:r w:rsidRPr="00B97E44">
        <w:rPr>
          <w:rFonts w:hint="cs"/>
          <w:b/>
          <w:bCs/>
          <w:rtl/>
        </w:rPr>
        <w:t xml:space="preserve"> ליישובים ודאות תקציבית </w:t>
      </w:r>
      <w:r w:rsidRPr="00B97E44">
        <w:rPr>
          <w:rFonts w:hint="cs"/>
          <w:b/>
          <w:bCs/>
          <w:rtl/>
        </w:rPr>
        <w:t>ותזרימית</w:t>
      </w:r>
      <w:r w:rsidRPr="00B97E44">
        <w:rPr>
          <w:rFonts w:hint="cs"/>
          <w:b/>
          <w:bCs/>
          <w:rtl/>
        </w:rPr>
        <w:t xml:space="preserve"> והמ</w:t>
      </w:r>
      <w:r w:rsidRPr="00B97E44">
        <w:rPr>
          <w:b/>
          <w:bCs/>
          <w:rtl/>
        </w:rPr>
        <w:t xml:space="preserve">שך פעילות </w:t>
      </w:r>
      <w:r w:rsidRPr="00B97E44">
        <w:rPr>
          <w:rFonts w:hint="cs"/>
          <w:b/>
          <w:bCs/>
          <w:rtl/>
        </w:rPr>
        <w:t xml:space="preserve">סדירה של </w:t>
      </w:r>
      <w:r w:rsidRPr="00B97E44">
        <w:rPr>
          <w:b/>
          <w:bCs/>
          <w:rtl/>
        </w:rPr>
        <w:t xml:space="preserve">מסגרות החינוך. יש לציין כי כל עיכוב בהעברת הכספים, גם אם יועברו בסופו של דבר, </w:t>
      </w:r>
      <w:r>
        <w:rPr>
          <w:rFonts w:hint="cs"/>
          <w:b/>
          <w:bCs/>
          <w:rtl/>
        </w:rPr>
        <w:t>מאלץ את ה</w:t>
      </w:r>
      <w:r w:rsidRPr="00B97E44">
        <w:rPr>
          <w:rFonts w:hint="cs"/>
          <w:b/>
          <w:bCs/>
          <w:rtl/>
        </w:rPr>
        <w:t xml:space="preserve">יישובים </w:t>
      </w:r>
      <w:r>
        <w:rPr>
          <w:rFonts w:hint="cs"/>
          <w:b/>
          <w:bCs/>
          <w:rtl/>
        </w:rPr>
        <w:t>לשאת ב</w:t>
      </w:r>
      <w:r w:rsidRPr="00B97E44">
        <w:rPr>
          <w:b/>
          <w:bCs/>
          <w:rtl/>
        </w:rPr>
        <w:t>עלויות מימון נוספות</w:t>
      </w:r>
      <w:r>
        <w:rPr>
          <w:b/>
          <w:bCs/>
          <w:vertAlign w:val="superscript"/>
          <w:rtl/>
        </w:rPr>
        <w:footnoteReference w:id="45"/>
      </w:r>
      <w:r w:rsidRPr="00B97E44">
        <w:rPr>
          <w:rFonts w:hint="cs"/>
          <w:b/>
          <w:bCs/>
          <w:rtl/>
        </w:rPr>
        <w:t>.</w:t>
      </w:r>
    </w:p>
    <w:p w:rsidR="005B126E" w:rsidRPr="00B97E44" w:rsidP="001916A9">
      <w:pPr>
        <w:spacing w:line="269" w:lineRule="auto"/>
        <w:rPr>
          <w:b/>
          <w:bCs/>
          <w:rtl/>
        </w:rPr>
      </w:pPr>
    </w:p>
    <w:p w:rsidR="005B126E" w:rsidRPr="00B97E44" w:rsidP="001916A9">
      <w:pPr>
        <w:pStyle w:val="Heading5"/>
        <w:spacing w:line="269" w:lineRule="auto"/>
        <w:rPr>
          <w:rtl/>
        </w:rPr>
      </w:pPr>
      <w:r w:rsidRPr="00B97E44">
        <w:rPr>
          <w:rFonts w:hint="cs"/>
          <w:rtl/>
        </w:rPr>
        <w:t>בקרת משרד החינוך על העברת כספי סל תקומה</w:t>
      </w:r>
    </w:p>
    <w:p w:rsidR="005B126E" w:rsidP="001916A9">
      <w:pPr>
        <w:spacing w:line="269" w:lineRule="auto"/>
        <w:rPr>
          <w:rtl/>
        </w:rPr>
      </w:pPr>
    </w:p>
    <w:p w:rsidR="005B126E" w:rsidRPr="00B97E44" w:rsidP="001916A9">
      <w:pPr>
        <w:spacing w:line="269" w:lineRule="auto"/>
        <w:rPr>
          <w:rtl/>
        </w:rPr>
      </w:pPr>
      <w:r w:rsidRPr="00B97E44">
        <w:rPr>
          <w:rFonts w:hint="cs"/>
          <w:rtl/>
        </w:rPr>
        <w:t>ל</w:t>
      </w:r>
      <w:r w:rsidRPr="00B97E44">
        <w:rPr>
          <w:rtl/>
        </w:rPr>
        <w:t>הבטחת מיצוי מלוא זכויותיהם של ילדי חבל התקומה במסגרת תוכנית החומש הממשלתית</w:t>
      </w:r>
      <w:r w:rsidRPr="00B97E44">
        <w:rPr>
          <w:rFonts w:hint="cs"/>
          <w:rtl/>
        </w:rPr>
        <w:t xml:space="preserve"> חשיבות רבה</w:t>
      </w:r>
      <w:r w:rsidRPr="00B97E44">
        <w:rPr>
          <w:rtl/>
        </w:rPr>
        <w:t>. כ</w:t>
      </w:r>
      <w:r w:rsidRPr="00B97E44">
        <w:rPr>
          <w:rFonts w:hint="cs"/>
          <w:rtl/>
        </w:rPr>
        <w:t>אמור</w:t>
      </w:r>
      <w:r w:rsidRPr="00B97E44">
        <w:rPr>
          <w:rtl/>
        </w:rPr>
        <w:t xml:space="preserve">, סל תקומה </w:t>
      </w:r>
      <w:r w:rsidRPr="00B97E44">
        <w:rPr>
          <w:rFonts w:hint="cs"/>
          <w:rtl/>
        </w:rPr>
        <w:t xml:space="preserve">הוא </w:t>
      </w:r>
      <w:r w:rsidRPr="00B97E44">
        <w:rPr>
          <w:rtl/>
        </w:rPr>
        <w:t>אחד הכלים המרכזיים להענקת סיוע חינוכי, רגשי וקהילתי לילדים שנפגעו מ</w:t>
      </w:r>
      <w:r w:rsidRPr="00B97E44">
        <w:rPr>
          <w:rFonts w:hint="cs"/>
          <w:rtl/>
        </w:rPr>
        <w:t>מתקפת הטרור בשבעה</w:t>
      </w:r>
      <w:r w:rsidRPr="00B97E44">
        <w:rPr>
          <w:rtl/>
        </w:rPr>
        <w:t xml:space="preserve"> באוקטובר. נוכח הפגיעות הקשות ביישובי חבל</w:t>
      </w:r>
      <w:r w:rsidRPr="00B97E44">
        <w:rPr>
          <w:rFonts w:hint="cs"/>
          <w:rtl/>
        </w:rPr>
        <w:t xml:space="preserve"> התקומה</w:t>
      </w:r>
      <w:r w:rsidRPr="00B97E44">
        <w:rPr>
          <w:rtl/>
        </w:rPr>
        <w:t xml:space="preserve"> והשינויים שחלו במקומות מגוריהם של אלפי ילדים ותלמידים, נדרשת בקרה הדוקה אחר העברת התקציבים והטמעתם בפועל, באופן שיבטיח שכל ילד הזכאי לסיוע אכן </w:t>
      </w:r>
      <w:r w:rsidRPr="00B97E44">
        <w:rPr>
          <w:rFonts w:hint="cs"/>
          <w:rtl/>
        </w:rPr>
        <w:t>יזכה לו,</w:t>
      </w:r>
      <w:r w:rsidRPr="00B97E44">
        <w:rPr>
          <w:rtl/>
        </w:rPr>
        <w:t xml:space="preserve"> ללא תלות במ</w:t>
      </w:r>
      <w:r w:rsidRPr="00B97E44">
        <w:rPr>
          <w:rFonts w:hint="cs"/>
          <w:rtl/>
        </w:rPr>
        <w:t>קום מגוריו</w:t>
      </w:r>
      <w:r w:rsidRPr="00B97E44">
        <w:rPr>
          <w:rtl/>
        </w:rPr>
        <w:t xml:space="preserve"> הנוכחי או במסגרת החינו</w:t>
      </w:r>
      <w:r w:rsidRPr="00B97E44">
        <w:rPr>
          <w:rFonts w:hint="cs"/>
          <w:rtl/>
        </w:rPr>
        <w:t>ך</w:t>
      </w:r>
      <w:r w:rsidRPr="00B97E44">
        <w:rPr>
          <w:rtl/>
        </w:rPr>
        <w:t xml:space="preserve"> שבה הוא לומד.</w:t>
      </w:r>
    </w:p>
    <w:p w:rsidR="005B126E" w:rsidP="001916A9">
      <w:pPr>
        <w:spacing w:line="269" w:lineRule="auto"/>
        <w:rPr>
          <w:rtl/>
        </w:rPr>
      </w:pPr>
    </w:p>
    <w:p w:rsidR="005B126E" w:rsidRPr="00B97E44" w:rsidP="001916A9">
      <w:pPr>
        <w:spacing w:line="269" w:lineRule="auto"/>
        <w:rPr>
          <w:rtl/>
        </w:rPr>
      </w:pPr>
      <w:r w:rsidRPr="00B97E44">
        <w:rPr>
          <w:rFonts w:hint="cs"/>
          <w:rtl/>
        </w:rPr>
        <w:t>הפריסה המרחבית הרחבה</w:t>
      </w:r>
      <w:r w:rsidRPr="00B97E44">
        <w:rPr>
          <w:rtl/>
        </w:rPr>
        <w:t xml:space="preserve"> של תושבי חבל התקומה בעקבות האירועים הביטחוניים</w:t>
      </w:r>
      <w:r w:rsidRPr="00B97E44">
        <w:rPr>
          <w:rFonts w:hint="cs"/>
          <w:rtl/>
        </w:rPr>
        <w:t xml:space="preserve"> מעמידה אתגר של ממש ב</w:t>
      </w:r>
      <w:r w:rsidRPr="00B97E44">
        <w:rPr>
          <w:rtl/>
        </w:rPr>
        <w:t>יישום אפקטיבי של סל תקומה ולחלוקה שוויונית של</w:t>
      </w:r>
      <w:r w:rsidRPr="00B97E44">
        <w:rPr>
          <w:rFonts w:hint="cs"/>
          <w:rtl/>
        </w:rPr>
        <w:t>ו</w:t>
      </w:r>
      <w:r w:rsidRPr="00B97E44">
        <w:rPr>
          <w:rtl/>
        </w:rPr>
        <w:t>. ניתן לסווג את אוכלוסיית הזכאים לשלוש קבוצות עיקריות:</w:t>
      </w:r>
      <w:r w:rsidRPr="00B97E44">
        <w:rPr>
          <w:rFonts w:hint="cs"/>
          <w:rtl/>
        </w:rPr>
        <w:t xml:space="preserve"> </w:t>
      </w:r>
      <w:r w:rsidRPr="00B97E44">
        <w:rPr>
          <w:rtl/>
        </w:rPr>
        <w:t xml:space="preserve">תושבים </w:t>
      </w:r>
      <w:r w:rsidRPr="00B97E44">
        <w:rPr>
          <w:rFonts w:hint="cs"/>
          <w:rtl/>
        </w:rPr>
        <w:t>המתגוררים</w:t>
      </w:r>
      <w:r w:rsidRPr="00B97E44">
        <w:rPr>
          <w:rtl/>
        </w:rPr>
        <w:t xml:space="preserve"> כיום בתחומי חבל התקומה</w:t>
      </w:r>
      <w:r w:rsidRPr="00B97E44">
        <w:rPr>
          <w:rFonts w:hint="cs"/>
          <w:rtl/>
        </w:rPr>
        <w:t xml:space="preserve"> (להלן - תושב לא מפונה)</w:t>
      </w:r>
      <w:r w:rsidRPr="00B97E44">
        <w:rPr>
          <w:rtl/>
        </w:rPr>
        <w:t>;</w:t>
      </w:r>
      <w:r w:rsidRPr="00B97E44">
        <w:rPr>
          <w:rFonts w:hint="cs"/>
          <w:rtl/>
        </w:rPr>
        <w:t xml:space="preserve"> </w:t>
      </w:r>
      <w:r w:rsidRPr="00B97E44">
        <w:rPr>
          <w:rtl/>
        </w:rPr>
        <w:t xml:space="preserve">תושבים שפונו ממנו </w:t>
      </w:r>
      <w:r w:rsidRPr="00B97E44">
        <w:rPr>
          <w:rFonts w:hint="cs"/>
          <w:rtl/>
        </w:rPr>
        <w:t>ו</w:t>
      </w:r>
      <w:r w:rsidRPr="00B97E44">
        <w:rPr>
          <w:rtl/>
        </w:rPr>
        <w:t>מתגוררים במתחמי מגורים זמניים המוגדרים כקהילה</w:t>
      </w:r>
      <w:r w:rsidRPr="00B97E44">
        <w:rPr>
          <w:rFonts w:hint="cs"/>
          <w:rtl/>
        </w:rPr>
        <w:t xml:space="preserve"> מפונה (להלן - מפונה בקהילה)</w:t>
      </w:r>
      <w:r w:rsidRPr="00B97E44">
        <w:rPr>
          <w:rtl/>
        </w:rPr>
        <w:t>;</w:t>
      </w:r>
      <w:r w:rsidRPr="00B97E44">
        <w:rPr>
          <w:rFonts w:hint="cs"/>
          <w:rtl/>
        </w:rPr>
        <w:t xml:space="preserve"> </w:t>
      </w:r>
      <w:r w:rsidRPr="00B97E44">
        <w:rPr>
          <w:rtl/>
        </w:rPr>
        <w:t xml:space="preserve">תושבים שפונו </w:t>
      </w:r>
      <w:r w:rsidRPr="00B97E44">
        <w:rPr>
          <w:rFonts w:hint="cs"/>
          <w:rtl/>
        </w:rPr>
        <w:t>מחבל התקומה ומתגוררים ב</w:t>
      </w:r>
      <w:r w:rsidRPr="00B97E44">
        <w:rPr>
          <w:rtl/>
        </w:rPr>
        <w:t>מגורים זמניים ברחבי הארץ</w:t>
      </w:r>
      <w:r w:rsidRPr="00B97E44">
        <w:rPr>
          <w:rFonts w:hint="cs"/>
          <w:rtl/>
        </w:rPr>
        <w:t xml:space="preserve"> (להלן - מפונה בודד)</w:t>
      </w:r>
      <w:r w:rsidRPr="00B97E44">
        <w:rPr>
          <w:rtl/>
        </w:rPr>
        <w:t>.</w:t>
      </w:r>
    </w:p>
    <w:p w:rsidR="005B126E" w:rsidP="001916A9">
      <w:pPr>
        <w:spacing w:line="269" w:lineRule="auto"/>
        <w:rPr>
          <w:rtl/>
        </w:rPr>
      </w:pPr>
    </w:p>
    <w:p w:rsidR="005B126E" w:rsidP="001916A9">
      <w:pPr>
        <w:spacing w:line="269" w:lineRule="auto"/>
        <w:rPr>
          <w:rtl/>
        </w:rPr>
      </w:pPr>
      <w:r w:rsidRPr="00B97E44">
        <w:rPr>
          <w:rtl/>
        </w:rPr>
        <w:t xml:space="preserve">קבוצות אלו נבדלות זו מזו במידת הנגישות </w:t>
      </w:r>
      <w:r w:rsidRPr="00B97E44">
        <w:rPr>
          <w:rFonts w:hint="cs"/>
          <w:rtl/>
        </w:rPr>
        <w:t xml:space="preserve">שלהן </w:t>
      </w:r>
      <w:r w:rsidRPr="00B97E44">
        <w:rPr>
          <w:rtl/>
        </w:rPr>
        <w:t xml:space="preserve">לשירותים החינוכיים והקהילתיים ובמורכבות </w:t>
      </w:r>
      <w:r w:rsidRPr="00B97E44">
        <w:rPr>
          <w:rtl/>
        </w:rPr>
        <w:t>המ</w:t>
      </w:r>
      <w:r w:rsidRPr="00B97E44">
        <w:rPr>
          <w:rFonts w:hint="cs"/>
          <w:rtl/>
        </w:rPr>
        <w:t>י</w:t>
      </w:r>
      <w:r w:rsidRPr="00B97E44">
        <w:rPr>
          <w:rtl/>
        </w:rPr>
        <w:t>נהלית</w:t>
      </w:r>
      <w:r w:rsidRPr="00B97E44">
        <w:rPr>
          <w:rtl/>
        </w:rPr>
        <w:t xml:space="preserve"> הכרוכה בהעברת </w:t>
      </w:r>
      <w:r w:rsidRPr="00B97E44">
        <w:rPr>
          <w:rFonts w:hint="cs"/>
          <w:rtl/>
        </w:rPr>
        <w:t xml:space="preserve">כספי סל תקומה (סל רשותי וסל מוסדי) לכל קבוצה </w:t>
      </w:r>
      <w:r w:rsidRPr="00B97E44">
        <w:rPr>
          <w:rtl/>
        </w:rPr>
        <w:t>והטמעתם בפועל. מצב זה מחייב התאמות במנגנוני הבקרה</w:t>
      </w:r>
      <w:r w:rsidRPr="00B97E44">
        <w:rPr>
          <w:rFonts w:hint="cs"/>
          <w:rtl/>
        </w:rPr>
        <w:t xml:space="preserve"> כדי </w:t>
      </w:r>
      <w:r w:rsidRPr="00B97E44">
        <w:rPr>
          <w:rtl/>
        </w:rPr>
        <w:t>לוודא שהקצאות התקציב משקפות את הצרכים המשתנים של כל הילדים הלומדים</w:t>
      </w:r>
      <w:r w:rsidRPr="00B97E44">
        <w:rPr>
          <w:rFonts w:hint="cs"/>
          <w:rtl/>
        </w:rPr>
        <w:t>, בין שהם מתגוררים בחבל התקומה ובין שהם מפונים בקהילה או מפונים בודדים</w:t>
      </w:r>
      <w:r w:rsidRPr="00B97E44">
        <w:rPr>
          <w:rtl/>
        </w:rPr>
        <w:t>, וכ</w:t>
      </w:r>
      <w:r w:rsidRPr="00B97E44">
        <w:rPr>
          <w:rFonts w:hint="cs"/>
          <w:rtl/>
        </w:rPr>
        <w:t>ן</w:t>
      </w:r>
      <w:r w:rsidRPr="00B97E44">
        <w:rPr>
          <w:rtl/>
        </w:rPr>
        <w:t xml:space="preserve"> </w:t>
      </w:r>
      <w:r w:rsidRPr="00B97E44">
        <w:rPr>
          <w:rFonts w:hint="cs"/>
          <w:rtl/>
        </w:rPr>
        <w:t>ש</w:t>
      </w:r>
      <w:r w:rsidRPr="00B97E44">
        <w:rPr>
          <w:rtl/>
        </w:rPr>
        <w:t>לא תיווצר הפליה בין זכאים עקב מקום שהותם הזמני.</w:t>
      </w:r>
    </w:p>
    <w:p w:rsidR="005B126E" w:rsidRPr="00B97E44" w:rsidP="001916A9">
      <w:pPr>
        <w:spacing w:line="269" w:lineRule="auto"/>
        <w:rPr>
          <w:rtl/>
        </w:rPr>
      </w:pPr>
      <w:r w:rsidRPr="00B97E44">
        <w:rPr>
          <w:rFonts w:hint="cs"/>
          <w:rtl/>
        </w:rPr>
        <w:t xml:space="preserve">כאמור, מוסדות החינוך מקבלים מחצית מסל התקומה </w:t>
      </w:r>
      <w:r w:rsidRPr="00B97E44">
        <w:rPr>
          <w:rtl/>
        </w:rPr>
        <w:t>ב</w:t>
      </w:r>
      <w:r w:rsidRPr="00B97E44">
        <w:rPr>
          <w:rFonts w:hint="cs"/>
          <w:rtl/>
        </w:rPr>
        <w:t>גין</w:t>
      </w:r>
      <w:r w:rsidRPr="00B97E44">
        <w:rPr>
          <w:rtl/>
        </w:rPr>
        <w:t xml:space="preserve"> כל תלמיד </w:t>
      </w:r>
      <w:r w:rsidRPr="00B97E44">
        <w:rPr>
          <w:rFonts w:hint="cs"/>
          <w:rtl/>
        </w:rPr>
        <w:t>ה</w:t>
      </w:r>
      <w:r w:rsidRPr="00B97E44">
        <w:rPr>
          <w:rtl/>
        </w:rPr>
        <w:t xml:space="preserve">מתגורר </w:t>
      </w:r>
      <w:r w:rsidRPr="00B97E44">
        <w:rPr>
          <w:rFonts w:hint="cs"/>
          <w:rtl/>
        </w:rPr>
        <w:t xml:space="preserve">בחבל התקומה או שהתגורר בו בשבעה באוקטובר (להלן - סל מוסדי), והרשויות המקומיות מקבלות מחצית מסל תקומה בגין אותם תלמידים ואת מלוא הסל בגין ילדים מגיל לידה עד שש (להלן - סל רשותי). בגין ילדים המוגדרים מפונים בקהילה סל תקומה </w:t>
      </w:r>
      <w:r w:rsidRPr="00B97E44">
        <w:rPr>
          <w:rFonts w:hint="cs"/>
          <w:rtl/>
        </w:rPr>
        <w:t>הרשותי</w:t>
      </w:r>
      <w:r w:rsidRPr="00B97E44">
        <w:rPr>
          <w:rFonts w:hint="cs"/>
          <w:rtl/>
        </w:rPr>
        <w:t xml:space="preserve"> נחלק כך: 30% לרשות המקור של התושב ו-70% לרשות הקולטת. </w:t>
      </w:r>
    </w:p>
    <w:p w:rsidR="005B126E" w:rsidRPr="00B97E44" w:rsidP="001916A9">
      <w:pPr>
        <w:spacing w:line="269" w:lineRule="auto"/>
        <w:rPr>
          <w:rtl/>
        </w:rPr>
      </w:pPr>
    </w:p>
    <w:p w:rsidR="005B126E" w:rsidRPr="00B97E44" w:rsidP="003474AA">
      <w:pPr>
        <w:keepNext/>
        <w:keepLines/>
        <w:spacing w:line="360" w:lineRule="auto"/>
        <w:jc w:val="center"/>
        <w:rPr>
          <w:b/>
          <w:bCs/>
          <w:rtl/>
        </w:rPr>
      </w:pPr>
      <w:r w:rsidRPr="00B97E44">
        <w:rPr>
          <w:rFonts w:hint="cs"/>
          <w:rtl/>
        </w:rPr>
        <w:t xml:space="preserve">לוח 4: </w:t>
      </w:r>
      <w:r w:rsidRPr="00B97E44">
        <w:rPr>
          <w:rFonts w:hint="cs"/>
          <w:b/>
          <w:bCs/>
          <w:rtl/>
        </w:rPr>
        <w:t xml:space="preserve">חלוקת סל תקומה לשנת הלימודים </w:t>
      </w:r>
      <w:r w:rsidRPr="00B97E44">
        <w:rPr>
          <w:rFonts w:hint="cs"/>
          <w:b/>
          <w:bCs/>
          <w:rtl/>
        </w:rPr>
        <w:t>התשפ"ה</w:t>
      </w:r>
      <w:r w:rsidRPr="00B97E44">
        <w:rPr>
          <w:rFonts w:hint="cs"/>
          <w:b/>
          <w:bCs/>
          <w:rtl/>
        </w:rPr>
        <w:t>, בש"ח</w:t>
      </w:r>
    </w:p>
    <w:tbl>
      <w:tblPr>
        <w:tblW w:w="8337" w:type="dxa"/>
        <w:jc w:val="center"/>
        <w:tblLayout w:type="fixed"/>
        <w:tblCellMar>
          <w:left w:w="10" w:type="dxa"/>
          <w:right w:w="10" w:type="dxa"/>
        </w:tblCellMar>
        <w:tblLook w:val="0000"/>
      </w:tblPr>
      <w:tblGrid>
        <w:gridCol w:w="1392"/>
        <w:gridCol w:w="1387"/>
        <w:gridCol w:w="1387"/>
        <w:gridCol w:w="1070"/>
        <w:gridCol w:w="1704"/>
        <w:gridCol w:w="1397"/>
      </w:tblGrid>
      <w:tr w:rsidTr="00FF2A74">
        <w:tblPrEx>
          <w:tblW w:w="8337" w:type="dxa"/>
          <w:jc w:val="center"/>
          <w:tblLayout w:type="fixed"/>
          <w:tblCellMar>
            <w:left w:w="10" w:type="dxa"/>
            <w:right w:w="10" w:type="dxa"/>
          </w:tblCellMar>
          <w:tblLook w:val="0000"/>
        </w:tblPrEx>
        <w:trPr>
          <w:trHeight w:hRule="exact" w:val="1181"/>
          <w:jc w:val="center"/>
        </w:trPr>
        <w:tc>
          <w:tcPr>
            <w:tcW w:w="1392" w:type="dxa"/>
            <w:tcBorders>
              <w:top w:val="single" w:sz="4" w:space="0" w:color="auto"/>
              <w:left w:val="single" w:sz="4" w:space="0" w:color="auto"/>
            </w:tcBorders>
            <w:shd w:val="clear" w:color="auto" w:fill="FFFFFF"/>
            <w:vAlign w:val="center"/>
          </w:tcPr>
          <w:p w:rsidR="005B126E" w:rsidRPr="00B97E44" w:rsidP="001916A9">
            <w:pPr>
              <w:spacing w:line="269" w:lineRule="auto"/>
              <w:jc w:val="center"/>
            </w:pPr>
            <w:r w:rsidRPr="00B97E44">
              <w:rPr>
                <w:rFonts w:ascii="David" w:eastAsia="David" w:hAnsi="David"/>
                <w:b/>
                <w:bCs/>
                <w:color w:val="000000"/>
                <w:sz w:val="22"/>
                <w:szCs w:val="22"/>
                <w:lang w:val="he-IL" w:eastAsia="he-IL"/>
              </w:rPr>
              <w:t>סל רשותי</w:t>
            </w:r>
            <w:r w:rsidRPr="00B97E44">
              <w:rPr>
                <w:rFonts w:ascii="David" w:eastAsia="David" w:hAnsi="David" w:hint="cs"/>
                <w:b/>
                <w:bCs/>
                <w:color w:val="000000"/>
                <w:sz w:val="22"/>
                <w:szCs w:val="22"/>
                <w:rtl/>
                <w:lang w:val="he-IL" w:eastAsia="he-IL"/>
              </w:rPr>
              <w:t xml:space="preserve"> -רשות </w:t>
            </w:r>
            <w:r w:rsidRPr="00B97E44">
              <w:rPr>
                <w:rFonts w:ascii="David" w:eastAsia="David" w:hAnsi="David"/>
                <w:b/>
                <w:bCs/>
                <w:color w:val="000000"/>
                <w:sz w:val="22"/>
                <w:szCs w:val="22"/>
                <w:lang w:val="he-IL" w:eastAsia="he-IL"/>
              </w:rPr>
              <w:t>קולטת</w:t>
            </w:r>
          </w:p>
        </w:tc>
        <w:tc>
          <w:tcPr>
            <w:tcW w:w="1387" w:type="dxa"/>
            <w:tcBorders>
              <w:top w:val="single" w:sz="4" w:space="0" w:color="auto"/>
              <w:left w:val="single" w:sz="4" w:space="0" w:color="auto"/>
            </w:tcBorders>
            <w:shd w:val="clear" w:color="auto" w:fill="FFFFFF"/>
            <w:vAlign w:val="center"/>
          </w:tcPr>
          <w:p w:rsidR="005B126E" w:rsidRPr="00B97E44" w:rsidP="001916A9">
            <w:pPr>
              <w:spacing w:line="269" w:lineRule="auto"/>
              <w:jc w:val="center"/>
            </w:pPr>
            <w:r w:rsidRPr="00B97E44">
              <w:rPr>
                <w:rFonts w:ascii="David" w:eastAsia="David" w:hAnsi="David"/>
                <w:b/>
                <w:bCs/>
                <w:color w:val="000000"/>
                <w:sz w:val="22"/>
                <w:szCs w:val="22"/>
                <w:lang w:val="he-IL" w:eastAsia="he-IL"/>
              </w:rPr>
              <w:t>סל רשותי</w:t>
            </w:r>
            <w:r w:rsidRPr="00B97E44">
              <w:rPr>
                <w:rFonts w:ascii="David" w:eastAsia="David" w:hAnsi="David" w:hint="cs"/>
                <w:b/>
                <w:bCs/>
                <w:color w:val="000000"/>
                <w:sz w:val="22"/>
                <w:szCs w:val="22"/>
                <w:rtl/>
                <w:lang w:val="he-IL" w:eastAsia="he-IL"/>
              </w:rPr>
              <w:t xml:space="preserve"> -</w:t>
            </w:r>
            <w:r w:rsidRPr="00B97E44">
              <w:rPr>
                <w:rFonts w:ascii="David" w:eastAsia="David" w:hAnsi="David"/>
                <w:b/>
                <w:bCs/>
                <w:color w:val="000000"/>
                <w:sz w:val="22"/>
                <w:szCs w:val="22"/>
                <w:rtl/>
                <w:lang w:val="he-IL" w:eastAsia="he-IL"/>
              </w:rPr>
              <w:t xml:space="preserve"> </w:t>
            </w:r>
            <w:r w:rsidRPr="00B97E44">
              <w:rPr>
                <w:rFonts w:ascii="David" w:eastAsia="David" w:hAnsi="David" w:hint="cs"/>
                <w:b/>
                <w:bCs/>
                <w:color w:val="000000"/>
                <w:sz w:val="22"/>
                <w:szCs w:val="22"/>
                <w:rtl/>
                <w:lang w:val="he-IL" w:eastAsia="he-IL"/>
              </w:rPr>
              <w:t xml:space="preserve">רשות </w:t>
            </w:r>
            <w:r w:rsidRPr="00B97E44">
              <w:rPr>
                <w:rFonts w:ascii="David" w:eastAsia="David" w:hAnsi="David"/>
                <w:b/>
                <w:bCs/>
                <w:color w:val="000000"/>
                <w:sz w:val="22"/>
                <w:szCs w:val="22"/>
                <w:lang w:val="he-IL" w:eastAsia="he-IL"/>
              </w:rPr>
              <w:t>מקור</w:t>
            </w:r>
          </w:p>
        </w:tc>
        <w:tc>
          <w:tcPr>
            <w:tcW w:w="1387" w:type="dxa"/>
            <w:tcBorders>
              <w:top w:val="single" w:sz="4" w:space="0" w:color="auto"/>
              <w:left w:val="single" w:sz="4" w:space="0" w:color="auto"/>
            </w:tcBorders>
            <w:shd w:val="clear" w:color="auto" w:fill="FFFFFF"/>
            <w:vAlign w:val="center"/>
          </w:tcPr>
          <w:p w:rsidR="005B126E" w:rsidRPr="00B97E44" w:rsidP="001916A9">
            <w:pPr>
              <w:spacing w:line="269" w:lineRule="auto"/>
              <w:jc w:val="center"/>
              <w:rPr>
                <w:rFonts w:ascii="David" w:eastAsia="David" w:hAnsi="David"/>
                <w:b/>
                <w:bCs/>
                <w:color w:val="000000"/>
                <w:sz w:val="22"/>
                <w:szCs w:val="22"/>
                <w:rtl/>
                <w:lang w:val="he-IL" w:eastAsia="he-IL"/>
              </w:rPr>
            </w:pPr>
            <w:r w:rsidRPr="00B97E44">
              <w:rPr>
                <w:rFonts w:ascii="David" w:eastAsia="David" w:hAnsi="David"/>
                <w:b/>
                <w:bCs/>
                <w:color w:val="000000"/>
                <w:sz w:val="22"/>
                <w:szCs w:val="22"/>
                <w:lang w:val="he-IL" w:eastAsia="he-IL"/>
              </w:rPr>
              <w:t>סל מוסדי</w:t>
            </w:r>
          </w:p>
          <w:p w:rsidR="005B126E" w:rsidRPr="00B97E44" w:rsidP="001916A9">
            <w:pPr>
              <w:spacing w:line="269" w:lineRule="auto"/>
              <w:jc w:val="center"/>
            </w:pPr>
            <w:r w:rsidRPr="00B97E44">
              <w:rPr>
                <w:rFonts w:ascii="David" w:eastAsia="David" w:hAnsi="David" w:hint="cs"/>
                <w:b/>
                <w:bCs/>
                <w:color w:val="000000"/>
                <w:sz w:val="22"/>
                <w:szCs w:val="22"/>
                <w:rtl/>
                <w:lang w:val="he-IL" w:eastAsia="he-IL"/>
              </w:rPr>
              <w:t xml:space="preserve">על פי </w:t>
            </w:r>
            <w:r w:rsidRPr="00B97E44">
              <w:rPr>
                <w:rFonts w:ascii="David" w:eastAsia="David" w:hAnsi="David"/>
                <w:b/>
                <w:bCs/>
                <w:color w:val="000000"/>
                <w:sz w:val="22"/>
                <w:szCs w:val="22"/>
                <w:lang w:val="he-IL" w:eastAsia="he-IL"/>
              </w:rPr>
              <w:t>מצבת</w:t>
            </w:r>
            <w:r w:rsidRPr="00B97E44">
              <w:rPr>
                <w:rFonts w:hint="cs"/>
                <w:rtl/>
              </w:rPr>
              <w:t xml:space="preserve"> </w:t>
            </w:r>
            <w:r w:rsidRPr="00B97E44">
              <w:rPr>
                <w:rFonts w:ascii="David" w:eastAsia="David" w:hAnsi="David" w:hint="eastAsia"/>
                <w:b/>
                <w:bCs/>
                <w:color w:val="000000"/>
                <w:sz w:val="22"/>
                <w:szCs w:val="22"/>
                <w:rtl/>
                <w:lang w:val="he-IL" w:eastAsia="he-IL"/>
              </w:rPr>
              <w:t>תלמידים</w:t>
            </w:r>
          </w:p>
        </w:tc>
        <w:tc>
          <w:tcPr>
            <w:tcW w:w="1070" w:type="dxa"/>
            <w:tcBorders>
              <w:top w:val="single" w:sz="4" w:space="0" w:color="auto"/>
              <w:left w:val="single" w:sz="4" w:space="0" w:color="auto"/>
            </w:tcBorders>
            <w:shd w:val="clear" w:color="auto" w:fill="FFFFFF"/>
            <w:vAlign w:val="center"/>
          </w:tcPr>
          <w:p w:rsidR="005B126E" w:rsidRPr="00B97E44" w:rsidP="001916A9">
            <w:pPr>
              <w:spacing w:line="269" w:lineRule="auto"/>
              <w:ind w:left="240"/>
              <w:jc w:val="center"/>
            </w:pPr>
            <w:r w:rsidRPr="00B97E44">
              <w:rPr>
                <w:rFonts w:ascii="David" w:eastAsia="David" w:hAnsi="David" w:hint="cs"/>
                <w:b/>
                <w:bCs/>
                <w:color w:val="000000"/>
                <w:sz w:val="22"/>
                <w:szCs w:val="22"/>
                <w:rtl/>
                <w:lang w:val="he-IL" w:eastAsia="he-IL"/>
              </w:rPr>
              <w:t>הקצבה ל</w:t>
            </w:r>
            <w:r w:rsidRPr="00B97E44">
              <w:rPr>
                <w:rFonts w:ascii="David" w:eastAsia="David" w:hAnsi="David"/>
                <w:b/>
                <w:bCs/>
                <w:color w:val="000000"/>
                <w:sz w:val="22"/>
                <w:szCs w:val="22"/>
                <w:lang w:val="he-IL" w:eastAsia="he-IL"/>
              </w:rPr>
              <w:t>תלמיד</w:t>
            </w:r>
          </w:p>
        </w:tc>
        <w:tc>
          <w:tcPr>
            <w:tcW w:w="1704" w:type="dxa"/>
            <w:tcBorders>
              <w:top w:val="single" w:sz="4" w:space="0" w:color="auto"/>
              <w:left w:val="single" w:sz="4" w:space="0" w:color="auto"/>
            </w:tcBorders>
            <w:shd w:val="clear" w:color="auto" w:fill="FFFFFF"/>
            <w:vAlign w:val="center"/>
          </w:tcPr>
          <w:p w:rsidR="005B126E" w:rsidRPr="00B97E44" w:rsidP="001916A9">
            <w:pPr>
              <w:spacing w:line="269" w:lineRule="auto"/>
              <w:jc w:val="center"/>
            </w:pPr>
            <w:r w:rsidRPr="00B97E44">
              <w:rPr>
                <w:rFonts w:ascii="David" w:eastAsia="David" w:hAnsi="David"/>
                <w:b/>
                <w:bCs/>
                <w:color w:val="000000"/>
                <w:sz w:val="22"/>
                <w:szCs w:val="22"/>
                <w:lang w:val="he-IL" w:eastAsia="he-IL"/>
              </w:rPr>
              <w:t>האם מפונה</w:t>
            </w:r>
          </w:p>
        </w:tc>
        <w:tc>
          <w:tcPr>
            <w:tcW w:w="1397" w:type="dxa"/>
            <w:tcBorders>
              <w:top w:val="single" w:sz="4" w:space="0" w:color="auto"/>
              <w:left w:val="single" w:sz="4" w:space="0" w:color="auto"/>
              <w:right w:val="single" w:sz="4" w:space="0" w:color="auto"/>
            </w:tcBorders>
            <w:shd w:val="clear" w:color="auto" w:fill="FFFFFF"/>
            <w:vAlign w:val="center"/>
          </w:tcPr>
          <w:p w:rsidR="005B126E" w:rsidRPr="00B97E44" w:rsidP="001916A9">
            <w:pPr>
              <w:spacing w:line="269" w:lineRule="auto"/>
              <w:ind w:left="180"/>
              <w:jc w:val="center"/>
            </w:pPr>
            <w:r w:rsidRPr="00B97E44">
              <w:rPr>
                <w:rFonts w:ascii="David" w:eastAsia="David" w:hAnsi="David"/>
                <w:b/>
                <w:bCs/>
                <w:color w:val="000000"/>
                <w:sz w:val="22"/>
                <w:szCs w:val="22"/>
                <w:lang w:val="he-IL" w:eastAsia="he-IL"/>
              </w:rPr>
              <w:t>שלב חינוך</w:t>
            </w:r>
          </w:p>
        </w:tc>
      </w:tr>
      <w:tr w:rsidTr="00FF2A74">
        <w:tblPrEx>
          <w:tblW w:w="8337" w:type="dxa"/>
          <w:jc w:val="center"/>
          <w:tblLayout w:type="fixed"/>
          <w:tblCellMar>
            <w:left w:w="10" w:type="dxa"/>
            <w:right w:w="10" w:type="dxa"/>
          </w:tblCellMar>
          <w:tblLook w:val="0000"/>
        </w:tblPrEx>
        <w:trPr>
          <w:trHeight w:hRule="exact" w:val="365"/>
          <w:jc w:val="center"/>
        </w:trPr>
        <w:tc>
          <w:tcPr>
            <w:tcW w:w="1392" w:type="dxa"/>
            <w:tcBorders>
              <w:top w:val="single" w:sz="4" w:space="0" w:color="auto"/>
              <w:left w:val="single" w:sz="4" w:space="0" w:color="auto"/>
            </w:tcBorders>
            <w:shd w:val="clear" w:color="auto" w:fill="FFFFFF"/>
          </w:tcPr>
          <w:p w:rsidR="005B126E" w:rsidRPr="001F3E0C" w:rsidP="001916A9">
            <w:pPr>
              <w:bidi w:val="0"/>
              <w:spacing w:line="269" w:lineRule="auto"/>
              <w:jc w:val="right"/>
              <w:rPr>
                <w:sz w:val="22"/>
                <w:szCs w:val="22"/>
              </w:rPr>
            </w:pPr>
            <w:r w:rsidRPr="001F3E0C">
              <w:rPr>
                <w:rFonts w:ascii="David" w:eastAsia="David" w:hAnsi="David"/>
                <w:color w:val="000000"/>
                <w:sz w:val="22"/>
                <w:szCs w:val="22"/>
                <w:lang w:val="he-IL" w:eastAsia="he-IL" w:bidi="en-US"/>
              </w:rPr>
              <w:t>-</w:t>
            </w:r>
          </w:p>
        </w:tc>
        <w:tc>
          <w:tcPr>
            <w:tcW w:w="1387" w:type="dxa"/>
            <w:tcBorders>
              <w:top w:val="single" w:sz="4" w:space="0" w:color="auto"/>
              <w:left w:val="single" w:sz="4" w:space="0" w:color="auto"/>
            </w:tcBorders>
            <w:shd w:val="clear" w:color="auto" w:fill="FFFFFF"/>
          </w:tcPr>
          <w:p w:rsidR="005B126E" w:rsidRPr="001F3E0C" w:rsidP="001916A9">
            <w:pPr>
              <w:bidi w:val="0"/>
              <w:spacing w:line="269" w:lineRule="auto"/>
              <w:jc w:val="right"/>
              <w:rPr>
                <w:sz w:val="22"/>
                <w:szCs w:val="22"/>
              </w:rPr>
            </w:pPr>
            <w:r w:rsidRPr="001F3E0C">
              <w:rPr>
                <w:rFonts w:ascii="David" w:eastAsia="David" w:hAnsi="David"/>
                <w:color w:val="000000"/>
                <w:sz w:val="22"/>
                <w:szCs w:val="22"/>
                <w:lang w:val="he-IL" w:eastAsia="he-IL" w:bidi="en-US"/>
              </w:rPr>
              <w:t>13,500</w:t>
            </w:r>
          </w:p>
        </w:tc>
        <w:tc>
          <w:tcPr>
            <w:tcW w:w="1387" w:type="dxa"/>
            <w:tcBorders>
              <w:top w:val="single" w:sz="4" w:space="0" w:color="auto"/>
              <w:left w:val="single" w:sz="4" w:space="0" w:color="auto"/>
            </w:tcBorders>
            <w:shd w:val="clear" w:color="auto" w:fill="FFFFFF"/>
          </w:tcPr>
          <w:p w:rsidR="005B126E" w:rsidRPr="001F3E0C" w:rsidP="001916A9">
            <w:pPr>
              <w:bidi w:val="0"/>
              <w:spacing w:line="269" w:lineRule="auto"/>
              <w:jc w:val="right"/>
              <w:rPr>
                <w:sz w:val="22"/>
                <w:szCs w:val="22"/>
              </w:rPr>
            </w:pPr>
            <w:r w:rsidRPr="001F3E0C">
              <w:rPr>
                <w:rFonts w:ascii="David" w:eastAsia="David" w:hAnsi="David"/>
                <w:color w:val="000000"/>
                <w:sz w:val="22"/>
                <w:szCs w:val="22"/>
                <w:lang w:val="he-IL" w:eastAsia="he-IL" w:bidi="en-US"/>
              </w:rPr>
              <w:t>-</w:t>
            </w:r>
          </w:p>
        </w:tc>
        <w:tc>
          <w:tcPr>
            <w:tcW w:w="1070" w:type="dxa"/>
            <w:tcBorders>
              <w:top w:val="single" w:sz="4" w:space="0" w:color="auto"/>
              <w:left w:val="single" w:sz="4" w:space="0" w:color="auto"/>
            </w:tcBorders>
            <w:shd w:val="clear" w:color="auto" w:fill="FFFFFF"/>
          </w:tcPr>
          <w:p w:rsidR="005B126E" w:rsidRPr="001F3E0C" w:rsidP="001916A9">
            <w:pPr>
              <w:bidi w:val="0"/>
              <w:spacing w:line="269" w:lineRule="auto"/>
              <w:ind w:left="260"/>
              <w:jc w:val="right"/>
              <w:rPr>
                <w:sz w:val="22"/>
                <w:szCs w:val="22"/>
              </w:rPr>
            </w:pPr>
            <w:r w:rsidRPr="001F3E0C">
              <w:rPr>
                <w:rFonts w:ascii="David" w:eastAsia="David" w:hAnsi="David"/>
                <w:color w:val="000000"/>
                <w:sz w:val="22"/>
                <w:szCs w:val="22"/>
                <w:lang w:val="he-IL" w:eastAsia="he-IL" w:bidi="en-US"/>
              </w:rPr>
              <w:t>13,500</w:t>
            </w:r>
          </w:p>
        </w:tc>
        <w:tc>
          <w:tcPr>
            <w:tcW w:w="1704" w:type="dxa"/>
            <w:tcBorders>
              <w:top w:val="single" w:sz="4" w:space="0" w:color="auto"/>
              <w:left w:val="single" w:sz="4" w:space="0" w:color="auto"/>
            </w:tcBorders>
            <w:shd w:val="clear" w:color="auto" w:fill="FFFFFF"/>
          </w:tcPr>
          <w:p w:rsidR="005B126E" w:rsidRPr="001F3E0C" w:rsidP="001916A9">
            <w:pPr>
              <w:bidi w:val="0"/>
              <w:spacing w:line="269" w:lineRule="auto"/>
              <w:jc w:val="right"/>
              <w:rPr>
                <w:rFonts w:ascii="David" w:eastAsia="David" w:hAnsi="David"/>
                <w:color w:val="000000"/>
                <w:sz w:val="22"/>
                <w:szCs w:val="22"/>
                <w:lang w:val="he-IL" w:eastAsia="he-IL"/>
              </w:rPr>
            </w:pPr>
            <w:r w:rsidRPr="001F3E0C">
              <w:rPr>
                <w:rFonts w:ascii="David" w:eastAsia="David" w:hAnsi="David"/>
                <w:color w:val="000000"/>
                <w:sz w:val="22"/>
                <w:szCs w:val="22"/>
                <w:lang w:val="he-IL" w:eastAsia="he-IL"/>
              </w:rPr>
              <w:t>לא מפונה</w:t>
            </w:r>
          </w:p>
        </w:tc>
        <w:tc>
          <w:tcPr>
            <w:tcW w:w="1397" w:type="dxa"/>
            <w:tcBorders>
              <w:top w:val="single" w:sz="4" w:space="0" w:color="auto"/>
              <w:left w:val="single" w:sz="4" w:space="0" w:color="auto"/>
              <w:right w:val="single" w:sz="4" w:space="0" w:color="auto"/>
            </w:tcBorders>
            <w:shd w:val="clear" w:color="auto" w:fill="FFFFFF"/>
          </w:tcPr>
          <w:p w:rsidR="005B126E" w:rsidRPr="001F3E0C" w:rsidP="001916A9">
            <w:pPr>
              <w:bidi w:val="0"/>
              <w:spacing w:line="269" w:lineRule="auto"/>
              <w:ind w:left="180"/>
              <w:jc w:val="right"/>
              <w:rPr>
                <w:sz w:val="22"/>
                <w:szCs w:val="22"/>
              </w:rPr>
            </w:pPr>
            <w:r w:rsidRPr="001F3E0C">
              <w:rPr>
                <w:rFonts w:ascii="David" w:eastAsia="David" w:hAnsi="David"/>
                <w:color w:val="000000"/>
                <w:sz w:val="22"/>
                <w:szCs w:val="22"/>
                <w:lang w:val="he-IL" w:eastAsia="he-IL"/>
              </w:rPr>
              <w:t>לידה עד שש</w:t>
            </w:r>
          </w:p>
        </w:tc>
      </w:tr>
      <w:tr w:rsidTr="00FF2A74">
        <w:tblPrEx>
          <w:tblW w:w="8337" w:type="dxa"/>
          <w:jc w:val="center"/>
          <w:tblLayout w:type="fixed"/>
          <w:tblCellMar>
            <w:left w:w="10" w:type="dxa"/>
            <w:right w:w="10" w:type="dxa"/>
          </w:tblCellMar>
          <w:tblLook w:val="0000"/>
        </w:tblPrEx>
        <w:trPr>
          <w:trHeight w:hRule="exact" w:val="365"/>
          <w:jc w:val="center"/>
        </w:trPr>
        <w:tc>
          <w:tcPr>
            <w:tcW w:w="1392" w:type="dxa"/>
            <w:tcBorders>
              <w:top w:val="single" w:sz="4" w:space="0" w:color="auto"/>
              <w:left w:val="single" w:sz="4" w:space="0" w:color="auto"/>
            </w:tcBorders>
            <w:shd w:val="clear" w:color="auto" w:fill="FFFFFF"/>
          </w:tcPr>
          <w:p w:rsidR="005B126E" w:rsidRPr="001F3E0C" w:rsidP="001916A9">
            <w:pPr>
              <w:bidi w:val="0"/>
              <w:spacing w:line="269" w:lineRule="auto"/>
              <w:jc w:val="right"/>
              <w:rPr>
                <w:sz w:val="22"/>
                <w:szCs w:val="22"/>
              </w:rPr>
            </w:pPr>
            <w:r w:rsidRPr="001F3E0C">
              <w:rPr>
                <w:rFonts w:ascii="David" w:eastAsia="David" w:hAnsi="David"/>
                <w:color w:val="000000"/>
                <w:sz w:val="22"/>
                <w:szCs w:val="22"/>
                <w:lang w:val="he-IL" w:eastAsia="he-IL" w:bidi="en-US"/>
              </w:rPr>
              <w:t>-</w:t>
            </w:r>
          </w:p>
        </w:tc>
        <w:tc>
          <w:tcPr>
            <w:tcW w:w="1387" w:type="dxa"/>
            <w:tcBorders>
              <w:top w:val="single" w:sz="4" w:space="0" w:color="auto"/>
              <w:left w:val="single" w:sz="4" w:space="0" w:color="auto"/>
            </w:tcBorders>
            <w:shd w:val="clear" w:color="auto" w:fill="FFFFFF"/>
          </w:tcPr>
          <w:p w:rsidR="005B126E" w:rsidRPr="001F3E0C" w:rsidP="001916A9">
            <w:pPr>
              <w:bidi w:val="0"/>
              <w:spacing w:line="269" w:lineRule="auto"/>
              <w:jc w:val="right"/>
              <w:rPr>
                <w:sz w:val="22"/>
                <w:szCs w:val="22"/>
              </w:rPr>
            </w:pPr>
            <w:r w:rsidRPr="001F3E0C">
              <w:rPr>
                <w:rFonts w:ascii="David" w:eastAsia="David" w:hAnsi="David"/>
                <w:color w:val="000000"/>
                <w:sz w:val="22"/>
                <w:szCs w:val="22"/>
                <w:lang w:val="he-IL" w:eastAsia="he-IL" w:bidi="en-US"/>
              </w:rPr>
              <w:t>13,500</w:t>
            </w:r>
          </w:p>
        </w:tc>
        <w:tc>
          <w:tcPr>
            <w:tcW w:w="1387" w:type="dxa"/>
            <w:tcBorders>
              <w:top w:val="single" w:sz="4" w:space="0" w:color="auto"/>
              <w:left w:val="single" w:sz="4" w:space="0" w:color="auto"/>
            </w:tcBorders>
            <w:shd w:val="clear" w:color="auto" w:fill="FFFFFF"/>
          </w:tcPr>
          <w:p w:rsidR="005B126E" w:rsidRPr="001F3E0C" w:rsidP="001916A9">
            <w:pPr>
              <w:bidi w:val="0"/>
              <w:spacing w:line="269" w:lineRule="auto"/>
              <w:jc w:val="right"/>
              <w:rPr>
                <w:sz w:val="22"/>
                <w:szCs w:val="22"/>
              </w:rPr>
            </w:pPr>
            <w:r w:rsidRPr="001F3E0C">
              <w:rPr>
                <w:rFonts w:ascii="David" w:eastAsia="David" w:hAnsi="David"/>
                <w:color w:val="000000"/>
                <w:sz w:val="22"/>
                <w:szCs w:val="22"/>
                <w:lang w:val="he-IL" w:eastAsia="he-IL" w:bidi="en-US"/>
              </w:rPr>
              <w:t>-</w:t>
            </w:r>
          </w:p>
        </w:tc>
        <w:tc>
          <w:tcPr>
            <w:tcW w:w="1070" w:type="dxa"/>
            <w:tcBorders>
              <w:top w:val="single" w:sz="4" w:space="0" w:color="auto"/>
              <w:left w:val="single" w:sz="4" w:space="0" w:color="auto"/>
            </w:tcBorders>
            <w:shd w:val="clear" w:color="auto" w:fill="FFFFFF"/>
          </w:tcPr>
          <w:p w:rsidR="005B126E" w:rsidRPr="001F3E0C" w:rsidP="001916A9">
            <w:pPr>
              <w:bidi w:val="0"/>
              <w:spacing w:line="269" w:lineRule="auto"/>
              <w:ind w:left="260"/>
              <w:jc w:val="right"/>
              <w:rPr>
                <w:sz w:val="22"/>
                <w:szCs w:val="22"/>
              </w:rPr>
            </w:pPr>
            <w:r w:rsidRPr="001F3E0C">
              <w:rPr>
                <w:rFonts w:ascii="David" w:eastAsia="David" w:hAnsi="David"/>
                <w:color w:val="000000"/>
                <w:sz w:val="22"/>
                <w:szCs w:val="22"/>
                <w:lang w:val="he-IL" w:eastAsia="he-IL" w:bidi="en-US"/>
              </w:rPr>
              <w:t>13,500</w:t>
            </w:r>
          </w:p>
        </w:tc>
        <w:tc>
          <w:tcPr>
            <w:tcW w:w="1704" w:type="dxa"/>
            <w:tcBorders>
              <w:top w:val="single" w:sz="4" w:space="0" w:color="auto"/>
              <w:left w:val="single" w:sz="4" w:space="0" w:color="auto"/>
            </w:tcBorders>
            <w:shd w:val="clear" w:color="auto" w:fill="FFFFFF"/>
          </w:tcPr>
          <w:p w:rsidR="005B126E" w:rsidRPr="001F3E0C" w:rsidP="001916A9">
            <w:pPr>
              <w:bidi w:val="0"/>
              <w:spacing w:line="269" w:lineRule="auto"/>
              <w:jc w:val="right"/>
              <w:rPr>
                <w:rFonts w:ascii="David" w:eastAsia="David" w:hAnsi="David"/>
                <w:color w:val="000000"/>
                <w:sz w:val="22"/>
                <w:szCs w:val="22"/>
                <w:lang w:val="he-IL" w:eastAsia="he-IL"/>
              </w:rPr>
            </w:pPr>
            <w:r w:rsidRPr="001F3E0C">
              <w:rPr>
                <w:rFonts w:ascii="David" w:eastAsia="David" w:hAnsi="David"/>
                <w:color w:val="000000"/>
                <w:sz w:val="22"/>
                <w:szCs w:val="22"/>
                <w:lang w:val="he-IL" w:eastAsia="he-IL"/>
              </w:rPr>
              <w:t>מפונה</w:t>
            </w:r>
            <w:r w:rsidRPr="001F3E0C">
              <w:rPr>
                <w:rFonts w:ascii="David" w:eastAsia="David" w:hAnsi="David" w:hint="cs"/>
                <w:color w:val="000000"/>
                <w:sz w:val="22"/>
                <w:szCs w:val="22"/>
                <w:rtl/>
                <w:lang w:val="he-IL" w:eastAsia="he-IL"/>
              </w:rPr>
              <w:t xml:space="preserve"> ב</w:t>
            </w:r>
            <w:r w:rsidRPr="001F3E0C">
              <w:rPr>
                <w:rFonts w:ascii="David" w:eastAsia="David" w:hAnsi="David"/>
                <w:color w:val="000000"/>
                <w:sz w:val="22"/>
                <w:szCs w:val="22"/>
                <w:lang w:val="he-IL" w:eastAsia="he-IL"/>
              </w:rPr>
              <w:t>קהיל</w:t>
            </w:r>
            <w:r w:rsidRPr="001F3E0C">
              <w:rPr>
                <w:rFonts w:ascii="David" w:eastAsia="David" w:hAnsi="David" w:hint="cs"/>
                <w:color w:val="000000"/>
                <w:sz w:val="22"/>
                <w:szCs w:val="22"/>
                <w:rtl/>
                <w:lang w:val="he-IL" w:eastAsia="he-IL"/>
              </w:rPr>
              <w:t>ה</w:t>
            </w:r>
          </w:p>
        </w:tc>
        <w:tc>
          <w:tcPr>
            <w:tcW w:w="1397" w:type="dxa"/>
            <w:tcBorders>
              <w:top w:val="single" w:sz="4" w:space="0" w:color="auto"/>
              <w:left w:val="single" w:sz="4" w:space="0" w:color="auto"/>
              <w:right w:val="single" w:sz="4" w:space="0" w:color="auto"/>
            </w:tcBorders>
            <w:shd w:val="clear" w:color="auto" w:fill="FFFFFF"/>
          </w:tcPr>
          <w:p w:rsidR="005B126E" w:rsidRPr="001F3E0C" w:rsidP="001916A9">
            <w:pPr>
              <w:bidi w:val="0"/>
              <w:spacing w:line="269" w:lineRule="auto"/>
              <w:ind w:left="180"/>
              <w:jc w:val="right"/>
              <w:rPr>
                <w:sz w:val="22"/>
                <w:szCs w:val="22"/>
              </w:rPr>
            </w:pPr>
            <w:r w:rsidRPr="001F3E0C">
              <w:rPr>
                <w:rFonts w:ascii="David" w:eastAsia="David" w:hAnsi="David"/>
                <w:color w:val="000000"/>
                <w:sz w:val="22"/>
                <w:szCs w:val="22"/>
                <w:lang w:val="he-IL" w:eastAsia="he-IL"/>
              </w:rPr>
              <w:t>לידה עד שש</w:t>
            </w:r>
          </w:p>
        </w:tc>
      </w:tr>
      <w:tr w:rsidTr="00FF2A74">
        <w:tblPrEx>
          <w:tblW w:w="8337" w:type="dxa"/>
          <w:jc w:val="center"/>
          <w:tblLayout w:type="fixed"/>
          <w:tblCellMar>
            <w:left w:w="10" w:type="dxa"/>
            <w:right w:w="10" w:type="dxa"/>
          </w:tblCellMar>
          <w:tblLook w:val="0000"/>
        </w:tblPrEx>
        <w:trPr>
          <w:trHeight w:hRule="exact" w:val="365"/>
          <w:jc w:val="center"/>
        </w:trPr>
        <w:tc>
          <w:tcPr>
            <w:tcW w:w="1392" w:type="dxa"/>
            <w:tcBorders>
              <w:top w:val="single" w:sz="4" w:space="0" w:color="auto"/>
              <w:left w:val="single" w:sz="4" w:space="0" w:color="auto"/>
            </w:tcBorders>
            <w:shd w:val="clear" w:color="auto" w:fill="FFFFFF"/>
          </w:tcPr>
          <w:p w:rsidR="005B126E" w:rsidRPr="001F3E0C" w:rsidP="001916A9">
            <w:pPr>
              <w:bidi w:val="0"/>
              <w:spacing w:line="269" w:lineRule="auto"/>
              <w:jc w:val="right"/>
              <w:rPr>
                <w:rFonts w:ascii="David" w:eastAsia="David" w:hAnsi="David"/>
                <w:color w:val="000000"/>
                <w:sz w:val="22"/>
                <w:szCs w:val="22"/>
                <w:lang w:val="he-IL" w:eastAsia="he-IL" w:bidi="en-US"/>
              </w:rPr>
            </w:pPr>
            <w:r w:rsidRPr="001F3E0C">
              <w:rPr>
                <w:rFonts w:ascii="David" w:eastAsia="David" w:hAnsi="David" w:hint="cs"/>
                <w:color w:val="000000"/>
                <w:sz w:val="22"/>
                <w:szCs w:val="22"/>
                <w:lang w:val="he-IL" w:eastAsia="he-IL" w:bidi="en-US"/>
              </w:rPr>
              <w:t>-</w:t>
            </w:r>
          </w:p>
        </w:tc>
        <w:tc>
          <w:tcPr>
            <w:tcW w:w="1387" w:type="dxa"/>
            <w:tcBorders>
              <w:top w:val="single" w:sz="4" w:space="0" w:color="auto"/>
              <w:left w:val="single" w:sz="4" w:space="0" w:color="auto"/>
            </w:tcBorders>
            <w:shd w:val="clear" w:color="auto" w:fill="FFFFFF"/>
          </w:tcPr>
          <w:p w:rsidR="005B126E" w:rsidRPr="001F3E0C" w:rsidP="001916A9">
            <w:pPr>
              <w:bidi w:val="0"/>
              <w:spacing w:line="269" w:lineRule="auto"/>
              <w:jc w:val="right"/>
              <w:rPr>
                <w:rFonts w:ascii="David" w:eastAsia="David" w:hAnsi="David"/>
                <w:color w:val="000000"/>
                <w:sz w:val="22"/>
                <w:szCs w:val="22"/>
                <w:lang w:val="he-IL" w:eastAsia="he-IL" w:bidi="en-US"/>
              </w:rPr>
            </w:pPr>
            <w:r w:rsidRPr="001F3E0C">
              <w:rPr>
                <w:rFonts w:ascii="David" w:eastAsia="David" w:hAnsi="David" w:hint="cs"/>
                <w:color w:val="000000"/>
                <w:sz w:val="22"/>
                <w:szCs w:val="22"/>
                <w:lang w:val="he-IL" w:eastAsia="he-IL" w:bidi="en-US"/>
              </w:rPr>
              <w:t>1</w:t>
            </w:r>
            <w:r w:rsidRPr="001F3E0C">
              <w:rPr>
                <w:rFonts w:ascii="David" w:eastAsia="David" w:hAnsi="David"/>
                <w:color w:val="000000"/>
                <w:sz w:val="22"/>
                <w:szCs w:val="22"/>
                <w:lang w:val="he-IL" w:eastAsia="he-IL" w:bidi="en-US"/>
              </w:rPr>
              <w:t>3,500</w:t>
            </w:r>
          </w:p>
        </w:tc>
        <w:tc>
          <w:tcPr>
            <w:tcW w:w="1387" w:type="dxa"/>
            <w:tcBorders>
              <w:top w:val="single" w:sz="4" w:space="0" w:color="auto"/>
              <w:left w:val="single" w:sz="4" w:space="0" w:color="auto"/>
            </w:tcBorders>
            <w:shd w:val="clear" w:color="auto" w:fill="FFFFFF"/>
          </w:tcPr>
          <w:p w:rsidR="005B126E" w:rsidRPr="001F3E0C" w:rsidP="001916A9">
            <w:pPr>
              <w:bidi w:val="0"/>
              <w:spacing w:line="269" w:lineRule="auto"/>
              <w:jc w:val="right"/>
              <w:rPr>
                <w:rFonts w:ascii="David" w:eastAsia="David" w:hAnsi="David"/>
                <w:color w:val="000000"/>
                <w:sz w:val="22"/>
                <w:szCs w:val="22"/>
                <w:lang w:val="he-IL" w:eastAsia="he-IL" w:bidi="en-US"/>
              </w:rPr>
            </w:pPr>
            <w:r w:rsidRPr="001F3E0C">
              <w:rPr>
                <w:rFonts w:ascii="David" w:eastAsia="David" w:hAnsi="David" w:hint="cs"/>
                <w:color w:val="000000"/>
                <w:sz w:val="22"/>
                <w:szCs w:val="22"/>
                <w:lang w:val="he-IL" w:eastAsia="he-IL" w:bidi="en-US"/>
              </w:rPr>
              <w:t>-</w:t>
            </w:r>
          </w:p>
        </w:tc>
        <w:tc>
          <w:tcPr>
            <w:tcW w:w="1070" w:type="dxa"/>
            <w:tcBorders>
              <w:top w:val="single" w:sz="4" w:space="0" w:color="auto"/>
              <w:left w:val="single" w:sz="4" w:space="0" w:color="auto"/>
            </w:tcBorders>
            <w:shd w:val="clear" w:color="auto" w:fill="FFFFFF"/>
          </w:tcPr>
          <w:p w:rsidR="005B126E" w:rsidRPr="001F3E0C" w:rsidP="001916A9">
            <w:pPr>
              <w:bidi w:val="0"/>
              <w:spacing w:line="269" w:lineRule="auto"/>
              <w:ind w:left="260"/>
              <w:jc w:val="right"/>
              <w:rPr>
                <w:rFonts w:ascii="David" w:eastAsia="David" w:hAnsi="David"/>
                <w:color w:val="000000"/>
                <w:sz w:val="22"/>
                <w:szCs w:val="22"/>
                <w:lang w:val="he-IL" w:eastAsia="he-IL" w:bidi="en-US"/>
              </w:rPr>
            </w:pPr>
            <w:r w:rsidRPr="001F3E0C">
              <w:rPr>
                <w:rFonts w:ascii="David" w:eastAsia="David" w:hAnsi="David"/>
                <w:color w:val="000000"/>
                <w:sz w:val="22"/>
                <w:szCs w:val="22"/>
                <w:lang w:val="he-IL" w:eastAsia="he-IL" w:bidi="en-US"/>
              </w:rPr>
              <w:t>13,500</w:t>
            </w:r>
          </w:p>
        </w:tc>
        <w:tc>
          <w:tcPr>
            <w:tcW w:w="1704" w:type="dxa"/>
            <w:tcBorders>
              <w:top w:val="single" w:sz="4" w:space="0" w:color="auto"/>
              <w:left w:val="single" w:sz="4" w:space="0" w:color="auto"/>
            </w:tcBorders>
            <w:shd w:val="clear" w:color="auto" w:fill="FFFFFF"/>
          </w:tcPr>
          <w:p w:rsidR="005B126E" w:rsidRPr="001F3E0C" w:rsidP="001916A9">
            <w:pPr>
              <w:bidi w:val="0"/>
              <w:spacing w:line="269" w:lineRule="auto"/>
              <w:jc w:val="right"/>
              <w:rPr>
                <w:rFonts w:ascii="David" w:eastAsia="David" w:hAnsi="David"/>
                <w:color w:val="000000"/>
                <w:sz w:val="22"/>
                <w:szCs w:val="22"/>
                <w:lang w:val="he-IL" w:eastAsia="he-IL"/>
              </w:rPr>
            </w:pPr>
            <w:r w:rsidRPr="001F3E0C">
              <w:rPr>
                <w:rFonts w:ascii="David" w:eastAsia="David" w:hAnsi="David" w:hint="cs"/>
                <w:color w:val="000000"/>
                <w:sz w:val="22"/>
                <w:szCs w:val="22"/>
                <w:rtl/>
                <w:lang w:val="he-IL" w:eastAsia="he-IL"/>
              </w:rPr>
              <w:t>מפונה כבודד</w:t>
            </w:r>
          </w:p>
        </w:tc>
        <w:tc>
          <w:tcPr>
            <w:tcW w:w="1397" w:type="dxa"/>
            <w:tcBorders>
              <w:top w:val="single" w:sz="4" w:space="0" w:color="auto"/>
              <w:left w:val="single" w:sz="4" w:space="0" w:color="auto"/>
              <w:right w:val="single" w:sz="4" w:space="0" w:color="auto"/>
            </w:tcBorders>
            <w:shd w:val="clear" w:color="auto" w:fill="FFFFFF"/>
          </w:tcPr>
          <w:p w:rsidR="005B126E" w:rsidRPr="001F3E0C" w:rsidP="001916A9">
            <w:pPr>
              <w:bidi w:val="0"/>
              <w:spacing w:line="269" w:lineRule="auto"/>
              <w:ind w:left="180"/>
              <w:jc w:val="right"/>
              <w:rPr>
                <w:rFonts w:ascii="David" w:eastAsia="David" w:hAnsi="David"/>
                <w:color w:val="000000"/>
                <w:sz w:val="22"/>
                <w:szCs w:val="22"/>
                <w:lang w:val="he-IL" w:eastAsia="he-IL"/>
              </w:rPr>
            </w:pPr>
            <w:r w:rsidRPr="001F3E0C">
              <w:rPr>
                <w:rFonts w:ascii="David" w:eastAsia="David" w:hAnsi="David" w:hint="cs"/>
                <w:color w:val="000000"/>
                <w:sz w:val="22"/>
                <w:szCs w:val="22"/>
                <w:rtl/>
                <w:lang w:val="he-IL" w:eastAsia="he-IL"/>
              </w:rPr>
              <w:t>לידה עד שש</w:t>
            </w:r>
          </w:p>
        </w:tc>
      </w:tr>
      <w:tr w:rsidTr="00FF2A74">
        <w:tblPrEx>
          <w:tblW w:w="8337" w:type="dxa"/>
          <w:jc w:val="center"/>
          <w:tblLayout w:type="fixed"/>
          <w:tblCellMar>
            <w:left w:w="10" w:type="dxa"/>
            <w:right w:w="10" w:type="dxa"/>
          </w:tblCellMar>
          <w:tblLook w:val="0000"/>
        </w:tblPrEx>
        <w:trPr>
          <w:trHeight w:hRule="exact" w:val="365"/>
          <w:jc w:val="center"/>
        </w:trPr>
        <w:tc>
          <w:tcPr>
            <w:tcW w:w="1392" w:type="dxa"/>
            <w:tcBorders>
              <w:top w:val="single" w:sz="4" w:space="0" w:color="auto"/>
              <w:left w:val="single" w:sz="4" w:space="0" w:color="auto"/>
            </w:tcBorders>
            <w:shd w:val="clear" w:color="auto" w:fill="FFFFFF"/>
          </w:tcPr>
          <w:p w:rsidR="005B126E" w:rsidRPr="001F3E0C" w:rsidP="001916A9">
            <w:pPr>
              <w:bidi w:val="0"/>
              <w:spacing w:line="269" w:lineRule="auto"/>
              <w:jc w:val="right"/>
              <w:rPr>
                <w:sz w:val="22"/>
                <w:szCs w:val="22"/>
              </w:rPr>
            </w:pPr>
            <w:r w:rsidRPr="001F3E0C">
              <w:rPr>
                <w:rFonts w:ascii="David" w:eastAsia="David" w:hAnsi="David"/>
                <w:color w:val="000000"/>
                <w:sz w:val="22"/>
                <w:szCs w:val="22"/>
                <w:lang w:val="he-IL" w:eastAsia="he-IL" w:bidi="en-US"/>
              </w:rPr>
              <w:t>-</w:t>
            </w:r>
          </w:p>
        </w:tc>
        <w:tc>
          <w:tcPr>
            <w:tcW w:w="1387" w:type="dxa"/>
            <w:tcBorders>
              <w:top w:val="single" w:sz="4" w:space="0" w:color="auto"/>
              <w:left w:val="single" w:sz="4" w:space="0" w:color="auto"/>
            </w:tcBorders>
            <w:shd w:val="clear" w:color="auto" w:fill="FFFFFF"/>
          </w:tcPr>
          <w:p w:rsidR="005B126E" w:rsidRPr="001F3E0C" w:rsidP="001916A9">
            <w:pPr>
              <w:bidi w:val="0"/>
              <w:spacing w:line="269" w:lineRule="auto"/>
              <w:jc w:val="right"/>
              <w:rPr>
                <w:sz w:val="22"/>
                <w:szCs w:val="22"/>
              </w:rPr>
            </w:pPr>
            <w:r w:rsidRPr="001F3E0C">
              <w:rPr>
                <w:rFonts w:ascii="David" w:eastAsia="David" w:hAnsi="David"/>
                <w:color w:val="000000"/>
                <w:sz w:val="22"/>
                <w:szCs w:val="22"/>
                <w:lang w:val="he-IL" w:eastAsia="he-IL" w:bidi="en-US"/>
              </w:rPr>
              <w:t>6,750</w:t>
            </w:r>
          </w:p>
        </w:tc>
        <w:tc>
          <w:tcPr>
            <w:tcW w:w="1387" w:type="dxa"/>
            <w:tcBorders>
              <w:top w:val="single" w:sz="4" w:space="0" w:color="auto"/>
              <w:left w:val="single" w:sz="4" w:space="0" w:color="auto"/>
            </w:tcBorders>
            <w:shd w:val="clear" w:color="auto" w:fill="FFFFFF"/>
          </w:tcPr>
          <w:p w:rsidR="005B126E" w:rsidRPr="001F3E0C" w:rsidP="001916A9">
            <w:pPr>
              <w:bidi w:val="0"/>
              <w:spacing w:line="269" w:lineRule="auto"/>
              <w:jc w:val="right"/>
              <w:rPr>
                <w:sz w:val="22"/>
                <w:szCs w:val="22"/>
              </w:rPr>
            </w:pPr>
            <w:r w:rsidRPr="001F3E0C">
              <w:rPr>
                <w:rFonts w:ascii="David" w:eastAsia="David" w:hAnsi="David"/>
                <w:color w:val="000000"/>
                <w:sz w:val="22"/>
                <w:szCs w:val="22"/>
                <w:lang w:val="he-IL" w:eastAsia="he-IL" w:bidi="en-US"/>
              </w:rPr>
              <w:t>6,750</w:t>
            </w:r>
          </w:p>
        </w:tc>
        <w:tc>
          <w:tcPr>
            <w:tcW w:w="1070" w:type="dxa"/>
            <w:tcBorders>
              <w:top w:val="single" w:sz="4" w:space="0" w:color="auto"/>
              <w:left w:val="single" w:sz="4" w:space="0" w:color="auto"/>
            </w:tcBorders>
            <w:shd w:val="clear" w:color="auto" w:fill="FFFFFF"/>
          </w:tcPr>
          <w:p w:rsidR="005B126E" w:rsidRPr="001F3E0C" w:rsidP="001916A9">
            <w:pPr>
              <w:bidi w:val="0"/>
              <w:spacing w:line="269" w:lineRule="auto"/>
              <w:ind w:left="260"/>
              <w:jc w:val="right"/>
              <w:rPr>
                <w:sz w:val="22"/>
                <w:szCs w:val="22"/>
              </w:rPr>
            </w:pPr>
            <w:r w:rsidRPr="001F3E0C">
              <w:rPr>
                <w:rFonts w:ascii="David" w:eastAsia="David" w:hAnsi="David"/>
                <w:color w:val="000000"/>
                <w:sz w:val="22"/>
                <w:szCs w:val="22"/>
                <w:lang w:val="he-IL" w:eastAsia="he-IL" w:bidi="en-US"/>
              </w:rPr>
              <w:t>13,500</w:t>
            </w:r>
          </w:p>
        </w:tc>
        <w:tc>
          <w:tcPr>
            <w:tcW w:w="1704" w:type="dxa"/>
            <w:tcBorders>
              <w:top w:val="single" w:sz="4" w:space="0" w:color="auto"/>
              <w:left w:val="single" w:sz="4" w:space="0" w:color="auto"/>
            </w:tcBorders>
            <w:shd w:val="clear" w:color="auto" w:fill="FFFFFF"/>
          </w:tcPr>
          <w:p w:rsidR="005B126E" w:rsidRPr="001F3E0C" w:rsidP="001916A9">
            <w:pPr>
              <w:bidi w:val="0"/>
              <w:spacing w:line="269" w:lineRule="auto"/>
              <w:jc w:val="right"/>
              <w:rPr>
                <w:rFonts w:ascii="David" w:eastAsia="David" w:hAnsi="David"/>
                <w:color w:val="000000"/>
                <w:sz w:val="22"/>
                <w:szCs w:val="22"/>
                <w:lang w:val="he-IL" w:eastAsia="he-IL"/>
              </w:rPr>
            </w:pPr>
            <w:r w:rsidRPr="001F3E0C">
              <w:rPr>
                <w:rFonts w:ascii="David" w:eastAsia="David" w:hAnsi="David"/>
                <w:color w:val="000000"/>
                <w:sz w:val="22"/>
                <w:szCs w:val="22"/>
                <w:lang w:val="he-IL" w:eastAsia="he-IL"/>
              </w:rPr>
              <w:t>לא מפונה</w:t>
            </w:r>
          </w:p>
        </w:tc>
        <w:tc>
          <w:tcPr>
            <w:tcW w:w="1397" w:type="dxa"/>
            <w:tcBorders>
              <w:top w:val="single" w:sz="4" w:space="0" w:color="auto"/>
              <w:left w:val="single" w:sz="4" w:space="0" w:color="auto"/>
              <w:right w:val="single" w:sz="4" w:space="0" w:color="auto"/>
            </w:tcBorders>
            <w:shd w:val="clear" w:color="auto" w:fill="FFFFFF"/>
          </w:tcPr>
          <w:p w:rsidR="005B126E" w:rsidRPr="001F3E0C" w:rsidP="001916A9">
            <w:pPr>
              <w:bidi w:val="0"/>
              <w:spacing w:line="269" w:lineRule="auto"/>
              <w:ind w:left="180"/>
              <w:jc w:val="right"/>
              <w:rPr>
                <w:sz w:val="22"/>
                <w:szCs w:val="22"/>
              </w:rPr>
            </w:pPr>
            <w:r w:rsidRPr="001F3E0C">
              <w:rPr>
                <w:rFonts w:ascii="David" w:eastAsia="David" w:hAnsi="David"/>
                <w:color w:val="000000"/>
                <w:sz w:val="22"/>
                <w:szCs w:val="22"/>
                <w:lang w:val="he-IL" w:eastAsia="he-IL"/>
              </w:rPr>
              <w:t>תלמידי בי״ס</w:t>
            </w:r>
          </w:p>
        </w:tc>
      </w:tr>
      <w:tr w:rsidTr="00FF2A74">
        <w:tblPrEx>
          <w:tblW w:w="8337" w:type="dxa"/>
          <w:jc w:val="center"/>
          <w:tblLayout w:type="fixed"/>
          <w:tblCellMar>
            <w:left w:w="10" w:type="dxa"/>
            <w:right w:w="10" w:type="dxa"/>
          </w:tblCellMar>
          <w:tblLook w:val="0000"/>
        </w:tblPrEx>
        <w:trPr>
          <w:trHeight w:hRule="exact" w:val="365"/>
          <w:jc w:val="center"/>
        </w:trPr>
        <w:tc>
          <w:tcPr>
            <w:tcW w:w="1392" w:type="dxa"/>
            <w:tcBorders>
              <w:top w:val="single" w:sz="4" w:space="0" w:color="auto"/>
              <w:left w:val="single" w:sz="4" w:space="0" w:color="auto"/>
            </w:tcBorders>
            <w:shd w:val="clear" w:color="auto" w:fill="FFFFFF"/>
          </w:tcPr>
          <w:p w:rsidR="005B126E" w:rsidRPr="001F3E0C" w:rsidP="001916A9">
            <w:pPr>
              <w:bidi w:val="0"/>
              <w:spacing w:line="269" w:lineRule="auto"/>
              <w:jc w:val="right"/>
              <w:rPr>
                <w:sz w:val="22"/>
                <w:szCs w:val="22"/>
              </w:rPr>
            </w:pPr>
            <w:r w:rsidRPr="001F3E0C">
              <w:rPr>
                <w:rFonts w:ascii="David" w:eastAsia="David" w:hAnsi="David"/>
                <w:color w:val="000000"/>
                <w:sz w:val="22"/>
                <w:szCs w:val="22"/>
                <w:lang w:val="he-IL" w:eastAsia="he-IL" w:bidi="en-US"/>
              </w:rPr>
              <w:t>4,725</w:t>
            </w:r>
          </w:p>
        </w:tc>
        <w:tc>
          <w:tcPr>
            <w:tcW w:w="1387" w:type="dxa"/>
            <w:tcBorders>
              <w:top w:val="single" w:sz="4" w:space="0" w:color="auto"/>
              <w:left w:val="single" w:sz="4" w:space="0" w:color="auto"/>
            </w:tcBorders>
            <w:shd w:val="clear" w:color="auto" w:fill="FFFFFF"/>
          </w:tcPr>
          <w:p w:rsidR="005B126E" w:rsidRPr="001F3E0C" w:rsidP="001916A9">
            <w:pPr>
              <w:bidi w:val="0"/>
              <w:spacing w:line="269" w:lineRule="auto"/>
              <w:jc w:val="right"/>
              <w:rPr>
                <w:sz w:val="22"/>
                <w:szCs w:val="22"/>
              </w:rPr>
            </w:pPr>
            <w:r w:rsidRPr="001F3E0C">
              <w:rPr>
                <w:rFonts w:ascii="David" w:eastAsia="David" w:hAnsi="David"/>
                <w:color w:val="000000"/>
                <w:sz w:val="22"/>
                <w:szCs w:val="22"/>
                <w:lang w:val="he-IL" w:eastAsia="he-IL" w:bidi="en-US"/>
              </w:rPr>
              <w:t>2,025</w:t>
            </w:r>
          </w:p>
        </w:tc>
        <w:tc>
          <w:tcPr>
            <w:tcW w:w="1387" w:type="dxa"/>
            <w:tcBorders>
              <w:top w:val="single" w:sz="4" w:space="0" w:color="auto"/>
              <w:left w:val="single" w:sz="4" w:space="0" w:color="auto"/>
            </w:tcBorders>
            <w:shd w:val="clear" w:color="auto" w:fill="FFFFFF"/>
          </w:tcPr>
          <w:p w:rsidR="005B126E" w:rsidRPr="001F3E0C" w:rsidP="001916A9">
            <w:pPr>
              <w:bidi w:val="0"/>
              <w:spacing w:line="269" w:lineRule="auto"/>
              <w:jc w:val="right"/>
              <w:rPr>
                <w:sz w:val="22"/>
                <w:szCs w:val="22"/>
              </w:rPr>
            </w:pPr>
            <w:r w:rsidRPr="001F3E0C">
              <w:rPr>
                <w:rFonts w:ascii="David" w:eastAsia="David" w:hAnsi="David"/>
                <w:color w:val="000000"/>
                <w:sz w:val="22"/>
                <w:szCs w:val="22"/>
                <w:lang w:val="he-IL" w:eastAsia="he-IL" w:bidi="en-US"/>
              </w:rPr>
              <w:t>6,750</w:t>
            </w:r>
          </w:p>
        </w:tc>
        <w:tc>
          <w:tcPr>
            <w:tcW w:w="1070" w:type="dxa"/>
            <w:tcBorders>
              <w:top w:val="single" w:sz="4" w:space="0" w:color="auto"/>
              <w:left w:val="single" w:sz="4" w:space="0" w:color="auto"/>
            </w:tcBorders>
            <w:shd w:val="clear" w:color="auto" w:fill="FFFFFF"/>
          </w:tcPr>
          <w:p w:rsidR="005B126E" w:rsidRPr="001F3E0C" w:rsidP="001916A9">
            <w:pPr>
              <w:bidi w:val="0"/>
              <w:spacing w:line="269" w:lineRule="auto"/>
              <w:ind w:left="260"/>
              <w:jc w:val="right"/>
              <w:rPr>
                <w:sz w:val="22"/>
                <w:szCs w:val="22"/>
              </w:rPr>
            </w:pPr>
            <w:r w:rsidRPr="001F3E0C">
              <w:rPr>
                <w:rFonts w:ascii="David" w:eastAsia="David" w:hAnsi="David"/>
                <w:color w:val="000000"/>
                <w:sz w:val="22"/>
                <w:szCs w:val="22"/>
                <w:lang w:val="he-IL" w:eastAsia="he-IL" w:bidi="en-US"/>
              </w:rPr>
              <w:t>13,500</w:t>
            </w:r>
          </w:p>
        </w:tc>
        <w:tc>
          <w:tcPr>
            <w:tcW w:w="1704" w:type="dxa"/>
            <w:tcBorders>
              <w:top w:val="single" w:sz="4" w:space="0" w:color="auto"/>
              <w:left w:val="single" w:sz="4" w:space="0" w:color="auto"/>
            </w:tcBorders>
            <w:shd w:val="clear" w:color="auto" w:fill="FFFFFF"/>
          </w:tcPr>
          <w:p w:rsidR="005B126E" w:rsidRPr="001F3E0C" w:rsidP="001916A9">
            <w:pPr>
              <w:bidi w:val="0"/>
              <w:spacing w:line="269" w:lineRule="auto"/>
              <w:jc w:val="right"/>
              <w:rPr>
                <w:rFonts w:ascii="David" w:eastAsia="David" w:hAnsi="David"/>
                <w:color w:val="000000"/>
                <w:sz w:val="22"/>
                <w:szCs w:val="22"/>
                <w:lang w:val="he-IL" w:eastAsia="he-IL"/>
              </w:rPr>
            </w:pPr>
            <w:r w:rsidRPr="001F3E0C">
              <w:rPr>
                <w:rFonts w:ascii="David" w:eastAsia="David" w:hAnsi="David" w:hint="cs"/>
                <w:color w:val="000000"/>
                <w:sz w:val="22"/>
                <w:szCs w:val="22"/>
                <w:rtl/>
                <w:lang w:val="he-IL" w:eastAsia="he-IL"/>
              </w:rPr>
              <w:t>מפונה בקהילה</w:t>
            </w:r>
          </w:p>
        </w:tc>
        <w:tc>
          <w:tcPr>
            <w:tcW w:w="1397" w:type="dxa"/>
            <w:tcBorders>
              <w:top w:val="single" w:sz="4" w:space="0" w:color="auto"/>
              <w:left w:val="single" w:sz="4" w:space="0" w:color="auto"/>
              <w:right w:val="single" w:sz="4" w:space="0" w:color="auto"/>
            </w:tcBorders>
            <w:shd w:val="clear" w:color="auto" w:fill="FFFFFF"/>
          </w:tcPr>
          <w:p w:rsidR="005B126E" w:rsidRPr="001F3E0C" w:rsidP="001916A9">
            <w:pPr>
              <w:bidi w:val="0"/>
              <w:spacing w:line="269" w:lineRule="auto"/>
              <w:ind w:left="180"/>
              <w:jc w:val="right"/>
              <w:rPr>
                <w:sz w:val="22"/>
                <w:szCs w:val="22"/>
              </w:rPr>
            </w:pPr>
            <w:r w:rsidRPr="001F3E0C">
              <w:rPr>
                <w:rFonts w:ascii="David" w:eastAsia="David" w:hAnsi="David"/>
                <w:color w:val="000000"/>
                <w:sz w:val="22"/>
                <w:szCs w:val="22"/>
                <w:lang w:val="he-IL" w:eastAsia="he-IL"/>
              </w:rPr>
              <w:t>תלמידי בי״ס</w:t>
            </w:r>
          </w:p>
        </w:tc>
      </w:tr>
      <w:tr w:rsidTr="00FF2A74">
        <w:tblPrEx>
          <w:tblW w:w="8337" w:type="dxa"/>
          <w:jc w:val="center"/>
          <w:tblLayout w:type="fixed"/>
          <w:tblCellMar>
            <w:left w:w="10" w:type="dxa"/>
            <w:right w:w="10" w:type="dxa"/>
          </w:tblCellMar>
          <w:tblLook w:val="0000"/>
        </w:tblPrEx>
        <w:trPr>
          <w:trHeight w:hRule="exact" w:val="374"/>
          <w:jc w:val="center"/>
        </w:trPr>
        <w:tc>
          <w:tcPr>
            <w:tcW w:w="1392" w:type="dxa"/>
            <w:tcBorders>
              <w:top w:val="single" w:sz="4" w:space="0" w:color="auto"/>
              <w:left w:val="single" w:sz="4" w:space="0" w:color="auto"/>
              <w:bottom w:val="single" w:sz="4" w:space="0" w:color="auto"/>
            </w:tcBorders>
            <w:shd w:val="clear" w:color="auto" w:fill="FFFFFF"/>
          </w:tcPr>
          <w:p w:rsidR="005B126E" w:rsidRPr="001F3E0C" w:rsidP="001916A9">
            <w:pPr>
              <w:bidi w:val="0"/>
              <w:spacing w:line="269" w:lineRule="auto"/>
              <w:jc w:val="right"/>
              <w:rPr>
                <w:sz w:val="22"/>
                <w:szCs w:val="22"/>
              </w:rPr>
            </w:pPr>
            <w:r w:rsidRPr="001F3E0C">
              <w:rPr>
                <w:rFonts w:ascii="David" w:eastAsia="David" w:hAnsi="David"/>
                <w:color w:val="000000"/>
                <w:sz w:val="22"/>
                <w:szCs w:val="22"/>
                <w:lang w:val="he-IL" w:eastAsia="he-IL" w:bidi="en-US"/>
              </w:rPr>
              <w:t>-</w:t>
            </w:r>
          </w:p>
        </w:tc>
        <w:tc>
          <w:tcPr>
            <w:tcW w:w="1387" w:type="dxa"/>
            <w:tcBorders>
              <w:top w:val="single" w:sz="4" w:space="0" w:color="auto"/>
              <w:left w:val="single" w:sz="4" w:space="0" w:color="auto"/>
              <w:bottom w:val="single" w:sz="4" w:space="0" w:color="auto"/>
            </w:tcBorders>
            <w:shd w:val="clear" w:color="auto" w:fill="FFFFFF"/>
          </w:tcPr>
          <w:p w:rsidR="005B126E" w:rsidRPr="001F3E0C" w:rsidP="001916A9">
            <w:pPr>
              <w:tabs>
                <w:tab w:val="left" w:pos="338"/>
                <w:tab w:val="center" w:pos="683"/>
              </w:tabs>
              <w:bidi w:val="0"/>
              <w:spacing w:line="269" w:lineRule="auto"/>
              <w:jc w:val="right"/>
              <w:rPr>
                <w:sz w:val="22"/>
                <w:szCs w:val="22"/>
              </w:rPr>
            </w:pPr>
            <w:r w:rsidRPr="001F3E0C">
              <w:rPr>
                <w:rFonts w:ascii="David" w:eastAsia="David" w:hAnsi="David"/>
                <w:color w:val="000000"/>
                <w:sz w:val="22"/>
                <w:szCs w:val="22"/>
                <w:lang w:val="he-IL" w:eastAsia="he-IL" w:bidi="en-US"/>
              </w:rPr>
              <w:tab/>
            </w:r>
            <w:r w:rsidRPr="001F3E0C">
              <w:rPr>
                <w:rFonts w:ascii="David" w:eastAsia="David" w:hAnsi="David"/>
                <w:color w:val="000000"/>
                <w:sz w:val="22"/>
                <w:szCs w:val="22"/>
                <w:lang w:val="he-IL" w:eastAsia="he-IL" w:bidi="en-US"/>
              </w:rPr>
              <w:tab/>
            </w:r>
            <w:r w:rsidRPr="001F3E0C">
              <w:rPr>
                <w:rFonts w:ascii="David" w:eastAsia="David" w:hAnsi="David"/>
                <w:color w:val="000000"/>
                <w:sz w:val="22"/>
                <w:szCs w:val="22"/>
                <w:rtl/>
                <w:lang w:val="he-IL" w:eastAsia="he-IL"/>
              </w:rPr>
              <w:t>*</w:t>
            </w:r>
            <w:r w:rsidRPr="001F3E0C">
              <w:rPr>
                <w:rFonts w:ascii="David" w:eastAsia="David" w:hAnsi="David"/>
                <w:color w:val="000000"/>
                <w:sz w:val="22"/>
                <w:szCs w:val="22"/>
                <w:lang w:val="he-IL" w:eastAsia="he-IL" w:bidi="en-US"/>
              </w:rPr>
              <w:t>13,500</w:t>
            </w:r>
          </w:p>
        </w:tc>
        <w:tc>
          <w:tcPr>
            <w:tcW w:w="1387" w:type="dxa"/>
            <w:tcBorders>
              <w:top w:val="single" w:sz="4" w:space="0" w:color="auto"/>
              <w:left w:val="single" w:sz="4" w:space="0" w:color="auto"/>
              <w:bottom w:val="single" w:sz="4" w:space="0" w:color="auto"/>
            </w:tcBorders>
            <w:shd w:val="clear" w:color="auto" w:fill="FFFFFF"/>
          </w:tcPr>
          <w:p w:rsidR="005B126E" w:rsidRPr="001F3E0C" w:rsidP="001916A9">
            <w:pPr>
              <w:bidi w:val="0"/>
              <w:spacing w:line="269" w:lineRule="auto"/>
              <w:jc w:val="right"/>
              <w:rPr>
                <w:sz w:val="22"/>
                <w:szCs w:val="22"/>
              </w:rPr>
            </w:pPr>
            <w:r w:rsidRPr="001F3E0C">
              <w:rPr>
                <w:rFonts w:ascii="David" w:eastAsia="David" w:hAnsi="David"/>
                <w:color w:val="000000"/>
                <w:sz w:val="22"/>
                <w:szCs w:val="22"/>
                <w:lang w:val="he-IL" w:eastAsia="he-IL" w:bidi="en-US"/>
              </w:rPr>
              <w:t>-</w:t>
            </w:r>
          </w:p>
        </w:tc>
        <w:tc>
          <w:tcPr>
            <w:tcW w:w="1070" w:type="dxa"/>
            <w:tcBorders>
              <w:top w:val="single" w:sz="4" w:space="0" w:color="auto"/>
              <w:left w:val="single" w:sz="4" w:space="0" w:color="auto"/>
              <w:bottom w:val="single" w:sz="4" w:space="0" w:color="auto"/>
            </w:tcBorders>
            <w:shd w:val="clear" w:color="auto" w:fill="FFFFFF"/>
          </w:tcPr>
          <w:p w:rsidR="005B126E" w:rsidRPr="001F3E0C" w:rsidP="001916A9">
            <w:pPr>
              <w:bidi w:val="0"/>
              <w:spacing w:line="269" w:lineRule="auto"/>
              <w:ind w:left="260"/>
              <w:jc w:val="right"/>
              <w:rPr>
                <w:sz w:val="22"/>
                <w:szCs w:val="22"/>
              </w:rPr>
            </w:pPr>
            <w:r w:rsidRPr="001F3E0C">
              <w:rPr>
                <w:rFonts w:ascii="David" w:eastAsia="David" w:hAnsi="David"/>
                <w:color w:val="000000"/>
                <w:sz w:val="22"/>
                <w:szCs w:val="22"/>
                <w:lang w:val="he-IL" w:eastAsia="he-IL" w:bidi="en-US"/>
              </w:rPr>
              <w:t>13,500</w:t>
            </w:r>
          </w:p>
        </w:tc>
        <w:tc>
          <w:tcPr>
            <w:tcW w:w="1704" w:type="dxa"/>
            <w:tcBorders>
              <w:top w:val="single" w:sz="4" w:space="0" w:color="auto"/>
              <w:left w:val="single" w:sz="4" w:space="0" w:color="auto"/>
              <w:bottom w:val="single" w:sz="4" w:space="0" w:color="auto"/>
            </w:tcBorders>
            <w:shd w:val="clear" w:color="auto" w:fill="FFFFFF"/>
          </w:tcPr>
          <w:p w:rsidR="005B126E" w:rsidRPr="001F3E0C" w:rsidP="001916A9">
            <w:pPr>
              <w:bidi w:val="0"/>
              <w:spacing w:line="269" w:lineRule="auto"/>
              <w:jc w:val="right"/>
              <w:rPr>
                <w:sz w:val="22"/>
                <w:szCs w:val="22"/>
              </w:rPr>
            </w:pPr>
            <w:r w:rsidRPr="001F3E0C">
              <w:rPr>
                <w:rFonts w:ascii="David" w:eastAsia="David" w:hAnsi="David"/>
                <w:color w:val="000000"/>
                <w:sz w:val="22"/>
                <w:szCs w:val="22"/>
                <w:rtl/>
                <w:lang w:val="he-IL" w:eastAsia="he-IL"/>
              </w:rPr>
              <w:t xml:space="preserve">מפונה </w:t>
            </w:r>
            <w:r w:rsidRPr="001F3E0C">
              <w:rPr>
                <w:rFonts w:ascii="David" w:eastAsia="David" w:hAnsi="David" w:hint="eastAsia"/>
                <w:color w:val="000000"/>
                <w:sz w:val="22"/>
                <w:szCs w:val="22"/>
                <w:rtl/>
                <w:lang w:val="he-IL" w:eastAsia="he-IL"/>
              </w:rPr>
              <w:t>כבודד</w:t>
            </w:r>
          </w:p>
        </w:tc>
        <w:tc>
          <w:tcPr>
            <w:tcW w:w="1397" w:type="dxa"/>
            <w:tcBorders>
              <w:top w:val="single" w:sz="4" w:space="0" w:color="auto"/>
              <w:left w:val="single" w:sz="4" w:space="0" w:color="auto"/>
              <w:bottom w:val="single" w:sz="4" w:space="0" w:color="auto"/>
              <w:right w:val="single" w:sz="4" w:space="0" w:color="auto"/>
            </w:tcBorders>
            <w:shd w:val="clear" w:color="auto" w:fill="FFFFFF"/>
          </w:tcPr>
          <w:p w:rsidR="005B126E" w:rsidRPr="001F3E0C" w:rsidP="001916A9">
            <w:pPr>
              <w:bidi w:val="0"/>
              <w:spacing w:line="269" w:lineRule="auto"/>
              <w:ind w:left="180"/>
              <w:jc w:val="right"/>
              <w:rPr>
                <w:sz w:val="22"/>
                <w:szCs w:val="22"/>
              </w:rPr>
            </w:pPr>
            <w:r w:rsidRPr="001F3E0C">
              <w:rPr>
                <w:rFonts w:ascii="David" w:eastAsia="David" w:hAnsi="David"/>
                <w:color w:val="000000"/>
                <w:sz w:val="22"/>
                <w:szCs w:val="22"/>
                <w:rtl/>
                <w:lang w:val="he-IL" w:eastAsia="he-IL"/>
              </w:rPr>
              <w:t>תלמידי</w:t>
            </w:r>
            <w:r w:rsidRPr="001F3E0C">
              <w:rPr>
                <w:rFonts w:ascii="David" w:eastAsia="David" w:hAnsi="David"/>
                <w:color w:val="000000"/>
                <w:sz w:val="22"/>
                <w:szCs w:val="22"/>
                <w:lang w:val="he-IL" w:eastAsia="he-IL"/>
              </w:rPr>
              <w:t xml:space="preserve"> </w:t>
            </w:r>
            <w:r w:rsidRPr="001F3E0C">
              <w:rPr>
                <w:rFonts w:ascii="David" w:eastAsia="David" w:hAnsi="David"/>
                <w:color w:val="000000"/>
                <w:sz w:val="22"/>
                <w:szCs w:val="22"/>
                <w:rtl/>
                <w:lang w:val="he-IL" w:eastAsia="he-IL"/>
              </w:rPr>
              <w:t>בי״ס</w:t>
            </w:r>
          </w:p>
        </w:tc>
      </w:tr>
    </w:tbl>
    <w:p w:rsidR="005B126E" w:rsidRPr="00B97E44" w:rsidP="001916A9">
      <w:pPr>
        <w:spacing w:line="269" w:lineRule="auto"/>
        <w:jc w:val="left"/>
        <w:rPr>
          <w:szCs w:val="20"/>
          <w:rtl/>
        </w:rPr>
      </w:pPr>
      <w:r>
        <w:rPr>
          <w:rFonts w:hint="cs"/>
          <w:szCs w:val="20"/>
          <w:rtl/>
        </w:rPr>
        <w:t>ה</w:t>
      </w:r>
      <w:r w:rsidRPr="00B97E44">
        <w:rPr>
          <w:rFonts w:hint="cs"/>
          <w:szCs w:val="20"/>
          <w:rtl/>
        </w:rPr>
        <w:t xml:space="preserve">מקור: משרד החינוך </w:t>
      </w:r>
      <w:r w:rsidRPr="00B97E44">
        <w:rPr>
          <w:rFonts w:hint="cs"/>
          <w:szCs w:val="20"/>
          <w:rtl/>
        </w:rPr>
        <w:t>ומינהלת</w:t>
      </w:r>
      <w:r w:rsidRPr="00B97E44">
        <w:rPr>
          <w:rFonts w:hint="cs"/>
          <w:szCs w:val="20"/>
          <w:rtl/>
        </w:rPr>
        <w:t xml:space="preserve"> תקומה, סל תקומה - נוהל עבודה לשנת הלימודים תשפ"ה לרשויות, בעלויות ומוסדות חינוך, מעודכן ליום 26.2.25.</w:t>
      </w:r>
    </w:p>
    <w:p w:rsidR="005B126E" w:rsidRPr="00B97E44" w:rsidP="001916A9">
      <w:pPr>
        <w:spacing w:line="269" w:lineRule="auto"/>
        <w:ind w:left="-1" w:firstLine="1"/>
        <w:jc w:val="left"/>
        <w:rPr>
          <w:szCs w:val="20"/>
          <w:rtl/>
        </w:rPr>
      </w:pPr>
      <w:r w:rsidRPr="00B97E44">
        <w:rPr>
          <w:rFonts w:hint="cs"/>
          <w:szCs w:val="20"/>
          <w:rtl/>
        </w:rPr>
        <w:t>*</w:t>
      </w:r>
      <w:r>
        <w:rPr>
          <w:rFonts w:hint="cs"/>
          <w:szCs w:val="20"/>
          <w:rtl/>
        </w:rPr>
        <w:t xml:space="preserve"> </w:t>
      </w:r>
      <w:r w:rsidRPr="00B97E44">
        <w:rPr>
          <w:rFonts w:hint="cs"/>
          <w:szCs w:val="20"/>
          <w:rtl/>
        </w:rPr>
        <w:t xml:space="preserve">התקציב יוקצה במלואו לרשות המקור ואם רשות המקור תסכם על העברת תקציב לרשות הקולטת לטובת שירותים שונים לתלמידים שנקלטו, ניתן יהיה להקצות תקציב במערכת </w:t>
      </w:r>
      <w:r w:rsidRPr="00B97E44">
        <w:rPr>
          <w:rFonts w:hint="cs"/>
          <w:szCs w:val="20"/>
          <w:rtl/>
        </w:rPr>
        <w:t>הגפ"ן</w:t>
      </w:r>
      <w:r w:rsidRPr="00B97E44">
        <w:rPr>
          <w:rFonts w:hint="cs"/>
          <w:szCs w:val="20"/>
          <w:rtl/>
        </w:rPr>
        <w:t>.</w:t>
      </w:r>
    </w:p>
    <w:p w:rsidR="005B126E" w:rsidP="001916A9">
      <w:pPr>
        <w:spacing w:line="269" w:lineRule="auto"/>
        <w:rPr>
          <w:rtl/>
        </w:rPr>
      </w:pPr>
    </w:p>
    <w:p w:rsidR="005B126E" w:rsidRPr="00B97E44" w:rsidP="001916A9">
      <w:pPr>
        <w:spacing w:line="269" w:lineRule="auto"/>
        <w:rPr>
          <w:rtl/>
        </w:rPr>
      </w:pPr>
      <w:r w:rsidRPr="00B97E44">
        <w:rPr>
          <w:rtl/>
        </w:rPr>
        <w:t xml:space="preserve">מהנתונים </w:t>
      </w:r>
      <w:r w:rsidRPr="00B97E44">
        <w:rPr>
          <w:rFonts w:hint="cs"/>
          <w:rtl/>
        </w:rPr>
        <w:t>המוצגים בלוח</w:t>
      </w:r>
      <w:r w:rsidRPr="00B97E44">
        <w:rPr>
          <w:rtl/>
        </w:rPr>
        <w:t xml:space="preserve"> עולה כי חלוקת סל תקומה </w:t>
      </w:r>
      <w:r w:rsidRPr="00B97E44">
        <w:rPr>
          <w:rFonts w:hint="cs"/>
          <w:rtl/>
        </w:rPr>
        <w:t xml:space="preserve">בגין </w:t>
      </w:r>
      <w:r w:rsidRPr="00B97E44">
        <w:rPr>
          <w:rtl/>
        </w:rPr>
        <w:t>מפונים</w:t>
      </w:r>
      <w:r w:rsidRPr="00B97E44">
        <w:rPr>
          <w:rFonts w:hint="cs"/>
          <w:rtl/>
        </w:rPr>
        <w:t xml:space="preserve"> בקהילה</w:t>
      </w:r>
      <w:r w:rsidRPr="00B97E44">
        <w:rPr>
          <w:rtl/>
        </w:rPr>
        <w:t xml:space="preserve"> </w:t>
      </w:r>
      <w:r w:rsidRPr="00B97E44">
        <w:rPr>
          <w:rFonts w:hint="cs"/>
          <w:rtl/>
        </w:rPr>
        <w:t xml:space="preserve">ובגין </w:t>
      </w:r>
      <w:r w:rsidRPr="00B97E44">
        <w:rPr>
          <w:rtl/>
        </w:rPr>
        <w:t>מפונים</w:t>
      </w:r>
      <w:r w:rsidRPr="00B97E44">
        <w:rPr>
          <w:rFonts w:hint="cs"/>
          <w:rtl/>
        </w:rPr>
        <w:t xml:space="preserve"> בודדים </w:t>
      </w:r>
      <w:r w:rsidRPr="00B97E44">
        <w:rPr>
          <w:rtl/>
        </w:rPr>
        <w:t>ברחבי הארץ טומנת בחובה אתגרים מהותיים במימוש</w:t>
      </w:r>
      <w:r w:rsidRPr="00B97E44">
        <w:rPr>
          <w:rFonts w:hint="cs"/>
          <w:rtl/>
        </w:rPr>
        <w:t xml:space="preserve">ו. </w:t>
      </w:r>
      <w:r w:rsidRPr="00B97E44">
        <w:rPr>
          <w:rtl/>
        </w:rPr>
        <w:t>בקרב המפונים הבודדים</w:t>
      </w:r>
      <w:r w:rsidRPr="00B97E44">
        <w:rPr>
          <w:rFonts w:hint="cs"/>
          <w:rtl/>
        </w:rPr>
        <w:t xml:space="preserve"> טמונה</w:t>
      </w:r>
      <w:r w:rsidRPr="00B97E44">
        <w:rPr>
          <w:rtl/>
        </w:rPr>
        <w:t xml:space="preserve"> מורכבות ניהולית, שכן כספי סל תקומה מועברים לרשויות המקומיות </w:t>
      </w:r>
      <w:r w:rsidRPr="00B97E44">
        <w:rPr>
          <w:rFonts w:hint="cs"/>
          <w:rtl/>
        </w:rPr>
        <w:t xml:space="preserve">שבהן התגוררו בשבעה באוקטובר, והן </w:t>
      </w:r>
      <w:r w:rsidRPr="00B97E44">
        <w:rPr>
          <w:rtl/>
        </w:rPr>
        <w:t xml:space="preserve">נדרשות </w:t>
      </w:r>
      <w:r w:rsidRPr="00B97E44">
        <w:rPr>
          <w:rFonts w:hint="cs"/>
          <w:rtl/>
        </w:rPr>
        <w:t xml:space="preserve">להעביר כספים לרשות הקולטת בהמשך לפנייה מצידה </w:t>
      </w:r>
      <w:r w:rsidRPr="00B97E44">
        <w:rPr>
          <w:rtl/>
        </w:rPr>
        <w:t xml:space="preserve">עבור אוכלוסייה זמנית ובלתי מאורגנת. כפועל יוצא, </w:t>
      </w:r>
      <w:r w:rsidRPr="00B97E44">
        <w:rPr>
          <w:rFonts w:hint="cs"/>
          <w:rtl/>
        </w:rPr>
        <w:t xml:space="preserve">קשה </w:t>
      </w:r>
      <w:r w:rsidRPr="00B97E44">
        <w:rPr>
          <w:rtl/>
        </w:rPr>
        <w:t>לוודא כי הכספים אכן מנותבים לצורכיהם של ילדים אלה.</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מהביקורת בעיריית </w:t>
      </w:r>
      <w:r w:rsidRPr="00B97E44">
        <w:rPr>
          <w:rFonts w:hint="eastAsia"/>
          <w:b/>
          <w:bCs/>
          <w:rtl/>
        </w:rPr>
        <w:t>שדרות</w:t>
      </w:r>
      <w:r w:rsidRPr="00B97E44">
        <w:rPr>
          <w:rFonts w:hint="cs"/>
          <w:rtl/>
        </w:rPr>
        <w:t xml:space="preserve"> ובמועצות האזוריות </w:t>
      </w:r>
      <w:r w:rsidRPr="00B97E44">
        <w:rPr>
          <w:rFonts w:hint="eastAsia"/>
          <w:b/>
          <w:bCs/>
          <w:rtl/>
        </w:rPr>
        <w:t>אשכול</w:t>
      </w:r>
      <w:r w:rsidRPr="00B97E44">
        <w:rPr>
          <w:rFonts w:hint="cs"/>
          <w:rtl/>
        </w:rPr>
        <w:t xml:space="preserve"> ו</w:t>
      </w:r>
      <w:r w:rsidRPr="00B97E44">
        <w:rPr>
          <w:rFonts w:hint="eastAsia"/>
          <w:b/>
          <w:bCs/>
          <w:rtl/>
        </w:rPr>
        <w:t>חוף</w:t>
      </w:r>
      <w:r w:rsidRPr="00B97E44">
        <w:rPr>
          <w:b/>
          <w:bCs/>
          <w:rtl/>
        </w:rPr>
        <w:t xml:space="preserve"> </w:t>
      </w:r>
      <w:r w:rsidRPr="00B97E44">
        <w:rPr>
          <w:rFonts w:hint="eastAsia"/>
          <w:b/>
          <w:bCs/>
          <w:rtl/>
        </w:rPr>
        <w:t>אשקלון</w:t>
      </w:r>
      <w:r w:rsidRPr="00B97E44">
        <w:rPr>
          <w:rFonts w:hint="cs"/>
          <w:rtl/>
        </w:rPr>
        <w:t xml:space="preserve"> עלה כי ההחלטה של משרד החינוך שלא להעביר את כספי הסל ישירות לרשויות הקולטות אלא לרשויות המקור, הנדרשות להעביר בעצמן את כספי סל התקומה לרשויות הקולטות לאחר קבלת בקשה מהן, מאלצת את הרשויות להקצות משאבי זמן וכוח אדם רבים לשם כך ומטילה עליהן נטל רב. בקשתה של המועצה האזורית </w:t>
      </w:r>
      <w:r w:rsidRPr="00B97E44">
        <w:rPr>
          <w:rFonts w:hint="eastAsia"/>
          <w:b/>
          <w:bCs/>
          <w:rtl/>
        </w:rPr>
        <w:t>אשכול</w:t>
      </w:r>
      <w:r w:rsidRPr="00B97E44">
        <w:rPr>
          <w:rFonts w:hint="cs"/>
          <w:rtl/>
        </w:rPr>
        <w:t xml:space="preserve"> כי משרד החינוך יעביר את הכספים ישירות לרשויות הקולטות נענתה בסירוב והמועצה נדרשת להסתייע בחמישה עובדים לשם כך. </w:t>
      </w:r>
    </w:p>
    <w:p w:rsidR="005B126E" w:rsidP="001916A9">
      <w:pPr>
        <w:spacing w:line="269" w:lineRule="auto"/>
        <w:rPr>
          <w:b/>
          <w:bCs/>
          <w:rtl/>
        </w:rPr>
      </w:pPr>
    </w:p>
    <w:p w:rsidR="005B126E" w:rsidP="001916A9">
      <w:pPr>
        <w:spacing w:line="269" w:lineRule="auto"/>
        <w:rPr>
          <w:b/>
          <w:bCs/>
          <w:rtl/>
        </w:rPr>
      </w:pPr>
      <w:r w:rsidRPr="00B97E44">
        <w:rPr>
          <w:rFonts w:hint="eastAsia"/>
          <w:b/>
          <w:bCs/>
          <w:rtl/>
        </w:rPr>
        <w:t>ביולי</w:t>
      </w:r>
      <w:r w:rsidRPr="00B97E44">
        <w:rPr>
          <w:b/>
          <w:bCs/>
          <w:rtl/>
        </w:rPr>
        <w:t xml:space="preserve"> 2025 העביר משרד החינוך באמצעות </w:t>
      </w:r>
      <w:r w:rsidRPr="00B97E44">
        <w:rPr>
          <w:rFonts w:hint="eastAsia"/>
          <w:b/>
          <w:bCs/>
          <w:rtl/>
        </w:rPr>
        <w:t>מינהלת</w:t>
      </w:r>
      <w:r w:rsidRPr="00B97E44">
        <w:rPr>
          <w:b/>
          <w:bCs/>
          <w:rtl/>
        </w:rPr>
        <w:t xml:space="preserve"> תקומה לצוות הביקורת קובץ עם נתונים על </w:t>
      </w:r>
      <w:r w:rsidRPr="00B97E44">
        <w:rPr>
          <w:rFonts w:hint="eastAsia"/>
          <w:b/>
          <w:bCs/>
          <w:rtl/>
        </w:rPr>
        <w:t>מימוש</w:t>
      </w:r>
      <w:r w:rsidRPr="00B97E44">
        <w:rPr>
          <w:b/>
          <w:bCs/>
          <w:rtl/>
        </w:rPr>
        <w:t xml:space="preserve"> </w:t>
      </w:r>
      <w:r w:rsidRPr="00B97E44">
        <w:rPr>
          <w:rFonts w:hint="eastAsia"/>
          <w:b/>
          <w:bCs/>
          <w:rtl/>
        </w:rPr>
        <w:t>סל</w:t>
      </w:r>
      <w:r w:rsidRPr="00B97E44">
        <w:rPr>
          <w:b/>
          <w:bCs/>
          <w:rtl/>
        </w:rPr>
        <w:t xml:space="preserve"> </w:t>
      </w:r>
      <w:r w:rsidRPr="00B97E44">
        <w:rPr>
          <w:rFonts w:hint="eastAsia"/>
          <w:b/>
          <w:bCs/>
          <w:rtl/>
        </w:rPr>
        <w:t>תקומה</w:t>
      </w:r>
      <w:r w:rsidRPr="00B97E44">
        <w:rPr>
          <w:b/>
          <w:bCs/>
          <w:rtl/>
        </w:rPr>
        <w:t xml:space="preserve"> </w:t>
      </w:r>
      <w:r w:rsidRPr="00B97E44">
        <w:rPr>
          <w:rFonts w:hint="eastAsia"/>
          <w:b/>
          <w:bCs/>
          <w:rtl/>
        </w:rPr>
        <w:t>לשנת</w:t>
      </w:r>
      <w:r w:rsidRPr="00B97E44">
        <w:rPr>
          <w:b/>
          <w:bCs/>
          <w:rtl/>
        </w:rPr>
        <w:t xml:space="preserve"> </w:t>
      </w:r>
      <w:r w:rsidRPr="00B97E44">
        <w:rPr>
          <w:rFonts w:hint="eastAsia"/>
          <w:b/>
          <w:bCs/>
          <w:rtl/>
        </w:rPr>
        <w:t>הלימודים</w:t>
      </w:r>
      <w:r w:rsidRPr="00B97E44">
        <w:rPr>
          <w:b/>
          <w:bCs/>
          <w:rtl/>
        </w:rPr>
        <w:t xml:space="preserve"> </w:t>
      </w:r>
      <w:r w:rsidRPr="00B97E44">
        <w:rPr>
          <w:rFonts w:hint="eastAsia"/>
          <w:b/>
          <w:bCs/>
          <w:rtl/>
        </w:rPr>
        <w:t>תשפ</w:t>
      </w:r>
      <w:r w:rsidRPr="00B97E44">
        <w:rPr>
          <w:b/>
          <w:bCs/>
          <w:rtl/>
        </w:rPr>
        <w:t xml:space="preserve">"ה </w:t>
      </w:r>
      <w:r w:rsidRPr="00B97E44">
        <w:rPr>
          <w:rFonts w:hint="eastAsia"/>
          <w:b/>
          <w:bCs/>
          <w:rtl/>
        </w:rPr>
        <w:t>ועל</w:t>
      </w:r>
      <w:r w:rsidRPr="00B97E44">
        <w:rPr>
          <w:b/>
          <w:bCs/>
          <w:rtl/>
        </w:rPr>
        <w:t xml:space="preserve"> </w:t>
      </w:r>
      <w:r w:rsidRPr="00B97E44">
        <w:rPr>
          <w:rFonts w:hint="eastAsia"/>
          <w:b/>
          <w:bCs/>
          <w:rtl/>
        </w:rPr>
        <w:t>העברת</w:t>
      </w:r>
      <w:r w:rsidRPr="00B97E44">
        <w:rPr>
          <w:b/>
          <w:bCs/>
          <w:rtl/>
        </w:rPr>
        <w:t xml:space="preserve"> </w:t>
      </w:r>
      <w:r w:rsidRPr="00B97E44">
        <w:rPr>
          <w:rFonts w:hint="eastAsia"/>
          <w:b/>
          <w:bCs/>
          <w:rtl/>
        </w:rPr>
        <w:t>הכספים</w:t>
      </w:r>
      <w:r w:rsidRPr="00B97E44">
        <w:rPr>
          <w:b/>
          <w:bCs/>
          <w:rtl/>
        </w:rPr>
        <w:t xml:space="preserve"> </w:t>
      </w:r>
      <w:r w:rsidRPr="00B97E44">
        <w:rPr>
          <w:rFonts w:hint="eastAsia"/>
          <w:b/>
          <w:bCs/>
          <w:rtl/>
        </w:rPr>
        <w:t>למוסדות</w:t>
      </w:r>
      <w:r w:rsidRPr="00B97E44">
        <w:rPr>
          <w:b/>
          <w:bCs/>
          <w:rtl/>
        </w:rPr>
        <w:t xml:space="preserve"> </w:t>
      </w:r>
      <w:r w:rsidRPr="00B97E44">
        <w:rPr>
          <w:rFonts w:hint="eastAsia"/>
          <w:b/>
          <w:bCs/>
          <w:rtl/>
        </w:rPr>
        <w:t>החינוך</w:t>
      </w:r>
      <w:r w:rsidRPr="00B97E44">
        <w:rPr>
          <w:b/>
          <w:bCs/>
          <w:rtl/>
        </w:rPr>
        <w:t xml:space="preserve"> </w:t>
      </w:r>
      <w:r w:rsidRPr="00B97E44">
        <w:rPr>
          <w:rFonts w:hint="eastAsia"/>
          <w:b/>
          <w:bCs/>
          <w:rtl/>
        </w:rPr>
        <w:t>ולרשויות</w:t>
      </w:r>
      <w:r w:rsidRPr="00B97E44">
        <w:rPr>
          <w:b/>
          <w:bCs/>
          <w:rtl/>
        </w:rPr>
        <w:t xml:space="preserve"> </w:t>
      </w:r>
      <w:r w:rsidRPr="00B97E44">
        <w:rPr>
          <w:rFonts w:hint="eastAsia"/>
          <w:b/>
          <w:bCs/>
          <w:rtl/>
        </w:rPr>
        <w:t>המקומיות</w:t>
      </w:r>
      <w:r w:rsidRPr="00B97E44">
        <w:rPr>
          <w:b/>
          <w:bCs/>
          <w:rtl/>
        </w:rPr>
        <w:t xml:space="preserve">. </w:t>
      </w:r>
    </w:p>
    <w:p w:rsidR="003474AA" w:rsidP="001916A9">
      <w:pPr>
        <w:spacing w:line="269" w:lineRule="auto"/>
        <w:rPr>
          <w:b/>
          <w:bCs/>
          <w:rtl/>
        </w:rPr>
      </w:pPr>
    </w:p>
    <w:p w:rsidR="005B126E" w:rsidRPr="00B97E44" w:rsidP="001916A9">
      <w:pPr>
        <w:spacing w:line="269" w:lineRule="auto"/>
        <w:rPr>
          <w:b/>
          <w:bCs/>
          <w:rtl/>
        </w:rPr>
      </w:pPr>
      <w:r w:rsidRPr="00B97E44">
        <w:rPr>
          <w:rFonts w:hint="eastAsia"/>
          <w:b/>
          <w:bCs/>
          <w:rtl/>
        </w:rPr>
        <w:t>עיון</w:t>
      </w:r>
      <w:r w:rsidRPr="00B97E44">
        <w:rPr>
          <w:b/>
          <w:bCs/>
          <w:rtl/>
        </w:rPr>
        <w:t xml:space="preserve"> בקובץ ואימות הנתונים עם נתוני</w:t>
      </w:r>
      <w:r w:rsidRPr="00B97E44">
        <w:rPr>
          <w:rFonts w:hint="cs"/>
          <w:b/>
          <w:bCs/>
          <w:rtl/>
        </w:rPr>
        <w:t>ם של</w:t>
      </w:r>
      <w:r w:rsidRPr="00B97E44">
        <w:rPr>
          <w:b/>
          <w:bCs/>
          <w:rtl/>
        </w:rPr>
        <w:t xml:space="preserve"> עיריית </w:t>
      </w:r>
      <w:r w:rsidRPr="00B97E44">
        <w:rPr>
          <w:rFonts w:hint="eastAsia"/>
          <w:b/>
          <w:bCs/>
          <w:rtl/>
        </w:rPr>
        <w:t>שדרות</w:t>
      </w:r>
      <w:r w:rsidRPr="00B97E44">
        <w:rPr>
          <w:b/>
          <w:bCs/>
          <w:rtl/>
        </w:rPr>
        <w:t xml:space="preserve"> ו</w:t>
      </w:r>
      <w:r w:rsidRPr="00B97E44">
        <w:rPr>
          <w:rFonts w:hint="cs"/>
          <w:b/>
          <w:bCs/>
          <w:rtl/>
        </w:rPr>
        <w:t xml:space="preserve">של </w:t>
      </w:r>
      <w:r w:rsidRPr="00B97E44">
        <w:rPr>
          <w:b/>
          <w:bCs/>
          <w:rtl/>
        </w:rPr>
        <w:t xml:space="preserve">יישובים מהמועצה האזורית </w:t>
      </w:r>
      <w:r w:rsidRPr="00B97E44">
        <w:rPr>
          <w:rFonts w:hint="cs"/>
          <w:b/>
          <w:bCs/>
          <w:rtl/>
        </w:rPr>
        <w:t>אשכול</w:t>
      </w:r>
      <w:r w:rsidRPr="00B97E44">
        <w:rPr>
          <w:b/>
          <w:bCs/>
          <w:rtl/>
        </w:rPr>
        <w:t xml:space="preserve"> העל</w:t>
      </w:r>
      <w:r w:rsidRPr="00B97E44">
        <w:rPr>
          <w:rFonts w:hint="cs"/>
          <w:b/>
          <w:bCs/>
          <w:rtl/>
        </w:rPr>
        <w:t>ו</w:t>
      </w:r>
      <w:r w:rsidRPr="00B97E44">
        <w:rPr>
          <w:b/>
          <w:bCs/>
          <w:rtl/>
        </w:rPr>
        <w:t xml:space="preserve"> כי בקובץ שהעביר משרד החינוך חסרים נתונים הנוגעים לכספים שהעבירו רשויות חבל </w:t>
      </w:r>
      <w:r w:rsidRPr="00B97E44">
        <w:rPr>
          <w:rFonts w:hint="eastAsia"/>
          <w:b/>
          <w:bCs/>
          <w:rtl/>
        </w:rPr>
        <w:t>התקומה</w:t>
      </w:r>
      <w:r w:rsidRPr="00B97E44">
        <w:rPr>
          <w:b/>
          <w:bCs/>
          <w:rtl/>
        </w:rPr>
        <w:t xml:space="preserve"> </w:t>
      </w:r>
      <w:r w:rsidRPr="00B97E44">
        <w:rPr>
          <w:rFonts w:hint="eastAsia"/>
          <w:b/>
          <w:bCs/>
          <w:rtl/>
        </w:rPr>
        <w:t>לרשויות</w:t>
      </w:r>
      <w:r w:rsidRPr="00B97E44">
        <w:rPr>
          <w:b/>
          <w:bCs/>
          <w:rtl/>
        </w:rPr>
        <w:t xml:space="preserve"> </w:t>
      </w:r>
      <w:r w:rsidRPr="00B97E44">
        <w:rPr>
          <w:rFonts w:hint="eastAsia"/>
          <w:b/>
          <w:bCs/>
          <w:rtl/>
        </w:rPr>
        <w:t>מקומיות</w:t>
      </w:r>
      <w:r w:rsidRPr="00B97E44">
        <w:rPr>
          <w:b/>
          <w:bCs/>
          <w:rtl/>
        </w:rPr>
        <w:t xml:space="preserve"> </w:t>
      </w:r>
      <w:r w:rsidRPr="00B97E44">
        <w:rPr>
          <w:rFonts w:hint="eastAsia"/>
          <w:b/>
          <w:bCs/>
          <w:rtl/>
        </w:rPr>
        <w:t>שקלטו</w:t>
      </w:r>
      <w:r w:rsidRPr="00B97E44">
        <w:rPr>
          <w:b/>
          <w:bCs/>
          <w:rtl/>
        </w:rPr>
        <w:t xml:space="preserve"> </w:t>
      </w:r>
      <w:r w:rsidRPr="00B97E44">
        <w:rPr>
          <w:rFonts w:hint="eastAsia"/>
          <w:b/>
          <w:bCs/>
          <w:rtl/>
        </w:rPr>
        <w:t>תלמידים</w:t>
      </w:r>
      <w:r w:rsidRPr="00B97E44">
        <w:rPr>
          <w:b/>
          <w:bCs/>
          <w:rtl/>
        </w:rPr>
        <w:t xml:space="preserve"> </w:t>
      </w:r>
      <w:r w:rsidRPr="00B97E44">
        <w:rPr>
          <w:rFonts w:hint="eastAsia"/>
          <w:b/>
          <w:bCs/>
          <w:rtl/>
        </w:rPr>
        <w:t>מחבל</w:t>
      </w:r>
      <w:r w:rsidRPr="00B97E44">
        <w:rPr>
          <w:b/>
          <w:bCs/>
          <w:rtl/>
        </w:rPr>
        <w:t xml:space="preserve"> </w:t>
      </w:r>
      <w:r>
        <w:rPr>
          <w:rFonts w:hint="cs"/>
          <w:b/>
          <w:bCs/>
          <w:rtl/>
        </w:rPr>
        <w:t>ה</w:t>
      </w:r>
      <w:r w:rsidRPr="00B97E44">
        <w:rPr>
          <w:b/>
          <w:bCs/>
          <w:rtl/>
        </w:rPr>
        <w:t xml:space="preserve">תקומה במוסדות החינוך שלהן. כך לדוגמה עיריית שדרות הציגה נתונים שלפיהם היא העבירה כספים למועצה המקומית </w:t>
      </w:r>
      <w:r w:rsidRPr="00B97E44">
        <w:rPr>
          <w:rFonts w:hint="eastAsia"/>
          <w:b/>
          <w:bCs/>
          <w:rtl/>
        </w:rPr>
        <w:t>בית</w:t>
      </w:r>
      <w:r w:rsidRPr="00B97E44">
        <w:rPr>
          <w:b/>
          <w:bCs/>
          <w:rtl/>
        </w:rPr>
        <w:t xml:space="preserve"> </w:t>
      </w:r>
      <w:r w:rsidRPr="00B97E44">
        <w:rPr>
          <w:rFonts w:hint="eastAsia"/>
          <w:b/>
          <w:bCs/>
          <w:rtl/>
        </w:rPr>
        <w:t>אל</w:t>
      </w:r>
      <w:r w:rsidRPr="00B97E44">
        <w:rPr>
          <w:b/>
          <w:bCs/>
          <w:rtl/>
        </w:rPr>
        <w:t xml:space="preserve"> ולעיריית </w:t>
      </w:r>
      <w:r w:rsidRPr="00B97E44">
        <w:rPr>
          <w:rFonts w:hint="eastAsia"/>
          <w:b/>
          <w:bCs/>
          <w:rtl/>
        </w:rPr>
        <w:t>דימונה</w:t>
      </w:r>
      <w:r w:rsidRPr="00B97E44">
        <w:rPr>
          <w:b/>
          <w:bCs/>
          <w:rtl/>
        </w:rPr>
        <w:t xml:space="preserve"> ואילו בקובץ ממשרד החינוך רשויות אלה לא מופיעות כרשויות שקיבלו את כספי הסל. </w:t>
      </w:r>
    </w:p>
    <w:p w:rsidR="005B126E" w:rsidP="001916A9">
      <w:pPr>
        <w:spacing w:line="269" w:lineRule="auto"/>
        <w:rPr>
          <w:rtl/>
        </w:rPr>
      </w:pPr>
    </w:p>
    <w:p w:rsidR="005B126E" w:rsidRPr="00B97E44" w:rsidP="001916A9">
      <w:pPr>
        <w:spacing w:line="269" w:lineRule="auto"/>
        <w:rPr>
          <w:rtl/>
        </w:rPr>
      </w:pPr>
      <w:r w:rsidRPr="00B97E44">
        <w:rPr>
          <w:rtl/>
        </w:rPr>
        <w:t xml:space="preserve">גם בקרב המפונים </w:t>
      </w:r>
      <w:r w:rsidRPr="00B97E44">
        <w:rPr>
          <w:rFonts w:hint="cs"/>
          <w:rtl/>
        </w:rPr>
        <w:t>ב</w:t>
      </w:r>
      <w:r w:rsidRPr="00B97E44">
        <w:rPr>
          <w:rtl/>
        </w:rPr>
        <w:t>קהילה קיימים אתגרים, ובייחוד בגיל</w:t>
      </w:r>
      <w:r w:rsidRPr="00B97E44">
        <w:rPr>
          <w:rFonts w:hint="cs"/>
          <w:rtl/>
        </w:rPr>
        <w:t>י</w:t>
      </w:r>
      <w:r w:rsidRPr="00B97E44">
        <w:rPr>
          <w:rtl/>
        </w:rPr>
        <w:t xml:space="preserve"> לידה עד שש, שבהם האחריות לניהול התקציב נותרת בידי רשות המקור</w:t>
      </w:r>
      <w:r w:rsidRPr="00B97E44">
        <w:rPr>
          <w:rFonts w:hint="cs"/>
          <w:rtl/>
        </w:rPr>
        <w:t>.</w:t>
      </w:r>
      <w:r w:rsidRPr="00B97E44">
        <w:rPr>
          <w:rtl/>
        </w:rPr>
        <w:t xml:space="preserve"> מצב זה עלול להביא לעיכובים או לחסמים </w:t>
      </w:r>
      <w:r w:rsidRPr="00B97E44">
        <w:rPr>
          <w:rtl/>
        </w:rPr>
        <w:t>בהנגשת</w:t>
      </w:r>
      <w:r w:rsidRPr="00B97E44">
        <w:rPr>
          <w:rtl/>
        </w:rPr>
        <w:t xml:space="preserve"> השירותים בפועל</w:t>
      </w:r>
      <w:r w:rsidRPr="00B97E44">
        <w:rPr>
          <w:rFonts w:hint="cs"/>
          <w:rtl/>
        </w:rPr>
        <w:t xml:space="preserve"> לקבוצה זו</w:t>
      </w:r>
      <w:r w:rsidRPr="00B97E44">
        <w:rPr>
          <w:rtl/>
        </w:rPr>
        <w:t>.</w:t>
      </w:r>
      <w:r w:rsidRPr="00B97E44">
        <w:rPr>
          <w:rFonts w:hint="cs"/>
          <w:rtl/>
        </w:rPr>
        <w:t xml:space="preserve"> </w:t>
      </w:r>
      <w:r w:rsidRPr="00B97E44">
        <w:rPr>
          <w:rtl/>
        </w:rPr>
        <w:t xml:space="preserve">על כן נדרשים מנגנוני בקרה מוסדרים, אשר </w:t>
      </w:r>
      <w:r w:rsidRPr="00B97E44">
        <w:rPr>
          <w:rFonts w:hint="cs"/>
          <w:rtl/>
        </w:rPr>
        <w:t>יבטיחו</w:t>
      </w:r>
      <w:r w:rsidRPr="00B97E44">
        <w:rPr>
          <w:rtl/>
        </w:rPr>
        <w:t xml:space="preserve"> כי כספי סל תקומה </w:t>
      </w:r>
      <w:r w:rsidRPr="00B97E44">
        <w:rPr>
          <w:rFonts w:hint="cs"/>
          <w:rtl/>
        </w:rPr>
        <w:t>מנותבים</w:t>
      </w:r>
      <w:r w:rsidRPr="00B97E44">
        <w:rPr>
          <w:rtl/>
        </w:rPr>
        <w:t xml:space="preserve"> בהתאם לייעודם, ובפרט </w:t>
      </w:r>
      <w:r w:rsidRPr="00B97E44">
        <w:rPr>
          <w:rFonts w:hint="cs"/>
          <w:rtl/>
        </w:rPr>
        <w:t>עבור התושבים המפונים</w:t>
      </w:r>
      <w:r w:rsidRPr="00B97E44">
        <w:rPr>
          <w:rtl/>
        </w:rPr>
        <w:t>.</w:t>
      </w:r>
    </w:p>
    <w:p w:rsidR="005B126E" w:rsidP="001916A9">
      <w:pPr>
        <w:spacing w:line="269" w:lineRule="auto"/>
        <w:rPr>
          <w:rtl/>
        </w:rPr>
      </w:pPr>
    </w:p>
    <w:p w:rsidR="005B126E" w:rsidRPr="00B97E44" w:rsidP="001916A9">
      <w:pPr>
        <w:spacing w:line="269" w:lineRule="auto"/>
        <w:rPr>
          <w:rtl/>
        </w:rPr>
      </w:pPr>
      <w:r w:rsidRPr="00B97E44">
        <w:rPr>
          <w:rtl/>
        </w:rPr>
        <w:t xml:space="preserve">משרד החינוך מסר בתשובתו כי הוגדר סל מחוזי שמטרתו לסייע בפתרון </w:t>
      </w:r>
      <w:r w:rsidRPr="00B97E44">
        <w:rPr>
          <w:rFonts w:hint="cs"/>
          <w:rtl/>
        </w:rPr>
        <w:t>בעיות נקודתיות</w:t>
      </w:r>
      <w:r w:rsidRPr="00B97E44">
        <w:rPr>
          <w:rtl/>
        </w:rPr>
        <w:t xml:space="preserve"> וכי המחוז מטפל ב"ילדים בודדים" שאינם </w:t>
      </w:r>
      <w:r w:rsidRPr="00B97E44">
        <w:rPr>
          <w:rFonts w:hint="cs"/>
          <w:rtl/>
        </w:rPr>
        <w:t>מתגוררים עוד בחבל</w:t>
      </w:r>
      <w:r w:rsidRPr="00B97E44">
        <w:rPr>
          <w:rtl/>
        </w:rPr>
        <w:t xml:space="preserve">, תוך דאגה לקיום תוכנית ותקציב סל </w:t>
      </w:r>
      <w:r w:rsidRPr="00B97E44">
        <w:rPr>
          <w:rFonts w:hint="cs"/>
          <w:rtl/>
        </w:rPr>
        <w:t>ל</w:t>
      </w:r>
      <w:r w:rsidRPr="00B97E44">
        <w:rPr>
          <w:rtl/>
        </w:rPr>
        <w:t>תלמיד.</w:t>
      </w:r>
    </w:p>
    <w:p w:rsidR="005B126E" w:rsidP="001916A9">
      <w:pPr>
        <w:spacing w:line="269" w:lineRule="auto"/>
        <w:rPr>
          <w:rtl/>
        </w:rPr>
      </w:pPr>
    </w:p>
    <w:p w:rsidR="005B126E" w:rsidRPr="00B97E44" w:rsidP="001916A9">
      <w:pPr>
        <w:spacing w:line="269" w:lineRule="auto"/>
        <w:rPr>
          <w:rtl/>
        </w:rPr>
      </w:pPr>
      <w:r w:rsidRPr="00B97E44">
        <w:rPr>
          <w:rtl/>
        </w:rPr>
        <w:t xml:space="preserve">עיריית </w:t>
      </w:r>
      <w:r w:rsidRPr="00B97E44">
        <w:rPr>
          <w:b/>
          <w:bCs/>
          <w:rtl/>
        </w:rPr>
        <w:t>שדרות</w:t>
      </w:r>
      <w:r w:rsidRPr="00B97E44">
        <w:rPr>
          <w:rtl/>
        </w:rPr>
        <w:t xml:space="preserve"> מסרה בתשובתה </w:t>
      </w:r>
      <w:r w:rsidRPr="00B97E44">
        <w:rPr>
          <w:rFonts w:hint="cs"/>
          <w:rtl/>
        </w:rPr>
        <w:t xml:space="preserve">מנובמבר 2025 </w:t>
      </w:r>
      <w:r w:rsidRPr="00B97E44">
        <w:rPr>
          <w:rtl/>
        </w:rPr>
        <w:t xml:space="preserve">כי </w:t>
      </w:r>
      <w:r w:rsidRPr="00B97E44">
        <w:rPr>
          <w:rFonts w:hint="cs"/>
          <w:rtl/>
        </w:rPr>
        <w:t xml:space="preserve">מחוז הדרום במשרד החינוך </w:t>
      </w:r>
      <w:r w:rsidRPr="00B97E44">
        <w:rPr>
          <w:rtl/>
        </w:rPr>
        <w:t>הצליח</w:t>
      </w:r>
      <w:r w:rsidRPr="00B97E44">
        <w:rPr>
          <w:rFonts w:hint="cs"/>
          <w:rtl/>
        </w:rPr>
        <w:t xml:space="preserve"> </w:t>
      </w:r>
      <w:r w:rsidRPr="00B97E44">
        <w:rPr>
          <w:rtl/>
        </w:rPr>
        <w:t xml:space="preserve">לייעל את תהליכי הבקרה והעברת הכספים לרשויות אחרות, תוך עמידה בכללים ובשקיפות מלאה </w:t>
      </w:r>
      <w:r w:rsidRPr="00B97E44">
        <w:rPr>
          <w:rFonts w:hint="cs"/>
          <w:rtl/>
        </w:rPr>
        <w:t>ו</w:t>
      </w:r>
      <w:r w:rsidRPr="00B97E44">
        <w:rPr>
          <w:rtl/>
        </w:rPr>
        <w:t xml:space="preserve">כי גם כיום ממשיכות להתקבל בקשות לחיוב </w:t>
      </w:r>
      <w:r w:rsidRPr="00B97E44">
        <w:rPr>
          <w:rFonts w:hint="cs"/>
          <w:rtl/>
        </w:rPr>
        <w:t xml:space="preserve">מצד </w:t>
      </w:r>
      <w:r w:rsidRPr="00B97E44">
        <w:rPr>
          <w:rtl/>
        </w:rPr>
        <w:t>הרשויות הקולטות</w:t>
      </w:r>
      <w:r w:rsidRPr="00B97E44">
        <w:rPr>
          <w:rFonts w:hint="cs"/>
          <w:rtl/>
        </w:rPr>
        <w:t>.</w:t>
      </w:r>
    </w:p>
    <w:p w:rsidR="005B126E" w:rsidP="001916A9">
      <w:pPr>
        <w:spacing w:line="269" w:lineRule="auto"/>
        <w:rPr>
          <w:b/>
          <w:bCs/>
          <w:rtl/>
        </w:rPr>
      </w:pPr>
    </w:p>
    <w:p w:rsidR="005B126E" w:rsidRPr="00B97E44" w:rsidP="001916A9">
      <w:pPr>
        <w:spacing w:line="269" w:lineRule="auto"/>
        <w:rPr>
          <w:rtl/>
        </w:rPr>
      </w:pPr>
      <w:r w:rsidRPr="00B97E44">
        <w:rPr>
          <w:b/>
          <w:bCs/>
          <w:rtl/>
        </w:rPr>
        <w:t>מהשוואת נתוני משרד החינוך לנתונים של עיריית שדרות ושל המועצה האזורית אשכול, כמוצג לעיל, עולה כי משרד החינוך אינו מחזיק בנתונים מלאים ועדכניים של מימוש כספי סל תקומה.</w:t>
      </w:r>
      <w:r w:rsidRPr="00B97E44">
        <w:rPr>
          <w:b/>
          <w:bCs/>
          <w:rtl/>
        </w:rPr>
        <w:t xml:space="preserve"> </w:t>
      </w:r>
      <w:r w:rsidRPr="00B97E44">
        <w:rPr>
          <w:rFonts w:hint="cs"/>
          <w:b/>
          <w:bCs/>
          <w:rtl/>
        </w:rPr>
        <w:t xml:space="preserve">בקרה חסרה עלולה לפגוע בוודאות כי ילדי חבל התקומה </w:t>
      </w:r>
      <w:r>
        <w:rPr>
          <w:rFonts w:hint="cs"/>
          <w:b/>
          <w:bCs/>
          <w:rtl/>
        </w:rPr>
        <w:t>-</w:t>
      </w:r>
      <w:r w:rsidRPr="00B97E44">
        <w:rPr>
          <w:rFonts w:hint="cs"/>
          <w:b/>
          <w:bCs/>
          <w:rtl/>
        </w:rPr>
        <w:t xml:space="preserve"> שלטובתם מוענקים כספי הסל לצורך הגשמת התנאים לשיקומם לאחר </w:t>
      </w:r>
      <w:r w:rsidRPr="00B97E44">
        <w:rPr>
          <w:rFonts w:hint="eastAsia"/>
          <w:b/>
          <w:bCs/>
          <w:rtl/>
        </w:rPr>
        <w:t>שנים</w:t>
      </w:r>
      <w:r w:rsidRPr="00B97E44">
        <w:rPr>
          <w:b/>
          <w:bCs/>
          <w:rtl/>
        </w:rPr>
        <w:t xml:space="preserve"> </w:t>
      </w:r>
      <w:r w:rsidRPr="00B97E44">
        <w:rPr>
          <w:rFonts w:hint="eastAsia"/>
          <w:b/>
          <w:bCs/>
          <w:rtl/>
        </w:rPr>
        <w:t>רבות</w:t>
      </w:r>
      <w:r w:rsidRPr="00B97E44">
        <w:rPr>
          <w:b/>
          <w:bCs/>
          <w:rtl/>
        </w:rPr>
        <w:t xml:space="preserve"> </w:t>
      </w:r>
      <w:r w:rsidRPr="00B97E44">
        <w:rPr>
          <w:rFonts w:hint="eastAsia"/>
          <w:b/>
          <w:bCs/>
          <w:rtl/>
        </w:rPr>
        <w:t>של</w:t>
      </w:r>
      <w:r w:rsidRPr="00B97E44">
        <w:rPr>
          <w:b/>
          <w:bCs/>
          <w:rtl/>
        </w:rPr>
        <w:t xml:space="preserve"> </w:t>
      </w:r>
      <w:r w:rsidRPr="00B97E44">
        <w:rPr>
          <w:rFonts w:hint="eastAsia"/>
          <w:b/>
          <w:bCs/>
          <w:rtl/>
        </w:rPr>
        <w:t>סבבי</w:t>
      </w:r>
      <w:r w:rsidRPr="00B97E44">
        <w:rPr>
          <w:b/>
          <w:bCs/>
          <w:rtl/>
        </w:rPr>
        <w:t xml:space="preserve"> </w:t>
      </w:r>
      <w:r w:rsidRPr="00B97E44">
        <w:rPr>
          <w:rFonts w:hint="eastAsia"/>
          <w:b/>
          <w:bCs/>
          <w:rtl/>
        </w:rPr>
        <w:t>לחימה</w:t>
      </w:r>
      <w:r w:rsidRPr="00B97E44">
        <w:rPr>
          <w:b/>
          <w:bCs/>
          <w:rtl/>
        </w:rPr>
        <w:t xml:space="preserve">, </w:t>
      </w:r>
      <w:r w:rsidRPr="00B97E44">
        <w:rPr>
          <w:rFonts w:hint="eastAsia"/>
          <w:b/>
          <w:bCs/>
          <w:rtl/>
        </w:rPr>
        <w:t>קושי</w:t>
      </w:r>
      <w:r w:rsidRPr="00B97E44">
        <w:rPr>
          <w:b/>
          <w:bCs/>
          <w:rtl/>
        </w:rPr>
        <w:t xml:space="preserve"> </w:t>
      </w:r>
      <w:r w:rsidRPr="00B97E44">
        <w:rPr>
          <w:rFonts w:hint="eastAsia"/>
          <w:b/>
          <w:bCs/>
          <w:rtl/>
        </w:rPr>
        <w:t>ביטחוני</w:t>
      </w:r>
      <w:r w:rsidRPr="00B97E44">
        <w:rPr>
          <w:b/>
          <w:bCs/>
          <w:rtl/>
        </w:rPr>
        <w:t xml:space="preserve"> </w:t>
      </w:r>
      <w:r w:rsidRPr="00B97E44">
        <w:rPr>
          <w:rFonts w:hint="eastAsia"/>
          <w:b/>
          <w:bCs/>
          <w:rtl/>
        </w:rPr>
        <w:t>ותחושת</w:t>
      </w:r>
      <w:r w:rsidRPr="00B97E44">
        <w:rPr>
          <w:b/>
          <w:bCs/>
          <w:rtl/>
        </w:rPr>
        <w:t xml:space="preserve"> </w:t>
      </w:r>
      <w:r w:rsidRPr="00B97E44">
        <w:rPr>
          <w:rFonts w:hint="eastAsia"/>
          <w:b/>
          <w:bCs/>
          <w:rtl/>
        </w:rPr>
        <w:t>ביטחון</w:t>
      </w:r>
      <w:r w:rsidRPr="00B97E44">
        <w:rPr>
          <w:b/>
          <w:bCs/>
          <w:rtl/>
        </w:rPr>
        <w:t xml:space="preserve"> </w:t>
      </w:r>
      <w:r w:rsidRPr="00B97E44">
        <w:rPr>
          <w:rFonts w:hint="eastAsia"/>
          <w:b/>
          <w:bCs/>
          <w:rtl/>
        </w:rPr>
        <w:t>מוגבל</w:t>
      </w:r>
      <w:r w:rsidRPr="00B97E44">
        <w:rPr>
          <w:rFonts w:hint="cs"/>
          <w:b/>
          <w:bCs/>
          <w:rtl/>
        </w:rPr>
        <w:t xml:space="preserve">ת </w:t>
      </w:r>
      <w:r>
        <w:rPr>
          <w:rFonts w:hint="cs"/>
          <w:b/>
          <w:bCs/>
          <w:rtl/>
        </w:rPr>
        <w:t>-</w:t>
      </w:r>
      <w:r w:rsidRPr="00B97E44">
        <w:rPr>
          <w:rFonts w:hint="cs"/>
          <w:b/>
          <w:bCs/>
          <w:rtl/>
        </w:rPr>
        <w:t xml:space="preserve"> אכן יזכו </w:t>
      </w:r>
      <w:r w:rsidRPr="00B97E44">
        <w:rPr>
          <w:b/>
          <w:bCs/>
          <w:rtl/>
        </w:rPr>
        <w:t xml:space="preserve">למרב התוכניות והשירותים התומכים שניתן לממן </w:t>
      </w:r>
      <w:r w:rsidRPr="00B97E44">
        <w:rPr>
          <w:rFonts w:hint="cs"/>
          <w:b/>
          <w:bCs/>
          <w:rtl/>
        </w:rPr>
        <w:t>ב</w:t>
      </w:r>
      <w:r w:rsidRPr="00B97E44">
        <w:rPr>
          <w:b/>
          <w:bCs/>
          <w:rtl/>
        </w:rPr>
        <w:t>כספי הסל</w:t>
      </w:r>
      <w:r w:rsidRPr="00B97E44">
        <w:rPr>
          <w:rFonts w:hint="cs"/>
          <w:b/>
          <w:bCs/>
          <w:rtl/>
        </w:rPr>
        <w:t>.</w:t>
      </w:r>
    </w:p>
    <w:p w:rsidR="005B126E" w:rsidP="001916A9">
      <w:pPr>
        <w:spacing w:line="269" w:lineRule="auto"/>
        <w:rPr>
          <w:b/>
          <w:bCs/>
          <w:rtl/>
        </w:rPr>
      </w:pPr>
    </w:p>
    <w:p w:rsidR="005B126E" w:rsidRPr="00B97E44" w:rsidP="001916A9">
      <w:pPr>
        <w:spacing w:line="269" w:lineRule="auto"/>
        <w:rPr>
          <w:b/>
          <w:bCs/>
          <w:rtl/>
        </w:rPr>
      </w:pPr>
      <w:r w:rsidRPr="00B97E44">
        <w:rPr>
          <w:rFonts w:hint="cs"/>
          <w:b/>
          <w:bCs/>
          <w:rtl/>
        </w:rPr>
        <w:t xml:space="preserve">משרד מבקר המדינה מעיר למשרד החינוך כי ניהול נתונים חלקיים לא יכול להניב בקרה אפקטיבית על הליך מורכב המערב העברות כספים בשיעור של כמיליארד ש"ח בין המשרד לרשויות המקומיות ובין הרשויות המקומיות לבין עצמן, וממליץ לו לרכז את הנתונים המועברים לו מהרשויות המקומיות באופן שוטף כדי לאפשר ביצוע בקרה סדירה על נתונים עדכניים תוך מתן </w:t>
      </w:r>
      <w:r w:rsidRPr="00B97E44">
        <w:rPr>
          <w:b/>
          <w:bCs/>
          <w:rtl/>
        </w:rPr>
        <w:t xml:space="preserve">דגש מיוחד </w:t>
      </w:r>
      <w:r w:rsidRPr="00B97E44">
        <w:rPr>
          <w:rFonts w:hint="cs"/>
          <w:b/>
          <w:bCs/>
          <w:rtl/>
        </w:rPr>
        <w:t xml:space="preserve">על </w:t>
      </w:r>
      <w:r w:rsidRPr="00B97E44">
        <w:rPr>
          <w:b/>
          <w:bCs/>
          <w:rtl/>
        </w:rPr>
        <w:t xml:space="preserve">אוכלוסיות מפונים </w:t>
      </w:r>
      <w:r w:rsidRPr="00B97E44">
        <w:rPr>
          <w:rFonts w:hint="cs"/>
          <w:b/>
          <w:bCs/>
          <w:rtl/>
        </w:rPr>
        <w:t>ב</w:t>
      </w:r>
      <w:r w:rsidRPr="00B97E44">
        <w:rPr>
          <w:b/>
          <w:bCs/>
          <w:rtl/>
        </w:rPr>
        <w:t>קהילה ו</w:t>
      </w:r>
      <w:r w:rsidRPr="00B97E44">
        <w:rPr>
          <w:rFonts w:hint="cs"/>
          <w:b/>
          <w:bCs/>
          <w:rtl/>
        </w:rPr>
        <w:t xml:space="preserve">מפונים </w:t>
      </w:r>
      <w:r w:rsidRPr="00B97E44">
        <w:rPr>
          <w:b/>
          <w:bCs/>
          <w:rtl/>
        </w:rPr>
        <w:t xml:space="preserve">בודדים, אשר </w:t>
      </w:r>
      <w:r w:rsidRPr="00B97E44">
        <w:rPr>
          <w:rFonts w:hint="cs"/>
          <w:b/>
          <w:bCs/>
          <w:rtl/>
        </w:rPr>
        <w:t xml:space="preserve">מנגנון העברת הכספים עבורם מורכב יותר. </w:t>
      </w:r>
    </w:p>
    <w:p w:rsidR="005B126E" w:rsidP="001916A9">
      <w:pPr>
        <w:spacing w:line="269" w:lineRule="auto"/>
        <w:rPr>
          <w:rtl/>
        </w:rPr>
      </w:pPr>
    </w:p>
    <w:p w:rsidR="005B126E" w:rsidRPr="00B97E44" w:rsidP="001916A9">
      <w:pPr>
        <w:spacing w:line="269" w:lineRule="auto"/>
        <w:rPr>
          <w:b/>
          <w:bCs/>
          <w:rtl/>
        </w:rPr>
      </w:pPr>
      <w:r w:rsidRPr="00B97E44">
        <w:rPr>
          <w:rFonts w:hint="cs"/>
          <w:rtl/>
        </w:rPr>
        <w:t xml:space="preserve">המועצה האזורית </w:t>
      </w:r>
      <w:r w:rsidRPr="00B97E44">
        <w:rPr>
          <w:rFonts w:hint="eastAsia"/>
          <w:b/>
          <w:bCs/>
          <w:rtl/>
        </w:rPr>
        <w:t>אשכול</w:t>
      </w:r>
      <w:r w:rsidRPr="00B97E44">
        <w:rPr>
          <w:rFonts w:hint="cs"/>
          <w:rtl/>
        </w:rPr>
        <w:t xml:space="preserve"> ציינה בתשובתה כי בצד התקציבים הגבוהים נדרש גם מנגנון הערכה ומדידה מדויק ויעיל שאינו צורך </w:t>
      </w:r>
      <w:r>
        <w:rPr>
          <w:rFonts w:hint="cs"/>
          <w:rtl/>
        </w:rPr>
        <w:t>משאבים</w:t>
      </w:r>
      <w:r w:rsidRPr="00B97E44">
        <w:rPr>
          <w:rFonts w:hint="cs"/>
          <w:rtl/>
        </w:rPr>
        <w:t xml:space="preserve"> מיותר</w:t>
      </w:r>
      <w:r>
        <w:rPr>
          <w:rFonts w:hint="cs"/>
          <w:rtl/>
        </w:rPr>
        <w:t>ים</w:t>
      </w:r>
      <w:r w:rsidRPr="00B97E44">
        <w:rPr>
          <w:rFonts w:hint="cs"/>
          <w:rtl/>
        </w:rPr>
        <w:t xml:space="preserve"> מהמערכות ומספק מיפוי ותוצאות בזמנים קצרים. בפועל הרשויות המקומיות פיתחו מנגנונים עצמאיים המותאמים לסוגיות המאפיינות את החבל שאינם מתואמים עם המנגנונים הארציים של במשרד החינוך, שאינם מספקים תוצאות בטווח קצר. </w:t>
      </w:r>
    </w:p>
    <w:p w:rsidR="005B126E" w:rsidP="001916A9">
      <w:pPr>
        <w:spacing w:line="269" w:lineRule="auto"/>
        <w:rPr>
          <w:b/>
          <w:bCs/>
          <w:rtl/>
        </w:rPr>
      </w:pPr>
      <w:bookmarkStart w:id="31" w:name="_Hlk202980967"/>
      <w:bookmarkStart w:id="32" w:name="_Hlk202976182"/>
    </w:p>
    <w:p w:rsidR="005B126E" w:rsidP="001916A9">
      <w:pPr>
        <w:spacing w:line="269" w:lineRule="auto"/>
        <w:rPr>
          <w:b/>
          <w:bCs/>
          <w:rtl/>
        </w:rPr>
      </w:pPr>
      <w:r w:rsidRPr="00B544FF">
        <w:rPr>
          <w:rFonts w:hint="eastAsia"/>
          <w:b/>
          <w:bCs/>
          <w:rtl/>
        </w:rPr>
        <w:t>בצד</w:t>
      </w:r>
      <w:r w:rsidRPr="00B544FF">
        <w:rPr>
          <w:b/>
          <w:bCs/>
          <w:rtl/>
        </w:rPr>
        <w:t xml:space="preserve"> אתגרי השיקום הרבים הניצבים בפני הרשויות המקומיות והיישובים בחבל התקומה ניצבת גם מורכבות </w:t>
      </w:r>
      <w:r w:rsidRPr="00B544FF">
        <w:rPr>
          <w:rFonts w:hint="eastAsia"/>
          <w:b/>
          <w:bCs/>
          <w:rtl/>
        </w:rPr>
        <w:t>ב</w:t>
      </w:r>
      <w:r w:rsidRPr="00B544FF">
        <w:rPr>
          <w:b/>
          <w:bCs/>
          <w:rtl/>
        </w:rPr>
        <w:t xml:space="preserve">מנגנון </w:t>
      </w:r>
      <w:r w:rsidRPr="00B544FF">
        <w:rPr>
          <w:rFonts w:hint="eastAsia"/>
          <w:b/>
          <w:bCs/>
          <w:rtl/>
        </w:rPr>
        <w:t>ה</w:t>
      </w:r>
      <w:r w:rsidRPr="00B544FF">
        <w:rPr>
          <w:b/>
          <w:bCs/>
          <w:rtl/>
        </w:rPr>
        <w:t xml:space="preserve">תקצוב </w:t>
      </w:r>
      <w:r w:rsidRPr="00B544FF">
        <w:rPr>
          <w:rFonts w:hint="eastAsia"/>
          <w:b/>
          <w:bCs/>
          <w:rtl/>
        </w:rPr>
        <w:t>של</w:t>
      </w:r>
      <w:r w:rsidRPr="00B544FF">
        <w:rPr>
          <w:b/>
          <w:bCs/>
          <w:rtl/>
        </w:rPr>
        <w:t xml:space="preserve"> סל התקומה המיועד לשיקום ולהעצמה של ילדי החבל. הביקורת העלתה כי מורכבות המנגנון מובילה למחלוקות רבות ולאי-הבנות בתחומים הפדגוגיים </w:t>
      </w:r>
      <w:r w:rsidRPr="00B544FF">
        <w:rPr>
          <w:rFonts w:hint="eastAsia"/>
          <w:b/>
          <w:bCs/>
          <w:rtl/>
        </w:rPr>
        <w:t>והתקצוביים</w:t>
      </w:r>
      <w:r w:rsidRPr="00B544FF">
        <w:rPr>
          <w:b/>
          <w:bCs/>
          <w:rtl/>
        </w:rPr>
        <w:t xml:space="preserve"> בין כלל הגורמים המעורבים, וכי היא מכבידה עוד יותר על היישובים ו</w:t>
      </w:r>
      <w:r w:rsidRPr="00B544FF">
        <w:rPr>
          <w:rFonts w:hint="eastAsia"/>
          <w:b/>
          <w:bCs/>
          <w:rtl/>
        </w:rPr>
        <w:t>על</w:t>
      </w:r>
      <w:r w:rsidRPr="00B544FF">
        <w:rPr>
          <w:b/>
          <w:bCs/>
          <w:rtl/>
        </w:rPr>
        <w:t xml:space="preserve"> הרשויות המקומיות ומקשה על משרד החינוך </w:t>
      </w:r>
      <w:r w:rsidRPr="00B544FF">
        <w:rPr>
          <w:rFonts w:hint="eastAsia"/>
          <w:b/>
          <w:bCs/>
          <w:rtl/>
        </w:rPr>
        <w:t>לערוך</w:t>
      </w:r>
      <w:r w:rsidRPr="00B544FF">
        <w:rPr>
          <w:b/>
          <w:bCs/>
          <w:rtl/>
        </w:rPr>
        <w:t xml:space="preserve"> את הבקרה על השימוש בכספים ולהבטיח את הגעתם ליעדם.</w:t>
      </w:r>
      <w:bookmarkEnd w:id="31"/>
    </w:p>
    <w:p w:rsidR="005B126E" w:rsidRPr="00B544FF" w:rsidP="001916A9">
      <w:pPr>
        <w:spacing w:line="269" w:lineRule="auto"/>
        <w:rPr>
          <w:b/>
          <w:bCs/>
          <w:rtl/>
        </w:rPr>
      </w:pPr>
    </w:p>
    <w:p w:rsidR="005B126E" w:rsidRPr="00830810" w:rsidP="001916A9">
      <w:pPr>
        <w:spacing w:line="269" w:lineRule="auto"/>
        <w:rPr>
          <w:rtl/>
        </w:rPr>
      </w:pPr>
      <w:r>
        <w:rPr>
          <w:rFonts w:hint="cs"/>
          <w:rtl/>
        </w:rPr>
        <w:t xml:space="preserve">בתשובתו הנוספת מסר משרד החינוך כי בנוהל העבודה שגיבש בנושא סל תקומה לשנת הלימודים </w:t>
      </w:r>
      <w:r>
        <w:rPr>
          <w:rFonts w:hint="cs"/>
          <w:rtl/>
        </w:rPr>
        <w:t>התשפ"ו</w:t>
      </w:r>
      <w:r>
        <w:rPr>
          <w:rFonts w:hint="cs"/>
          <w:rtl/>
        </w:rPr>
        <w:t xml:space="preserve"> שונה אופן התקצוב בנוגע לתלמידים המפונים כבודדים, באופן ש</w:t>
      </w:r>
      <w:r w:rsidRPr="00830810">
        <w:rPr>
          <w:rtl/>
        </w:rPr>
        <w:t>מלוא התקציב</w:t>
      </w:r>
      <w:r>
        <w:rPr>
          <w:rFonts w:hint="cs"/>
          <w:rtl/>
        </w:rPr>
        <w:t xml:space="preserve"> </w:t>
      </w:r>
      <w:r w:rsidRPr="00830810">
        <w:rPr>
          <w:rtl/>
        </w:rPr>
        <w:t xml:space="preserve">לתלמיד יועבר במלואו למחוז הרלוונטי </w:t>
      </w:r>
      <w:r>
        <w:rPr>
          <w:rFonts w:hint="cs"/>
          <w:rtl/>
        </w:rPr>
        <w:t>במשרד החינוך (דרום, התיישבותי או חרדי) -</w:t>
      </w:r>
      <w:r w:rsidRPr="00830810">
        <w:rPr>
          <w:rtl/>
        </w:rPr>
        <w:t xml:space="preserve"> </w:t>
      </w:r>
      <w:r>
        <w:rPr>
          <w:rFonts w:hint="cs"/>
          <w:rtl/>
        </w:rPr>
        <w:t xml:space="preserve">המחוז יעביר </w:t>
      </w:r>
      <w:r w:rsidRPr="00830810">
        <w:rPr>
          <w:rtl/>
        </w:rPr>
        <w:t xml:space="preserve">מחצית מהסכום למוסד החינוכי </w:t>
      </w:r>
      <w:r>
        <w:rPr>
          <w:rFonts w:hint="cs"/>
          <w:rtl/>
        </w:rPr>
        <w:t>ש</w:t>
      </w:r>
      <w:r w:rsidRPr="00830810">
        <w:rPr>
          <w:rtl/>
        </w:rPr>
        <w:t>בו לומד התלמיד, ו</w:t>
      </w:r>
      <w:r>
        <w:rPr>
          <w:rFonts w:hint="cs"/>
          <w:rtl/>
        </w:rPr>
        <w:t>ה</w:t>
      </w:r>
      <w:r w:rsidRPr="00830810">
        <w:rPr>
          <w:rtl/>
        </w:rPr>
        <w:t xml:space="preserve">מחצית </w:t>
      </w:r>
      <w:r>
        <w:rPr>
          <w:rFonts w:hint="cs"/>
          <w:rtl/>
        </w:rPr>
        <w:t>הנותרת</w:t>
      </w:r>
      <w:r w:rsidRPr="00830810">
        <w:rPr>
          <w:rtl/>
        </w:rPr>
        <w:t xml:space="preserve"> </w:t>
      </w:r>
      <w:r>
        <w:rPr>
          <w:rFonts w:hint="cs"/>
          <w:rtl/>
        </w:rPr>
        <w:t>ת</w:t>
      </w:r>
      <w:r w:rsidRPr="00830810">
        <w:rPr>
          <w:rtl/>
        </w:rPr>
        <w:t>ישאר במחוז הרלוונטי להשלמת</w:t>
      </w:r>
      <w:r>
        <w:rPr>
          <w:rFonts w:hint="cs"/>
          <w:rtl/>
        </w:rPr>
        <w:t xml:space="preserve"> מימון ה</w:t>
      </w:r>
      <w:r w:rsidRPr="00830810">
        <w:rPr>
          <w:rtl/>
        </w:rPr>
        <w:t>שירותים הנדרשים לתלמיד</w:t>
      </w:r>
      <w:r w:rsidRPr="00830810">
        <w:t>.</w:t>
      </w:r>
    </w:p>
    <w:p w:rsidR="005B126E" w:rsidP="001916A9">
      <w:pPr>
        <w:spacing w:line="269" w:lineRule="auto"/>
        <w:rPr>
          <w:b/>
          <w:bCs/>
          <w:rtl/>
        </w:rPr>
      </w:pPr>
    </w:p>
    <w:p w:rsidR="005B126E" w:rsidRPr="00B97E44" w:rsidP="001916A9">
      <w:pPr>
        <w:spacing w:line="269" w:lineRule="auto"/>
        <w:rPr>
          <w:b/>
          <w:bCs/>
          <w:rtl/>
        </w:rPr>
      </w:pPr>
      <w:r w:rsidRPr="00B97E44">
        <w:rPr>
          <w:rFonts w:hint="cs"/>
          <w:b/>
          <w:bCs/>
          <w:rtl/>
        </w:rPr>
        <w:t xml:space="preserve">ביוני 2025 מסרה מינהלת תקומה למשרד מבקר המדינה כי היא גיבשה מנגנון המכונה "משולש הזהב" לתיאום בין </w:t>
      </w:r>
      <w:r>
        <w:rPr>
          <w:rFonts w:hint="cs"/>
          <w:b/>
          <w:bCs/>
          <w:rtl/>
        </w:rPr>
        <w:t>המועצה האזורית</w:t>
      </w:r>
      <w:r w:rsidRPr="00B97E44">
        <w:rPr>
          <w:rFonts w:hint="cs"/>
          <w:b/>
          <w:bCs/>
          <w:rtl/>
        </w:rPr>
        <w:t xml:space="preserve"> ובין היישובים שבתחומה, בסיוע מינהלת תקומה, במקרים של מחלוקות, במטרה לוודא כי הכספים המיועדים למימון מענים לילדי החבל משרתים את מטרתם. מקובץ שהעבירה מינהלת תקומה לצוות הביקורת ביולי 2025 עלה כי מינהלת תקומה קיימה מפגשים עם שישה מהיישובים בחבל וכי מתואמות פגישות נוספות בהמשך.</w:t>
      </w:r>
    </w:p>
    <w:p w:rsidR="005B126E" w:rsidP="001916A9">
      <w:pPr>
        <w:spacing w:line="269" w:lineRule="auto"/>
        <w:rPr>
          <w:b/>
          <w:bCs/>
          <w:rtl/>
        </w:rPr>
      </w:pPr>
    </w:p>
    <w:p w:rsidR="005B126E" w:rsidRPr="00B97E44" w:rsidP="001916A9">
      <w:pPr>
        <w:spacing w:line="269" w:lineRule="auto"/>
        <w:rPr>
          <w:b/>
          <w:bCs/>
          <w:rtl/>
        </w:rPr>
      </w:pPr>
      <w:r w:rsidRPr="00B97E44">
        <w:rPr>
          <w:rFonts w:hint="cs"/>
          <w:b/>
          <w:bCs/>
          <w:rtl/>
        </w:rPr>
        <w:t xml:space="preserve">משרד מבקר המדינה ממליץ </w:t>
      </w:r>
      <w:r w:rsidRPr="00B97E44">
        <w:rPr>
          <w:rFonts w:hint="cs"/>
          <w:b/>
          <w:bCs/>
          <w:rtl/>
        </w:rPr>
        <w:t>למינהלת</w:t>
      </w:r>
      <w:r w:rsidRPr="00B97E44">
        <w:rPr>
          <w:rFonts w:hint="cs"/>
          <w:b/>
          <w:bCs/>
          <w:rtl/>
        </w:rPr>
        <w:t xml:space="preserve"> תקומה להרחיב את השימוש במנגנון "משולש הזהב" ולשתף את משרד החינוך בהליך כדי לצמצם את המחלוקות ולהבטיח שכספי השיקום ימלאו את יעדם.</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מינהלת תקומה מסרה בתשובתה כי </w:t>
      </w:r>
      <w:r w:rsidRPr="00B97E44">
        <w:rPr>
          <w:rtl/>
        </w:rPr>
        <w:t>השימוש במנגנון "משולש</w:t>
      </w:r>
      <w:r w:rsidRPr="00B97E44">
        <w:rPr>
          <w:rFonts w:hint="cs"/>
          <w:rtl/>
        </w:rPr>
        <w:t xml:space="preserve"> </w:t>
      </w:r>
      <w:r w:rsidRPr="00B97E44">
        <w:rPr>
          <w:rtl/>
        </w:rPr>
        <w:t xml:space="preserve">הזהב" מתבצע באופן שוטף ונועד למפות </w:t>
      </w:r>
      <w:r w:rsidRPr="00B97E44">
        <w:rPr>
          <w:rFonts w:hint="cs"/>
          <w:rtl/>
        </w:rPr>
        <w:t xml:space="preserve">את </w:t>
      </w:r>
      <w:r w:rsidRPr="00B97E44">
        <w:rPr>
          <w:rtl/>
        </w:rPr>
        <w:t>הצרכים ולשמור על שיח שבין הרשויות והיישובים</w:t>
      </w:r>
      <w:r w:rsidRPr="00B97E44">
        <w:rPr>
          <w:rFonts w:hint="cs"/>
          <w:rtl/>
        </w:rPr>
        <w:t xml:space="preserve"> </w:t>
      </w:r>
      <w:r w:rsidRPr="00B97E44">
        <w:rPr>
          <w:rtl/>
        </w:rPr>
        <w:t>בהקשר זה גם ביישום כלי הפעולה של</w:t>
      </w:r>
      <w:r w:rsidRPr="00B97E44">
        <w:rPr>
          <w:rFonts w:hint="cs"/>
          <w:rtl/>
        </w:rPr>
        <w:t>ה</w:t>
      </w:r>
      <w:r w:rsidRPr="00B97E44">
        <w:rPr>
          <w:rtl/>
        </w:rPr>
        <w:t xml:space="preserve"> וביצועם גם באמצעות משרדים שותפים כגון משרד</w:t>
      </w:r>
      <w:r w:rsidRPr="00B97E44">
        <w:rPr>
          <w:rFonts w:hint="cs"/>
          <w:rtl/>
        </w:rPr>
        <w:t xml:space="preserve"> </w:t>
      </w:r>
      <w:r w:rsidRPr="00B97E44">
        <w:rPr>
          <w:rtl/>
        </w:rPr>
        <w:t>החינוך</w:t>
      </w:r>
      <w:r w:rsidRPr="00B97E44">
        <w:rPr>
          <w:rFonts w:hint="cs"/>
          <w:rtl/>
        </w:rPr>
        <w:t>.</w:t>
      </w:r>
    </w:p>
    <w:bookmarkEnd w:id="32"/>
    <w:p w:rsidR="005B126E" w:rsidRPr="00B97E44" w:rsidP="001916A9">
      <w:pPr>
        <w:spacing w:line="269" w:lineRule="auto"/>
        <w:rPr>
          <w:b/>
          <w:bCs/>
          <w:rtl/>
        </w:rPr>
      </w:pPr>
    </w:p>
    <w:p w:rsidR="005B126E" w:rsidRPr="00B97E44" w:rsidP="001916A9">
      <w:pPr>
        <w:pStyle w:val="Heading5"/>
        <w:spacing w:line="269" w:lineRule="auto"/>
        <w:rPr>
          <w:rtl/>
        </w:rPr>
      </w:pPr>
      <w:r w:rsidRPr="00B97E44">
        <w:rPr>
          <w:rFonts w:hint="cs"/>
          <w:rtl/>
        </w:rPr>
        <w:t>תמרוץ</w:t>
      </w:r>
      <w:r w:rsidRPr="00B97E44">
        <w:rPr>
          <w:rFonts w:hint="cs"/>
          <w:rtl/>
        </w:rPr>
        <w:t xml:space="preserve"> עובדי הוראה</w:t>
      </w:r>
    </w:p>
    <w:p w:rsidR="005B126E" w:rsidRPr="00B97E44" w:rsidP="001916A9">
      <w:pPr>
        <w:spacing w:line="269" w:lineRule="auto"/>
        <w:rPr>
          <w:rtl/>
        </w:rPr>
      </w:pPr>
    </w:p>
    <w:p w:rsidR="005B126E" w:rsidRPr="00B97E44" w:rsidP="001916A9">
      <w:pPr>
        <w:pStyle w:val="Heading6"/>
        <w:spacing w:line="269" w:lineRule="auto"/>
        <w:rPr>
          <w:rtl/>
        </w:rPr>
      </w:pPr>
      <w:r w:rsidRPr="00B97E44">
        <w:rPr>
          <w:rFonts w:hint="cs"/>
          <w:rtl/>
        </w:rPr>
        <w:t xml:space="preserve">גיבוש תוכנית </w:t>
      </w:r>
      <w:r w:rsidRPr="00B97E44">
        <w:rPr>
          <w:rFonts w:hint="cs"/>
          <w:rtl/>
        </w:rPr>
        <w:t>התמרוץ</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מחסור במורים הוא תופעה כלל עולמית ומדינות רבות מתמודדות </w:t>
      </w:r>
      <w:r w:rsidRPr="00B97E44">
        <w:rPr>
          <w:rFonts w:hint="cs"/>
          <w:rtl/>
        </w:rPr>
        <w:t>עימה</w:t>
      </w:r>
      <w:r w:rsidRPr="00B97E44">
        <w:rPr>
          <w:rFonts w:hint="cs"/>
          <w:rtl/>
        </w:rPr>
        <w:t>. לפי דוח של ארגון אונסק"ו</w:t>
      </w:r>
      <w:r>
        <w:rPr>
          <w:rStyle w:val="FootnoteReference1"/>
          <w:rtl/>
        </w:rPr>
        <w:footnoteReference w:id="46"/>
      </w:r>
      <w:r w:rsidRPr="00B97E44">
        <w:rPr>
          <w:rFonts w:hint="cs"/>
          <w:rtl/>
        </w:rPr>
        <w:t>, המחסור במורים ברחבי העולם צפוי להגיע לכ-69 מיליו</w:t>
      </w:r>
      <w:r>
        <w:rPr>
          <w:rFonts w:hint="cs"/>
          <w:rtl/>
        </w:rPr>
        <w:t xml:space="preserve">ני </w:t>
      </w:r>
      <w:r w:rsidRPr="00B97E44">
        <w:rPr>
          <w:rFonts w:hint="cs"/>
          <w:rtl/>
        </w:rPr>
        <w:t>מורים בשנת 2030</w:t>
      </w:r>
      <w:r>
        <w:rPr>
          <w:vertAlign w:val="superscript"/>
          <w:rtl/>
        </w:rPr>
        <w:footnoteReference w:id="47"/>
      </w:r>
      <w:r w:rsidRPr="00B97E44">
        <w:rPr>
          <w:rFonts w:hint="cs"/>
          <w:rtl/>
        </w:rPr>
        <w:t>. מחסור זה לא פסח גם על ישראל</w:t>
      </w:r>
      <w:r>
        <w:rPr>
          <w:vertAlign w:val="superscript"/>
          <w:rtl/>
        </w:rPr>
        <w:footnoteReference w:id="48"/>
      </w:r>
      <w:r w:rsidRPr="00B97E44">
        <w:rPr>
          <w:rFonts w:hint="cs"/>
          <w:rtl/>
        </w:rPr>
        <w:t xml:space="preserve">. </w:t>
      </w:r>
    </w:p>
    <w:p w:rsidR="005B126E" w:rsidP="001916A9">
      <w:pPr>
        <w:spacing w:line="269" w:lineRule="auto"/>
        <w:rPr>
          <w:rtl/>
        </w:rPr>
      </w:pPr>
    </w:p>
    <w:p w:rsidR="005B126E" w:rsidRPr="00B97E44" w:rsidP="001916A9">
      <w:pPr>
        <w:spacing w:line="269" w:lineRule="auto"/>
        <w:rPr>
          <w:rtl/>
        </w:rPr>
      </w:pPr>
      <w:r w:rsidRPr="00B97E44">
        <w:rPr>
          <w:rtl/>
        </w:rPr>
        <w:t>תמרוץ</w:t>
      </w:r>
      <w:r w:rsidRPr="00B97E44">
        <w:rPr>
          <w:rtl/>
        </w:rPr>
        <w:t xml:space="preserve"> </w:t>
      </w:r>
      <w:r w:rsidRPr="00B97E44">
        <w:rPr>
          <w:rFonts w:hint="cs"/>
          <w:rtl/>
        </w:rPr>
        <w:t>עובדי הוראה</w:t>
      </w:r>
      <w:r w:rsidRPr="00B97E44">
        <w:rPr>
          <w:rtl/>
        </w:rPr>
        <w:t xml:space="preserve"> על בסיס מיקום ג</w:t>
      </w:r>
      <w:r w:rsidRPr="00B97E44">
        <w:rPr>
          <w:rFonts w:hint="cs"/>
          <w:rtl/>
        </w:rPr>
        <w:t>י</w:t>
      </w:r>
      <w:r w:rsidRPr="00B97E44">
        <w:rPr>
          <w:rtl/>
        </w:rPr>
        <w:t xml:space="preserve">אוגרפי </w:t>
      </w:r>
      <w:r w:rsidRPr="00B97E44">
        <w:rPr>
          <w:rFonts w:hint="cs"/>
          <w:rtl/>
        </w:rPr>
        <w:t>הוא</w:t>
      </w:r>
      <w:r w:rsidRPr="00B97E44">
        <w:rPr>
          <w:rtl/>
        </w:rPr>
        <w:t xml:space="preserve"> כלי מדיניות רווח במערכות חינוך רבות, </w:t>
      </w:r>
      <w:r w:rsidRPr="00B97E44">
        <w:rPr>
          <w:rFonts w:hint="cs"/>
          <w:rtl/>
        </w:rPr>
        <w:t xml:space="preserve">ומטרתו </w:t>
      </w:r>
      <w:r w:rsidRPr="00B97E44">
        <w:rPr>
          <w:rtl/>
        </w:rPr>
        <w:t xml:space="preserve">להתמודד עם קושי מובנה באיוש תקני הוראה </w:t>
      </w:r>
      <w:r w:rsidRPr="00B97E44">
        <w:rPr>
          <w:rFonts w:hint="cs"/>
          <w:rtl/>
        </w:rPr>
        <w:t xml:space="preserve">במיוחד </w:t>
      </w:r>
      <w:r w:rsidRPr="00B97E44">
        <w:rPr>
          <w:rtl/>
        </w:rPr>
        <w:t>בפריפריה החברתית והג</w:t>
      </w:r>
      <w:r w:rsidRPr="00B97E44">
        <w:rPr>
          <w:rFonts w:hint="cs"/>
          <w:rtl/>
        </w:rPr>
        <w:t>י</w:t>
      </w:r>
      <w:r w:rsidRPr="00B97E44">
        <w:rPr>
          <w:rtl/>
        </w:rPr>
        <w:t xml:space="preserve">אוגרפית. במקרים רבים מוסדות חינוך באזורים אלו סובלים ממחסור במורים איכותיים, בשל ריחוקם ממוקדי מגורים ותעסוקה מועדפים, </w:t>
      </w:r>
      <w:r w:rsidRPr="00B97E44">
        <w:rPr>
          <w:rFonts w:hint="cs"/>
          <w:rtl/>
        </w:rPr>
        <w:t xml:space="preserve">בשל </w:t>
      </w:r>
      <w:r w:rsidRPr="00B97E44">
        <w:rPr>
          <w:rtl/>
        </w:rPr>
        <w:t xml:space="preserve">תנאי עבודה מאתגרים ולעיתים גם בשל סיכון ביטחוני מתמשך. </w:t>
      </w:r>
      <w:r w:rsidRPr="00B97E44">
        <w:rPr>
          <w:rFonts w:hint="cs"/>
          <w:rtl/>
        </w:rPr>
        <w:t>לכן</w:t>
      </w:r>
      <w:r w:rsidRPr="00B97E44">
        <w:rPr>
          <w:rtl/>
        </w:rPr>
        <w:t xml:space="preserve"> ממשלות מעניקות תמריצים כספיים</w:t>
      </w:r>
      <w:r w:rsidRPr="00B97E44">
        <w:rPr>
          <w:rFonts w:hint="cs"/>
          <w:rtl/>
        </w:rPr>
        <w:t xml:space="preserve"> ב</w:t>
      </w:r>
      <w:r w:rsidRPr="00B97E44">
        <w:rPr>
          <w:rtl/>
        </w:rPr>
        <w:t xml:space="preserve">מטרה למשוך מורים חדשים ולשמר </w:t>
      </w:r>
      <w:r w:rsidRPr="00B97E44">
        <w:rPr>
          <w:rFonts w:hint="cs"/>
          <w:rtl/>
        </w:rPr>
        <w:t xml:space="preserve">מורים </w:t>
      </w:r>
      <w:r w:rsidRPr="00B97E44">
        <w:rPr>
          <w:rtl/>
        </w:rPr>
        <w:t xml:space="preserve">קיימים באזורים מוחלשים. בישראל כלי זה </w:t>
      </w:r>
      <w:r w:rsidRPr="00B97E44">
        <w:rPr>
          <w:rFonts w:hint="cs"/>
          <w:rtl/>
        </w:rPr>
        <w:t>משמש</w:t>
      </w:r>
      <w:r w:rsidRPr="00B97E44">
        <w:rPr>
          <w:rtl/>
        </w:rPr>
        <w:t xml:space="preserve"> </w:t>
      </w:r>
      <w:r w:rsidRPr="00B97E44">
        <w:rPr>
          <w:rFonts w:hint="cs"/>
          <w:rtl/>
        </w:rPr>
        <w:t>ב</w:t>
      </w:r>
      <w:r w:rsidRPr="00B97E44">
        <w:rPr>
          <w:rtl/>
        </w:rPr>
        <w:t xml:space="preserve">תוכניות ממוקדות כגון </w:t>
      </w:r>
      <w:r w:rsidRPr="00B97E44">
        <w:rPr>
          <w:rFonts w:hint="cs"/>
          <w:rtl/>
        </w:rPr>
        <w:t xml:space="preserve">תוכנית </w:t>
      </w:r>
      <w:r w:rsidRPr="00B97E44">
        <w:rPr>
          <w:rFonts w:hint="cs"/>
          <w:rtl/>
        </w:rPr>
        <w:t>לתמרוץ</w:t>
      </w:r>
      <w:r w:rsidRPr="00B97E44">
        <w:rPr>
          <w:rFonts w:hint="cs"/>
          <w:rtl/>
        </w:rPr>
        <w:t xml:space="preserve"> מורים באילת</w:t>
      </w:r>
      <w:r>
        <w:rPr>
          <w:vertAlign w:val="superscript"/>
          <w:rtl/>
        </w:rPr>
        <w:footnoteReference w:id="49"/>
      </w:r>
      <w:r w:rsidRPr="00B97E44">
        <w:rPr>
          <w:rFonts w:hint="cs"/>
          <w:rtl/>
        </w:rPr>
        <w:t>.</w:t>
      </w:r>
    </w:p>
    <w:p w:rsidR="005B126E" w:rsidP="001916A9">
      <w:pPr>
        <w:spacing w:line="269" w:lineRule="auto"/>
        <w:rPr>
          <w:rtl/>
        </w:rPr>
      </w:pPr>
    </w:p>
    <w:p w:rsidR="005B126E" w:rsidRPr="00B97E44" w:rsidP="001916A9">
      <w:pPr>
        <w:spacing w:line="269" w:lineRule="auto"/>
        <w:rPr>
          <w:rtl/>
        </w:rPr>
      </w:pPr>
      <w:r w:rsidRPr="00B97E44">
        <w:rPr>
          <w:rFonts w:hint="cs"/>
          <w:rtl/>
        </w:rPr>
        <w:t>על פי המחקרים,</w:t>
      </w:r>
      <w:r w:rsidRPr="00B97E44">
        <w:rPr>
          <w:rtl/>
        </w:rPr>
        <w:t xml:space="preserve"> תוכניות </w:t>
      </w:r>
      <w:r w:rsidRPr="00B97E44">
        <w:rPr>
          <w:rtl/>
        </w:rPr>
        <w:t>לתמרוץ</w:t>
      </w:r>
      <w:r w:rsidRPr="00B97E44">
        <w:rPr>
          <w:rtl/>
        </w:rPr>
        <w:t xml:space="preserve"> צוותי חינוך והוראה, ובפרט אלו המוגבלות בזמן, מלוות בחשש מתמשך בדבר חוסר היכולת לייצר שינוי מערכתי בר קיימ</w:t>
      </w:r>
      <w:r w:rsidR="00DA6AD6">
        <w:rPr>
          <w:rFonts w:hint="cs"/>
          <w:rtl/>
        </w:rPr>
        <w:t>ה</w:t>
      </w:r>
      <w:r w:rsidRPr="00B97E44">
        <w:rPr>
          <w:rFonts w:hint="cs"/>
          <w:rtl/>
        </w:rPr>
        <w:t>,</w:t>
      </w:r>
      <w:r w:rsidRPr="00B97E44">
        <w:rPr>
          <w:rtl/>
        </w:rPr>
        <w:t xml:space="preserve"> </w:t>
      </w:r>
      <w:r w:rsidRPr="00B97E44">
        <w:rPr>
          <w:rFonts w:hint="cs"/>
          <w:rtl/>
        </w:rPr>
        <w:t xml:space="preserve">שהרי </w:t>
      </w:r>
      <w:r w:rsidRPr="00B97E44">
        <w:rPr>
          <w:rtl/>
        </w:rPr>
        <w:t xml:space="preserve">קיים סיכון כי עם סיום תקופת </w:t>
      </w:r>
      <w:r w:rsidRPr="00B97E44">
        <w:rPr>
          <w:rtl/>
        </w:rPr>
        <w:t>התמרוץ</w:t>
      </w:r>
      <w:r w:rsidRPr="00B97E44">
        <w:rPr>
          <w:rFonts w:hint="cs"/>
          <w:rtl/>
        </w:rPr>
        <w:t>,</w:t>
      </w:r>
      <w:r w:rsidRPr="00B97E44">
        <w:rPr>
          <w:rtl/>
        </w:rPr>
        <w:t xml:space="preserve"> </w:t>
      </w:r>
      <w:r w:rsidRPr="00B97E44">
        <w:rPr>
          <w:rFonts w:hint="cs"/>
          <w:rtl/>
        </w:rPr>
        <w:t>ש</w:t>
      </w:r>
      <w:r w:rsidRPr="00B97E44">
        <w:rPr>
          <w:rtl/>
        </w:rPr>
        <w:t xml:space="preserve">נועד לגיוס </w:t>
      </w:r>
      <w:r w:rsidRPr="00B97E44">
        <w:rPr>
          <w:rFonts w:hint="cs"/>
          <w:rtl/>
        </w:rPr>
        <w:t>צוותי הוראה</w:t>
      </w:r>
      <w:r w:rsidRPr="00B97E44">
        <w:rPr>
          <w:rtl/>
        </w:rPr>
        <w:t xml:space="preserve"> או </w:t>
      </w:r>
      <w:r w:rsidRPr="00B97E44">
        <w:rPr>
          <w:rFonts w:hint="cs"/>
          <w:rtl/>
        </w:rPr>
        <w:t>ל</w:t>
      </w:r>
      <w:r w:rsidRPr="00B97E44">
        <w:rPr>
          <w:rtl/>
        </w:rPr>
        <w:t>שימור</w:t>
      </w:r>
      <w:r w:rsidRPr="00B97E44">
        <w:rPr>
          <w:rFonts w:hint="cs"/>
          <w:rtl/>
        </w:rPr>
        <w:t>ם,</w:t>
      </w:r>
      <w:r w:rsidRPr="00B97E44">
        <w:rPr>
          <w:rtl/>
        </w:rPr>
        <w:t xml:space="preserve"> צוותי ההוראה </w:t>
      </w:r>
      <w:r w:rsidRPr="00B97E44">
        <w:rPr>
          <w:rFonts w:hint="cs"/>
          <w:rtl/>
        </w:rPr>
        <w:t>ינטשו</w:t>
      </w:r>
      <w:r w:rsidRPr="00B97E44">
        <w:rPr>
          <w:rFonts w:hint="cs"/>
          <w:rtl/>
        </w:rPr>
        <w:t xml:space="preserve"> </w:t>
      </w:r>
      <w:r w:rsidRPr="00B97E44">
        <w:rPr>
          <w:rtl/>
        </w:rPr>
        <w:t xml:space="preserve">את בתי הספר </w:t>
      </w:r>
      <w:r w:rsidRPr="00B97E44">
        <w:rPr>
          <w:rFonts w:hint="cs"/>
          <w:rtl/>
        </w:rPr>
        <w:t>ש</w:t>
      </w:r>
      <w:r w:rsidRPr="00B97E44">
        <w:rPr>
          <w:rtl/>
        </w:rPr>
        <w:t xml:space="preserve">אליהם גויסו, והמערכת </w:t>
      </w:r>
      <w:r w:rsidRPr="00B97E44">
        <w:rPr>
          <w:rFonts w:hint="cs"/>
          <w:rtl/>
        </w:rPr>
        <w:t xml:space="preserve">המקומית </w:t>
      </w:r>
      <w:r w:rsidRPr="00B97E44">
        <w:rPr>
          <w:rtl/>
        </w:rPr>
        <w:t>תחזור למצב שקדם להפעלת התוכנית</w:t>
      </w:r>
      <w:r>
        <w:rPr>
          <w:vertAlign w:val="superscript"/>
          <w:rtl/>
        </w:rPr>
        <w:footnoteReference w:id="50"/>
      </w:r>
      <w:r w:rsidRPr="00B97E44">
        <w:rPr>
          <w:rtl/>
        </w:rPr>
        <w:t>.</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בתוכנית החומש לפיתוח החבל נקבע כי לצורך הגשמת היעדים בתחום החינוך כיוון הפעולה הראשון הוא "משיכה </w:t>
      </w:r>
      <w:r w:rsidRPr="00B97E44">
        <w:rPr>
          <w:rFonts w:hint="eastAsia"/>
          <w:rtl/>
        </w:rPr>
        <w:t>ושימור</w:t>
      </w:r>
      <w:r w:rsidRPr="00B97E44">
        <w:rPr>
          <w:rtl/>
        </w:rPr>
        <w:t xml:space="preserve"> </w:t>
      </w:r>
      <w:r w:rsidRPr="00B97E44">
        <w:rPr>
          <w:rFonts w:hint="eastAsia"/>
          <w:rtl/>
        </w:rPr>
        <w:t>הון</w:t>
      </w:r>
      <w:r w:rsidRPr="00B97E44">
        <w:rPr>
          <w:rtl/>
        </w:rPr>
        <w:t xml:space="preserve"> </w:t>
      </w:r>
      <w:r w:rsidRPr="00B97E44">
        <w:rPr>
          <w:rFonts w:hint="eastAsia"/>
          <w:rtl/>
        </w:rPr>
        <w:t>אנושי</w:t>
      </w:r>
      <w:r w:rsidRPr="00B97E44">
        <w:rPr>
          <w:rtl/>
        </w:rPr>
        <w:t xml:space="preserve"> </w:t>
      </w:r>
      <w:r w:rsidRPr="00B97E44">
        <w:rPr>
          <w:rFonts w:hint="eastAsia"/>
          <w:rtl/>
        </w:rPr>
        <w:t>איכותי</w:t>
      </w:r>
      <w:r w:rsidRPr="00B97E44">
        <w:rPr>
          <w:rFonts w:hint="cs"/>
          <w:rtl/>
        </w:rPr>
        <w:t xml:space="preserve"> </w:t>
      </w:r>
      <w:r w:rsidRPr="00B97E44">
        <w:rPr>
          <w:rFonts w:hint="eastAsia"/>
          <w:rtl/>
        </w:rPr>
        <w:t>להוראה</w:t>
      </w:r>
      <w:r w:rsidRPr="00B97E44">
        <w:rPr>
          <w:rtl/>
        </w:rPr>
        <w:t xml:space="preserve"> </w:t>
      </w:r>
      <w:r w:rsidRPr="00B97E44">
        <w:rPr>
          <w:rFonts w:hint="eastAsia"/>
          <w:rtl/>
        </w:rPr>
        <w:t>בחבל</w:t>
      </w:r>
      <w:r w:rsidRPr="00B97E44">
        <w:rPr>
          <w:rtl/>
        </w:rPr>
        <w:t xml:space="preserve"> </w:t>
      </w:r>
      <w:r w:rsidRPr="00B97E44">
        <w:rPr>
          <w:rFonts w:hint="cs"/>
          <w:rtl/>
        </w:rPr>
        <w:t>(</w:t>
      </w:r>
      <w:r w:rsidRPr="00B97E44">
        <w:rPr>
          <w:rFonts w:hint="eastAsia"/>
          <w:rtl/>
        </w:rPr>
        <w:t>הוראה</w:t>
      </w:r>
      <w:r w:rsidRPr="00B97E44">
        <w:rPr>
          <w:rtl/>
        </w:rPr>
        <w:t xml:space="preserve">, </w:t>
      </w:r>
      <w:r w:rsidRPr="00B97E44">
        <w:rPr>
          <w:rFonts w:hint="eastAsia"/>
          <w:rtl/>
        </w:rPr>
        <w:t>מטפלים</w:t>
      </w:r>
      <w:r w:rsidRPr="00B97E44">
        <w:rPr>
          <w:rFonts w:hint="cs"/>
          <w:rtl/>
        </w:rPr>
        <w:t xml:space="preserve">, </w:t>
      </w:r>
      <w:r w:rsidRPr="00B97E44">
        <w:rPr>
          <w:rFonts w:hint="eastAsia"/>
          <w:rtl/>
        </w:rPr>
        <w:t>פסיכולוגים</w:t>
      </w:r>
      <w:r w:rsidRPr="00B97E44">
        <w:rPr>
          <w:rtl/>
        </w:rPr>
        <w:t xml:space="preserve"> </w:t>
      </w:r>
      <w:r w:rsidRPr="00B97E44">
        <w:rPr>
          <w:rFonts w:hint="eastAsia"/>
          <w:rtl/>
        </w:rPr>
        <w:t>ויועצים</w:t>
      </w:r>
      <w:r w:rsidRPr="00B97E44">
        <w:rPr>
          <w:rtl/>
        </w:rPr>
        <w:t xml:space="preserve"> </w:t>
      </w:r>
      <w:r w:rsidRPr="00B97E44">
        <w:rPr>
          <w:rFonts w:hint="eastAsia"/>
          <w:rtl/>
        </w:rPr>
        <w:t>חינוכיים</w:t>
      </w:r>
      <w:r w:rsidRPr="00B97E44">
        <w:rPr>
          <w:rFonts w:hint="cs"/>
          <w:rtl/>
        </w:rPr>
        <w:t xml:space="preserve">) </w:t>
      </w:r>
      <w:r w:rsidRPr="00B97E44">
        <w:rPr>
          <w:rFonts w:hint="eastAsia"/>
          <w:rtl/>
        </w:rPr>
        <w:t>על</w:t>
      </w:r>
      <w:r w:rsidRPr="00B97E44">
        <w:rPr>
          <w:rtl/>
        </w:rPr>
        <w:t xml:space="preserve"> </w:t>
      </w:r>
      <w:r w:rsidRPr="00B97E44">
        <w:rPr>
          <w:rFonts w:hint="eastAsia"/>
          <w:rtl/>
        </w:rPr>
        <w:t>מנת</w:t>
      </w:r>
      <w:r w:rsidRPr="00B97E44">
        <w:rPr>
          <w:rFonts w:hint="cs"/>
          <w:rtl/>
        </w:rPr>
        <w:t xml:space="preserve"> </w:t>
      </w:r>
      <w:r w:rsidRPr="00B97E44">
        <w:rPr>
          <w:rFonts w:hint="eastAsia"/>
          <w:rtl/>
        </w:rPr>
        <w:t>לטפל</w:t>
      </w:r>
      <w:r w:rsidRPr="00B97E44">
        <w:rPr>
          <w:rtl/>
        </w:rPr>
        <w:t xml:space="preserve"> </w:t>
      </w:r>
      <w:r w:rsidRPr="00B97E44">
        <w:rPr>
          <w:rFonts w:hint="eastAsia"/>
          <w:rtl/>
        </w:rPr>
        <w:t>באתגרים</w:t>
      </w:r>
      <w:r w:rsidRPr="00B97E44">
        <w:rPr>
          <w:rtl/>
        </w:rPr>
        <w:t xml:space="preserve"> </w:t>
      </w:r>
      <w:r w:rsidRPr="00B97E44">
        <w:rPr>
          <w:rFonts w:hint="eastAsia"/>
          <w:rtl/>
        </w:rPr>
        <w:t>הפדגוגיים</w:t>
      </w:r>
      <w:r w:rsidRPr="00B97E44">
        <w:rPr>
          <w:rtl/>
        </w:rPr>
        <w:t xml:space="preserve">, </w:t>
      </w:r>
      <w:r w:rsidRPr="00B97E44">
        <w:rPr>
          <w:rFonts w:hint="eastAsia"/>
          <w:rtl/>
        </w:rPr>
        <w:t>החברתיים</w:t>
      </w:r>
      <w:r w:rsidRPr="00B97E44">
        <w:rPr>
          <w:rFonts w:hint="cs"/>
          <w:rtl/>
        </w:rPr>
        <w:t xml:space="preserve"> </w:t>
      </w:r>
      <w:r w:rsidRPr="00B97E44">
        <w:rPr>
          <w:rFonts w:hint="eastAsia"/>
          <w:rtl/>
        </w:rPr>
        <w:t>והרגשיים</w:t>
      </w:r>
      <w:r w:rsidRPr="00B97E44">
        <w:rPr>
          <w:rtl/>
        </w:rPr>
        <w:t xml:space="preserve">, </w:t>
      </w:r>
      <w:r w:rsidRPr="00B97E44">
        <w:rPr>
          <w:rFonts w:hint="eastAsia"/>
          <w:rtl/>
        </w:rPr>
        <w:t>במורכבויות</w:t>
      </w:r>
      <w:r w:rsidRPr="00B97E44">
        <w:rPr>
          <w:rtl/>
        </w:rPr>
        <w:t xml:space="preserve"> </w:t>
      </w:r>
      <w:r w:rsidRPr="00B97E44">
        <w:rPr>
          <w:rFonts w:hint="eastAsia"/>
          <w:rtl/>
        </w:rPr>
        <w:t>ובבעיות</w:t>
      </w:r>
      <w:r w:rsidRPr="00B97E44">
        <w:rPr>
          <w:rtl/>
        </w:rPr>
        <w:t xml:space="preserve"> </w:t>
      </w:r>
      <w:r w:rsidRPr="00B97E44">
        <w:rPr>
          <w:rFonts w:hint="eastAsia"/>
          <w:rtl/>
        </w:rPr>
        <w:t>יוצאות</w:t>
      </w:r>
      <w:r w:rsidRPr="00B97E44">
        <w:rPr>
          <w:rFonts w:hint="cs"/>
          <w:rtl/>
        </w:rPr>
        <w:t xml:space="preserve"> </w:t>
      </w:r>
      <w:r w:rsidRPr="00B97E44">
        <w:rPr>
          <w:rFonts w:hint="eastAsia"/>
          <w:rtl/>
        </w:rPr>
        <w:t>הדופן</w:t>
      </w:r>
      <w:r w:rsidRPr="00B97E44">
        <w:rPr>
          <w:rtl/>
        </w:rPr>
        <w:t xml:space="preserve"> </w:t>
      </w:r>
      <w:r w:rsidRPr="00B97E44">
        <w:rPr>
          <w:rFonts w:hint="eastAsia"/>
          <w:rtl/>
        </w:rPr>
        <w:t>הנובעות</w:t>
      </w:r>
      <w:r w:rsidRPr="00B97E44">
        <w:rPr>
          <w:rtl/>
        </w:rPr>
        <w:t xml:space="preserve"> </w:t>
      </w:r>
      <w:r w:rsidRPr="00B97E44">
        <w:rPr>
          <w:rFonts w:hint="eastAsia"/>
          <w:rtl/>
        </w:rPr>
        <w:t>מהפערים</w:t>
      </w:r>
      <w:r w:rsidRPr="00B97E44">
        <w:rPr>
          <w:rtl/>
        </w:rPr>
        <w:t xml:space="preserve"> </w:t>
      </w:r>
      <w:r w:rsidRPr="00B97E44">
        <w:rPr>
          <w:rFonts w:hint="eastAsia"/>
          <w:rtl/>
        </w:rPr>
        <w:t>הלימודיים</w:t>
      </w:r>
      <w:r w:rsidRPr="00B97E44">
        <w:rPr>
          <w:rFonts w:hint="cs"/>
          <w:rtl/>
        </w:rPr>
        <w:t xml:space="preserve"> </w:t>
      </w:r>
      <w:r w:rsidRPr="00B97E44">
        <w:rPr>
          <w:rFonts w:hint="eastAsia"/>
          <w:rtl/>
        </w:rPr>
        <w:t>והתמודדות</w:t>
      </w:r>
      <w:r w:rsidRPr="00B97E44">
        <w:rPr>
          <w:rtl/>
        </w:rPr>
        <w:t xml:space="preserve"> </w:t>
      </w:r>
      <w:r w:rsidRPr="00B97E44">
        <w:rPr>
          <w:rFonts w:hint="eastAsia"/>
          <w:rtl/>
        </w:rPr>
        <w:t>עם</w:t>
      </w:r>
      <w:r w:rsidRPr="00B97E44">
        <w:rPr>
          <w:rtl/>
        </w:rPr>
        <w:t xml:space="preserve"> </w:t>
      </w:r>
      <w:r w:rsidRPr="00B97E44">
        <w:rPr>
          <w:rFonts w:hint="eastAsia"/>
          <w:rtl/>
        </w:rPr>
        <w:t>הקשיים</w:t>
      </w:r>
      <w:r w:rsidRPr="00B97E44">
        <w:rPr>
          <w:rtl/>
        </w:rPr>
        <w:t xml:space="preserve"> </w:t>
      </w:r>
      <w:r w:rsidRPr="00B97E44">
        <w:rPr>
          <w:rFonts w:hint="eastAsia"/>
          <w:rtl/>
        </w:rPr>
        <w:t>הלימודיים</w:t>
      </w:r>
      <w:r w:rsidRPr="00B97E44">
        <w:rPr>
          <w:rFonts w:hint="cs"/>
          <w:rtl/>
        </w:rPr>
        <w:t xml:space="preserve"> </w:t>
      </w:r>
      <w:r w:rsidRPr="00B97E44">
        <w:rPr>
          <w:rFonts w:hint="eastAsia"/>
          <w:rtl/>
        </w:rPr>
        <w:t>שנוצרו</w:t>
      </w:r>
      <w:r w:rsidRPr="00B97E44">
        <w:rPr>
          <w:rtl/>
        </w:rPr>
        <w:t xml:space="preserve"> </w:t>
      </w:r>
      <w:r w:rsidRPr="00B97E44">
        <w:rPr>
          <w:rFonts w:hint="eastAsia"/>
          <w:rtl/>
        </w:rPr>
        <w:t>בעקבות</w:t>
      </w:r>
      <w:r w:rsidRPr="00B97E44">
        <w:rPr>
          <w:rtl/>
        </w:rPr>
        <w:t xml:space="preserve"> </w:t>
      </w:r>
      <w:r w:rsidRPr="00B97E44">
        <w:rPr>
          <w:rFonts w:hint="eastAsia"/>
          <w:rtl/>
        </w:rPr>
        <w:t>א</w:t>
      </w:r>
      <w:r w:rsidRPr="00B97E44">
        <w:rPr>
          <w:rFonts w:hint="cs"/>
          <w:rtl/>
        </w:rPr>
        <w:t>י</w:t>
      </w:r>
      <w:r w:rsidRPr="00B97E44">
        <w:rPr>
          <w:rFonts w:hint="eastAsia"/>
          <w:rtl/>
        </w:rPr>
        <w:t>רועי</w:t>
      </w:r>
      <w:r w:rsidRPr="00B97E44">
        <w:rPr>
          <w:rtl/>
        </w:rPr>
        <w:t xml:space="preserve"> </w:t>
      </w:r>
      <w:r w:rsidRPr="00B97E44">
        <w:rPr>
          <w:rFonts w:hint="eastAsia"/>
          <w:rtl/>
        </w:rPr>
        <w:t>ה</w:t>
      </w:r>
      <w:r w:rsidRPr="00B97E44">
        <w:rPr>
          <w:rFonts w:hint="cs"/>
          <w:rtl/>
        </w:rPr>
        <w:t>-</w:t>
      </w:r>
      <w:r w:rsidRPr="00B97E44">
        <w:rPr>
          <w:rtl/>
        </w:rPr>
        <w:t xml:space="preserve">7.10 </w:t>
      </w:r>
      <w:r w:rsidRPr="00B97E44">
        <w:rPr>
          <w:rFonts w:hint="eastAsia"/>
          <w:rtl/>
        </w:rPr>
        <w:t>של</w:t>
      </w:r>
      <w:r w:rsidRPr="00B97E44">
        <w:rPr>
          <w:rtl/>
        </w:rPr>
        <w:t xml:space="preserve"> </w:t>
      </w:r>
      <w:r w:rsidRPr="00B97E44">
        <w:rPr>
          <w:rFonts w:hint="eastAsia"/>
          <w:rtl/>
        </w:rPr>
        <w:t>ילדי</w:t>
      </w:r>
      <w:r w:rsidRPr="00B97E44">
        <w:rPr>
          <w:rFonts w:hint="cs"/>
          <w:rtl/>
        </w:rPr>
        <w:t xml:space="preserve"> </w:t>
      </w:r>
      <w:r w:rsidRPr="00B97E44">
        <w:rPr>
          <w:rFonts w:hint="eastAsia"/>
          <w:rtl/>
        </w:rPr>
        <w:t>החבל</w:t>
      </w:r>
      <w:r w:rsidRPr="00B97E44">
        <w:rPr>
          <w:rtl/>
        </w:rPr>
        <w:t>"</w:t>
      </w:r>
      <w:r w:rsidRPr="00B97E44">
        <w:rPr>
          <w:rFonts w:hint="cs"/>
          <w:rtl/>
        </w:rPr>
        <w:t>.</w:t>
      </w:r>
    </w:p>
    <w:p w:rsidR="005B126E" w:rsidP="001916A9">
      <w:pPr>
        <w:spacing w:line="269" w:lineRule="auto"/>
        <w:rPr>
          <w:rtl/>
        </w:rPr>
      </w:pPr>
    </w:p>
    <w:p w:rsidR="005B126E" w:rsidRPr="00B97E44" w:rsidP="001916A9">
      <w:pPr>
        <w:spacing w:line="269" w:lineRule="auto"/>
        <w:rPr>
          <w:rtl/>
        </w:rPr>
      </w:pPr>
      <w:r w:rsidRPr="00B97E44">
        <w:rPr>
          <w:rFonts w:hint="cs"/>
          <w:rtl/>
        </w:rPr>
        <w:t>על פי התוכנית, נוכח ה</w:t>
      </w:r>
      <w:r w:rsidRPr="00B97E44">
        <w:rPr>
          <w:rtl/>
        </w:rPr>
        <w:t xml:space="preserve">אתגרים </w:t>
      </w:r>
      <w:r w:rsidRPr="00B97E44">
        <w:rPr>
          <w:rFonts w:hint="cs"/>
          <w:rtl/>
        </w:rPr>
        <w:t>ה</w:t>
      </w:r>
      <w:r w:rsidRPr="00B97E44">
        <w:rPr>
          <w:rtl/>
        </w:rPr>
        <w:t xml:space="preserve">מערכתיים הנובעים מן </w:t>
      </w:r>
      <w:r w:rsidRPr="00B97E44">
        <w:rPr>
          <w:rFonts w:hint="cs"/>
          <w:rtl/>
        </w:rPr>
        <w:t>המצב</w:t>
      </w:r>
      <w:r w:rsidRPr="00B97E44">
        <w:rPr>
          <w:rtl/>
        </w:rPr>
        <w:t xml:space="preserve"> הביטחוני המתמש</w:t>
      </w:r>
      <w:r w:rsidRPr="00B97E44">
        <w:rPr>
          <w:rFonts w:hint="cs"/>
          <w:rtl/>
        </w:rPr>
        <w:t>ך</w:t>
      </w:r>
      <w:r w:rsidRPr="00B97E44">
        <w:rPr>
          <w:rtl/>
        </w:rPr>
        <w:t xml:space="preserve"> ומן המרחק ממרכזי אוכלוסייה גדולים</w:t>
      </w:r>
      <w:r w:rsidRPr="00B97E44">
        <w:rPr>
          <w:rFonts w:hint="cs"/>
          <w:rtl/>
        </w:rPr>
        <w:t>, תפעל מינהלת תקומה עם משרד החינוך ל</w:t>
      </w:r>
      <w:r w:rsidRPr="00B97E44">
        <w:rPr>
          <w:rtl/>
        </w:rPr>
        <w:t xml:space="preserve">עיצוב מנגנוני </w:t>
      </w:r>
      <w:r w:rsidRPr="00B97E44">
        <w:rPr>
          <w:rtl/>
        </w:rPr>
        <w:t>תמרוץ</w:t>
      </w:r>
      <w:r w:rsidRPr="00B97E44">
        <w:rPr>
          <w:rtl/>
        </w:rPr>
        <w:t xml:space="preserve"> שמטרתם </w:t>
      </w:r>
      <w:r w:rsidRPr="00B97E44">
        <w:rPr>
          <w:rFonts w:hint="cs"/>
          <w:rtl/>
        </w:rPr>
        <w:t xml:space="preserve">למשוך עובדי </w:t>
      </w:r>
      <w:r w:rsidRPr="00B97E44">
        <w:rPr>
          <w:rtl/>
        </w:rPr>
        <w:t>הוראה איכותי</w:t>
      </w:r>
      <w:r w:rsidRPr="00B97E44">
        <w:rPr>
          <w:rFonts w:hint="cs"/>
          <w:rtl/>
        </w:rPr>
        <w:t>ים</w:t>
      </w:r>
      <w:r w:rsidRPr="00B97E44">
        <w:rPr>
          <w:rtl/>
        </w:rPr>
        <w:t xml:space="preserve"> ו</w:t>
      </w:r>
      <w:r w:rsidRPr="00B97E44">
        <w:rPr>
          <w:rFonts w:hint="cs"/>
          <w:rtl/>
        </w:rPr>
        <w:t>ל</w:t>
      </w:r>
      <w:r w:rsidRPr="00B97E44">
        <w:rPr>
          <w:rtl/>
        </w:rPr>
        <w:t>שמר</w:t>
      </w:r>
      <w:r w:rsidRPr="00B97E44">
        <w:rPr>
          <w:rFonts w:hint="cs"/>
          <w:rtl/>
        </w:rPr>
        <w:t>ם</w:t>
      </w:r>
      <w:r w:rsidRPr="00B97E44">
        <w:rPr>
          <w:rtl/>
        </w:rPr>
        <w:t xml:space="preserve"> לאורך זמן</w:t>
      </w:r>
      <w:r w:rsidRPr="00B97E44">
        <w:rPr>
          <w:rFonts w:hint="cs"/>
          <w:rtl/>
        </w:rPr>
        <w:t xml:space="preserve">. מנגנונים אלו יחייבו על פי התוכנית </w:t>
      </w:r>
      <w:r w:rsidRPr="00B97E44">
        <w:rPr>
          <w:rtl/>
        </w:rPr>
        <w:t>קביעת עקרונות תכנון מבוססי</w:t>
      </w:r>
      <w:r w:rsidRPr="00B97E44">
        <w:rPr>
          <w:rFonts w:hint="cs"/>
          <w:rtl/>
        </w:rPr>
        <w:t xml:space="preserve"> </w:t>
      </w:r>
      <w:r w:rsidRPr="00B97E44">
        <w:rPr>
          <w:rtl/>
        </w:rPr>
        <w:t>נתונים, הקצאה מותאמת לצרכים המשתנים של היישובים והפעלת מנגנוני בקרה שיטתיים</w:t>
      </w:r>
      <w:r w:rsidRPr="00B97E44">
        <w:rPr>
          <w:rFonts w:hint="cs"/>
          <w:rtl/>
        </w:rPr>
        <w:t>.</w:t>
      </w:r>
    </w:p>
    <w:p w:rsidR="005B126E" w:rsidP="001916A9">
      <w:pPr>
        <w:spacing w:line="269" w:lineRule="auto"/>
        <w:rPr>
          <w:rtl/>
        </w:rPr>
      </w:pPr>
    </w:p>
    <w:p w:rsidR="005B126E" w:rsidP="001916A9">
      <w:pPr>
        <w:spacing w:line="269" w:lineRule="auto"/>
        <w:rPr>
          <w:rtl/>
        </w:rPr>
      </w:pPr>
      <w:r w:rsidRPr="00B97E44">
        <w:rPr>
          <w:rtl/>
        </w:rPr>
        <w:t>בהחלטת ממשלה</w:t>
      </w:r>
      <w:r w:rsidRPr="00B97E44">
        <w:rPr>
          <w:rFonts w:hint="cs"/>
          <w:rtl/>
        </w:rPr>
        <w:t xml:space="preserve"> 1699</w:t>
      </w:r>
      <w:r>
        <w:rPr>
          <w:vertAlign w:val="superscript"/>
          <w:rtl/>
        </w:rPr>
        <w:footnoteReference w:id="51"/>
      </w:r>
      <w:r w:rsidRPr="00B97E44">
        <w:rPr>
          <w:rFonts w:hint="cs"/>
          <w:rtl/>
        </w:rPr>
        <w:t>, ש</w:t>
      </w:r>
      <w:r w:rsidRPr="00B97E44">
        <w:rPr>
          <w:rtl/>
        </w:rPr>
        <w:t xml:space="preserve">אישרה את תוכנית החומש </w:t>
      </w:r>
      <w:r w:rsidRPr="00B97E44">
        <w:rPr>
          <w:rtl/>
        </w:rPr>
        <w:t>למינהלת</w:t>
      </w:r>
      <w:r w:rsidRPr="00B97E44">
        <w:rPr>
          <w:rtl/>
        </w:rPr>
        <w:t xml:space="preserve"> תקומה, הוקצה תקציב ייעודי</w:t>
      </w:r>
      <w:r w:rsidRPr="00B97E44">
        <w:rPr>
          <w:rFonts w:hint="cs"/>
          <w:rtl/>
        </w:rPr>
        <w:t xml:space="preserve"> בסך</w:t>
      </w:r>
      <w:r w:rsidRPr="00B97E44">
        <w:rPr>
          <w:rtl/>
        </w:rPr>
        <w:t xml:space="preserve"> </w:t>
      </w:r>
      <w:r w:rsidRPr="00B544FF">
        <w:rPr>
          <w:rtl/>
        </w:rPr>
        <w:t>200 מיליו</w:t>
      </w:r>
      <w:r w:rsidRPr="00B544FF">
        <w:rPr>
          <w:rFonts w:hint="cs"/>
          <w:rtl/>
        </w:rPr>
        <w:t>ני</w:t>
      </w:r>
      <w:r w:rsidRPr="00B544FF">
        <w:rPr>
          <w:rtl/>
        </w:rPr>
        <w:t xml:space="preserve"> ש"ח לצורך שימור ומשיכ</w:t>
      </w:r>
      <w:r w:rsidRPr="00B544FF">
        <w:rPr>
          <w:rFonts w:hint="cs"/>
          <w:rtl/>
        </w:rPr>
        <w:t>ה של</w:t>
      </w:r>
      <w:r w:rsidRPr="00B544FF">
        <w:rPr>
          <w:rtl/>
        </w:rPr>
        <w:t xml:space="preserve"> צוותי חינוך והוראה איכותיים</w:t>
      </w:r>
      <w:r w:rsidRPr="00B544FF">
        <w:rPr>
          <w:rFonts w:hint="cs"/>
          <w:rtl/>
        </w:rPr>
        <w:t>, סכום שהוא כ-10% מהתקציב שהקצתה תוכנית החומש לחינוך</w:t>
      </w:r>
      <w:r w:rsidRPr="00B544FF">
        <w:rPr>
          <w:rtl/>
        </w:rPr>
        <w:t>. התקציב נועד לכלול עובדי הוראה, ובכלל זה מורים בתחומי ה-</w:t>
      </w:r>
      <w:r w:rsidRPr="00B544FF">
        <w:t>STEM</w:t>
      </w:r>
      <w:r>
        <w:rPr>
          <w:vertAlign w:val="superscript"/>
          <w:rtl/>
        </w:rPr>
        <w:footnoteReference w:id="52"/>
      </w:r>
      <w:r w:rsidRPr="00B544FF">
        <w:rPr>
          <w:rtl/>
        </w:rPr>
        <w:t xml:space="preserve">, יועצים חינוכיים, מטפלים ופסיכולוגים חינוכיים, והוא צפוי </w:t>
      </w:r>
      <w:r w:rsidRPr="00B544FF">
        <w:rPr>
          <w:rFonts w:hint="cs"/>
          <w:rtl/>
        </w:rPr>
        <w:t xml:space="preserve">היה </w:t>
      </w:r>
      <w:r w:rsidRPr="00B544FF">
        <w:rPr>
          <w:rtl/>
        </w:rPr>
        <w:t>להיות מופעל במתווה תקציבי פוחת לשנים</w:t>
      </w:r>
      <w:r w:rsidRPr="00B544FF">
        <w:rPr>
          <w:rFonts w:hint="cs"/>
          <w:rtl/>
        </w:rPr>
        <w:t xml:space="preserve"> 2024 - 2028, קרי לפחות </w:t>
      </w:r>
      <w:r w:rsidRPr="00B544FF">
        <w:rPr>
          <w:rtl/>
        </w:rPr>
        <w:t xml:space="preserve">40 </w:t>
      </w:r>
      <w:r w:rsidRPr="00B544FF">
        <w:rPr>
          <w:rFonts w:hint="eastAsia"/>
          <w:rtl/>
        </w:rPr>
        <w:t>מיליוני</w:t>
      </w:r>
      <w:r w:rsidRPr="00B544FF">
        <w:rPr>
          <w:rtl/>
        </w:rPr>
        <w:t xml:space="preserve"> </w:t>
      </w:r>
      <w:r w:rsidRPr="00B544FF">
        <w:rPr>
          <w:rFonts w:hint="eastAsia"/>
          <w:rtl/>
        </w:rPr>
        <w:t>ש</w:t>
      </w:r>
      <w:r w:rsidRPr="00B544FF">
        <w:rPr>
          <w:rFonts w:hint="cs"/>
          <w:rtl/>
        </w:rPr>
        <w:t>"ח אמורים</w:t>
      </w:r>
      <w:r w:rsidRPr="00B97E44">
        <w:rPr>
          <w:rFonts w:hint="cs"/>
          <w:rtl/>
        </w:rPr>
        <w:t xml:space="preserve"> להיות מנוצלים בכל שנת לימודים.</w:t>
      </w:r>
    </w:p>
    <w:p w:rsidR="005B126E" w:rsidRPr="00B97E44" w:rsidP="001916A9">
      <w:pPr>
        <w:spacing w:line="269" w:lineRule="auto"/>
        <w:rPr>
          <w:rtl/>
        </w:rPr>
      </w:pPr>
      <w:r w:rsidRPr="00B97E44">
        <w:rPr>
          <w:rFonts w:hint="cs"/>
          <w:rtl/>
        </w:rPr>
        <w:t xml:space="preserve">הביקורת העלתה כי </w:t>
      </w:r>
      <w:r w:rsidRPr="00B97E44">
        <w:rPr>
          <w:rtl/>
        </w:rPr>
        <w:t xml:space="preserve">מינהלת תקומה </w:t>
      </w:r>
      <w:r w:rsidRPr="00B97E44">
        <w:rPr>
          <w:rFonts w:hint="eastAsia"/>
          <w:rtl/>
        </w:rPr>
        <w:t>ומשרד</w:t>
      </w:r>
      <w:r w:rsidRPr="00B97E44">
        <w:rPr>
          <w:rtl/>
        </w:rPr>
        <w:t xml:space="preserve"> החינוך </w:t>
      </w:r>
      <w:r w:rsidRPr="00B97E44">
        <w:rPr>
          <w:rFonts w:hint="cs"/>
          <w:rtl/>
        </w:rPr>
        <w:t xml:space="preserve">לא נועצו </w:t>
      </w:r>
      <w:r w:rsidRPr="00B97E44">
        <w:rPr>
          <w:rtl/>
        </w:rPr>
        <w:t>עם אגף השכר והסכמי עבודה במשרד האוצר</w:t>
      </w:r>
      <w:r w:rsidRPr="00B97E44">
        <w:rPr>
          <w:rFonts w:hint="cs"/>
          <w:rtl/>
        </w:rPr>
        <w:t xml:space="preserve"> שבראשו עומד הממונה על השכר</w:t>
      </w:r>
      <w:r>
        <w:rPr>
          <w:vertAlign w:val="superscript"/>
          <w:rtl/>
        </w:rPr>
        <w:footnoteReference w:id="53"/>
      </w:r>
      <w:r w:rsidRPr="00B97E44">
        <w:rPr>
          <w:rFonts w:hint="cs"/>
          <w:rtl/>
        </w:rPr>
        <w:t xml:space="preserve"> - </w:t>
      </w:r>
      <w:r w:rsidRPr="00B97E44">
        <w:rPr>
          <w:rtl/>
        </w:rPr>
        <w:t xml:space="preserve">גורם המטה </w:t>
      </w:r>
      <w:r w:rsidRPr="00B97E44">
        <w:rPr>
          <w:rFonts w:hint="cs"/>
          <w:rtl/>
        </w:rPr>
        <w:t>המופקד</w:t>
      </w:r>
      <w:r w:rsidRPr="00B97E44">
        <w:rPr>
          <w:rtl/>
        </w:rPr>
        <w:t xml:space="preserve"> על קביעת מדיניות השכר במגזר הציבורי</w:t>
      </w:r>
      <w:r w:rsidRPr="00B97E44">
        <w:rPr>
          <w:rFonts w:hint="cs"/>
          <w:rtl/>
        </w:rPr>
        <w:t xml:space="preserve"> ואשר הוביל תוכניות </w:t>
      </w:r>
      <w:r w:rsidRPr="00B97E44">
        <w:rPr>
          <w:rFonts w:hint="cs"/>
          <w:rtl/>
        </w:rPr>
        <w:t>תמרוץ</w:t>
      </w:r>
      <w:r w:rsidRPr="00B97E44">
        <w:rPr>
          <w:rFonts w:hint="cs"/>
          <w:rtl/>
        </w:rPr>
        <w:t xml:space="preserve"> </w:t>
      </w:r>
      <w:r w:rsidRPr="00B97E44">
        <w:rPr>
          <w:rFonts w:hint="eastAsia"/>
          <w:rtl/>
        </w:rPr>
        <w:t>עובדים</w:t>
      </w:r>
      <w:r w:rsidRPr="00B97E44">
        <w:rPr>
          <w:rtl/>
        </w:rPr>
        <w:t xml:space="preserve"> </w:t>
      </w:r>
      <w:r w:rsidRPr="00B97E44">
        <w:rPr>
          <w:rFonts w:hint="eastAsia"/>
          <w:rtl/>
        </w:rPr>
        <w:t>בעבר</w:t>
      </w:r>
      <w:r w:rsidRPr="00B97E44">
        <w:rPr>
          <w:rtl/>
        </w:rPr>
        <w:t xml:space="preserve"> ובכללם גם צוותי הוראה - ולא </w:t>
      </w:r>
      <w:r w:rsidRPr="00B97E44">
        <w:rPr>
          <w:rFonts w:hint="eastAsia"/>
          <w:rtl/>
        </w:rPr>
        <w:t>בחנו</w:t>
      </w:r>
      <w:r w:rsidRPr="00B97E44">
        <w:rPr>
          <w:rFonts w:hint="cs"/>
          <w:rtl/>
        </w:rPr>
        <w:t xml:space="preserve"> </w:t>
      </w:r>
      <w:r w:rsidRPr="00B97E44">
        <w:rPr>
          <w:rFonts w:hint="cs"/>
          <w:rtl/>
        </w:rPr>
        <w:t>איתו</w:t>
      </w:r>
      <w:r w:rsidRPr="00B97E44">
        <w:rPr>
          <w:rFonts w:hint="cs"/>
          <w:rtl/>
        </w:rPr>
        <w:t xml:space="preserve"> את</w:t>
      </w:r>
      <w:r w:rsidRPr="00B97E44">
        <w:rPr>
          <w:rtl/>
        </w:rPr>
        <w:t xml:space="preserve"> נחיצות המהלך</w:t>
      </w:r>
      <w:r w:rsidRPr="00B97E44">
        <w:rPr>
          <w:rFonts w:hint="cs"/>
          <w:rtl/>
        </w:rPr>
        <w:t>, ישימותו, התועלת הצפויה</w:t>
      </w:r>
      <w:r w:rsidRPr="00B97E44">
        <w:rPr>
          <w:rtl/>
        </w:rPr>
        <w:t xml:space="preserve"> </w:t>
      </w:r>
      <w:r w:rsidRPr="00B97E44">
        <w:rPr>
          <w:rFonts w:hint="cs"/>
          <w:rtl/>
        </w:rPr>
        <w:t xml:space="preserve">ממנו </w:t>
      </w:r>
      <w:r w:rsidRPr="00B97E44">
        <w:rPr>
          <w:rtl/>
        </w:rPr>
        <w:t>ו</w:t>
      </w:r>
      <w:r w:rsidRPr="00B97E44">
        <w:rPr>
          <w:rFonts w:hint="cs"/>
          <w:rtl/>
        </w:rPr>
        <w:t xml:space="preserve">היקף התקציב הנדרש לו, קודם לגיבוש ההחלטה לתקצב </w:t>
      </w:r>
      <w:r w:rsidRPr="00B97E44">
        <w:rPr>
          <w:rFonts w:hint="cs"/>
          <w:rtl/>
        </w:rPr>
        <w:t>תמרוץ</w:t>
      </w:r>
      <w:r w:rsidRPr="00B97E44">
        <w:rPr>
          <w:rFonts w:hint="cs"/>
          <w:rtl/>
        </w:rPr>
        <w:t xml:space="preserve"> עובדי הוראה במסגרת תוכנית החומש. מינהלת תקומה ומשרד החינוך הסתפקו במשלוח נוסח ההחלטה אחרי שגובשה להערותיהם של כלל משרדי הממשלה, ובהם משרד האוצר, על כלל תוכנית החומש, דבר הנהוג בהחלטות ממשלה מסוג זה, אך הם לא קיימו שיח ישיר בעת גיבוש התוכנית עם הממונה על השכר. </w:t>
      </w:r>
    </w:p>
    <w:p w:rsidR="005B126E" w:rsidP="001916A9">
      <w:pPr>
        <w:spacing w:line="269" w:lineRule="auto"/>
        <w:rPr>
          <w:rtl/>
        </w:rPr>
      </w:pPr>
    </w:p>
    <w:p w:rsidR="005B126E" w:rsidRPr="00B97E44" w:rsidP="001916A9">
      <w:pPr>
        <w:spacing w:line="269" w:lineRule="auto"/>
        <w:rPr>
          <w:rtl/>
        </w:rPr>
      </w:pPr>
      <w:r w:rsidRPr="00B97E44">
        <w:rPr>
          <w:rFonts w:hint="eastAsia"/>
          <w:rtl/>
        </w:rPr>
        <w:t>נוסף</w:t>
      </w:r>
      <w:r w:rsidRPr="00B97E44">
        <w:rPr>
          <w:rtl/>
        </w:rPr>
        <w:t xml:space="preserve"> </w:t>
      </w:r>
      <w:r w:rsidRPr="00B97E44">
        <w:rPr>
          <w:rFonts w:hint="eastAsia"/>
          <w:rtl/>
        </w:rPr>
        <w:t>על</w:t>
      </w:r>
      <w:r w:rsidRPr="00B97E44">
        <w:rPr>
          <w:rtl/>
        </w:rPr>
        <w:t xml:space="preserve"> </w:t>
      </w:r>
      <w:r w:rsidRPr="00B97E44">
        <w:rPr>
          <w:rFonts w:hint="eastAsia"/>
          <w:rtl/>
        </w:rPr>
        <w:t>כך</w:t>
      </w:r>
      <w:r w:rsidRPr="00B97E44">
        <w:rPr>
          <w:rtl/>
        </w:rPr>
        <w:t xml:space="preserve">, </w:t>
      </w:r>
      <w:r w:rsidRPr="00B97E44">
        <w:rPr>
          <w:rFonts w:hint="eastAsia"/>
          <w:rtl/>
        </w:rPr>
        <w:t>המועצה</w:t>
      </w:r>
      <w:r w:rsidRPr="00B97E44">
        <w:rPr>
          <w:rtl/>
        </w:rPr>
        <w:t xml:space="preserve"> האזורית </w:t>
      </w:r>
      <w:r w:rsidRPr="00B97E44">
        <w:rPr>
          <w:b/>
          <w:bCs/>
          <w:rtl/>
        </w:rPr>
        <w:t>אשכול</w:t>
      </w:r>
      <w:r w:rsidRPr="00B97E44">
        <w:rPr>
          <w:rtl/>
        </w:rPr>
        <w:t xml:space="preserve"> מסרה </w:t>
      </w:r>
      <w:r w:rsidRPr="00B97E44">
        <w:rPr>
          <w:rFonts w:hint="eastAsia"/>
          <w:rtl/>
        </w:rPr>
        <w:t>לצוות</w:t>
      </w:r>
      <w:r w:rsidRPr="00B97E44">
        <w:rPr>
          <w:rtl/>
        </w:rPr>
        <w:t xml:space="preserve"> הביקורת </w:t>
      </w:r>
      <w:r w:rsidRPr="00B97E44">
        <w:rPr>
          <w:rFonts w:hint="eastAsia"/>
          <w:rtl/>
        </w:rPr>
        <w:t>באוקטובר</w:t>
      </w:r>
      <w:r w:rsidRPr="00B97E44">
        <w:rPr>
          <w:rtl/>
        </w:rPr>
        <w:t xml:space="preserve"> 2024 כי גם </w:t>
      </w:r>
      <w:r w:rsidRPr="00B97E44">
        <w:rPr>
          <w:rFonts w:hint="eastAsia"/>
          <w:rtl/>
        </w:rPr>
        <w:t>נושא</w:t>
      </w:r>
      <w:r w:rsidRPr="00B97E44">
        <w:rPr>
          <w:rtl/>
        </w:rPr>
        <w:t xml:space="preserve"> </w:t>
      </w:r>
      <w:r w:rsidRPr="00B97E44">
        <w:rPr>
          <w:rFonts w:hint="eastAsia"/>
          <w:rtl/>
        </w:rPr>
        <w:t>התמרוץ</w:t>
      </w:r>
      <w:r w:rsidRPr="00B97E44">
        <w:rPr>
          <w:rtl/>
        </w:rPr>
        <w:t xml:space="preserve"> </w:t>
      </w:r>
      <w:r w:rsidRPr="00B97E44">
        <w:rPr>
          <w:rFonts w:hint="eastAsia"/>
          <w:rtl/>
        </w:rPr>
        <w:t>של</w:t>
      </w:r>
      <w:r w:rsidRPr="00B97E44">
        <w:rPr>
          <w:rtl/>
        </w:rPr>
        <w:t xml:space="preserve"> עובדי ההוראה בתוכנית החומש לא </w:t>
      </w:r>
      <w:r w:rsidRPr="00B97E44">
        <w:rPr>
          <w:rFonts w:hint="eastAsia"/>
          <w:rtl/>
        </w:rPr>
        <w:t>נדון</w:t>
      </w:r>
      <w:r w:rsidRPr="00B97E44">
        <w:rPr>
          <w:rtl/>
        </w:rPr>
        <w:t xml:space="preserve"> </w:t>
      </w:r>
      <w:r w:rsidRPr="00B97E44">
        <w:rPr>
          <w:rFonts w:hint="eastAsia"/>
          <w:rtl/>
        </w:rPr>
        <w:t>עמה</w:t>
      </w:r>
      <w:r w:rsidRPr="00B97E44">
        <w:rPr>
          <w:rtl/>
        </w:rPr>
        <w:t xml:space="preserve"> במהלך גיבוש התוכנית, </w:t>
      </w:r>
      <w:r w:rsidRPr="00B97E44">
        <w:rPr>
          <w:rFonts w:hint="eastAsia"/>
          <w:rtl/>
        </w:rPr>
        <w:t>כי</w:t>
      </w:r>
      <w:r w:rsidRPr="00B97E44">
        <w:rPr>
          <w:rtl/>
        </w:rPr>
        <w:t xml:space="preserve"> </w:t>
      </w:r>
      <w:r w:rsidRPr="00B97E44">
        <w:rPr>
          <w:rFonts w:hint="eastAsia"/>
          <w:rtl/>
        </w:rPr>
        <w:t>תכליתו</w:t>
      </w:r>
      <w:r w:rsidRPr="00B97E44">
        <w:rPr>
          <w:rtl/>
        </w:rPr>
        <w:t xml:space="preserve"> של </w:t>
      </w:r>
      <w:r w:rsidRPr="00B97E44">
        <w:rPr>
          <w:rFonts w:hint="eastAsia"/>
          <w:rtl/>
        </w:rPr>
        <w:t>מנגנון</w:t>
      </w:r>
      <w:r w:rsidRPr="00B97E44">
        <w:rPr>
          <w:rtl/>
        </w:rPr>
        <w:t xml:space="preserve"> </w:t>
      </w:r>
      <w:r w:rsidRPr="00B97E44">
        <w:rPr>
          <w:rFonts w:hint="eastAsia"/>
          <w:rtl/>
        </w:rPr>
        <w:t>התמרוץ</w:t>
      </w:r>
      <w:r w:rsidRPr="00B97E44">
        <w:rPr>
          <w:rtl/>
        </w:rPr>
        <w:t xml:space="preserve"> </w:t>
      </w:r>
      <w:r w:rsidRPr="00B97E44">
        <w:rPr>
          <w:rFonts w:hint="eastAsia"/>
          <w:rtl/>
        </w:rPr>
        <w:t>שגובש</w:t>
      </w:r>
      <w:r w:rsidRPr="00B97E44">
        <w:rPr>
          <w:rtl/>
        </w:rPr>
        <w:t xml:space="preserve"> אינה ברורה </w:t>
      </w:r>
      <w:r w:rsidRPr="00B97E44">
        <w:rPr>
          <w:rFonts w:hint="eastAsia"/>
          <w:rtl/>
        </w:rPr>
        <w:t>וכי</w:t>
      </w:r>
      <w:r w:rsidRPr="00B97E44">
        <w:rPr>
          <w:rtl/>
        </w:rPr>
        <w:t xml:space="preserve"> </w:t>
      </w:r>
      <w:r w:rsidRPr="00B97E44">
        <w:rPr>
          <w:rFonts w:hint="eastAsia"/>
          <w:rtl/>
        </w:rPr>
        <w:t>אין</w:t>
      </w:r>
      <w:r w:rsidRPr="00B97E44">
        <w:rPr>
          <w:rtl/>
        </w:rPr>
        <w:t xml:space="preserve"> </w:t>
      </w:r>
      <w:r w:rsidRPr="00B97E44">
        <w:rPr>
          <w:rFonts w:hint="eastAsia"/>
          <w:rtl/>
        </w:rPr>
        <w:t>הוא</w:t>
      </w:r>
      <w:r w:rsidRPr="00B97E44">
        <w:rPr>
          <w:rtl/>
        </w:rPr>
        <w:t xml:space="preserve"> מספק מענה דיפרנציאלי לאזורים הפריפריאליים יותר </w:t>
      </w:r>
      <w:r w:rsidRPr="00B97E44">
        <w:rPr>
          <w:rFonts w:hint="eastAsia"/>
          <w:rtl/>
        </w:rPr>
        <w:t>שאליהם</w:t>
      </w:r>
      <w:r w:rsidRPr="00B97E44">
        <w:rPr>
          <w:rtl/>
        </w:rPr>
        <w:t xml:space="preserve"> </w:t>
      </w:r>
      <w:r w:rsidRPr="00B97E44">
        <w:rPr>
          <w:rFonts w:hint="eastAsia"/>
          <w:rtl/>
        </w:rPr>
        <w:t>קשה</w:t>
      </w:r>
      <w:r w:rsidRPr="00B97E44">
        <w:rPr>
          <w:rtl/>
        </w:rPr>
        <w:t xml:space="preserve"> </w:t>
      </w:r>
      <w:r w:rsidRPr="00B97E44">
        <w:rPr>
          <w:rFonts w:hint="eastAsia"/>
          <w:rtl/>
        </w:rPr>
        <w:t>יותר</w:t>
      </w:r>
      <w:r w:rsidRPr="00B97E44">
        <w:rPr>
          <w:rtl/>
        </w:rPr>
        <w:t xml:space="preserve"> </w:t>
      </w:r>
      <w:r w:rsidRPr="00B97E44">
        <w:rPr>
          <w:rFonts w:hint="eastAsia"/>
          <w:rtl/>
        </w:rPr>
        <w:t>לגייס</w:t>
      </w:r>
      <w:r w:rsidRPr="00B97E44">
        <w:rPr>
          <w:rtl/>
        </w:rPr>
        <w:t xml:space="preserve"> </w:t>
      </w:r>
      <w:r w:rsidRPr="00B97E44">
        <w:rPr>
          <w:rFonts w:hint="eastAsia"/>
          <w:rtl/>
        </w:rPr>
        <w:t>עובדי</w:t>
      </w:r>
      <w:r w:rsidRPr="00B97E44">
        <w:rPr>
          <w:rtl/>
        </w:rPr>
        <w:t xml:space="preserve"> </w:t>
      </w:r>
      <w:r w:rsidRPr="00B97E44">
        <w:rPr>
          <w:rFonts w:hint="eastAsia"/>
          <w:rtl/>
        </w:rPr>
        <w:t>הוראה</w:t>
      </w:r>
      <w:r w:rsidRPr="00B97E44">
        <w:rPr>
          <w:rtl/>
        </w:rPr>
        <w:t xml:space="preserve">. </w:t>
      </w:r>
    </w:p>
    <w:p w:rsidR="005B126E" w:rsidP="001916A9">
      <w:pPr>
        <w:spacing w:line="269" w:lineRule="auto"/>
        <w:rPr>
          <w:rtl/>
        </w:rPr>
      </w:pPr>
    </w:p>
    <w:p w:rsidR="005B126E" w:rsidP="001916A9">
      <w:pPr>
        <w:spacing w:line="269" w:lineRule="auto"/>
        <w:rPr>
          <w:rtl/>
        </w:rPr>
      </w:pPr>
      <w:r w:rsidRPr="00B97E44">
        <w:rPr>
          <w:rFonts w:hint="eastAsia"/>
          <w:rtl/>
        </w:rPr>
        <w:t>כמו</w:t>
      </w:r>
      <w:r w:rsidRPr="00B97E44">
        <w:rPr>
          <w:rtl/>
        </w:rPr>
        <w:t xml:space="preserve"> כן, </w:t>
      </w:r>
      <w:r w:rsidRPr="00B97E44">
        <w:rPr>
          <w:rFonts w:hint="eastAsia"/>
          <w:rtl/>
        </w:rPr>
        <w:t>עיריית</w:t>
      </w:r>
      <w:r w:rsidRPr="00B97E44">
        <w:rPr>
          <w:rtl/>
        </w:rPr>
        <w:t xml:space="preserve"> </w:t>
      </w:r>
      <w:r w:rsidRPr="00B97E44">
        <w:rPr>
          <w:rFonts w:hint="eastAsia"/>
          <w:b/>
          <w:bCs/>
          <w:rtl/>
        </w:rPr>
        <w:t>שדרות</w:t>
      </w:r>
      <w:r w:rsidRPr="00B97E44">
        <w:rPr>
          <w:rtl/>
        </w:rPr>
        <w:t xml:space="preserve"> </w:t>
      </w:r>
      <w:r w:rsidRPr="00B97E44">
        <w:rPr>
          <w:rFonts w:hint="eastAsia"/>
          <w:rtl/>
        </w:rPr>
        <w:t>מסרה</w:t>
      </w:r>
      <w:r w:rsidRPr="00B97E44">
        <w:rPr>
          <w:rtl/>
        </w:rPr>
        <w:t xml:space="preserve"> לצוות הביקורת ביולי 2025 כי כיוון שכבר בנובמ</w:t>
      </w:r>
      <w:r w:rsidRPr="00B97E44">
        <w:rPr>
          <w:rFonts w:hint="eastAsia"/>
          <w:rtl/>
        </w:rPr>
        <w:t>בר</w:t>
      </w:r>
      <w:r w:rsidRPr="00B97E44">
        <w:rPr>
          <w:rtl/>
        </w:rPr>
        <w:t xml:space="preserve"> 2023 </w:t>
      </w:r>
      <w:r w:rsidRPr="00B97E44">
        <w:rPr>
          <w:rFonts w:hint="eastAsia"/>
          <w:rtl/>
        </w:rPr>
        <w:t>היא</w:t>
      </w:r>
      <w:r w:rsidRPr="00B97E44">
        <w:rPr>
          <w:rtl/>
        </w:rPr>
        <w:t xml:space="preserve"> פעלה לגיוס 500 </w:t>
      </w:r>
      <w:r w:rsidRPr="00B97E44">
        <w:rPr>
          <w:rFonts w:hint="eastAsia"/>
          <w:rtl/>
        </w:rPr>
        <w:t>תומכי</w:t>
      </w:r>
      <w:r w:rsidRPr="00B97E44">
        <w:rPr>
          <w:rtl/>
        </w:rPr>
        <w:t xml:space="preserve"> </w:t>
      </w:r>
      <w:r w:rsidRPr="00B97E44">
        <w:rPr>
          <w:rFonts w:hint="eastAsia"/>
          <w:rtl/>
        </w:rPr>
        <w:t>הוראה</w:t>
      </w:r>
      <w:r w:rsidRPr="00B97E44">
        <w:rPr>
          <w:rtl/>
        </w:rPr>
        <w:t xml:space="preserve">, </w:t>
      </w:r>
      <w:r w:rsidRPr="00B97E44">
        <w:rPr>
          <w:rFonts w:hint="eastAsia"/>
          <w:rtl/>
        </w:rPr>
        <w:t>מטפלים</w:t>
      </w:r>
      <w:r w:rsidRPr="00B97E44">
        <w:rPr>
          <w:rtl/>
        </w:rPr>
        <w:t xml:space="preserve"> </w:t>
      </w:r>
      <w:r w:rsidRPr="00B97E44">
        <w:rPr>
          <w:rFonts w:hint="eastAsia"/>
          <w:rtl/>
        </w:rPr>
        <w:t>ועובדים</w:t>
      </w:r>
      <w:r w:rsidRPr="00B97E44">
        <w:rPr>
          <w:rtl/>
        </w:rPr>
        <w:t xml:space="preserve"> </w:t>
      </w:r>
      <w:r w:rsidRPr="00B97E44">
        <w:rPr>
          <w:rFonts w:hint="eastAsia"/>
          <w:rtl/>
        </w:rPr>
        <w:t>בחינוך</w:t>
      </w:r>
      <w:r w:rsidRPr="00B97E44">
        <w:rPr>
          <w:rtl/>
        </w:rPr>
        <w:t xml:space="preserve"> הבלתי פורמלי </w:t>
      </w:r>
      <w:r w:rsidRPr="00B97E44">
        <w:rPr>
          <w:rFonts w:hint="eastAsia"/>
          <w:rtl/>
        </w:rPr>
        <w:t>שסייעו</w:t>
      </w:r>
      <w:r w:rsidRPr="00B97E44">
        <w:rPr>
          <w:rtl/>
        </w:rPr>
        <w:t xml:space="preserve"> לעירייה להפעיל את מוסדות החינוך </w:t>
      </w:r>
      <w:r w:rsidRPr="00B97E44">
        <w:rPr>
          <w:rFonts w:hint="eastAsia"/>
          <w:rtl/>
        </w:rPr>
        <w:t>בהצלחה</w:t>
      </w:r>
      <w:r w:rsidRPr="00B97E44">
        <w:rPr>
          <w:rtl/>
        </w:rPr>
        <w:t xml:space="preserve"> </w:t>
      </w:r>
      <w:r w:rsidRPr="00B97E44">
        <w:rPr>
          <w:rFonts w:hint="eastAsia"/>
          <w:rtl/>
        </w:rPr>
        <w:t>עם</w:t>
      </w:r>
      <w:r w:rsidRPr="00B97E44">
        <w:rPr>
          <w:rtl/>
        </w:rPr>
        <w:t xml:space="preserve"> </w:t>
      </w:r>
      <w:r w:rsidRPr="00B97E44">
        <w:rPr>
          <w:rFonts w:hint="eastAsia"/>
          <w:rtl/>
        </w:rPr>
        <w:t>חזרת</w:t>
      </w:r>
      <w:r w:rsidRPr="00B97E44">
        <w:rPr>
          <w:rtl/>
        </w:rPr>
        <w:t xml:space="preserve"> </w:t>
      </w:r>
      <w:r w:rsidRPr="00B97E44">
        <w:rPr>
          <w:rFonts w:hint="eastAsia"/>
          <w:rtl/>
        </w:rPr>
        <w:t>המפונים</w:t>
      </w:r>
      <w:r w:rsidRPr="00B97E44">
        <w:rPr>
          <w:rtl/>
        </w:rPr>
        <w:t xml:space="preserve"> </w:t>
      </w:r>
      <w:r w:rsidRPr="00B97E44">
        <w:rPr>
          <w:rFonts w:hint="eastAsia"/>
          <w:rtl/>
        </w:rPr>
        <w:t>לעיר</w:t>
      </w:r>
      <w:r w:rsidRPr="00B97E44">
        <w:rPr>
          <w:rtl/>
        </w:rPr>
        <w:t xml:space="preserve"> במרץ 2024, </w:t>
      </w:r>
      <w:r w:rsidRPr="00B97E44">
        <w:rPr>
          <w:rFonts w:hint="eastAsia"/>
          <w:rtl/>
        </w:rPr>
        <w:t>היא</w:t>
      </w:r>
      <w:r w:rsidRPr="00B97E44">
        <w:rPr>
          <w:rtl/>
        </w:rPr>
        <w:t xml:space="preserve"> </w:t>
      </w:r>
      <w:r w:rsidRPr="00B97E44">
        <w:rPr>
          <w:rFonts w:hint="eastAsia"/>
          <w:rtl/>
        </w:rPr>
        <w:t>לא</w:t>
      </w:r>
      <w:r w:rsidRPr="00B97E44">
        <w:rPr>
          <w:rtl/>
        </w:rPr>
        <w:t xml:space="preserve"> </w:t>
      </w:r>
      <w:r w:rsidRPr="00B97E44">
        <w:rPr>
          <w:rFonts w:hint="eastAsia"/>
          <w:rtl/>
        </w:rPr>
        <w:t>סבלה</w:t>
      </w:r>
      <w:r w:rsidRPr="00B97E44">
        <w:rPr>
          <w:rtl/>
        </w:rPr>
        <w:t xml:space="preserve"> </w:t>
      </w:r>
      <w:r w:rsidRPr="00B97E44">
        <w:rPr>
          <w:rFonts w:hint="eastAsia"/>
          <w:rtl/>
        </w:rPr>
        <w:t>ממחסור</w:t>
      </w:r>
      <w:r w:rsidRPr="00B97E44">
        <w:rPr>
          <w:rtl/>
        </w:rPr>
        <w:t xml:space="preserve"> </w:t>
      </w:r>
      <w:r w:rsidRPr="00B97E44">
        <w:rPr>
          <w:rFonts w:hint="eastAsia"/>
          <w:rtl/>
        </w:rPr>
        <w:t>בעובדי</w:t>
      </w:r>
      <w:r w:rsidRPr="00B97E44">
        <w:rPr>
          <w:rtl/>
        </w:rPr>
        <w:t xml:space="preserve"> </w:t>
      </w:r>
      <w:r w:rsidRPr="00B97E44">
        <w:rPr>
          <w:rFonts w:hint="eastAsia"/>
          <w:rtl/>
        </w:rPr>
        <w:t>הוראה</w:t>
      </w:r>
      <w:r w:rsidRPr="00B97E44">
        <w:rPr>
          <w:rtl/>
        </w:rPr>
        <w:t xml:space="preserve">. בתשובתה מנובמבר 2025 הוסיפה העירייה כי רמת ההיוועצות </w:t>
      </w:r>
      <w:r w:rsidRPr="00B97E44">
        <w:rPr>
          <w:rtl/>
        </w:rPr>
        <w:t>ע</w:t>
      </w:r>
      <w:r w:rsidRPr="00B97E44">
        <w:rPr>
          <w:rFonts w:hint="eastAsia"/>
          <w:rtl/>
        </w:rPr>
        <w:t>ימה</w:t>
      </w:r>
      <w:r w:rsidRPr="00B97E44">
        <w:rPr>
          <w:rtl/>
        </w:rPr>
        <w:t xml:space="preserve"> </w:t>
      </w:r>
      <w:r w:rsidRPr="00B97E44">
        <w:rPr>
          <w:rFonts w:hint="eastAsia"/>
          <w:rtl/>
        </w:rPr>
        <w:t>הייתה</w:t>
      </w:r>
      <w:r w:rsidRPr="00B97E44">
        <w:rPr>
          <w:rtl/>
        </w:rPr>
        <w:t xml:space="preserve"> </w:t>
      </w:r>
      <w:r w:rsidRPr="00B97E44">
        <w:rPr>
          <w:rFonts w:hint="eastAsia"/>
          <w:rtl/>
        </w:rPr>
        <w:t>נמוכה</w:t>
      </w:r>
      <w:r w:rsidRPr="00B97E44">
        <w:rPr>
          <w:rtl/>
        </w:rPr>
        <w:t xml:space="preserve"> </w:t>
      </w:r>
      <w:r w:rsidRPr="00B97E44">
        <w:rPr>
          <w:rFonts w:hint="eastAsia"/>
          <w:rtl/>
        </w:rPr>
        <w:t>יחסית</w:t>
      </w:r>
      <w:r w:rsidRPr="00B97E44">
        <w:rPr>
          <w:rtl/>
        </w:rPr>
        <w:t xml:space="preserve"> </w:t>
      </w:r>
      <w:r w:rsidRPr="00B97E44">
        <w:rPr>
          <w:rFonts w:hint="eastAsia"/>
          <w:rtl/>
        </w:rPr>
        <w:t>וכתוצאה</w:t>
      </w:r>
      <w:r w:rsidRPr="00B97E44">
        <w:rPr>
          <w:rtl/>
        </w:rPr>
        <w:t xml:space="preserve"> </w:t>
      </w:r>
      <w:r w:rsidRPr="00B97E44">
        <w:rPr>
          <w:rFonts w:hint="eastAsia"/>
          <w:rtl/>
        </w:rPr>
        <w:t>מכך</w:t>
      </w:r>
      <w:r w:rsidRPr="00B97E44">
        <w:rPr>
          <w:rtl/>
        </w:rPr>
        <w:t xml:space="preserve"> </w:t>
      </w:r>
      <w:r w:rsidRPr="00B97E44">
        <w:rPr>
          <w:rFonts w:hint="eastAsia"/>
          <w:rtl/>
        </w:rPr>
        <w:t>המודל</w:t>
      </w:r>
      <w:r w:rsidRPr="00B97E44">
        <w:rPr>
          <w:rtl/>
        </w:rPr>
        <w:t xml:space="preserve"> </w:t>
      </w:r>
      <w:r w:rsidRPr="00B97E44">
        <w:rPr>
          <w:rFonts w:hint="eastAsia"/>
          <w:rtl/>
        </w:rPr>
        <w:t>שנקבע</w:t>
      </w:r>
      <w:r w:rsidRPr="00B97E44">
        <w:rPr>
          <w:rtl/>
        </w:rPr>
        <w:t xml:space="preserve"> </w:t>
      </w:r>
      <w:r w:rsidRPr="00B97E44">
        <w:rPr>
          <w:rFonts w:hint="eastAsia"/>
          <w:rtl/>
        </w:rPr>
        <w:t>לא</w:t>
      </w:r>
      <w:r w:rsidRPr="00B97E44">
        <w:rPr>
          <w:rtl/>
        </w:rPr>
        <w:t xml:space="preserve"> </w:t>
      </w:r>
      <w:r w:rsidRPr="00B97E44">
        <w:rPr>
          <w:rFonts w:hint="eastAsia"/>
          <w:rtl/>
        </w:rPr>
        <w:t>שיקף</w:t>
      </w:r>
      <w:r w:rsidRPr="00B97E44">
        <w:rPr>
          <w:rtl/>
        </w:rPr>
        <w:t xml:space="preserve"> </w:t>
      </w:r>
      <w:r w:rsidRPr="00B97E44">
        <w:rPr>
          <w:rFonts w:hint="eastAsia"/>
          <w:rtl/>
        </w:rPr>
        <w:t>את</w:t>
      </w:r>
      <w:r w:rsidRPr="00B97E44">
        <w:rPr>
          <w:rtl/>
        </w:rPr>
        <w:t xml:space="preserve"> </w:t>
      </w:r>
      <w:r w:rsidRPr="00B97E44">
        <w:rPr>
          <w:rFonts w:hint="eastAsia"/>
          <w:rtl/>
        </w:rPr>
        <w:t>צרכיה</w:t>
      </w:r>
      <w:r w:rsidRPr="00B97E44">
        <w:rPr>
          <w:rtl/>
        </w:rPr>
        <w:t xml:space="preserve">. </w:t>
      </w:r>
    </w:p>
    <w:p w:rsidR="005B126E" w:rsidP="001916A9">
      <w:pPr>
        <w:spacing w:line="269" w:lineRule="auto"/>
        <w:rPr>
          <w:rtl/>
        </w:rPr>
      </w:pPr>
    </w:p>
    <w:p w:rsidR="005B126E" w:rsidRPr="00AA0192" w:rsidP="001916A9">
      <w:pPr>
        <w:spacing w:line="269" w:lineRule="auto"/>
        <w:rPr>
          <w:rtl/>
        </w:rPr>
      </w:pPr>
      <w:r>
        <w:rPr>
          <w:rFonts w:hint="cs"/>
          <w:rtl/>
        </w:rPr>
        <w:t xml:space="preserve">מינהלת תקומה מסרה בתשובותיה </w:t>
      </w:r>
      <w:r w:rsidRPr="007B2A75">
        <w:rPr>
          <w:rtl/>
        </w:rPr>
        <w:t xml:space="preserve">כי אפיון הצרכים </w:t>
      </w:r>
      <w:r w:rsidRPr="003D0D13">
        <w:rPr>
          <w:rtl/>
        </w:rPr>
        <w:t>במוד</w:t>
      </w:r>
      <w:r w:rsidRPr="003D0D13">
        <w:rPr>
          <w:rFonts w:hint="cs"/>
          <w:rtl/>
        </w:rPr>
        <w:t xml:space="preserve">ל </w:t>
      </w:r>
      <w:r w:rsidRPr="003D0D13">
        <w:rPr>
          <w:rFonts w:hint="cs"/>
          <w:rtl/>
        </w:rPr>
        <w:t>התמרוץ</w:t>
      </w:r>
      <w:r w:rsidRPr="003D0D13">
        <w:rPr>
          <w:rtl/>
        </w:rPr>
        <w:t xml:space="preserve"> </w:t>
      </w:r>
      <w:r w:rsidRPr="003D0D13">
        <w:rPr>
          <w:rFonts w:hint="cs"/>
          <w:rtl/>
        </w:rPr>
        <w:t>ו</w:t>
      </w:r>
      <w:r w:rsidRPr="003D0D13">
        <w:rPr>
          <w:rtl/>
        </w:rPr>
        <w:t>גיבוש כלי הפעולה ויישומם</w:t>
      </w:r>
      <w:r>
        <w:rPr>
          <w:rFonts w:hint="cs"/>
          <w:rtl/>
        </w:rPr>
        <w:t xml:space="preserve"> </w:t>
      </w:r>
      <w:r w:rsidRPr="003D0D13">
        <w:rPr>
          <w:rFonts w:hint="cs"/>
          <w:rtl/>
        </w:rPr>
        <w:t>מתבצעים</w:t>
      </w:r>
      <w:r w:rsidRPr="003D0D13">
        <w:rPr>
          <w:rtl/>
        </w:rPr>
        <w:t xml:space="preserve"> תוך שיח שוטף</w:t>
      </w:r>
      <w:r w:rsidRPr="003D0D13">
        <w:rPr>
          <w:rFonts w:hint="cs"/>
          <w:rtl/>
        </w:rPr>
        <w:t>,</w:t>
      </w:r>
      <w:r w:rsidRPr="003D0D13">
        <w:rPr>
          <w:rtl/>
        </w:rPr>
        <w:t xml:space="preserve"> לרבות בישיבות ו</w:t>
      </w:r>
      <w:r w:rsidRPr="003D0D13">
        <w:rPr>
          <w:rFonts w:hint="cs"/>
          <w:rtl/>
        </w:rPr>
        <w:t>ב</w:t>
      </w:r>
      <w:r w:rsidRPr="003D0D13">
        <w:rPr>
          <w:rtl/>
        </w:rPr>
        <w:t>שיחות שהתקיימו עם רשויות החבל</w:t>
      </w:r>
      <w:r w:rsidRPr="003D0D13">
        <w:rPr>
          <w:rFonts w:hint="cs"/>
          <w:rtl/>
        </w:rPr>
        <w:t xml:space="preserve"> וכי</w:t>
      </w:r>
      <w:r w:rsidRPr="003D0D13">
        <w:rPr>
          <w:rtl/>
        </w:rPr>
        <w:t xml:space="preserve"> </w:t>
      </w:r>
      <w:r w:rsidRPr="003D0D13">
        <w:rPr>
          <w:rFonts w:hint="cs"/>
          <w:rtl/>
        </w:rPr>
        <w:t>בהמשך לשיח</w:t>
      </w:r>
      <w:r w:rsidRPr="003D0D13">
        <w:rPr>
          <w:rtl/>
        </w:rPr>
        <w:t xml:space="preserve"> </w:t>
      </w:r>
      <w:r w:rsidRPr="003D0D13">
        <w:rPr>
          <w:rFonts w:hint="cs"/>
          <w:rtl/>
        </w:rPr>
        <w:t>האמור</w:t>
      </w:r>
      <w:r w:rsidRPr="003D0D13">
        <w:rPr>
          <w:rtl/>
        </w:rPr>
        <w:t xml:space="preserve"> </w:t>
      </w:r>
      <w:r w:rsidRPr="003D0D13">
        <w:rPr>
          <w:rFonts w:hint="cs"/>
          <w:rtl/>
        </w:rPr>
        <w:t>ובהתאם</w:t>
      </w:r>
      <w:r w:rsidRPr="003D0D13">
        <w:rPr>
          <w:rtl/>
        </w:rPr>
        <w:t xml:space="preserve"> </w:t>
      </w:r>
      <w:r w:rsidRPr="003D0D13">
        <w:rPr>
          <w:rFonts w:hint="cs"/>
          <w:rtl/>
        </w:rPr>
        <w:t>לשיקולים</w:t>
      </w:r>
      <w:r w:rsidRPr="003D0D13">
        <w:rPr>
          <w:rtl/>
        </w:rPr>
        <w:t xml:space="preserve"> </w:t>
      </w:r>
      <w:r w:rsidRPr="003D0D13">
        <w:rPr>
          <w:rFonts w:hint="cs"/>
          <w:rtl/>
        </w:rPr>
        <w:t>מקצועיים ניתן</w:t>
      </w:r>
      <w:r w:rsidRPr="003D0D13">
        <w:rPr>
          <w:rtl/>
        </w:rPr>
        <w:t xml:space="preserve"> </w:t>
      </w:r>
      <w:r w:rsidRPr="003D0D13">
        <w:rPr>
          <w:rFonts w:hint="cs"/>
          <w:rtl/>
        </w:rPr>
        <w:t>ביטוי</w:t>
      </w:r>
      <w:r w:rsidRPr="003D0D13">
        <w:rPr>
          <w:rtl/>
        </w:rPr>
        <w:t xml:space="preserve"> </w:t>
      </w:r>
      <w:r w:rsidRPr="003D0D13">
        <w:rPr>
          <w:rFonts w:hint="cs"/>
          <w:rtl/>
        </w:rPr>
        <w:t>לצרכי הרשויות.</w:t>
      </w:r>
    </w:p>
    <w:p w:rsidR="005B126E" w:rsidP="001916A9">
      <w:pPr>
        <w:spacing w:line="269" w:lineRule="auto"/>
        <w:rPr>
          <w:b/>
          <w:bCs/>
          <w:rtl/>
        </w:rPr>
      </w:pPr>
    </w:p>
    <w:p w:rsidR="005B126E" w:rsidRPr="00B97E44" w:rsidP="001916A9">
      <w:pPr>
        <w:spacing w:line="269" w:lineRule="auto"/>
        <w:rPr>
          <w:b/>
          <w:bCs/>
          <w:rtl/>
        </w:rPr>
      </w:pPr>
      <w:r w:rsidRPr="00B97E44">
        <w:rPr>
          <w:rFonts w:hint="eastAsia"/>
          <w:b/>
          <w:bCs/>
          <w:rtl/>
        </w:rPr>
        <w:t>הביקורת</w:t>
      </w:r>
      <w:r w:rsidRPr="00B97E44">
        <w:rPr>
          <w:b/>
          <w:bCs/>
          <w:rtl/>
        </w:rPr>
        <w:t xml:space="preserve"> </w:t>
      </w:r>
      <w:r w:rsidRPr="00B97E44">
        <w:rPr>
          <w:rFonts w:hint="eastAsia"/>
          <w:b/>
          <w:bCs/>
          <w:rtl/>
        </w:rPr>
        <w:t>העלתה</w:t>
      </w:r>
      <w:r w:rsidRPr="00B97E44">
        <w:rPr>
          <w:b/>
          <w:bCs/>
          <w:rtl/>
        </w:rPr>
        <w:t xml:space="preserve"> </w:t>
      </w:r>
      <w:r w:rsidRPr="00B97E44">
        <w:rPr>
          <w:rFonts w:hint="eastAsia"/>
          <w:b/>
          <w:bCs/>
          <w:rtl/>
        </w:rPr>
        <w:t>כי</w:t>
      </w:r>
      <w:r w:rsidRPr="00B97E44">
        <w:rPr>
          <w:b/>
          <w:bCs/>
          <w:rtl/>
        </w:rPr>
        <w:t xml:space="preserve"> </w:t>
      </w:r>
      <w:r w:rsidRPr="00B97E44">
        <w:rPr>
          <w:rFonts w:hint="eastAsia"/>
          <w:b/>
          <w:bCs/>
          <w:rtl/>
        </w:rPr>
        <w:t>אף</w:t>
      </w:r>
      <w:r w:rsidRPr="00B97E44">
        <w:rPr>
          <w:b/>
          <w:bCs/>
          <w:rtl/>
        </w:rPr>
        <w:t xml:space="preserve"> </w:t>
      </w:r>
      <w:r w:rsidRPr="00B97E44">
        <w:rPr>
          <w:rFonts w:hint="eastAsia"/>
          <w:b/>
          <w:bCs/>
          <w:rtl/>
        </w:rPr>
        <w:t>שבחינת</w:t>
      </w:r>
      <w:r w:rsidRPr="00B97E44">
        <w:rPr>
          <w:b/>
          <w:bCs/>
          <w:rtl/>
        </w:rPr>
        <w:t xml:space="preserve"> </w:t>
      </w:r>
      <w:r w:rsidRPr="00B97E44">
        <w:rPr>
          <w:rFonts w:hint="eastAsia"/>
          <w:b/>
          <w:bCs/>
          <w:rtl/>
        </w:rPr>
        <w:t>מצבת</w:t>
      </w:r>
      <w:r w:rsidRPr="00B97E44">
        <w:rPr>
          <w:b/>
          <w:bCs/>
          <w:rtl/>
        </w:rPr>
        <w:t xml:space="preserve"> </w:t>
      </w:r>
      <w:r w:rsidRPr="00B97E44">
        <w:rPr>
          <w:rFonts w:hint="eastAsia"/>
          <w:b/>
          <w:bCs/>
          <w:rtl/>
        </w:rPr>
        <w:t>כוח</w:t>
      </w:r>
      <w:r w:rsidRPr="00B97E44">
        <w:rPr>
          <w:b/>
          <w:bCs/>
          <w:rtl/>
        </w:rPr>
        <w:t xml:space="preserve"> </w:t>
      </w:r>
      <w:r w:rsidRPr="00B97E44">
        <w:rPr>
          <w:rFonts w:hint="eastAsia"/>
          <w:b/>
          <w:bCs/>
          <w:rtl/>
        </w:rPr>
        <w:t>האדם</w:t>
      </w:r>
      <w:r w:rsidRPr="00B97E44">
        <w:rPr>
          <w:b/>
          <w:bCs/>
          <w:rtl/>
        </w:rPr>
        <w:t xml:space="preserve"> </w:t>
      </w:r>
      <w:r w:rsidRPr="00B97E44">
        <w:rPr>
          <w:rFonts w:hint="eastAsia"/>
          <w:b/>
          <w:bCs/>
          <w:rtl/>
        </w:rPr>
        <w:t>שעשה</w:t>
      </w:r>
      <w:r w:rsidRPr="00B97E44">
        <w:rPr>
          <w:b/>
          <w:bCs/>
          <w:rtl/>
        </w:rPr>
        <w:t xml:space="preserve"> </w:t>
      </w:r>
      <w:r w:rsidRPr="00B97E44">
        <w:rPr>
          <w:rFonts w:hint="eastAsia"/>
          <w:b/>
          <w:bCs/>
          <w:rtl/>
        </w:rPr>
        <w:t>משרד</w:t>
      </w:r>
      <w:r w:rsidRPr="00B97E44">
        <w:rPr>
          <w:b/>
          <w:bCs/>
          <w:rtl/>
        </w:rPr>
        <w:t xml:space="preserve"> </w:t>
      </w:r>
      <w:r w:rsidRPr="00B97E44">
        <w:rPr>
          <w:rFonts w:hint="eastAsia"/>
          <w:b/>
          <w:bCs/>
          <w:rtl/>
        </w:rPr>
        <w:t>החינוך</w:t>
      </w:r>
      <w:r w:rsidRPr="00B97E44">
        <w:rPr>
          <w:b/>
          <w:bCs/>
          <w:rtl/>
        </w:rPr>
        <w:t xml:space="preserve"> </w:t>
      </w:r>
      <w:r w:rsidRPr="00B97E44">
        <w:rPr>
          <w:rFonts w:hint="eastAsia"/>
          <w:b/>
          <w:bCs/>
          <w:rtl/>
        </w:rPr>
        <w:t>בקרב</w:t>
      </w:r>
      <w:r w:rsidRPr="00B97E44">
        <w:rPr>
          <w:b/>
          <w:bCs/>
          <w:rtl/>
        </w:rPr>
        <w:t xml:space="preserve"> </w:t>
      </w:r>
      <w:r w:rsidRPr="00B97E44">
        <w:rPr>
          <w:rFonts w:hint="eastAsia"/>
          <w:b/>
          <w:bCs/>
          <w:rtl/>
        </w:rPr>
        <w:t>צוותי</w:t>
      </w:r>
      <w:r w:rsidRPr="00B97E44">
        <w:rPr>
          <w:b/>
          <w:bCs/>
          <w:rtl/>
        </w:rPr>
        <w:t xml:space="preserve"> </w:t>
      </w:r>
      <w:r w:rsidRPr="00B97E44">
        <w:rPr>
          <w:rFonts w:hint="eastAsia"/>
          <w:b/>
          <w:bCs/>
          <w:rtl/>
        </w:rPr>
        <w:t>ההוראה</w:t>
      </w:r>
      <w:r w:rsidRPr="00B97E44">
        <w:rPr>
          <w:b/>
          <w:bCs/>
          <w:rtl/>
        </w:rPr>
        <w:t xml:space="preserve"> </w:t>
      </w:r>
      <w:r w:rsidRPr="00B97E44">
        <w:rPr>
          <w:rFonts w:hint="eastAsia"/>
          <w:b/>
          <w:bCs/>
          <w:rtl/>
        </w:rPr>
        <w:t>בחבל</w:t>
      </w:r>
      <w:r w:rsidRPr="00B97E44">
        <w:rPr>
          <w:b/>
          <w:bCs/>
          <w:rtl/>
        </w:rPr>
        <w:t xml:space="preserve"> </w:t>
      </w:r>
      <w:r w:rsidRPr="00B97E44">
        <w:rPr>
          <w:rFonts w:hint="eastAsia"/>
          <w:b/>
          <w:bCs/>
          <w:rtl/>
        </w:rPr>
        <w:t>התקומה</w:t>
      </w:r>
      <w:r w:rsidRPr="00B97E44">
        <w:rPr>
          <w:b/>
          <w:bCs/>
          <w:rtl/>
        </w:rPr>
        <w:t xml:space="preserve"> לקראת שנת הלימודים </w:t>
      </w:r>
      <w:r w:rsidRPr="00B97E44">
        <w:rPr>
          <w:rFonts w:hint="eastAsia"/>
          <w:b/>
          <w:bCs/>
          <w:rtl/>
        </w:rPr>
        <w:t>תשפ</w:t>
      </w:r>
      <w:r w:rsidRPr="00B97E44">
        <w:rPr>
          <w:b/>
          <w:bCs/>
          <w:rtl/>
        </w:rPr>
        <w:t>"ה העל</w:t>
      </w:r>
      <w:r w:rsidRPr="00B97E44">
        <w:rPr>
          <w:rFonts w:hint="eastAsia"/>
          <w:b/>
          <w:bCs/>
          <w:rtl/>
        </w:rPr>
        <w:t>תה</w:t>
      </w:r>
      <w:r w:rsidRPr="00B97E44">
        <w:rPr>
          <w:b/>
          <w:bCs/>
          <w:rtl/>
        </w:rPr>
        <w:t xml:space="preserve"> </w:t>
      </w:r>
      <w:r w:rsidRPr="00B97E44">
        <w:rPr>
          <w:rFonts w:hint="eastAsia"/>
          <w:b/>
          <w:bCs/>
          <w:rtl/>
        </w:rPr>
        <w:t>כי</w:t>
      </w:r>
      <w:r w:rsidRPr="00B97E44">
        <w:rPr>
          <w:b/>
          <w:bCs/>
          <w:rtl/>
        </w:rPr>
        <w:t xml:space="preserve"> </w:t>
      </w:r>
      <w:r w:rsidRPr="00B97E44">
        <w:rPr>
          <w:rFonts w:hint="eastAsia"/>
          <w:b/>
          <w:bCs/>
          <w:rtl/>
        </w:rPr>
        <w:t>אין</w:t>
      </w:r>
      <w:r w:rsidRPr="00B97E44">
        <w:rPr>
          <w:b/>
          <w:bCs/>
          <w:rtl/>
        </w:rPr>
        <w:t xml:space="preserve"> מחסור</w:t>
      </w:r>
      <w:r w:rsidRPr="00B97E44">
        <w:rPr>
          <w:rFonts w:hint="cs"/>
          <w:b/>
          <w:bCs/>
          <w:rtl/>
        </w:rPr>
        <w:t xml:space="preserve"> חריג בעובדי הוראה בחבל </w:t>
      </w:r>
      <w:r>
        <w:rPr>
          <w:rFonts w:hint="cs"/>
          <w:b/>
          <w:bCs/>
          <w:rtl/>
        </w:rPr>
        <w:t>ה</w:t>
      </w:r>
      <w:r w:rsidRPr="00B97E44">
        <w:rPr>
          <w:rFonts w:hint="cs"/>
          <w:b/>
          <w:bCs/>
          <w:rtl/>
        </w:rPr>
        <w:t>תקומה ביחס למחסור שקיים בעובדי הוראה בכלל מדינת ישראל</w:t>
      </w:r>
      <w:r w:rsidRPr="00B97E44">
        <w:rPr>
          <w:b/>
          <w:bCs/>
          <w:rtl/>
        </w:rPr>
        <w:t xml:space="preserve"> וכי מורים רבים שבו </w:t>
      </w:r>
      <w:r w:rsidRPr="00B97E44">
        <w:rPr>
          <w:rFonts w:hint="eastAsia"/>
          <w:b/>
          <w:bCs/>
          <w:rtl/>
        </w:rPr>
        <w:t>לעבוד</w:t>
      </w:r>
      <w:r w:rsidRPr="00B97E44">
        <w:rPr>
          <w:b/>
          <w:bCs/>
          <w:rtl/>
        </w:rPr>
        <w:t xml:space="preserve"> </w:t>
      </w:r>
      <w:r w:rsidRPr="00B97E44">
        <w:rPr>
          <w:rFonts w:hint="eastAsia"/>
          <w:b/>
          <w:bCs/>
          <w:rtl/>
        </w:rPr>
        <w:t>בבתי</w:t>
      </w:r>
      <w:r w:rsidRPr="00B97E44">
        <w:rPr>
          <w:b/>
          <w:bCs/>
          <w:rtl/>
        </w:rPr>
        <w:t xml:space="preserve"> </w:t>
      </w:r>
      <w:r w:rsidRPr="00B97E44">
        <w:rPr>
          <w:rFonts w:hint="eastAsia"/>
          <w:b/>
          <w:bCs/>
          <w:rtl/>
        </w:rPr>
        <w:t>הספר</w:t>
      </w:r>
      <w:r w:rsidRPr="00B97E44">
        <w:rPr>
          <w:b/>
          <w:bCs/>
          <w:rtl/>
        </w:rPr>
        <w:t xml:space="preserve"> </w:t>
      </w:r>
      <w:r w:rsidRPr="00B97E44">
        <w:rPr>
          <w:rFonts w:hint="eastAsia"/>
          <w:b/>
          <w:bCs/>
          <w:rtl/>
        </w:rPr>
        <w:t>עוד</w:t>
      </w:r>
      <w:r w:rsidRPr="00B97E44">
        <w:rPr>
          <w:b/>
          <w:bCs/>
          <w:rtl/>
        </w:rPr>
        <w:t xml:space="preserve"> </w:t>
      </w:r>
      <w:r w:rsidRPr="00B97E44">
        <w:rPr>
          <w:rFonts w:hint="eastAsia"/>
          <w:b/>
          <w:bCs/>
          <w:rtl/>
        </w:rPr>
        <w:t>לפני</w:t>
      </w:r>
      <w:r w:rsidRPr="00B97E44">
        <w:rPr>
          <w:b/>
          <w:bCs/>
          <w:rtl/>
        </w:rPr>
        <w:t xml:space="preserve"> </w:t>
      </w:r>
      <w:r w:rsidRPr="00B97E44">
        <w:rPr>
          <w:rFonts w:hint="eastAsia"/>
          <w:b/>
          <w:bCs/>
          <w:rtl/>
        </w:rPr>
        <w:t>שובם</w:t>
      </w:r>
      <w:r w:rsidRPr="00B97E44">
        <w:rPr>
          <w:b/>
          <w:bCs/>
          <w:rtl/>
        </w:rPr>
        <w:t xml:space="preserve"> </w:t>
      </w:r>
      <w:r w:rsidRPr="00B97E44">
        <w:rPr>
          <w:rFonts w:hint="eastAsia"/>
          <w:b/>
          <w:bCs/>
          <w:rtl/>
        </w:rPr>
        <w:t>של</w:t>
      </w:r>
      <w:r w:rsidRPr="00B97E44">
        <w:rPr>
          <w:b/>
          <w:bCs/>
          <w:rtl/>
        </w:rPr>
        <w:t xml:space="preserve"> </w:t>
      </w:r>
      <w:r w:rsidRPr="00B97E44">
        <w:rPr>
          <w:rFonts w:hint="eastAsia"/>
          <w:b/>
          <w:bCs/>
          <w:rtl/>
        </w:rPr>
        <w:t>כל</w:t>
      </w:r>
      <w:r w:rsidRPr="00B97E44">
        <w:rPr>
          <w:b/>
          <w:bCs/>
          <w:rtl/>
        </w:rPr>
        <w:t xml:space="preserve"> </w:t>
      </w:r>
      <w:r w:rsidRPr="00B97E44">
        <w:rPr>
          <w:rFonts w:hint="eastAsia"/>
          <w:b/>
          <w:bCs/>
          <w:rtl/>
        </w:rPr>
        <w:t>התלמידים</w:t>
      </w:r>
      <w:r w:rsidRPr="00B97E44">
        <w:rPr>
          <w:b/>
          <w:bCs/>
          <w:rtl/>
        </w:rPr>
        <w:t xml:space="preserve"> לחבל, </w:t>
      </w:r>
      <w:r w:rsidRPr="00B97E44">
        <w:rPr>
          <w:rFonts w:hint="eastAsia"/>
          <w:b/>
          <w:bCs/>
          <w:rtl/>
        </w:rPr>
        <w:t>פעלו</w:t>
      </w:r>
      <w:r w:rsidRPr="00B97E44">
        <w:rPr>
          <w:b/>
          <w:bCs/>
          <w:rtl/>
        </w:rPr>
        <w:t xml:space="preserve"> </w:t>
      </w:r>
      <w:r w:rsidRPr="00B97E44">
        <w:rPr>
          <w:rFonts w:hint="eastAsia"/>
          <w:b/>
          <w:bCs/>
          <w:rtl/>
        </w:rPr>
        <w:t>מינהלת</w:t>
      </w:r>
      <w:r w:rsidRPr="00B97E44">
        <w:rPr>
          <w:b/>
          <w:bCs/>
          <w:rtl/>
        </w:rPr>
        <w:t xml:space="preserve"> </w:t>
      </w:r>
      <w:r w:rsidRPr="00B97E44">
        <w:rPr>
          <w:rFonts w:hint="eastAsia"/>
          <w:b/>
          <w:bCs/>
          <w:rtl/>
        </w:rPr>
        <w:t>תקומה</w:t>
      </w:r>
      <w:r w:rsidRPr="00B97E44">
        <w:rPr>
          <w:b/>
          <w:bCs/>
          <w:rtl/>
        </w:rPr>
        <w:t xml:space="preserve"> </w:t>
      </w:r>
      <w:r w:rsidRPr="00B97E44">
        <w:rPr>
          <w:rFonts w:hint="eastAsia"/>
          <w:b/>
          <w:bCs/>
          <w:rtl/>
        </w:rPr>
        <w:t>ומשרד</w:t>
      </w:r>
      <w:r w:rsidRPr="00B97E44">
        <w:rPr>
          <w:b/>
          <w:bCs/>
          <w:rtl/>
        </w:rPr>
        <w:t xml:space="preserve"> </w:t>
      </w:r>
      <w:r w:rsidRPr="00B97E44">
        <w:rPr>
          <w:rFonts w:hint="eastAsia"/>
          <w:b/>
          <w:bCs/>
          <w:rtl/>
        </w:rPr>
        <w:t>החינוך</w:t>
      </w:r>
      <w:r w:rsidRPr="00B97E44">
        <w:rPr>
          <w:b/>
          <w:bCs/>
          <w:rtl/>
        </w:rPr>
        <w:t xml:space="preserve"> </w:t>
      </w:r>
      <w:r w:rsidRPr="00B97E44">
        <w:rPr>
          <w:rFonts w:hint="eastAsia"/>
          <w:b/>
          <w:bCs/>
          <w:rtl/>
        </w:rPr>
        <w:t>להקצאת</w:t>
      </w:r>
      <w:r w:rsidRPr="00B97E44">
        <w:rPr>
          <w:b/>
          <w:bCs/>
          <w:rtl/>
        </w:rPr>
        <w:t xml:space="preserve"> 200 </w:t>
      </w:r>
      <w:r w:rsidRPr="00B97E44">
        <w:rPr>
          <w:rFonts w:hint="eastAsia"/>
          <w:b/>
          <w:bCs/>
          <w:rtl/>
        </w:rPr>
        <w:t>מיליוני</w:t>
      </w:r>
      <w:r w:rsidRPr="00B97E44">
        <w:rPr>
          <w:b/>
          <w:bCs/>
          <w:rtl/>
        </w:rPr>
        <w:t xml:space="preserve"> </w:t>
      </w:r>
      <w:r w:rsidRPr="00B97E44">
        <w:rPr>
          <w:rFonts w:hint="eastAsia"/>
          <w:b/>
          <w:bCs/>
          <w:rtl/>
        </w:rPr>
        <w:t>ש</w:t>
      </w:r>
      <w:r w:rsidRPr="00B97E44">
        <w:rPr>
          <w:b/>
          <w:bCs/>
          <w:rtl/>
        </w:rPr>
        <w:t xml:space="preserve">"ח לטובת </w:t>
      </w:r>
      <w:r w:rsidRPr="00B97E44">
        <w:rPr>
          <w:rFonts w:hint="eastAsia"/>
          <w:b/>
          <w:bCs/>
          <w:rtl/>
        </w:rPr>
        <w:t>תמרוץ</w:t>
      </w:r>
      <w:r w:rsidRPr="00B97E44">
        <w:rPr>
          <w:b/>
          <w:bCs/>
          <w:rtl/>
        </w:rPr>
        <w:t xml:space="preserve"> עובדי הוראה</w:t>
      </w:r>
      <w:r w:rsidRPr="00B97E44">
        <w:rPr>
          <w:rFonts w:hint="cs"/>
          <w:b/>
          <w:bCs/>
          <w:rtl/>
        </w:rPr>
        <w:t xml:space="preserve"> בתוכנית החומש</w:t>
      </w:r>
      <w:r w:rsidRPr="00B97E44">
        <w:rPr>
          <w:b/>
          <w:bCs/>
          <w:rtl/>
        </w:rPr>
        <w:t>.</w:t>
      </w:r>
    </w:p>
    <w:p w:rsidR="005B126E" w:rsidP="001916A9">
      <w:pPr>
        <w:spacing w:line="269" w:lineRule="auto"/>
        <w:rPr>
          <w:b/>
          <w:bCs/>
          <w:rtl/>
        </w:rPr>
      </w:pPr>
    </w:p>
    <w:p w:rsidR="005B126E" w:rsidRPr="00B97E44" w:rsidP="001916A9">
      <w:pPr>
        <w:spacing w:line="269" w:lineRule="auto"/>
        <w:rPr>
          <w:b/>
          <w:bCs/>
          <w:rtl/>
        </w:rPr>
      </w:pPr>
      <w:r w:rsidRPr="00B97E44">
        <w:rPr>
          <w:rFonts w:hint="cs"/>
          <w:b/>
          <w:bCs/>
          <w:rtl/>
        </w:rPr>
        <w:t xml:space="preserve">יוצא אפוא כי </w:t>
      </w:r>
      <w:bookmarkStart w:id="33" w:name="_Hlk207632555"/>
      <w:r w:rsidRPr="00B97E44">
        <w:rPr>
          <w:b/>
          <w:bCs/>
          <w:rtl/>
        </w:rPr>
        <w:t>החלט</w:t>
      </w:r>
      <w:r w:rsidRPr="00B97E44">
        <w:rPr>
          <w:rFonts w:hint="cs"/>
          <w:b/>
          <w:bCs/>
          <w:rtl/>
        </w:rPr>
        <w:t>ת הממשלה</w:t>
      </w:r>
      <w:r w:rsidRPr="00B97E44">
        <w:rPr>
          <w:b/>
          <w:bCs/>
          <w:rtl/>
        </w:rPr>
        <w:t xml:space="preserve"> </w:t>
      </w:r>
      <w:r w:rsidRPr="00B97E44">
        <w:rPr>
          <w:rFonts w:hint="cs"/>
          <w:b/>
          <w:bCs/>
          <w:rtl/>
        </w:rPr>
        <w:t xml:space="preserve">מאפריל 2024 </w:t>
      </w:r>
      <w:r w:rsidRPr="00B97E44">
        <w:rPr>
          <w:b/>
          <w:bCs/>
          <w:rtl/>
        </w:rPr>
        <w:t xml:space="preserve">לתקצב </w:t>
      </w:r>
      <w:r w:rsidRPr="00B97E44">
        <w:rPr>
          <w:rFonts w:hint="eastAsia"/>
          <w:b/>
          <w:bCs/>
          <w:rtl/>
        </w:rPr>
        <w:t>תמרוץ</w:t>
      </w:r>
      <w:r w:rsidRPr="00B97E44">
        <w:rPr>
          <w:b/>
          <w:bCs/>
          <w:rtl/>
        </w:rPr>
        <w:t xml:space="preserve"> צוותי הוראה בחבל התקומה ב-200 מיליוני ש"ח התקבלה ללא מעורבות</w:t>
      </w:r>
      <w:r w:rsidRPr="00B97E44">
        <w:rPr>
          <w:rFonts w:hint="cs"/>
          <w:b/>
          <w:bCs/>
          <w:rtl/>
        </w:rPr>
        <w:t>ם</w:t>
      </w:r>
      <w:r w:rsidRPr="00B97E44">
        <w:rPr>
          <w:b/>
          <w:bCs/>
          <w:rtl/>
        </w:rPr>
        <w:t xml:space="preserve"> של </w:t>
      </w:r>
      <w:r w:rsidRPr="00B97E44">
        <w:rPr>
          <w:rFonts w:hint="cs"/>
          <w:b/>
          <w:bCs/>
          <w:rtl/>
        </w:rPr>
        <w:t>אגף השכר והסכמי עבודה</w:t>
      </w:r>
      <w:r w:rsidRPr="00B97E44">
        <w:rPr>
          <w:b/>
          <w:bCs/>
          <w:rtl/>
        </w:rPr>
        <w:t xml:space="preserve"> </w:t>
      </w:r>
      <w:r w:rsidRPr="00B97E44">
        <w:rPr>
          <w:rFonts w:hint="eastAsia"/>
          <w:b/>
          <w:bCs/>
          <w:rtl/>
        </w:rPr>
        <w:t>במשרד</w:t>
      </w:r>
      <w:r w:rsidRPr="00B97E44">
        <w:rPr>
          <w:b/>
          <w:bCs/>
          <w:rtl/>
        </w:rPr>
        <w:t xml:space="preserve"> </w:t>
      </w:r>
      <w:r w:rsidRPr="00B97E44">
        <w:rPr>
          <w:rFonts w:hint="eastAsia"/>
          <w:b/>
          <w:bCs/>
          <w:rtl/>
        </w:rPr>
        <w:t>האוצר</w:t>
      </w:r>
      <w:r w:rsidRPr="00B97E44">
        <w:rPr>
          <w:rFonts w:hint="cs"/>
          <w:b/>
          <w:bCs/>
          <w:rtl/>
        </w:rPr>
        <w:t xml:space="preserve"> המופקד </w:t>
      </w:r>
      <w:r w:rsidRPr="00B97E44">
        <w:rPr>
          <w:rFonts w:hint="eastAsia"/>
          <w:b/>
          <w:bCs/>
          <w:rtl/>
        </w:rPr>
        <w:t>על</w:t>
      </w:r>
      <w:r w:rsidRPr="00B97E44">
        <w:rPr>
          <w:b/>
          <w:bCs/>
          <w:rtl/>
        </w:rPr>
        <w:t xml:space="preserve"> </w:t>
      </w:r>
      <w:r w:rsidRPr="00B97E44">
        <w:rPr>
          <w:rFonts w:hint="eastAsia"/>
          <w:b/>
          <w:bCs/>
          <w:rtl/>
        </w:rPr>
        <w:t>הנושא</w:t>
      </w:r>
      <w:r w:rsidRPr="00B97E44">
        <w:rPr>
          <w:rFonts w:hint="cs"/>
          <w:b/>
          <w:bCs/>
          <w:rtl/>
        </w:rPr>
        <w:t xml:space="preserve"> וללא מעורבותם של הרשויות המקומיות הגדולות בחבל התקומה</w:t>
      </w:r>
      <w:r w:rsidRPr="00B97E44">
        <w:rPr>
          <w:b/>
          <w:bCs/>
          <w:rtl/>
        </w:rPr>
        <w:t xml:space="preserve"> </w:t>
      </w:r>
      <w:r w:rsidRPr="00B97E44">
        <w:rPr>
          <w:rFonts w:hint="cs"/>
          <w:b/>
          <w:bCs/>
          <w:rtl/>
        </w:rPr>
        <w:t>בשלב עבודת המטה לגיבושה. בשל כך</w:t>
      </w:r>
      <w:r w:rsidRPr="00B97E44">
        <w:rPr>
          <w:b/>
          <w:bCs/>
          <w:rtl/>
        </w:rPr>
        <w:t xml:space="preserve"> </w:t>
      </w:r>
      <w:r w:rsidRPr="00B97E44">
        <w:rPr>
          <w:rFonts w:hint="cs"/>
          <w:b/>
          <w:bCs/>
          <w:rtl/>
        </w:rPr>
        <w:t xml:space="preserve">בשלב גיבוש התוכנית לא הובאו </w:t>
      </w:r>
      <w:r w:rsidRPr="00B97E44">
        <w:rPr>
          <w:b/>
          <w:bCs/>
          <w:rtl/>
        </w:rPr>
        <w:t>בחשבון שיקולים מקצועיים הנוגעים למדיניות השכר הכוללת</w:t>
      </w:r>
      <w:r w:rsidRPr="00B97E44">
        <w:rPr>
          <w:rFonts w:hint="cs"/>
          <w:b/>
          <w:bCs/>
          <w:rtl/>
        </w:rPr>
        <w:t xml:space="preserve">, </w:t>
      </w:r>
      <w:r w:rsidRPr="00B97E44">
        <w:rPr>
          <w:b/>
          <w:bCs/>
          <w:rtl/>
        </w:rPr>
        <w:t>לחלופות תקציביות אפשריות</w:t>
      </w:r>
      <w:r w:rsidRPr="00B97E44">
        <w:rPr>
          <w:rFonts w:hint="cs"/>
          <w:b/>
          <w:bCs/>
          <w:rtl/>
        </w:rPr>
        <w:t xml:space="preserve"> ולמועילות שלו בגיוס עובדי הוראה ברשויות החבל, וכל זאת כאשר לא נמצא מחסור של ממש בעובדי הוראה בחבל</w:t>
      </w:r>
      <w:r w:rsidRPr="00B97E44">
        <w:rPr>
          <w:b/>
          <w:bCs/>
          <w:rtl/>
        </w:rPr>
        <w:t>.</w:t>
      </w:r>
      <w:r w:rsidRPr="00B97E44">
        <w:rPr>
          <w:rFonts w:hint="cs"/>
          <w:b/>
          <w:bCs/>
          <w:rtl/>
        </w:rPr>
        <w:t xml:space="preserve"> יחד עם זאת יודגש כי לאחר קבלת החלטת הממשלה השתתף אגף השכר והסכמי עבודה בגיבוש תוכנית </w:t>
      </w:r>
      <w:r w:rsidRPr="00B97E44">
        <w:rPr>
          <w:rFonts w:hint="cs"/>
          <w:b/>
          <w:bCs/>
          <w:rtl/>
        </w:rPr>
        <w:t>התמרוץ</w:t>
      </w:r>
      <w:r w:rsidRPr="00B97E44">
        <w:rPr>
          <w:rFonts w:hint="cs"/>
          <w:b/>
          <w:bCs/>
          <w:rtl/>
        </w:rPr>
        <w:t xml:space="preserve"> לעובדי ההוראה.</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באוקטובר 2025 פרסמה מינהלת תקומה תוכנית חומש מעודכנת. על פי משרד החינוך, כבר ביולי 2025 הודיעה מינהלת תקומה על קיצוץ של 90 מיליוני ש"ח מתקציב </w:t>
      </w:r>
      <w:r w:rsidRPr="00B97E44">
        <w:rPr>
          <w:rFonts w:hint="cs"/>
          <w:rtl/>
        </w:rPr>
        <w:t>תמרוץ</w:t>
      </w:r>
      <w:r w:rsidRPr="00B97E44">
        <w:rPr>
          <w:rFonts w:hint="cs"/>
          <w:rtl/>
        </w:rPr>
        <w:t xml:space="preserve"> עובדי ההוראה. </w:t>
      </w:r>
    </w:p>
    <w:p w:rsidR="005B126E" w:rsidP="001916A9">
      <w:pPr>
        <w:spacing w:line="269" w:lineRule="auto"/>
        <w:rPr>
          <w:b/>
          <w:bCs/>
          <w:rtl/>
        </w:rPr>
      </w:pPr>
    </w:p>
    <w:p w:rsidR="005B126E" w:rsidRPr="00B97E44" w:rsidP="001916A9">
      <w:pPr>
        <w:spacing w:line="269" w:lineRule="auto"/>
        <w:rPr>
          <w:b/>
          <w:bCs/>
          <w:rtl/>
        </w:rPr>
      </w:pPr>
      <w:r w:rsidRPr="00B97E44">
        <w:rPr>
          <w:rFonts w:hint="cs"/>
          <w:b/>
          <w:bCs/>
          <w:rtl/>
        </w:rPr>
        <w:t>קרי, מינהלת תקומה בחרה לקצץ כמעט במחצית את התקציב שהקצתה לנושא בגיבוש התוכנית המקורית.</w:t>
      </w:r>
    </w:p>
    <w:p w:rsidR="005B126E" w:rsidRPr="00B97E44" w:rsidP="001916A9">
      <w:pPr>
        <w:spacing w:line="269" w:lineRule="auto"/>
        <w:rPr>
          <w:b/>
          <w:bCs/>
          <w:rtl/>
        </w:rPr>
      </w:pPr>
    </w:p>
    <w:bookmarkEnd w:id="33"/>
    <w:p w:rsidR="005B126E" w:rsidRPr="00B97E44" w:rsidP="001916A9">
      <w:pPr>
        <w:pStyle w:val="Heading6"/>
        <w:spacing w:line="269" w:lineRule="auto"/>
        <w:rPr>
          <w:rtl/>
        </w:rPr>
      </w:pPr>
      <w:r w:rsidRPr="00B97E44">
        <w:rPr>
          <w:rFonts w:hint="cs"/>
          <w:rtl/>
        </w:rPr>
        <w:t xml:space="preserve">תוכנית </w:t>
      </w:r>
      <w:r w:rsidRPr="00B97E44">
        <w:rPr>
          <w:rFonts w:hint="cs"/>
          <w:rtl/>
        </w:rPr>
        <w:t>התמרוץ</w:t>
      </w:r>
      <w:r w:rsidRPr="00B97E44">
        <w:rPr>
          <w:rFonts w:hint="cs"/>
          <w:rtl/>
        </w:rPr>
        <w:t xml:space="preserve"> לשנת הלימודים </w:t>
      </w:r>
      <w:r w:rsidRPr="00B97E44">
        <w:rPr>
          <w:rFonts w:hint="cs"/>
          <w:rtl/>
        </w:rPr>
        <w:t>התשפ"ה</w:t>
      </w:r>
    </w:p>
    <w:p w:rsidR="005B126E" w:rsidRPr="00B97E44" w:rsidP="001916A9">
      <w:pPr>
        <w:spacing w:line="269" w:lineRule="auto"/>
        <w:ind w:left="-567"/>
        <w:rPr>
          <w:szCs w:val="20"/>
          <w:rtl/>
        </w:rPr>
      </w:pPr>
    </w:p>
    <w:p w:rsidR="005B126E" w:rsidRPr="00B97E44" w:rsidP="001916A9">
      <w:pPr>
        <w:spacing w:line="269" w:lineRule="auto"/>
        <w:rPr>
          <w:rtl/>
        </w:rPr>
      </w:pPr>
      <w:r w:rsidRPr="00B97E44">
        <w:rPr>
          <w:rFonts w:hint="cs"/>
          <w:rtl/>
        </w:rPr>
        <w:t xml:space="preserve">התוכנית שגיבשו משרד החינוך </w:t>
      </w:r>
      <w:r w:rsidRPr="00B97E44">
        <w:rPr>
          <w:rFonts w:hint="cs"/>
          <w:rtl/>
        </w:rPr>
        <w:t>ומינהלת</w:t>
      </w:r>
      <w:r w:rsidRPr="00B97E44">
        <w:rPr>
          <w:rFonts w:hint="cs"/>
          <w:rtl/>
        </w:rPr>
        <w:t xml:space="preserve"> תקומה</w:t>
      </w:r>
      <w:r w:rsidRPr="00B97E44">
        <w:rPr>
          <w:rtl/>
        </w:rPr>
        <w:t xml:space="preserve"> </w:t>
      </w:r>
      <w:r w:rsidRPr="00B97E44">
        <w:rPr>
          <w:rFonts w:hint="eastAsia"/>
          <w:rtl/>
        </w:rPr>
        <w:t>ל</w:t>
      </w:r>
      <w:r w:rsidRPr="00B97E44">
        <w:rPr>
          <w:rFonts w:hint="cs"/>
          <w:rtl/>
        </w:rPr>
        <w:t>תמרוץ</w:t>
      </w:r>
      <w:r w:rsidRPr="00B97E44">
        <w:rPr>
          <w:rFonts w:hint="cs"/>
          <w:rtl/>
        </w:rPr>
        <w:t>, גיוס ושימור של עובדי ההוראה בחבל התקומה</w:t>
      </w:r>
      <w:r w:rsidRPr="00B97E44">
        <w:rPr>
          <w:rtl/>
        </w:rPr>
        <w:t xml:space="preserve"> קיבל</w:t>
      </w:r>
      <w:r w:rsidRPr="00B97E44">
        <w:rPr>
          <w:rFonts w:hint="cs"/>
          <w:rtl/>
        </w:rPr>
        <w:t xml:space="preserve">ה </w:t>
      </w:r>
      <w:r w:rsidRPr="00B97E44">
        <w:rPr>
          <w:rtl/>
        </w:rPr>
        <w:t xml:space="preserve">ביטוי בחוזר הממונה על השכר </w:t>
      </w:r>
      <w:r w:rsidRPr="00B97E44">
        <w:rPr>
          <w:rFonts w:hint="cs"/>
          <w:rtl/>
        </w:rPr>
        <w:t xml:space="preserve">במשרד האוצר </w:t>
      </w:r>
      <w:r w:rsidRPr="00B97E44">
        <w:rPr>
          <w:rtl/>
        </w:rPr>
        <w:t>שפורסם ב</w:t>
      </w:r>
      <w:r w:rsidRPr="00B97E44">
        <w:rPr>
          <w:rFonts w:hint="cs"/>
          <w:rtl/>
        </w:rPr>
        <w:t>אוגוסט 2024</w:t>
      </w:r>
      <w:r>
        <w:rPr>
          <w:vertAlign w:val="superscript"/>
          <w:rtl/>
        </w:rPr>
        <w:footnoteReference w:id="54"/>
      </w:r>
      <w:r w:rsidRPr="00B97E44">
        <w:rPr>
          <w:rtl/>
        </w:rPr>
        <w:t>.</w:t>
      </w:r>
      <w:r w:rsidRPr="00B97E44">
        <w:rPr>
          <w:rFonts w:hint="cs"/>
          <w:rtl/>
        </w:rPr>
        <w:t xml:space="preserve"> בחוזר הובהר כי </w:t>
      </w:r>
      <w:r w:rsidRPr="00B97E44">
        <w:rPr>
          <w:rtl/>
        </w:rPr>
        <w:t xml:space="preserve">תוכנית </w:t>
      </w:r>
      <w:r w:rsidRPr="00B97E44">
        <w:rPr>
          <w:rFonts w:hint="cs"/>
          <w:rtl/>
        </w:rPr>
        <w:t>ה</w:t>
      </w:r>
      <w:r w:rsidRPr="00B97E44">
        <w:rPr>
          <w:rtl/>
        </w:rPr>
        <w:t>תמרוץ</w:t>
      </w:r>
      <w:r w:rsidRPr="00B97E44">
        <w:rPr>
          <w:rtl/>
        </w:rPr>
        <w:t xml:space="preserve"> </w:t>
      </w:r>
      <w:r w:rsidRPr="00B97E44">
        <w:rPr>
          <w:rFonts w:hint="cs"/>
          <w:rtl/>
        </w:rPr>
        <w:t xml:space="preserve">האמורה נועדה </w:t>
      </w:r>
      <w:r w:rsidRPr="00B97E44">
        <w:rPr>
          <w:rtl/>
        </w:rPr>
        <w:t>לשנת הלימודים תשפ"ה בלבד, כחלק ממאמצי ההתארגנות, הייצוב וההיערכות מחדש של מערכת החינוך בחבל.</w:t>
      </w:r>
      <w:r w:rsidRPr="00B97E44">
        <w:rPr>
          <w:rFonts w:hint="cs"/>
          <w:rtl/>
        </w:rPr>
        <w:t xml:space="preserve"> </w:t>
      </w:r>
    </w:p>
    <w:p w:rsidR="005B126E" w:rsidP="001916A9">
      <w:pPr>
        <w:spacing w:line="269" w:lineRule="auto"/>
        <w:rPr>
          <w:rtl/>
        </w:rPr>
      </w:pPr>
    </w:p>
    <w:p w:rsidR="005B126E" w:rsidRPr="00B97E44" w:rsidP="001916A9">
      <w:pPr>
        <w:spacing w:line="269" w:lineRule="auto"/>
        <w:rPr>
          <w:rtl/>
        </w:rPr>
      </w:pPr>
      <w:r w:rsidRPr="00B97E44">
        <w:rPr>
          <w:rFonts w:hint="cs"/>
          <w:rtl/>
        </w:rPr>
        <w:t>ה</w:t>
      </w:r>
      <w:r w:rsidRPr="00B97E44">
        <w:rPr>
          <w:rtl/>
        </w:rPr>
        <w:t>תוכנית</w:t>
      </w:r>
      <w:r w:rsidRPr="00B97E44">
        <w:rPr>
          <w:rFonts w:hint="cs"/>
          <w:rtl/>
        </w:rPr>
        <w:t>,</w:t>
      </w:r>
      <w:r w:rsidRPr="00B97E44">
        <w:rPr>
          <w:rtl/>
        </w:rPr>
        <w:t xml:space="preserve"> </w:t>
      </w:r>
      <w:r w:rsidRPr="00B97E44">
        <w:rPr>
          <w:rFonts w:hint="cs"/>
          <w:rtl/>
        </w:rPr>
        <w:t>על פי מנסחיה,</w:t>
      </w:r>
      <w:r w:rsidRPr="00B97E44">
        <w:rPr>
          <w:rtl/>
        </w:rPr>
        <w:t xml:space="preserve"> נועדה למשוך הון אנושי איכותי ולהבטיח רציפות חינוכית באזור הסובל מהיעדר ודאות ומאתגרים פדגוגיים, רגשיים וחברתיים חריגים. לשם כך גובשו שני מסלולי </w:t>
      </w:r>
      <w:r w:rsidRPr="00B97E44">
        <w:rPr>
          <w:rtl/>
        </w:rPr>
        <w:t>תמרוץ</w:t>
      </w:r>
      <w:r w:rsidRPr="00B97E44">
        <w:rPr>
          <w:rtl/>
        </w:rPr>
        <w:t>: מענק גיוס לעובדים חדשים אשר יתחייבו לעבוד במשך שנה מלאה בחבל התקומה</w:t>
      </w:r>
      <w:r w:rsidRPr="00B97E44">
        <w:rPr>
          <w:rFonts w:hint="cs"/>
          <w:rtl/>
        </w:rPr>
        <w:t xml:space="preserve"> (תוכנית גיוס)</w:t>
      </w:r>
      <w:r w:rsidRPr="00B97E44">
        <w:rPr>
          <w:rtl/>
        </w:rPr>
        <w:t>, ומענק התארגנות וייצוב לעובדים ותיקים או עובדים חוזרים</w:t>
      </w:r>
      <w:r w:rsidRPr="00B97E44">
        <w:rPr>
          <w:rFonts w:hint="cs"/>
          <w:rtl/>
        </w:rPr>
        <w:t xml:space="preserve"> (תוכנית שימור)</w:t>
      </w:r>
      <w:r w:rsidRPr="00B97E44">
        <w:rPr>
          <w:rtl/>
        </w:rPr>
        <w:t>, אשר יועסקו בפועל בשנת הלימודים תשפ"ה</w:t>
      </w:r>
      <w:r w:rsidRPr="00B97E44">
        <w:t>.</w:t>
      </w:r>
      <w:r w:rsidRPr="00B97E44">
        <w:rPr>
          <w:rFonts w:hint="cs"/>
          <w:rtl/>
        </w:rPr>
        <w:t xml:space="preserve"> </w:t>
      </w:r>
    </w:p>
    <w:p w:rsidR="005B126E" w:rsidP="001916A9">
      <w:pPr>
        <w:spacing w:line="269" w:lineRule="auto"/>
        <w:rPr>
          <w:rtl/>
        </w:rPr>
      </w:pPr>
    </w:p>
    <w:p w:rsidR="005B126E" w:rsidRPr="00B97E44" w:rsidP="001916A9">
      <w:pPr>
        <w:spacing w:line="269" w:lineRule="auto"/>
        <w:rPr>
          <w:rtl/>
        </w:rPr>
      </w:pPr>
      <w:r>
        <w:rPr>
          <w:rFonts w:hint="cs"/>
          <w:rtl/>
        </w:rPr>
        <w:t>מ</w:t>
      </w:r>
      <w:r w:rsidRPr="00B97E44">
        <w:rPr>
          <w:rtl/>
        </w:rPr>
        <w:t xml:space="preserve">ענקי </w:t>
      </w:r>
      <w:r w:rsidRPr="00B97E44">
        <w:rPr>
          <w:rtl/>
        </w:rPr>
        <w:t>התמרוץ</w:t>
      </w:r>
      <w:r w:rsidRPr="00B97E44">
        <w:rPr>
          <w:rFonts w:hint="cs"/>
          <w:rtl/>
        </w:rPr>
        <w:t xml:space="preserve"> הסתכמו בתוספות כספיות לשכר עובדי הוראה בשנת הלימודים תשפ"ה ועמדו על פי החוזר על</w:t>
      </w:r>
      <w:r w:rsidRPr="00B97E44">
        <w:rPr>
          <w:rtl/>
        </w:rPr>
        <w:t xml:space="preserve"> 8,000 </w:t>
      </w:r>
      <w:r w:rsidRPr="00B97E44">
        <w:rPr>
          <w:rFonts w:hint="cs"/>
          <w:rtl/>
        </w:rPr>
        <w:t>ש"ח</w:t>
      </w:r>
      <w:r w:rsidRPr="00B97E44">
        <w:rPr>
          <w:rtl/>
        </w:rPr>
        <w:t xml:space="preserve"> לעובדים קיימים </w:t>
      </w:r>
      <w:r w:rsidRPr="00B97E44">
        <w:rPr>
          <w:rFonts w:hint="cs"/>
          <w:rtl/>
        </w:rPr>
        <w:t xml:space="preserve">ועל </w:t>
      </w:r>
      <w:r w:rsidRPr="00B97E44">
        <w:rPr>
          <w:rtl/>
        </w:rPr>
        <w:t xml:space="preserve">30,000 </w:t>
      </w:r>
      <w:r w:rsidRPr="00B97E44">
        <w:rPr>
          <w:rFonts w:hint="cs"/>
          <w:rtl/>
        </w:rPr>
        <w:t xml:space="preserve">ש"ח </w:t>
      </w:r>
      <w:r w:rsidRPr="00B97E44">
        <w:rPr>
          <w:rtl/>
        </w:rPr>
        <w:t xml:space="preserve">לעובדים חדשים, בהתאם להיקף המשרה ולתקופת ההעסקה בפועל. תשלום המענקים </w:t>
      </w:r>
      <w:r w:rsidRPr="00B97E44">
        <w:rPr>
          <w:rFonts w:hint="cs"/>
          <w:rtl/>
        </w:rPr>
        <w:t>היה אמור להת</w:t>
      </w:r>
      <w:r w:rsidRPr="00B97E44">
        <w:rPr>
          <w:rtl/>
        </w:rPr>
        <w:t>בצע בשני שלבים במהלך השנה, כפוף להשלמת תנאי</w:t>
      </w:r>
      <w:r w:rsidRPr="00B97E44">
        <w:rPr>
          <w:rFonts w:hint="cs"/>
          <w:rtl/>
        </w:rPr>
        <w:t xml:space="preserve"> הסכם</w:t>
      </w:r>
      <w:r w:rsidRPr="00B97E44">
        <w:rPr>
          <w:rtl/>
        </w:rPr>
        <w:t xml:space="preserve"> ההעסק</w:t>
      </w:r>
      <w:r w:rsidRPr="00B97E44">
        <w:rPr>
          <w:rFonts w:hint="cs"/>
          <w:rtl/>
        </w:rPr>
        <w:t xml:space="preserve">ה. </w:t>
      </w:r>
    </w:p>
    <w:p w:rsidR="005B126E" w:rsidP="001916A9">
      <w:pPr>
        <w:spacing w:line="269" w:lineRule="auto"/>
        <w:rPr>
          <w:rtl/>
        </w:rPr>
      </w:pPr>
    </w:p>
    <w:p w:rsidR="005B126E" w:rsidRPr="00B97E44" w:rsidP="001916A9">
      <w:pPr>
        <w:spacing w:line="269" w:lineRule="auto"/>
        <w:rPr>
          <w:rtl/>
        </w:rPr>
      </w:pPr>
      <w:r w:rsidRPr="00B97E44">
        <w:rPr>
          <w:rFonts w:hint="eastAsia"/>
          <w:rtl/>
        </w:rPr>
        <w:t>מנתוני</w:t>
      </w:r>
      <w:r w:rsidRPr="00B97E44">
        <w:rPr>
          <w:rtl/>
        </w:rPr>
        <w:t xml:space="preserve"> משרד החינוך עולה </w:t>
      </w:r>
      <w:r w:rsidRPr="00B97E44">
        <w:rPr>
          <w:rFonts w:hint="eastAsia"/>
          <w:rtl/>
        </w:rPr>
        <w:t>כי</w:t>
      </w:r>
      <w:r w:rsidRPr="00B97E44">
        <w:rPr>
          <w:rtl/>
        </w:rPr>
        <w:t xml:space="preserve"> </w:t>
      </w:r>
      <w:r w:rsidRPr="00B97E44">
        <w:rPr>
          <w:rFonts w:hint="eastAsia"/>
          <w:rtl/>
        </w:rPr>
        <w:t>בשנת</w:t>
      </w:r>
      <w:r w:rsidRPr="00B97E44">
        <w:rPr>
          <w:rtl/>
        </w:rPr>
        <w:t xml:space="preserve"> </w:t>
      </w:r>
      <w:r w:rsidRPr="00B97E44">
        <w:rPr>
          <w:rFonts w:hint="eastAsia"/>
          <w:rtl/>
        </w:rPr>
        <w:t>הלימודים</w:t>
      </w:r>
      <w:r w:rsidRPr="00B97E44">
        <w:rPr>
          <w:rtl/>
        </w:rPr>
        <w:t xml:space="preserve"> </w:t>
      </w:r>
      <w:r w:rsidRPr="00B97E44">
        <w:rPr>
          <w:rFonts w:hint="eastAsia"/>
          <w:rtl/>
        </w:rPr>
        <w:t>תשפ</w:t>
      </w:r>
      <w:r w:rsidRPr="00B97E44">
        <w:rPr>
          <w:rtl/>
        </w:rPr>
        <w:t xml:space="preserve">"ה קיבלו את התמריץ 1,415 עובדי הוראה, המוערכים </w:t>
      </w:r>
      <w:r w:rsidRPr="00B97E44">
        <w:rPr>
          <w:rFonts w:hint="eastAsia"/>
          <w:rtl/>
        </w:rPr>
        <w:t>בכשני</w:t>
      </w:r>
      <w:r w:rsidRPr="00B97E44">
        <w:rPr>
          <w:rtl/>
        </w:rPr>
        <w:t xml:space="preserve"> שליש</w:t>
      </w:r>
      <w:r w:rsidRPr="00B97E44">
        <w:rPr>
          <w:rFonts w:hint="cs"/>
          <w:rtl/>
        </w:rPr>
        <w:t>ים</w:t>
      </w:r>
      <w:r w:rsidRPr="00B97E44">
        <w:rPr>
          <w:rtl/>
        </w:rPr>
        <w:t xml:space="preserve"> מעובדי ההוראה שעבדו בחבל</w:t>
      </w:r>
      <w:r>
        <w:rPr>
          <w:vertAlign w:val="superscript"/>
          <w:rtl/>
        </w:rPr>
        <w:footnoteReference w:id="55"/>
      </w:r>
      <w:r w:rsidRPr="00B97E44">
        <w:rPr>
          <w:rtl/>
        </w:rPr>
        <w:t xml:space="preserve"> ו-85 </w:t>
      </w:r>
      <w:r w:rsidRPr="00B97E44">
        <w:rPr>
          <w:rFonts w:hint="eastAsia"/>
          <w:rtl/>
        </w:rPr>
        <w:t>עובדי</w:t>
      </w:r>
      <w:r w:rsidRPr="00B97E44">
        <w:rPr>
          <w:rtl/>
        </w:rPr>
        <w:t xml:space="preserve"> </w:t>
      </w:r>
      <w:r w:rsidRPr="00B97E44">
        <w:rPr>
          <w:rFonts w:hint="eastAsia"/>
          <w:rtl/>
        </w:rPr>
        <w:t>הוראה</w:t>
      </w:r>
      <w:r w:rsidRPr="00B97E44">
        <w:rPr>
          <w:rtl/>
        </w:rPr>
        <w:t xml:space="preserve"> </w:t>
      </w:r>
      <w:r w:rsidRPr="00B97E44">
        <w:rPr>
          <w:rFonts w:hint="eastAsia"/>
          <w:rtl/>
        </w:rPr>
        <w:t>חדשים</w:t>
      </w:r>
      <w:r w:rsidRPr="00B97E44">
        <w:rPr>
          <w:rtl/>
        </w:rPr>
        <w:t xml:space="preserve">. משכך עלות </w:t>
      </w:r>
      <w:r w:rsidRPr="00B97E44">
        <w:rPr>
          <w:rFonts w:hint="eastAsia"/>
          <w:rtl/>
        </w:rPr>
        <w:t>מימוש</w:t>
      </w:r>
      <w:r w:rsidRPr="00B97E44">
        <w:rPr>
          <w:rtl/>
        </w:rPr>
        <w:t xml:space="preserve"> </w:t>
      </w:r>
      <w:r w:rsidRPr="00B97E44">
        <w:rPr>
          <w:rFonts w:hint="eastAsia"/>
          <w:rtl/>
        </w:rPr>
        <w:t>התוכנית</w:t>
      </w:r>
      <w:r w:rsidRPr="00B97E44">
        <w:rPr>
          <w:rtl/>
        </w:rPr>
        <w:t xml:space="preserve"> בשנת הלימודים תשפ"ה מוערכת ב-1</w:t>
      </w:r>
      <w:r w:rsidRPr="00B97E44">
        <w:rPr>
          <w:rFonts w:hint="cs"/>
          <w:rtl/>
        </w:rPr>
        <w:t>6</w:t>
      </w:r>
      <w:r w:rsidRPr="00B97E44">
        <w:rPr>
          <w:rtl/>
        </w:rPr>
        <w:t>.</w:t>
      </w:r>
      <w:r w:rsidRPr="00B97E44">
        <w:rPr>
          <w:rFonts w:hint="cs"/>
          <w:rtl/>
        </w:rPr>
        <w:t>8</w:t>
      </w:r>
      <w:r w:rsidRPr="00B97E44">
        <w:rPr>
          <w:rtl/>
        </w:rPr>
        <w:t xml:space="preserve"> מיליוני ש"ח </w:t>
      </w:r>
      <w:r w:rsidRPr="00B97E44">
        <w:rPr>
          <w:rFonts w:hint="eastAsia"/>
          <w:rtl/>
        </w:rPr>
        <w:t>בלבד</w:t>
      </w:r>
      <w:r w:rsidRPr="00B97E44">
        <w:rPr>
          <w:rtl/>
        </w:rPr>
        <w:t xml:space="preserve"> מתוך 40 מיליוני </w:t>
      </w:r>
      <w:r w:rsidRPr="00B97E44">
        <w:rPr>
          <w:rFonts w:hint="eastAsia"/>
          <w:rtl/>
        </w:rPr>
        <w:t>ש</w:t>
      </w:r>
      <w:r w:rsidRPr="00B97E44">
        <w:rPr>
          <w:rtl/>
        </w:rPr>
        <w:t xml:space="preserve">"ח </w:t>
      </w:r>
      <w:r w:rsidRPr="00B97E44">
        <w:rPr>
          <w:rFonts w:hint="cs"/>
          <w:rtl/>
        </w:rPr>
        <w:t xml:space="preserve">(לכל הפחות) </w:t>
      </w:r>
      <w:r w:rsidRPr="00B97E44">
        <w:rPr>
          <w:rtl/>
        </w:rPr>
        <w:t>ש</w:t>
      </w:r>
      <w:r w:rsidRPr="00B97E44">
        <w:rPr>
          <w:rFonts w:hint="eastAsia"/>
          <w:rtl/>
        </w:rPr>
        <w:t>יועדו</w:t>
      </w:r>
      <w:r w:rsidRPr="00B97E44">
        <w:rPr>
          <w:rtl/>
        </w:rPr>
        <w:t xml:space="preserve"> </w:t>
      </w:r>
      <w:r w:rsidRPr="00B97E44">
        <w:rPr>
          <w:rFonts w:hint="eastAsia"/>
          <w:rtl/>
        </w:rPr>
        <w:t>לתוכנית</w:t>
      </w:r>
      <w:r w:rsidRPr="00B97E44">
        <w:rPr>
          <w:rtl/>
        </w:rPr>
        <w:t xml:space="preserve"> לשנה זו כ</w:t>
      </w:r>
      <w:r w:rsidRPr="00B97E44">
        <w:rPr>
          <w:rFonts w:hint="eastAsia"/>
          <w:rtl/>
        </w:rPr>
        <w:t>אמור</w:t>
      </w:r>
      <w:r w:rsidRPr="00B97E44">
        <w:rPr>
          <w:rtl/>
        </w:rPr>
        <w:t xml:space="preserve">. </w:t>
      </w:r>
      <w:r w:rsidRPr="00B97E44">
        <w:rPr>
          <w:rFonts w:hint="eastAsia"/>
          <w:rtl/>
        </w:rPr>
        <w:t>יצוין</w:t>
      </w:r>
      <w:r w:rsidRPr="00B97E44">
        <w:rPr>
          <w:rtl/>
        </w:rPr>
        <w:t xml:space="preserve"> </w:t>
      </w:r>
      <w:r w:rsidRPr="00B97E44">
        <w:rPr>
          <w:rFonts w:hint="eastAsia"/>
          <w:rtl/>
        </w:rPr>
        <w:t>כי</w:t>
      </w:r>
      <w:r w:rsidRPr="00B97E44">
        <w:rPr>
          <w:rtl/>
        </w:rPr>
        <w:t xml:space="preserve"> </w:t>
      </w:r>
      <w:r w:rsidRPr="00B97E44">
        <w:rPr>
          <w:rFonts w:hint="eastAsia"/>
          <w:rtl/>
        </w:rPr>
        <w:t>רק</w:t>
      </w:r>
      <w:r w:rsidRPr="00B97E44">
        <w:rPr>
          <w:rtl/>
        </w:rPr>
        <w:t xml:space="preserve"> </w:t>
      </w:r>
      <w:r w:rsidRPr="00B97E44">
        <w:rPr>
          <w:rFonts w:hint="eastAsia"/>
          <w:rtl/>
        </w:rPr>
        <w:t>כשני</w:t>
      </w:r>
      <w:r w:rsidRPr="00B97E44">
        <w:rPr>
          <w:rtl/>
        </w:rPr>
        <w:t xml:space="preserve"> </w:t>
      </w:r>
      <w:r w:rsidRPr="00B97E44">
        <w:rPr>
          <w:rFonts w:hint="eastAsia"/>
          <w:rtl/>
        </w:rPr>
        <w:t>שליש</w:t>
      </w:r>
      <w:r w:rsidRPr="00B97E44">
        <w:rPr>
          <w:rFonts w:hint="cs"/>
          <w:rtl/>
        </w:rPr>
        <w:t>ים</w:t>
      </w:r>
      <w:r w:rsidRPr="00B97E44">
        <w:rPr>
          <w:rtl/>
        </w:rPr>
        <w:t xml:space="preserve"> </w:t>
      </w:r>
      <w:r w:rsidRPr="00B97E44">
        <w:rPr>
          <w:rFonts w:hint="eastAsia"/>
          <w:rtl/>
        </w:rPr>
        <w:t>מכלל</w:t>
      </w:r>
      <w:r w:rsidRPr="00B97E44">
        <w:rPr>
          <w:rtl/>
        </w:rPr>
        <w:t xml:space="preserve"> </w:t>
      </w:r>
      <w:r w:rsidRPr="00B97E44">
        <w:rPr>
          <w:rFonts w:hint="eastAsia"/>
          <w:rtl/>
        </w:rPr>
        <w:t>עובדי</w:t>
      </w:r>
      <w:r w:rsidRPr="00B97E44">
        <w:rPr>
          <w:rtl/>
        </w:rPr>
        <w:t xml:space="preserve"> </w:t>
      </w:r>
      <w:r w:rsidRPr="00B97E44">
        <w:rPr>
          <w:rFonts w:hint="eastAsia"/>
          <w:rtl/>
        </w:rPr>
        <w:t>ההוראה</w:t>
      </w:r>
      <w:r w:rsidRPr="00B97E44">
        <w:rPr>
          <w:rtl/>
        </w:rPr>
        <w:t xml:space="preserve"> </w:t>
      </w:r>
      <w:r w:rsidRPr="00B97E44">
        <w:rPr>
          <w:rFonts w:hint="eastAsia"/>
          <w:rtl/>
        </w:rPr>
        <w:t>בחבל</w:t>
      </w:r>
      <w:r w:rsidRPr="00B97E44">
        <w:rPr>
          <w:rtl/>
        </w:rPr>
        <w:t xml:space="preserve"> </w:t>
      </w:r>
      <w:r w:rsidRPr="00B97E44">
        <w:rPr>
          <w:rFonts w:hint="eastAsia"/>
          <w:rtl/>
        </w:rPr>
        <w:t>התקומה</w:t>
      </w:r>
      <w:r w:rsidRPr="00B97E44">
        <w:rPr>
          <w:rtl/>
        </w:rPr>
        <w:t xml:space="preserve"> </w:t>
      </w:r>
      <w:r w:rsidRPr="00B97E44">
        <w:rPr>
          <w:rFonts w:hint="eastAsia"/>
          <w:rtl/>
        </w:rPr>
        <w:t>זכו</w:t>
      </w:r>
      <w:r w:rsidRPr="00B97E44">
        <w:rPr>
          <w:rtl/>
        </w:rPr>
        <w:t xml:space="preserve"> </w:t>
      </w:r>
      <w:r w:rsidRPr="00B97E44">
        <w:rPr>
          <w:rFonts w:hint="eastAsia"/>
          <w:rtl/>
        </w:rPr>
        <w:t>לקבל</w:t>
      </w:r>
      <w:r w:rsidRPr="00B97E44">
        <w:rPr>
          <w:rtl/>
        </w:rPr>
        <w:t xml:space="preserve"> </w:t>
      </w:r>
      <w:r w:rsidRPr="00B97E44">
        <w:rPr>
          <w:rFonts w:hint="eastAsia"/>
          <w:rtl/>
        </w:rPr>
        <w:t>את</w:t>
      </w:r>
      <w:r w:rsidRPr="00B97E44">
        <w:rPr>
          <w:rtl/>
        </w:rPr>
        <w:t xml:space="preserve"> התמריץ כיוון ש</w:t>
      </w:r>
      <w:r w:rsidRPr="00B97E44">
        <w:rPr>
          <w:rFonts w:hint="cs"/>
          <w:rtl/>
        </w:rPr>
        <w:t>שליש מעובדי ההוראה</w:t>
      </w:r>
      <w:r w:rsidRPr="00B97E44">
        <w:rPr>
          <w:rtl/>
        </w:rPr>
        <w:t xml:space="preserve"> </w:t>
      </w:r>
      <w:r w:rsidRPr="00B97E44">
        <w:rPr>
          <w:rFonts w:hint="cs"/>
          <w:rtl/>
        </w:rPr>
        <w:t xml:space="preserve">בחבל </w:t>
      </w:r>
      <w:r w:rsidRPr="00B97E44">
        <w:rPr>
          <w:rtl/>
        </w:rPr>
        <w:t>זוכים לתמריץ אחר מכוח תוכנית ת</w:t>
      </w:r>
      <w:r w:rsidRPr="00B97E44">
        <w:rPr>
          <w:rFonts w:hint="eastAsia"/>
          <w:rtl/>
        </w:rPr>
        <w:t>מריצים</w:t>
      </w:r>
      <w:r w:rsidRPr="00B97E44">
        <w:rPr>
          <w:rtl/>
        </w:rPr>
        <w:t xml:space="preserve"> קודמת</w:t>
      </w:r>
      <w:r w:rsidRPr="00B97E44">
        <w:rPr>
          <w:rFonts w:hint="cs"/>
          <w:rtl/>
        </w:rPr>
        <w:t xml:space="preserve"> ולכן אינם זכאים למענק שימור מכוח התוכנית הנוכחית - קרי, חלק ניכר מעובדי ההוראה שנדרשו להפעיל ולהוביל את מערכת החינוך אחרי מתקפת הטרור בשבעה באוקטובר לא זכו לתמריץ.</w:t>
      </w:r>
    </w:p>
    <w:p w:rsidR="005B126E" w:rsidP="001916A9">
      <w:pPr>
        <w:spacing w:line="269" w:lineRule="auto"/>
        <w:rPr>
          <w:rtl/>
        </w:rPr>
      </w:pPr>
    </w:p>
    <w:p w:rsidR="005B126E" w:rsidRPr="00B97E44" w:rsidP="001916A9">
      <w:pPr>
        <w:spacing w:line="269" w:lineRule="auto"/>
        <w:rPr>
          <w:rtl/>
        </w:rPr>
      </w:pPr>
      <w:r w:rsidRPr="00B97E44">
        <w:rPr>
          <w:rtl/>
        </w:rPr>
        <w:t>נמצא כי במתווה שגובש לא</w:t>
      </w:r>
      <w:r w:rsidRPr="00B97E44">
        <w:rPr>
          <w:rFonts w:hint="cs"/>
          <w:rtl/>
        </w:rPr>
        <w:t xml:space="preserve"> הייתה התייחסות</w:t>
      </w:r>
      <w:r w:rsidRPr="00B97E44">
        <w:rPr>
          <w:rtl/>
        </w:rPr>
        <w:t xml:space="preserve"> לטענות </w:t>
      </w:r>
      <w:r w:rsidRPr="00B97E44">
        <w:rPr>
          <w:rFonts w:hint="cs"/>
          <w:rtl/>
        </w:rPr>
        <w:t>ה</w:t>
      </w:r>
      <w:r w:rsidRPr="00B97E44">
        <w:rPr>
          <w:rtl/>
        </w:rPr>
        <w:t xml:space="preserve">עולות במחקרים </w:t>
      </w:r>
      <w:r w:rsidRPr="00B97E44">
        <w:rPr>
          <w:rFonts w:hint="cs"/>
          <w:rtl/>
        </w:rPr>
        <w:t>ש</w:t>
      </w:r>
      <w:r w:rsidRPr="00B97E44">
        <w:rPr>
          <w:rtl/>
        </w:rPr>
        <w:t xml:space="preserve">לפיהן </w:t>
      </w:r>
      <w:r w:rsidRPr="00B97E44">
        <w:rPr>
          <w:rtl/>
        </w:rPr>
        <w:t>תמרוץ</w:t>
      </w:r>
      <w:r w:rsidRPr="00B97E44">
        <w:rPr>
          <w:rtl/>
        </w:rPr>
        <w:t xml:space="preserve"> </w:t>
      </w:r>
      <w:r w:rsidRPr="00B97E44">
        <w:rPr>
          <w:rFonts w:hint="eastAsia"/>
          <w:rtl/>
        </w:rPr>
        <w:t>עובדי</w:t>
      </w:r>
      <w:r w:rsidRPr="00B97E44">
        <w:rPr>
          <w:rtl/>
        </w:rPr>
        <w:t xml:space="preserve"> הוראה </w:t>
      </w:r>
      <w:r w:rsidRPr="00B97E44">
        <w:rPr>
          <w:rFonts w:hint="cs"/>
          <w:rtl/>
        </w:rPr>
        <w:t xml:space="preserve">אינו משפיע </w:t>
      </w:r>
      <w:r w:rsidRPr="00B97E44">
        <w:rPr>
          <w:rtl/>
        </w:rPr>
        <w:t xml:space="preserve">על איכות ההוראה המתקבלת בפועל ועל יציבות המערכת המקומית </w:t>
      </w:r>
      <w:r w:rsidRPr="00B97E44">
        <w:rPr>
          <w:rFonts w:hint="cs"/>
          <w:rtl/>
        </w:rPr>
        <w:t xml:space="preserve">לאורך זמן </w:t>
      </w:r>
      <w:r w:rsidRPr="00B97E44">
        <w:rPr>
          <w:rtl/>
        </w:rPr>
        <w:t>ללא תוספת של תנאי</w:t>
      </w:r>
      <w:r w:rsidRPr="00B97E44">
        <w:rPr>
          <w:rFonts w:hint="eastAsia"/>
          <w:rtl/>
        </w:rPr>
        <w:t>ם</w:t>
      </w:r>
      <w:r w:rsidRPr="00B97E44">
        <w:rPr>
          <w:rtl/>
        </w:rPr>
        <w:t xml:space="preserve"> כגון ליווי מקצועי, סביבת עבודה תומכת והכשרה ייעודית</w:t>
      </w:r>
      <w:r>
        <w:rPr>
          <w:vertAlign w:val="superscript"/>
          <w:rtl/>
        </w:rPr>
        <w:footnoteReference w:id="56"/>
      </w:r>
      <w:r w:rsidRPr="00B97E44">
        <w:rPr>
          <w:rtl/>
        </w:rPr>
        <w:t xml:space="preserve"> וסיוע בשכר דירה.</w:t>
      </w:r>
      <w:r w:rsidRPr="00B97E44">
        <w:rPr>
          <w:rFonts w:hint="cs"/>
          <w:rtl/>
        </w:rPr>
        <w:t xml:space="preserve"> טענות אלו אינן מתיישבות עם התוכנית שגיבשו משרד הרווחה </w:t>
      </w:r>
      <w:r w:rsidRPr="00B97E44">
        <w:rPr>
          <w:rFonts w:hint="cs"/>
          <w:rtl/>
        </w:rPr>
        <w:t>ומינהלת</w:t>
      </w:r>
      <w:r w:rsidRPr="00B97E44">
        <w:rPr>
          <w:rFonts w:hint="cs"/>
          <w:rtl/>
        </w:rPr>
        <w:t xml:space="preserve"> תקומה לגיוס עובדים סוציאליים נוספים למחלקות לשירותים חברתיים ברשויות החבל. על פי משרד הרווחה, לתוכנית שגובשה לאחר היוועצות עם מנהלי המחלקות האמורות, נוספו על התמריצים הכספיים גם תמריצים נלווים ובהם מימון שכירות לעובדים ותשלום מלא על נסיעות, וכן חוזקה המעטפת המקצועית באמצעות הכשרות, הדרכות והשתתפות בשכר לימוד.</w:t>
      </w:r>
    </w:p>
    <w:p w:rsidR="005B126E" w:rsidP="001916A9">
      <w:pPr>
        <w:spacing w:line="269" w:lineRule="auto"/>
        <w:rPr>
          <w:rtl/>
        </w:rPr>
      </w:pPr>
    </w:p>
    <w:p w:rsidR="005B126E" w:rsidRPr="00B97E44" w:rsidP="001916A9">
      <w:pPr>
        <w:spacing w:line="269" w:lineRule="auto"/>
        <w:rPr>
          <w:rtl/>
        </w:rPr>
      </w:pPr>
      <w:r w:rsidRPr="00B97E44">
        <w:rPr>
          <w:rFonts w:hint="eastAsia"/>
          <w:rtl/>
        </w:rPr>
        <w:t>יצוין</w:t>
      </w:r>
      <w:r w:rsidRPr="00B97E44">
        <w:rPr>
          <w:rtl/>
        </w:rPr>
        <w:t xml:space="preserve"> </w:t>
      </w:r>
      <w:r w:rsidRPr="00B97E44">
        <w:rPr>
          <w:rFonts w:hint="eastAsia"/>
          <w:rtl/>
        </w:rPr>
        <w:t>כי</w:t>
      </w:r>
      <w:r w:rsidRPr="00B97E44">
        <w:rPr>
          <w:rtl/>
        </w:rPr>
        <w:t xml:space="preserve"> </w:t>
      </w:r>
      <w:r w:rsidRPr="00B97E44">
        <w:rPr>
          <w:rFonts w:hint="cs"/>
          <w:rtl/>
        </w:rPr>
        <w:t xml:space="preserve">בנובמבר 2024 </w:t>
      </w:r>
      <w:r>
        <w:rPr>
          <w:rFonts w:hint="cs"/>
          <w:rtl/>
        </w:rPr>
        <w:t>-</w:t>
      </w:r>
      <w:r w:rsidRPr="00B97E44">
        <w:rPr>
          <w:rFonts w:hint="cs"/>
          <w:rtl/>
        </w:rPr>
        <w:t xml:space="preserve"> לאחר שמשרד החינוך גיבש את תוכנית </w:t>
      </w:r>
      <w:r w:rsidRPr="00B97E44">
        <w:rPr>
          <w:rFonts w:hint="cs"/>
          <w:rtl/>
        </w:rPr>
        <w:t>התמרוץ</w:t>
      </w:r>
      <w:r w:rsidRPr="00B97E44">
        <w:rPr>
          <w:rFonts w:hint="cs"/>
          <w:rtl/>
        </w:rPr>
        <w:t xml:space="preserve"> לעובדי ההוראה </w:t>
      </w:r>
      <w:r>
        <w:rPr>
          <w:rFonts w:hint="cs"/>
          <w:rtl/>
        </w:rPr>
        <w:t>-</w:t>
      </w:r>
      <w:r w:rsidRPr="00B97E44">
        <w:rPr>
          <w:rFonts w:hint="cs"/>
          <w:rtl/>
        </w:rPr>
        <w:t xml:space="preserve"> הוגש למשרד מחקר </w:t>
      </w:r>
      <w:r w:rsidRPr="00B97E44">
        <w:rPr>
          <w:rFonts w:hint="eastAsia"/>
          <w:rtl/>
        </w:rPr>
        <w:t>ש</w:t>
      </w:r>
      <w:r w:rsidRPr="00B97E44">
        <w:rPr>
          <w:rtl/>
        </w:rPr>
        <w:t>נערך בקרב 300 מורים המלמדים בבתי ספר יסודיים דוברי עברית בדצמבר 2023</w:t>
      </w:r>
      <w:r>
        <w:rPr>
          <w:vertAlign w:val="superscript"/>
          <w:rtl/>
        </w:rPr>
        <w:footnoteReference w:id="57"/>
      </w:r>
      <w:r w:rsidRPr="00B97E44">
        <w:rPr>
          <w:rFonts w:hint="cs"/>
          <w:rtl/>
        </w:rPr>
        <w:t xml:space="preserve">. המחקר </w:t>
      </w:r>
      <w:r w:rsidRPr="00B97E44">
        <w:rPr>
          <w:rtl/>
        </w:rPr>
        <w:t xml:space="preserve">בחן בין השאר את הקשרים בין תמיכת מנהל בית הספר </w:t>
      </w:r>
      <w:r w:rsidRPr="00B97E44">
        <w:rPr>
          <w:rFonts w:hint="eastAsia"/>
          <w:rtl/>
        </w:rPr>
        <w:t>ו</w:t>
      </w:r>
      <w:r w:rsidRPr="00B97E44">
        <w:rPr>
          <w:rtl/>
        </w:rPr>
        <w:t>בין רמת השחיקה ש</w:t>
      </w:r>
      <w:r w:rsidRPr="00B97E44">
        <w:rPr>
          <w:rFonts w:hint="eastAsia"/>
          <w:rtl/>
        </w:rPr>
        <w:t>ל</w:t>
      </w:r>
      <w:r w:rsidRPr="00B97E44">
        <w:rPr>
          <w:rtl/>
        </w:rPr>
        <w:t xml:space="preserve"> </w:t>
      </w:r>
      <w:r w:rsidRPr="00B97E44">
        <w:rPr>
          <w:rFonts w:hint="eastAsia"/>
          <w:rtl/>
        </w:rPr>
        <w:t>המורה</w:t>
      </w:r>
      <w:r w:rsidRPr="00B97E44">
        <w:rPr>
          <w:rtl/>
        </w:rPr>
        <w:t xml:space="preserve"> </w:t>
      </w:r>
      <w:r w:rsidRPr="00B97E44">
        <w:rPr>
          <w:rFonts w:hint="eastAsia"/>
          <w:rtl/>
        </w:rPr>
        <w:t>ב</w:t>
      </w:r>
      <w:r w:rsidRPr="00B97E44">
        <w:rPr>
          <w:rtl/>
        </w:rPr>
        <w:t xml:space="preserve">זמן מלחמה </w:t>
      </w:r>
      <w:r w:rsidRPr="00B97E44">
        <w:rPr>
          <w:rFonts w:hint="cs"/>
          <w:rtl/>
        </w:rPr>
        <w:t>ו</w:t>
      </w:r>
      <w:r w:rsidRPr="00B97E44">
        <w:rPr>
          <w:rtl/>
        </w:rPr>
        <w:t xml:space="preserve">העלה כי 38% מהמורים הדגישו את הצורך בתמיכה רגשית </w:t>
      </w:r>
      <w:r w:rsidRPr="00B97E44">
        <w:rPr>
          <w:rFonts w:hint="eastAsia"/>
          <w:rtl/>
        </w:rPr>
        <w:t>והכרה</w:t>
      </w:r>
      <w:r w:rsidRPr="00B97E44">
        <w:rPr>
          <w:rtl/>
        </w:rPr>
        <w:t xml:space="preserve"> מצד המנהל באמצעות "שיחות אישיות" ו"הקשבה"; 12.7% הדגישו את הצורך בתמיכה </w:t>
      </w:r>
      <w:r w:rsidRPr="00B97E44">
        <w:rPr>
          <w:rFonts w:hint="eastAsia"/>
          <w:rtl/>
        </w:rPr>
        <w:t>מערכתית</w:t>
      </w:r>
      <w:r w:rsidRPr="00B97E44">
        <w:rPr>
          <w:rtl/>
        </w:rPr>
        <w:t xml:space="preserve"> ("גמישות </w:t>
      </w:r>
      <w:r w:rsidRPr="00B97E44">
        <w:rPr>
          <w:rFonts w:hint="eastAsia"/>
          <w:rtl/>
        </w:rPr>
        <w:t>במערכת</w:t>
      </w:r>
      <w:r w:rsidRPr="00B97E44">
        <w:rPr>
          <w:rtl/>
        </w:rPr>
        <w:t xml:space="preserve"> </w:t>
      </w:r>
      <w:r w:rsidRPr="00B97E44">
        <w:rPr>
          <w:rFonts w:hint="eastAsia"/>
          <w:rtl/>
        </w:rPr>
        <w:t>השעות</w:t>
      </w:r>
      <w:r w:rsidRPr="00B97E44">
        <w:rPr>
          <w:rtl/>
        </w:rPr>
        <w:t xml:space="preserve">" </w:t>
      </w:r>
      <w:r w:rsidRPr="00B97E44">
        <w:rPr>
          <w:rFonts w:hint="eastAsia"/>
          <w:rtl/>
        </w:rPr>
        <w:t>ו</w:t>
      </w:r>
      <w:r w:rsidRPr="00B97E44">
        <w:rPr>
          <w:rtl/>
        </w:rPr>
        <w:t xml:space="preserve">"הקלה </w:t>
      </w:r>
      <w:r w:rsidRPr="00B97E44">
        <w:rPr>
          <w:rFonts w:hint="eastAsia"/>
          <w:rtl/>
        </w:rPr>
        <w:t>בעומס</w:t>
      </w:r>
      <w:r w:rsidRPr="00B97E44">
        <w:rPr>
          <w:rtl/>
        </w:rPr>
        <w:t xml:space="preserve">"); 7.2% </w:t>
      </w:r>
      <w:r w:rsidRPr="00B97E44">
        <w:rPr>
          <w:rFonts w:hint="eastAsia"/>
          <w:rtl/>
        </w:rPr>
        <w:t>השיבו</w:t>
      </w:r>
      <w:r w:rsidRPr="00B97E44">
        <w:rPr>
          <w:rtl/>
        </w:rPr>
        <w:t xml:space="preserve"> </w:t>
      </w:r>
      <w:r w:rsidRPr="00B97E44">
        <w:rPr>
          <w:rFonts w:hint="eastAsia"/>
          <w:rtl/>
        </w:rPr>
        <w:t>כי</w:t>
      </w:r>
      <w:r w:rsidRPr="00B97E44">
        <w:rPr>
          <w:rtl/>
        </w:rPr>
        <w:t xml:space="preserve"> </w:t>
      </w:r>
      <w:r w:rsidRPr="00B97E44">
        <w:rPr>
          <w:rFonts w:hint="cs"/>
          <w:rtl/>
        </w:rPr>
        <w:t xml:space="preserve">הם </w:t>
      </w:r>
      <w:r w:rsidRPr="00B97E44">
        <w:rPr>
          <w:rFonts w:hint="eastAsia"/>
          <w:rtl/>
        </w:rPr>
        <w:t>זקוקים</w:t>
      </w:r>
      <w:r w:rsidRPr="00B97E44">
        <w:rPr>
          <w:rtl/>
        </w:rPr>
        <w:t xml:space="preserve"> </w:t>
      </w:r>
      <w:r w:rsidRPr="00B97E44">
        <w:rPr>
          <w:rFonts w:hint="eastAsia"/>
          <w:rtl/>
        </w:rPr>
        <w:t>לתמיכה</w:t>
      </w:r>
      <w:r w:rsidRPr="00B97E44">
        <w:rPr>
          <w:rtl/>
        </w:rPr>
        <w:t xml:space="preserve"> </w:t>
      </w:r>
      <w:r w:rsidRPr="00B97E44">
        <w:rPr>
          <w:rFonts w:hint="eastAsia"/>
          <w:rtl/>
        </w:rPr>
        <w:t>מקצועית</w:t>
      </w:r>
      <w:r w:rsidRPr="00B97E44">
        <w:rPr>
          <w:rtl/>
        </w:rPr>
        <w:t xml:space="preserve"> ("הדרכה </w:t>
      </w:r>
      <w:r w:rsidRPr="00B97E44">
        <w:rPr>
          <w:rFonts w:hint="eastAsia"/>
          <w:rtl/>
        </w:rPr>
        <w:t>וליווי</w:t>
      </w:r>
      <w:r w:rsidRPr="00B97E44">
        <w:rPr>
          <w:rtl/>
        </w:rPr>
        <w:t xml:space="preserve"> </w:t>
      </w:r>
      <w:r w:rsidRPr="00B97E44">
        <w:rPr>
          <w:rFonts w:hint="eastAsia"/>
          <w:rtl/>
        </w:rPr>
        <w:t>מקצועי</w:t>
      </w:r>
      <w:r w:rsidRPr="00B97E44">
        <w:rPr>
          <w:rtl/>
        </w:rPr>
        <w:t xml:space="preserve">" </w:t>
      </w:r>
      <w:r w:rsidRPr="00B97E44">
        <w:rPr>
          <w:rFonts w:hint="eastAsia"/>
          <w:rtl/>
        </w:rPr>
        <w:t>ו</w:t>
      </w:r>
      <w:r w:rsidRPr="00B97E44">
        <w:rPr>
          <w:rtl/>
        </w:rPr>
        <w:t xml:space="preserve">"סיוע </w:t>
      </w:r>
      <w:r w:rsidRPr="00B97E44">
        <w:rPr>
          <w:rFonts w:hint="eastAsia"/>
          <w:rtl/>
        </w:rPr>
        <w:t>בפתרון</w:t>
      </w:r>
      <w:r w:rsidRPr="00B97E44">
        <w:rPr>
          <w:rtl/>
        </w:rPr>
        <w:t xml:space="preserve"> </w:t>
      </w:r>
      <w:r w:rsidRPr="00B97E44">
        <w:rPr>
          <w:rFonts w:hint="eastAsia"/>
          <w:rtl/>
        </w:rPr>
        <w:t>בעיות</w:t>
      </w:r>
      <w:r w:rsidRPr="00B97E44">
        <w:rPr>
          <w:rtl/>
        </w:rPr>
        <w:t xml:space="preserve">"); 4.6% </w:t>
      </w:r>
      <w:r w:rsidRPr="00B97E44">
        <w:rPr>
          <w:rFonts w:hint="eastAsia"/>
          <w:rtl/>
        </w:rPr>
        <w:t>השיבו</w:t>
      </w:r>
      <w:r w:rsidRPr="00B97E44">
        <w:rPr>
          <w:rtl/>
        </w:rPr>
        <w:t xml:space="preserve"> </w:t>
      </w:r>
      <w:r w:rsidRPr="00B97E44">
        <w:rPr>
          <w:rFonts w:hint="eastAsia"/>
          <w:rtl/>
        </w:rPr>
        <w:t>כי</w:t>
      </w:r>
      <w:r w:rsidRPr="00B97E44">
        <w:rPr>
          <w:rtl/>
        </w:rPr>
        <w:t xml:space="preserve"> </w:t>
      </w:r>
      <w:r w:rsidRPr="00B97E44">
        <w:rPr>
          <w:rFonts w:hint="eastAsia"/>
          <w:rtl/>
        </w:rPr>
        <w:t>הם</w:t>
      </w:r>
      <w:r w:rsidRPr="00B97E44">
        <w:rPr>
          <w:rtl/>
        </w:rPr>
        <w:t xml:space="preserve"> </w:t>
      </w:r>
      <w:r w:rsidRPr="00B97E44">
        <w:rPr>
          <w:rFonts w:hint="eastAsia"/>
          <w:rtl/>
        </w:rPr>
        <w:t>זקוקים</w:t>
      </w:r>
      <w:r w:rsidRPr="00B97E44">
        <w:rPr>
          <w:rtl/>
        </w:rPr>
        <w:t xml:space="preserve"> </w:t>
      </w:r>
      <w:r w:rsidRPr="00B97E44">
        <w:rPr>
          <w:rFonts w:hint="eastAsia"/>
          <w:rtl/>
        </w:rPr>
        <w:t>לתנאי</w:t>
      </w:r>
      <w:r w:rsidRPr="00B97E44">
        <w:rPr>
          <w:rtl/>
        </w:rPr>
        <w:t xml:space="preserve"> </w:t>
      </w:r>
      <w:r w:rsidRPr="00B97E44">
        <w:rPr>
          <w:rFonts w:hint="eastAsia"/>
          <w:rtl/>
        </w:rPr>
        <w:t>עבודה</w:t>
      </w:r>
      <w:r w:rsidRPr="00B97E44">
        <w:rPr>
          <w:rtl/>
        </w:rPr>
        <w:t xml:space="preserve"> ("סביבת </w:t>
      </w:r>
      <w:r w:rsidRPr="00B97E44">
        <w:rPr>
          <w:rFonts w:hint="eastAsia"/>
          <w:rtl/>
        </w:rPr>
        <w:t>עבודה</w:t>
      </w:r>
      <w:r w:rsidRPr="00B97E44">
        <w:rPr>
          <w:rtl/>
        </w:rPr>
        <w:t xml:space="preserve"> </w:t>
      </w:r>
      <w:r w:rsidRPr="00B97E44">
        <w:rPr>
          <w:rFonts w:hint="eastAsia"/>
          <w:rtl/>
        </w:rPr>
        <w:t>נוחה</w:t>
      </w:r>
      <w:r w:rsidRPr="00B97E44">
        <w:rPr>
          <w:rtl/>
        </w:rPr>
        <w:t xml:space="preserve">", "ציוד </w:t>
      </w:r>
      <w:r w:rsidRPr="00B97E44">
        <w:rPr>
          <w:rFonts w:hint="eastAsia"/>
          <w:rtl/>
        </w:rPr>
        <w:t>ומחשבים</w:t>
      </w:r>
      <w:r w:rsidRPr="00B97E44">
        <w:rPr>
          <w:rtl/>
        </w:rPr>
        <w:t xml:space="preserve">") </w:t>
      </w:r>
      <w:r w:rsidRPr="00B97E44">
        <w:rPr>
          <w:rFonts w:hint="eastAsia"/>
          <w:rtl/>
        </w:rPr>
        <w:t>ורק</w:t>
      </w:r>
      <w:r w:rsidRPr="00B97E44">
        <w:rPr>
          <w:rtl/>
        </w:rPr>
        <w:t xml:space="preserve"> 4.2% </w:t>
      </w:r>
      <w:r w:rsidRPr="00B97E44">
        <w:rPr>
          <w:rFonts w:hint="eastAsia"/>
          <w:rtl/>
        </w:rPr>
        <w:t>מהמורים</w:t>
      </w:r>
      <w:r w:rsidRPr="00B97E44">
        <w:rPr>
          <w:rtl/>
        </w:rPr>
        <w:t xml:space="preserve"> </w:t>
      </w:r>
      <w:r w:rsidRPr="00B97E44">
        <w:rPr>
          <w:rFonts w:hint="eastAsia"/>
          <w:rtl/>
        </w:rPr>
        <w:t>השיבו</w:t>
      </w:r>
      <w:r w:rsidRPr="00B97E44">
        <w:rPr>
          <w:rtl/>
        </w:rPr>
        <w:t xml:space="preserve"> </w:t>
      </w:r>
      <w:r w:rsidRPr="00B97E44">
        <w:rPr>
          <w:rFonts w:hint="eastAsia"/>
          <w:rtl/>
        </w:rPr>
        <w:t>כי</w:t>
      </w:r>
      <w:r w:rsidRPr="00B97E44">
        <w:rPr>
          <w:rtl/>
        </w:rPr>
        <w:t xml:space="preserve"> </w:t>
      </w:r>
      <w:r w:rsidRPr="00B97E44">
        <w:rPr>
          <w:rFonts w:hint="eastAsia"/>
          <w:rtl/>
        </w:rPr>
        <w:t>הם</w:t>
      </w:r>
      <w:r w:rsidRPr="00B97E44">
        <w:rPr>
          <w:rtl/>
        </w:rPr>
        <w:t xml:space="preserve"> </w:t>
      </w:r>
      <w:r w:rsidRPr="00B97E44">
        <w:rPr>
          <w:rFonts w:hint="eastAsia"/>
          <w:rtl/>
        </w:rPr>
        <w:t>זקוקים</w:t>
      </w:r>
      <w:r w:rsidRPr="00B97E44">
        <w:rPr>
          <w:rtl/>
        </w:rPr>
        <w:t xml:space="preserve"> </w:t>
      </w:r>
      <w:r w:rsidRPr="00B97E44">
        <w:rPr>
          <w:rFonts w:hint="eastAsia"/>
          <w:rtl/>
        </w:rPr>
        <w:t>לתמיכה</w:t>
      </w:r>
      <w:r w:rsidRPr="00B97E44">
        <w:rPr>
          <w:rtl/>
        </w:rPr>
        <w:t xml:space="preserve"> </w:t>
      </w:r>
      <w:r w:rsidRPr="00B97E44">
        <w:rPr>
          <w:rFonts w:hint="eastAsia"/>
          <w:rtl/>
        </w:rPr>
        <w:t>מצד</w:t>
      </w:r>
      <w:r w:rsidRPr="00B97E44">
        <w:rPr>
          <w:rtl/>
        </w:rPr>
        <w:t xml:space="preserve"> </w:t>
      </w:r>
      <w:r w:rsidRPr="00B97E44">
        <w:rPr>
          <w:rFonts w:hint="eastAsia"/>
          <w:rtl/>
        </w:rPr>
        <w:t>המנהל</w:t>
      </w:r>
      <w:r w:rsidRPr="00B97E44">
        <w:rPr>
          <w:rtl/>
        </w:rPr>
        <w:t xml:space="preserve"> </w:t>
      </w:r>
      <w:r w:rsidRPr="00B97E44">
        <w:rPr>
          <w:rFonts w:hint="eastAsia"/>
          <w:rtl/>
        </w:rPr>
        <w:t>באמצעות</w:t>
      </w:r>
      <w:r w:rsidRPr="00B97E44">
        <w:rPr>
          <w:rtl/>
        </w:rPr>
        <w:t xml:space="preserve"> </w:t>
      </w:r>
      <w:r w:rsidRPr="00B97E44">
        <w:rPr>
          <w:rFonts w:hint="eastAsia"/>
          <w:rtl/>
        </w:rPr>
        <w:t>תגמול</w:t>
      </w:r>
      <w:r w:rsidRPr="00B97E44">
        <w:rPr>
          <w:rtl/>
        </w:rPr>
        <w:t xml:space="preserve"> </w:t>
      </w:r>
      <w:r w:rsidRPr="00B97E44">
        <w:rPr>
          <w:rFonts w:hint="eastAsia"/>
          <w:rtl/>
        </w:rPr>
        <w:t>כלכלי</w:t>
      </w:r>
      <w:r w:rsidRPr="00B97E44">
        <w:rPr>
          <w:rtl/>
        </w:rPr>
        <w:t xml:space="preserve"> </w:t>
      </w:r>
      <w:r w:rsidRPr="00B97E44">
        <w:rPr>
          <w:rFonts w:hint="eastAsia"/>
          <w:rtl/>
        </w:rPr>
        <w:t>כמו</w:t>
      </w:r>
      <w:r w:rsidRPr="00B97E44">
        <w:rPr>
          <w:rtl/>
        </w:rPr>
        <w:t xml:space="preserve"> "שכר </w:t>
      </w:r>
      <w:r w:rsidRPr="00B97E44">
        <w:rPr>
          <w:rFonts w:hint="eastAsia"/>
          <w:rtl/>
        </w:rPr>
        <w:t>גבוה</w:t>
      </w:r>
      <w:r w:rsidRPr="00B97E44">
        <w:rPr>
          <w:rtl/>
        </w:rPr>
        <w:t xml:space="preserve"> </w:t>
      </w:r>
      <w:r w:rsidRPr="00B97E44">
        <w:rPr>
          <w:rFonts w:hint="eastAsia"/>
          <w:rtl/>
        </w:rPr>
        <w:t>יותר</w:t>
      </w:r>
      <w:r w:rsidRPr="00B97E44">
        <w:rPr>
          <w:rtl/>
        </w:rPr>
        <w:t xml:space="preserve">" </w:t>
      </w:r>
      <w:r w:rsidRPr="00B97E44">
        <w:rPr>
          <w:rFonts w:hint="eastAsia"/>
          <w:rtl/>
        </w:rPr>
        <w:t>או</w:t>
      </w:r>
      <w:r w:rsidRPr="00B97E44">
        <w:rPr>
          <w:rtl/>
        </w:rPr>
        <w:t xml:space="preserve"> "בונוסים".</w:t>
      </w:r>
    </w:p>
    <w:p w:rsidR="005B126E" w:rsidP="001916A9">
      <w:pPr>
        <w:spacing w:line="269" w:lineRule="auto"/>
        <w:rPr>
          <w:b/>
          <w:bCs/>
          <w:rtl/>
        </w:rPr>
      </w:pPr>
    </w:p>
    <w:p w:rsidR="005B126E" w:rsidRPr="00B97E44" w:rsidP="001916A9">
      <w:pPr>
        <w:spacing w:line="269" w:lineRule="auto"/>
        <w:rPr>
          <w:b/>
          <w:bCs/>
          <w:rtl/>
        </w:rPr>
      </w:pPr>
      <w:r w:rsidRPr="00B97E44">
        <w:rPr>
          <w:rFonts w:hint="eastAsia"/>
          <w:b/>
          <w:bCs/>
          <w:rtl/>
        </w:rPr>
        <w:t>ממצאים</w:t>
      </w:r>
      <w:r w:rsidRPr="00B97E44">
        <w:rPr>
          <w:b/>
          <w:bCs/>
          <w:rtl/>
        </w:rPr>
        <w:t xml:space="preserve"> </w:t>
      </w:r>
      <w:r w:rsidRPr="00B97E44">
        <w:rPr>
          <w:rFonts w:hint="eastAsia"/>
          <w:b/>
          <w:bCs/>
          <w:rtl/>
        </w:rPr>
        <w:t>אלה</w:t>
      </w:r>
      <w:r w:rsidRPr="00B97E44">
        <w:rPr>
          <w:b/>
          <w:bCs/>
          <w:rtl/>
        </w:rPr>
        <w:t xml:space="preserve"> </w:t>
      </w:r>
      <w:r w:rsidRPr="00B97E44">
        <w:rPr>
          <w:rFonts w:hint="cs"/>
          <w:b/>
          <w:bCs/>
          <w:rtl/>
        </w:rPr>
        <w:t xml:space="preserve">מלמדים </w:t>
      </w:r>
      <w:r w:rsidRPr="00B97E44">
        <w:rPr>
          <w:rFonts w:hint="eastAsia"/>
          <w:b/>
          <w:bCs/>
          <w:rtl/>
        </w:rPr>
        <w:t>על</w:t>
      </w:r>
      <w:r w:rsidRPr="00B97E44">
        <w:rPr>
          <w:b/>
          <w:bCs/>
          <w:rtl/>
        </w:rPr>
        <w:t xml:space="preserve"> </w:t>
      </w:r>
      <w:r w:rsidRPr="00B97E44">
        <w:rPr>
          <w:rFonts w:hint="cs"/>
          <w:b/>
          <w:bCs/>
          <w:rtl/>
        </w:rPr>
        <w:t>התועלת המוגבלת</w:t>
      </w:r>
      <w:r w:rsidRPr="00B97E44">
        <w:rPr>
          <w:b/>
          <w:bCs/>
          <w:rtl/>
        </w:rPr>
        <w:t xml:space="preserve"> </w:t>
      </w:r>
      <w:r w:rsidRPr="00B97E44">
        <w:rPr>
          <w:rFonts w:hint="eastAsia"/>
          <w:b/>
          <w:bCs/>
          <w:rtl/>
        </w:rPr>
        <w:t>של</w:t>
      </w:r>
      <w:r w:rsidRPr="00B97E44">
        <w:rPr>
          <w:b/>
          <w:bCs/>
          <w:rtl/>
        </w:rPr>
        <w:t xml:space="preserve"> </w:t>
      </w:r>
      <w:r w:rsidRPr="00B97E44">
        <w:rPr>
          <w:rFonts w:hint="eastAsia"/>
          <w:b/>
          <w:bCs/>
          <w:rtl/>
        </w:rPr>
        <w:t>תגמול</w:t>
      </w:r>
      <w:r w:rsidRPr="00B97E44">
        <w:rPr>
          <w:b/>
          <w:bCs/>
          <w:rtl/>
        </w:rPr>
        <w:t xml:space="preserve"> </w:t>
      </w:r>
      <w:r w:rsidRPr="00B97E44">
        <w:rPr>
          <w:rFonts w:hint="eastAsia"/>
          <w:b/>
          <w:bCs/>
          <w:rtl/>
        </w:rPr>
        <w:t>כלכלי</w:t>
      </w:r>
      <w:r w:rsidRPr="00B97E44">
        <w:rPr>
          <w:b/>
          <w:bCs/>
          <w:rtl/>
        </w:rPr>
        <w:t xml:space="preserve"> </w:t>
      </w:r>
      <w:r w:rsidRPr="00B97E44">
        <w:rPr>
          <w:rFonts w:hint="eastAsia"/>
          <w:b/>
          <w:bCs/>
          <w:rtl/>
        </w:rPr>
        <w:t>בסיוע</w:t>
      </w:r>
      <w:r w:rsidRPr="00B97E44">
        <w:rPr>
          <w:b/>
          <w:bCs/>
          <w:rtl/>
        </w:rPr>
        <w:t xml:space="preserve"> </w:t>
      </w:r>
      <w:r w:rsidRPr="00B97E44">
        <w:rPr>
          <w:rFonts w:hint="eastAsia"/>
          <w:b/>
          <w:bCs/>
          <w:rtl/>
        </w:rPr>
        <w:t>לצמצום</w:t>
      </w:r>
      <w:r w:rsidRPr="00B97E44">
        <w:rPr>
          <w:b/>
          <w:bCs/>
          <w:rtl/>
        </w:rPr>
        <w:t xml:space="preserve"> </w:t>
      </w:r>
      <w:r w:rsidRPr="00B97E44">
        <w:rPr>
          <w:rFonts w:hint="eastAsia"/>
          <w:b/>
          <w:bCs/>
          <w:rtl/>
        </w:rPr>
        <w:t>שחיקה</w:t>
      </w:r>
      <w:r w:rsidRPr="00B97E44">
        <w:rPr>
          <w:b/>
          <w:bCs/>
          <w:rtl/>
        </w:rPr>
        <w:t xml:space="preserve"> </w:t>
      </w:r>
      <w:r w:rsidRPr="00B97E44">
        <w:rPr>
          <w:rFonts w:hint="eastAsia"/>
          <w:b/>
          <w:bCs/>
          <w:rtl/>
        </w:rPr>
        <w:t>של</w:t>
      </w:r>
      <w:r w:rsidRPr="00B97E44">
        <w:rPr>
          <w:b/>
          <w:bCs/>
          <w:rtl/>
        </w:rPr>
        <w:t xml:space="preserve"> </w:t>
      </w:r>
      <w:r w:rsidRPr="00B97E44">
        <w:rPr>
          <w:rFonts w:hint="eastAsia"/>
          <w:b/>
          <w:bCs/>
          <w:rtl/>
        </w:rPr>
        <w:t>מורים</w:t>
      </w:r>
      <w:r w:rsidRPr="00B97E44">
        <w:rPr>
          <w:b/>
          <w:bCs/>
          <w:rtl/>
        </w:rPr>
        <w:t xml:space="preserve"> </w:t>
      </w:r>
      <w:r w:rsidRPr="00B97E44">
        <w:rPr>
          <w:rFonts w:hint="eastAsia"/>
          <w:b/>
          <w:bCs/>
          <w:rtl/>
        </w:rPr>
        <w:t>בזמן</w:t>
      </w:r>
      <w:r w:rsidRPr="00B97E44">
        <w:rPr>
          <w:b/>
          <w:bCs/>
          <w:rtl/>
        </w:rPr>
        <w:t xml:space="preserve"> </w:t>
      </w:r>
      <w:r w:rsidRPr="00B97E44">
        <w:rPr>
          <w:rFonts w:hint="eastAsia"/>
          <w:b/>
          <w:bCs/>
          <w:rtl/>
        </w:rPr>
        <w:t>מלחמה</w:t>
      </w:r>
      <w:r w:rsidRPr="00B97E44">
        <w:rPr>
          <w:b/>
          <w:bCs/>
          <w:rtl/>
        </w:rPr>
        <w:t>.</w:t>
      </w:r>
    </w:p>
    <w:p w:rsidR="005B126E" w:rsidP="001916A9">
      <w:pPr>
        <w:spacing w:line="269" w:lineRule="auto"/>
        <w:rPr>
          <w:rtl/>
        </w:rPr>
      </w:pPr>
    </w:p>
    <w:p w:rsidR="005B126E" w:rsidRPr="00B97E44" w:rsidP="001916A9">
      <w:pPr>
        <w:spacing w:line="269" w:lineRule="auto"/>
        <w:rPr>
          <w:rtl/>
        </w:rPr>
      </w:pPr>
      <w:r w:rsidRPr="00B97E44">
        <w:rPr>
          <w:rtl/>
        </w:rPr>
        <w:t>מ</w:t>
      </w:r>
      <w:r w:rsidRPr="00B97E44">
        <w:rPr>
          <w:rFonts w:hint="cs"/>
          <w:rtl/>
        </w:rPr>
        <w:t>י</w:t>
      </w:r>
      <w:r w:rsidRPr="00B97E44">
        <w:rPr>
          <w:rtl/>
        </w:rPr>
        <w:t>נהלת תקומה מסרה בתשובתה כי התגמול הכלכלי במתווה התמריצים הוא כלי אחד בלבד מתוך סל מענים רחב לרווחת צוותי החינוך, וכי המתווה גובש לאחר עבודת מטה מקצועית ואפיון צרכים מעמיק</w:t>
      </w:r>
      <w:r w:rsidRPr="00B97E44">
        <w:rPr>
          <w:rFonts w:hint="cs"/>
          <w:rtl/>
        </w:rPr>
        <w:t xml:space="preserve"> שעודם נבחנים כל העת.</w:t>
      </w:r>
    </w:p>
    <w:p w:rsidR="005B126E" w:rsidRPr="00B97E44" w:rsidP="001916A9">
      <w:pPr>
        <w:spacing w:line="269" w:lineRule="auto"/>
        <w:ind w:left="-567"/>
        <w:rPr>
          <w:szCs w:val="20"/>
          <w:rtl/>
        </w:rPr>
      </w:pPr>
    </w:p>
    <w:p w:rsidR="005B126E" w:rsidRPr="00B97E44" w:rsidP="001916A9">
      <w:pPr>
        <w:spacing w:line="269" w:lineRule="auto"/>
        <w:rPr>
          <w:rtl/>
        </w:rPr>
      </w:pPr>
      <w:r w:rsidRPr="00B97E44">
        <w:rPr>
          <w:rtl/>
        </w:rPr>
        <w:t xml:space="preserve">משרד החינוך מסר בתשובתו כי אין מקום לתת ביטוי לפיתוח מקצועי בתוכנית התמריצים הנוכחית, מאחר שהמשרד כבר מעמיד לרשות עובדי ההוראה מערך נרחב של פיתוח מקצועי במרכזי </w:t>
      </w:r>
      <w:r w:rsidRPr="00B97E44">
        <w:rPr>
          <w:rtl/>
        </w:rPr>
        <w:t>הפסג"ה</w:t>
      </w:r>
      <w:r>
        <w:rPr>
          <w:rStyle w:val="FootnoteReference1"/>
          <w:rtl/>
        </w:rPr>
        <w:footnoteReference w:id="58"/>
      </w:r>
      <w:r w:rsidRPr="00B97E44">
        <w:rPr>
          <w:rtl/>
        </w:rPr>
        <w:t xml:space="preserve"> ואפשרות ל</w:t>
      </w:r>
      <w:r w:rsidRPr="00B97E44">
        <w:rPr>
          <w:rFonts w:hint="cs"/>
          <w:rtl/>
        </w:rPr>
        <w:t xml:space="preserve">קבלת </w:t>
      </w:r>
      <w:r w:rsidRPr="00B97E44">
        <w:rPr>
          <w:rtl/>
        </w:rPr>
        <w:t xml:space="preserve">החזרי שכר לימוד </w:t>
      </w:r>
      <w:r w:rsidRPr="00B97E44">
        <w:rPr>
          <w:rFonts w:hint="cs"/>
          <w:rtl/>
        </w:rPr>
        <w:t>ב</w:t>
      </w:r>
      <w:r w:rsidRPr="00B97E44">
        <w:rPr>
          <w:rtl/>
        </w:rPr>
        <w:t>עבור לימודים אקדמיים. המשרד ציין כי מ</w:t>
      </w:r>
      <w:r w:rsidRPr="00B97E44">
        <w:rPr>
          <w:rFonts w:hint="cs"/>
          <w:rtl/>
        </w:rPr>
        <w:t>ה</w:t>
      </w:r>
      <w:r w:rsidRPr="00B97E44">
        <w:rPr>
          <w:rtl/>
        </w:rPr>
        <w:t>ניסיון</w:t>
      </w:r>
      <w:r w:rsidRPr="00B97E44">
        <w:rPr>
          <w:rFonts w:hint="cs"/>
          <w:rtl/>
        </w:rPr>
        <w:t xml:space="preserve"> שלו</w:t>
      </w:r>
      <w:r w:rsidRPr="00B97E44">
        <w:rPr>
          <w:rtl/>
        </w:rPr>
        <w:t xml:space="preserve"> בתוכניות </w:t>
      </w:r>
      <w:r w:rsidRPr="00B97E44">
        <w:rPr>
          <w:rtl/>
        </w:rPr>
        <w:t>תמרוץ</w:t>
      </w:r>
      <w:r w:rsidRPr="00B97E44">
        <w:rPr>
          <w:rtl/>
        </w:rPr>
        <w:t xml:space="preserve"> אחרות </w:t>
      </w:r>
      <w:r w:rsidRPr="00B97E44">
        <w:rPr>
          <w:rFonts w:hint="cs"/>
          <w:rtl/>
        </w:rPr>
        <w:t>עולה</w:t>
      </w:r>
      <w:r w:rsidRPr="00B97E44">
        <w:rPr>
          <w:rtl/>
        </w:rPr>
        <w:t xml:space="preserve"> כי מענקים כלליים (שאינם מיועדים לרכיב ספציפי כגון נסיעות או שכר דירה) מעניקים לעובד ההוראה גמישות בקבלת המענק ובניצול הסכומים שבתוכנית.</w:t>
      </w:r>
      <w:r w:rsidRPr="00B97E44">
        <w:rPr>
          <w:rFonts w:hint="cs"/>
          <w:rtl/>
        </w:rPr>
        <w:t xml:space="preserve"> עוד הוסיף המשרד כי הוא סבור ש</w:t>
      </w:r>
      <w:r w:rsidRPr="00B97E44">
        <w:rPr>
          <w:rtl/>
        </w:rPr>
        <w:t xml:space="preserve">מבנה ההעסקה של עובדי ההוראה שונה מזה של העובדים הסוציאליים, ולכן גם הצרכים שונים ולא ניתן להקיש מתוכנית אחת </w:t>
      </w:r>
      <w:r w:rsidRPr="00B97E44">
        <w:rPr>
          <w:rFonts w:hint="cs"/>
          <w:rtl/>
        </w:rPr>
        <w:t>לאחרת.</w:t>
      </w:r>
      <w:r w:rsidRPr="00B97E44">
        <w:rPr>
          <w:rtl/>
        </w:rPr>
        <w:t xml:space="preserve"> </w:t>
      </w:r>
      <w:r w:rsidRPr="00B97E44">
        <w:rPr>
          <w:rFonts w:hint="cs"/>
          <w:rtl/>
        </w:rPr>
        <w:t>המשרד אף ציין</w:t>
      </w:r>
      <w:r w:rsidRPr="00B97E44">
        <w:rPr>
          <w:rtl/>
        </w:rPr>
        <w:t xml:space="preserve"> כי </w:t>
      </w:r>
      <w:r w:rsidRPr="00B97E44">
        <w:rPr>
          <w:rFonts w:hint="cs"/>
          <w:rtl/>
        </w:rPr>
        <w:t>יש</w:t>
      </w:r>
      <w:r w:rsidRPr="00B97E44">
        <w:rPr>
          <w:rtl/>
        </w:rPr>
        <w:t xml:space="preserve"> תקציבים נפרדים לפיתוח מקצועי ולהכשרה אקדמית</w:t>
      </w:r>
      <w:r w:rsidRPr="00B97E44">
        <w:rPr>
          <w:rFonts w:hint="cs"/>
          <w:rtl/>
        </w:rPr>
        <w:t xml:space="preserve"> </w:t>
      </w:r>
      <w:r w:rsidRPr="00B97E44">
        <w:rPr>
          <w:rtl/>
        </w:rPr>
        <w:t>לעובדי ההוראה, ולכן אין מקום לכלול רכיבים אלו בתוכנית התמריצים.</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זאת ועוד - התמריץ שנקבע בתוכנית הוא אחיד ולא התחשב בדיפרנציאליות במרחק של היישובים השונים ממרכז הארץ. </w:t>
      </w:r>
      <w:r w:rsidRPr="00B97E44">
        <w:rPr>
          <w:rtl/>
        </w:rPr>
        <w:t>יישובי חבל התקומה שונים זה מזה בדירוגם במדד הפריפריאליות</w:t>
      </w:r>
      <w:r>
        <w:rPr>
          <w:vertAlign w:val="superscript"/>
          <w:rtl/>
        </w:rPr>
        <w:footnoteReference w:id="59"/>
      </w:r>
      <w:r w:rsidRPr="00B97E44">
        <w:rPr>
          <w:rtl/>
        </w:rPr>
        <w:t xml:space="preserve">: </w:t>
      </w:r>
      <w:r w:rsidRPr="00B97E44">
        <w:rPr>
          <w:rtl/>
        </w:rPr>
        <w:t>הלמ"ס</w:t>
      </w:r>
      <w:r w:rsidRPr="00B97E44">
        <w:rPr>
          <w:rtl/>
        </w:rPr>
        <w:t xml:space="preserve"> </w:t>
      </w:r>
      <w:r w:rsidRPr="00B97E44">
        <w:rPr>
          <w:rFonts w:hint="cs"/>
          <w:rtl/>
        </w:rPr>
        <w:t xml:space="preserve">כאמור </w:t>
      </w:r>
      <w:r w:rsidRPr="00B97E44">
        <w:rPr>
          <w:rtl/>
        </w:rPr>
        <w:t>מדרגת את הרשויות המקומיות בסולם של עשר דרגות (אשכולות), לפי מקומן הגיאוגרפי לעומת ריכוזי האוכלוסייה</w:t>
      </w:r>
      <w:r w:rsidRPr="00B97E44">
        <w:rPr>
          <w:rFonts w:hint="cs"/>
          <w:rtl/>
        </w:rPr>
        <w:t xml:space="preserve">, </w:t>
      </w:r>
      <w:r w:rsidRPr="00B97E44">
        <w:rPr>
          <w:rtl/>
        </w:rPr>
        <w:t>אשכול 10 מעיד על היישוב המרכזי ביותר, ואשכול 1 - על היישוב הפריפריאלי ביותר</w:t>
      </w:r>
      <w:r w:rsidRPr="00B97E44">
        <w:rPr>
          <w:rFonts w:hint="cs"/>
          <w:rtl/>
        </w:rPr>
        <w:t>.</w:t>
      </w:r>
      <w:r w:rsidRPr="00B97E44">
        <w:rPr>
          <w:rtl/>
        </w:rPr>
        <w:t xml:space="preserve"> העיר </w:t>
      </w:r>
      <w:r w:rsidRPr="00B97E44">
        <w:rPr>
          <w:b/>
          <w:bCs/>
          <w:rtl/>
        </w:rPr>
        <w:t xml:space="preserve">שדרות </w:t>
      </w:r>
      <w:r w:rsidRPr="00B97E44">
        <w:rPr>
          <w:rtl/>
        </w:rPr>
        <w:t xml:space="preserve">וחלק מהיישובים שבתחום המועצה האזורית </w:t>
      </w:r>
      <w:r w:rsidRPr="00B97E44">
        <w:rPr>
          <w:b/>
          <w:bCs/>
          <w:rtl/>
        </w:rPr>
        <w:t>חוף אשקלון</w:t>
      </w:r>
      <w:r w:rsidRPr="00B97E44">
        <w:rPr>
          <w:rtl/>
        </w:rPr>
        <w:t xml:space="preserve"> מדורגים בדירוג 4, ואילו רוב יישובי המועצה האזורית </w:t>
      </w:r>
      <w:r w:rsidRPr="00B97E44">
        <w:rPr>
          <w:b/>
          <w:bCs/>
          <w:rtl/>
        </w:rPr>
        <w:t>אשכול</w:t>
      </w:r>
      <w:r w:rsidRPr="00B97E44">
        <w:rPr>
          <w:rtl/>
        </w:rPr>
        <w:t xml:space="preserve"> מדורגים בדירוג 2</w:t>
      </w:r>
      <w:r w:rsidRPr="00B97E44">
        <w:rPr>
          <w:rFonts w:hint="cs"/>
          <w:rtl/>
        </w:rPr>
        <w:t>.</w:t>
      </w:r>
      <w:r>
        <w:rPr>
          <w:rFonts w:hint="cs"/>
          <w:rtl/>
        </w:rPr>
        <w:t xml:space="preserve"> שאר יישובי חבל התקומה מדורגים לרוב בדירוג 3.</w:t>
      </w:r>
    </w:p>
    <w:p w:rsidR="005B126E" w:rsidP="001916A9">
      <w:pPr>
        <w:spacing w:line="269" w:lineRule="auto"/>
        <w:rPr>
          <w:rtl/>
        </w:rPr>
      </w:pPr>
    </w:p>
    <w:p w:rsidR="005B126E" w:rsidRPr="00B97E44" w:rsidP="001916A9">
      <w:pPr>
        <w:spacing w:line="269" w:lineRule="auto"/>
        <w:rPr>
          <w:rtl/>
        </w:rPr>
      </w:pPr>
      <w:r w:rsidRPr="00B97E44">
        <w:rPr>
          <w:rFonts w:hint="cs"/>
          <w:rtl/>
        </w:rPr>
        <w:t>המרחק הגיאוגרפי ממרכז הארץ משפיע על הקושי לגייס כוח אדם מיומן, הנוטה להימשך לאזורים מרכזיים יותר שבהם יש תשתית של תרבות והשכלה</w:t>
      </w:r>
      <w:r>
        <w:rPr>
          <w:vertAlign w:val="superscript"/>
          <w:rtl/>
        </w:rPr>
        <w:footnoteReference w:id="60"/>
      </w:r>
      <w:r w:rsidRPr="00B97E44">
        <w:rPr>
          <w:rFonts w:hint="cs"/>
          <w:rtl/>
        </w:rPr>
        <w:t xml:space="preserve">. </w:t>
      </w:r>
      <w:r w:rsidRPr="00B97E44">
        <w:rPr>
          <w:rtl/>
        </w:rPr>
        <w:t xml:space="preserve">מחקרים </w:t>
      </w:r>
      <w:r w:rsidRPr="00B97E44">
        <w:rPr>
          <w:rFonts w:hint="cs"/>
          <w:rtl/>
        </w:rPr>
        <w:t xml:space="preserve">מלמדים כי </w:t>
      </w:r>
      <w:r w:rsidRPr="00B97E44">
        <w:rPr>
          <w:rtl/>
        </w:rPr>
        <w:t>תמרוץ</w:t>
      </w:r>
      <w:r w:rsidRPr="00B97E44">
        <w:rPr>
          <w:rtl/>
        </w:rPr>
        <w:t xml:space="preserve"> אחיד שאינו </w:t>
      </w:r>
      <w:r w:rsidRPr="00B97E44">
        <w:rPr>
          <w:rFonts w:hint="cs"/>
          <w:rtl/>
        </w:rPr>
        <w:t>מתחשב ב</w:t>
      </w:r>
      <w:r w:rsidRPr="00B97E44">
        <w:rPr>
          <w:rtl/>
        </w:rPr>
        <w:t>מאפיינים דמוגרפיים, מקצועיים ואישיים עשוי להחטיא את יעדו ולהוביל לשימוש לא יעיל במשאבים ציבוריים</w:t>
      </w:r>
      <w:r w:rsidRPr="00B97E44">
        <w:rPr>
          <w:rFonts w:hint="cs"/>
          <w:rtl/>
        </w:rPr>
        <w:t>.</w:t>
      </w:r>
      <w:r w:rsidRPr="00B97E44">
        <w:rPr>
          <w:vertAlign w:val="superscript"/>
          <w:rtl/>
        </w:rPr>
        <w:t xml:space="preserve"> </w:t>
      </w:r>
    </w:p>
    <w:p w:rsidR="005B126E" w:rsidP="001916A9">
      <w:pPr>
        <w:spacing w:line="269" w:lineRule="auto"/>
        <w:rPr>
          <w:b/>
          <w:bCs/>
          <w:rtl/>
        </w:rPr>
      </w:pPr>
    </w:p>
    <w:p w:rsidR="005B126E" w:rsidRPr="00B97E44" w:rsidP="001916A9">
      <w:pPr>
        <w:spacing w:line="269" w:lineRule="auto"/>
        <w:rPr>
          <w:rtl/>
        </w:rPr>
      </w:pPr>
      <w:r w:rsidRPr="00B97E44">
        <w:rPr>
          <w:rFonts w:hint="cs"/>
          <w:b/>
          <w:bCs/>
          <w:rtl/>
        </w:rPr>
        <w:t>נמצא</w:t>
      </w:r>
      <w:r w:rsidRPr="00B97E44">
        <w:rPr>
          <w:b/>
          <w:bCs/>
          <w:rtl/>
        </w:rPr>
        <w:t xml:space="preserve"> כי בהתאם ל</w:t>
      </w:r>
      <w:r w:rsidRPr="00B97E44">
        <w:rPr>
          <w:rFonts w:hint="cs"/>
          <w:b/>
          <w:bCs/>
          <w:rtl/>
        </w:rPr>
        <w:t>חוזר</w:t>
      </w:r>
      <w:r w:rsidRPr="00B97E44">
        <w:rPr>
          <w:b/>
          <w:bCs/>
          <w:rtl/>
        </w:rPr>
        <w:t xml:space="preserve"> הממונה על השכר</w:t>
      </w:r>
      <w:r w:rsidRPr="00B97E44">
        <w:rPr>
          <w:rFonts w:hint="cs"/>
          <w:b/>
          <w:bCs/>
          <w:rtl/>
        </w:rPr>
        <w:t xml:space="preserve"> בגין שנת הלימודים תשפ"ה</w:t>
      </w:r>
      <w:r w:rsidRPr="00B97E44">
        <w:rPr>
          <w:b/>
          <w:bCs/>
          <w:rtl/>
        </w:rPr>
        <w:t xml:space="preserve"> לא נקבעו תמריצים כלכליים מדורגים </w:t>
      </w:r>
      <w:r w:rsidRPr="00B97E44">
        <w:rPr>
          <w:rFonts w:hint="cs"/>
          <w:b/>
          <w:bCs/>
          <w:rtl/>
        </w:rPr>
        <w:t>ה</w:t>
      </w:r>
      <w:r w:rsidRPr="00B97E44">
        <w:rPr>
          <w:b/>
          <w:bCs/>
          <w:rtl/>
        </w:rPr>
        <w:t>מבדילים בין יישובים בחבל התקומה על פי דירוגם במדד הפריפריאליות.</w:t>
      </w:r>
    </w:p>
    <w:p w:rsidR="005B126E" w:rsidP="001916A9">
      <w:pPr>
        <w:spacing w:line="269" w:lineRule="auto"/>
        <w:rPr>
          <w:rtl/>
        </w:rPr>
      </w:pPr>
    </w:p>
    <w:p w:rsidR="005B126E" w:rsidRPr="00B97E44" w:rsidP="001916A9">
      <w:pPr>
        <w:spacing w:line="269" w:lineRule="auto"/>
        <w:rPr>
          <w:rtl/>
        </w:rPr>
      </w:pPr>
      <w:r w:rsidRPr="00B97E44">
        <w:rPr>
          <w:rFonts w:hint="cs"/>
          <w:rtl/>
        </w:rPr>
        <w:t>מינהלת תקומה השיבה כי לאחר בחינת החלופות יחד עם משרד החינוך והממונה על השכר ומשיקולים מקצועיים הוחלט כי מענה אחיד בחבל התקומה כולו הוא אפקטיבי יותר במקרה זה.</w:t>
      </w:r>
    </w:p>
    <w:p w:rsidR="005B126E" w:rsidP="001916A9">
      <w:pPr>
        <w:autoSpaceDE w:val="0"/>
        <w:autoSpaceDN w:val="0"/>
        <w:adjustRightInd w:val="0"/>
        <w:spacing w:line="269" w:lineRule="auto"/>
        <w:rPr>
          <w:rtl/>
        </w:rPr>
      </w:pPr>
    </w:p>
    <w:p w:rsidR="005B126E" w:rsidRPr="00B97E44" w:rsidP="001916A9">
      <w:pPr>
        <w:autoSpaceDE w:val="0"/>
        <w:autoSpaceDN w:val="0"/>
        <w:adjustRightInd w:val="0"/>
        <w:spacing w:line="269" w:lineRule="auto"/>
        <w:rPr>
          <w:rtl/>
        </w:rPr>
      </w:pPr>
      <w:r w:rsidRPr="00B97E44">
        <w:rPr>
          <w:rFonts w:hint="cs"/>
          <w:rtl/>
        </w:rPr>
        <w:t xml:space="preserve">בתשובתו כתב משרד החינוך כי </w:t>
      </w:r>
      <w:r w:rsidRPr="00B97E44">
        <w:rPr>
          <w:rFonts w:ascii="David" w:hAnsi="David" w:hint="cs"/>
          <w:sz w:val="24"/>
          <w:rtl/>
        </w:rPr>
        <w:t>מאחר שניתוח הנתונים של עובדי ההוראה בחבל הראה כי לקראת שנת הלימודים תשפ"ה רוב המורים שבו ללמד בחבל וכי לא צפוי מחסור במורים, נקבע כי התוכנית תאפשר התארגנות וייצוב, ולכן לא נדרשה התייחסות דיפרנציאלית בין יישובי החבל.</w:t>
      </w:r>
      <w:r w:rsidRPr="00B97E44">
        <w:rPr>
          <w:rFonts w:hint="cs"/>
          <w:rtl/>
        </w:rPr>
        <w:t xml:space="preserve"> עוד הוסיף משרד החינוך כי </w:t>
      </w:r>
      <w:r w:rsidRPr="00B97E44">
        <w:rPr>
          <w:rFonts w:ascii="David" w:hAnsi="David" w:hint="cs"/>
          <w:sz w:val="24"/>
          <w:rtl/>
        </w:rPr>
        <w:t xml:space="preserve">כדי להחליט אם יש צורך בגיוס עובד הוראה חדש נדרש לבחון אם יש תקן שעות פנוי בבית הספר ואם יש צורך בשעות הוראה נוספות במקצוע ורק אם כן יש מקום להפעיל את תוכנית </w:t>
      </w:r>
      <w:r w:rsidRPr="00B97E44">
        <w:rPr>
          <w:rFonts w:ascii="David" w:hAnsi="David" w:hint="cs"/>
          <w:sz w:val="24"/>
          <w:rtl/>
        </w:rPr>
        <w:t>התמרוץ</w:t>
      </w:r>
      <w:r w:rsidRPr="00B97E44">
        <w:rPr>
          <w:rFonts w:ascii="David" w:hAnsi="David" w:hint="cs"/>
          <w:sz w:val="24"/>
          <w:rtl/>
        </w:rPr>
        <w:t xml:space="preserve">. בתשובה נוספת של משרד החינוך מדצמבר 2025 עלה כי בעת גיבוש תוכנית </w:t>
      </w:r>
      <w:r w:rsidRPr="00B97E44">
        <w:rPr>
          <w:rFonts w:ascii="David" w:hAnsi="David" w:hint="cs"/>
          <w:sz w:val="24"/>
          <w:rtl/>
        </w:rPr>
        <w:t>התמרוץ</w:t>
      </w:r>
      <w:r w:rsidRPr="00B97E44">
        <w:rPr>
          <w:rFonts w:ascii="David" w:hAnsi="David" w:hint="cs"/>
          <w:sz w:val="24"/>
          <w:rtl/>
        </w:rPr>
        <w:t xml:space="preserve"> לשנת הלימודים תשפ"ה לא היה לו מידע ביחס למחסור במורים בכל אחד מבתי הספר בחבל הנדרש, כפי שציין בתשובתו הקודמת, כדי לקבל החלטה בעניין הצורך </w:t>
      </w:r>
      <w:r w:rsidRPr="00B97E44">
        <w:rPr>
          <w:rFonts w:ascii="David" w:hAnsi="David" w:hint="cs"/>
          <w:sz w:val="24"/>
          <w:rtl/>
        </w:rPr>
        <w:t>בתמרוץ</w:t>
      </w:r>
      <w:r w:rsidRPr="00B97E44">
        <w:rPr>
          <w:rFonts w:ascii="David" w:hAnsi="David" w:hint="cs"/>
          <w:sz w:val="24"/>
          <w:rtl/>
        </w:rPr>
        <w:t>.</w:t>
      </w:r>
    </w:p>
    <w:p w:rsidR="005B126E" w:rsidP="001916A9">
      <w:pPr>
        <w:spacing w:line="269" w:lineRule="auto"/>
        <w:rPr>
          <w:b/>
          <w:bCs/>
          <w:rtl/>
        </w:rPr>
      </w:pPr>
    </w:p>
    <w:p w:rsidR="005B126E" w:rsidP="001916A9">
      <w:pPr>
        <w:spacing w:line="269" w:lineRule="auto"/>
        <w:rPr>
          <w:b/>
          <w:bCs/>
          <w:rtl/>
        </w:rPr>
      </w:pPr>
      <w:r w:rsidRPr="00B97E44">
        <w:rPr>
          <w:rFonts w:hint="cs"/>
          <w:b/>
          <w:bCs/>
          <w:rtl/>
        </w:rPr>
        <w:t>בביקורת נמצא כי בשנת הלימודים תשפ"ה גויסו 85 עובדי הוראה חדשים לעבודה בחבל התקומה ומתוכם 55 גויסו לעבודה במוסדות חינוך ביישובים באשכול פריפריאלי 4, 14 גויסו לעבודה במוסדות חינוך ביישובים באשכול פריפריאלי 3 ו-16 גויסו לעבודה במוסדות חינוך ביישובים באשכול פריפריאל</w:t>
      </w:r>
      <w:r w:rsidRPr="00B97E44">
        <w:rPr>
          <w:rFonts w:hint="eastAsia"/>
          <w:b/>
          <w:bCs/>
          <w:rtl/>
        </w:rPr>
        <w:t>י</w:t>
      </w:r>
      <w:r w:rsidRPr="00B97E44">
        <w:rPr>
          <w:rFonts w:hint="cs"/>
          <w:b/>
          <w:bCs/>
          <w:rtl/>
        </w:rPr>
        <w:t xml:space="preserve"> 2, הפריפריאלי ביותר בחבל.</w:t>
      </w:r>
    </w:p>
    <w:p w:rsidR="005B126E" w:rsidRPr="00B97E44" w:rsidP="001916A9">
      <w:pPr>
        <w:spacing w:line="269" w:lineRule="auto"/>
        <w:rPr>
          <w:b/>
          <w:bCs/>
          <w:rtl/>
        </w:rPr>
      </w:pPr>
      <w:r w:rsidRPr="00B97E44">
        <w:rPr>
          <w:rFonts w:hint="cs"/>
          <w:b/>
          <w:bCs/>
          <w:rtl/>
        </w:rPr>
        <w:t xml:space="preserve">יוצא אפוא כי 55 מתוך 85 עובדי ההוראה החדשים (כ-65%) שגויסו וזכו למענק מכוח תוכנית </w:t>
      </w:r>
      <w:r w:rsidRPr="00B97E44">
        <w:rPr>
          <w:rFonts w:hint="cs"/>
          <w:b/>
          <w:bCs/>
          <w:rtl/>
        </w:rPr>
        <w:t>התמרוץ</w:t>
      </w:r>
      <w:r w:rsidRPr="00B97E44">
        <w:rPr>
          <w:rFonts w:hint="cs"/>
          <w:b/>
          <w:bCs/>
          <w:rtl/>
        </w:rPr>
        <w:t xml:space="preserve"> גויסו לעבודה ביישובי חבל התקומה הסמוכים יותר למרכז הארץ. </w:t>
      </w:r>
    </w:p>
    <w:p w:rsidR="005B126E" w:rsidRPr="00B97E44" w:rsidP="001916A9">
      <w:pPr>
        <w:spacing w:line="269" w:lineRule="auto"/>
        <w:rPr>
          <w:b/>
          <w:bCs/>
          <w:rtl/>
        </w:rPr>
      </w:pPr>
    </w:p>
    <w:p w:rsidR="005B126E" w:rsidRPr="003474AA" w:rsidP="003474AA">
      <w:pPr>
        <w:spacing w:line="269" w:lineRule="auto"/>
        <w:jc w:val="center"/>
        <w:rPr>
          <w:rFonts w:ascii="Arial" w:eastAsia="Calibri" w:hAnsi="Arial" w:cs="Arial"/>
          <w:b/>
          <w:bCs/>
          <w:sz w:val="36"/>
        </w:rPr>
      </w:pPr>
      <w:r>
        <w:rPr>
          <w:rFonts w:ascii="Segoe UI Symbol" w:eastAsia="Calibri" w:hAnsi="Segoe UI Symbol" w:cs="Segoe UI Symbol" w:hint="cs"/>
          <w:b/>
          <w:bCs/>
          <w:sz w:val="36"/>
          <w:rtl/>
        </w:rPr>
        <w:t>✰</w:t>
      </w:r>
    </w:p>
    <w:p w:rsidR="003474AA" w:rsidP="001916A9">
      <w:pPr>
        <w:spacing w:line="269" w:lineRule="auto"/>
        <w:rPr>
          <w:szCs w:val="20"/>
          <w:rtl/>
        </w:rPr>
      </w:pPr>
    </w:p>
    <w:p w:rsidR="003474AA" w:rsidRPr="00B97E44" w:rsidP="001916A9">
      <w:pPr>
        <w:spacing w:line="269" w:lineRule="auto"/>
        <w:rPr>
          <w:szCs w:val="20"/>
          <w:rtl/>
        </w:rPr>
      </w:pPr>
    </w:p>
    <w:p w:rsidR="005B126E" w:rsidRPr="00B97E44" w:rsidP="001916A9">
      <w:pPr>
        <w:spacing w:line="269" w:lineRule="auto"/>
        <w:rPr>
          <w:highlight w:val="yellow"/>
          <w:rtl/>
        </w:rPr>
      </w:pPr>
      <w:bookmarkStart w:id="34" w:name="_Hlk207632842"/>
      <w:bookmarkStart w:id="35" w:name="_Hlk202976241"/>
      <w:r w:rsidRPr="00B97E44">
        <w:rPr>
          <w:rFonts w:hint="cs"/>
          <w:b/>
          <w:bCs/>
          <w:rtl/>
        </w:rPr>
        <w:t>הביקורת העלתה כי עלות היישום של תוכנית השימור והגיוס של צוותי הוראה בשנת הלימודים תשפ"ה עמדה על כ-17 מיליוני ש"ח בלבד וספק אם הוא השיג את מטרתו. היישום החלקי מדגיש את החיוניות בהקצאת תקציב לאחר עבודת מטה מקיפה שתתבסס על ניסיון העבר ותשתף את כלל הגורמים הרלוונטיים ובכללם הממונה על השכר והרשויות המקומיות.</w:t>
      </w:r>
    </w:p>
    <w:p w:rsidR="005B126E" w:rsidP="001916A9">
      <w:pPr>
        <w:spacing w:line="269" w:lineRule="auto"/>
        <w:rPr>
          <w:b/>
          <w:bCs/>
          <w:rtl/>
        </w:rPr>
      </w:pPr>
    </w:p>
    <w:p w:rsidR="005B126E" w:rsidRPr="00B97E44" w:rsidP="001916A9">
      <w:pPr>
        <w:spacing w:line="269" w:lineRule="auto"/>
        <w:rPr>
          <w:b/>
          <w:bCs/>
          <w:rtl/>
        </w:rPr>
      </w:pPr>
      <w:r w:rsidRPr="00B97E44">
        <w:rPr>
          <w:rFonts w:hint="eastAsia"/>
          <w:b/>
          <w:bCs/>
          <w:rtl/>
        </w:rPr>
        <w:t>עוד</w:t>
      </w:r>
      <w:r w:rsidRPr="00B97E44">
        <w:rPr>
          <w:b/>
          <w:bCs/>
          <w:rtl/>
        </w:rPr>
        <w:t xml:space="preserve"> </w:t>
      </w:r>
      <w:r w:rsidRPr="00B97E44">
        <w:rPr>
          <w:rFonts w:hint="eastAsia"/>
          <w:b/>
          <w:bCs/>
          <w:rtl/>
        </w:rPr>
        <w:t>נמצא</w:t>
      </w:r>
      <w:r w:rsidRPr="00B97E44">
        <w:rPr>
          <w:b/>
          <w:bCs/>
          <w:rtl/>
        </w:rPr>
        <w:t xml:space="preserve"> כי נכון לאוגוסט 2025, לא גיבשו משרד החינוך </w:t>
      </w:r>
      <w:r w:rsidRPr="00B97E44">
        <w:rPr>
          <w:rFonts w:hint="eastAsia"/>
          <w:b/>
          <w:bCs/>
          <w:rtl/>
        </w:rPr>
        <w:t>ומינהלת</w:t>
      </w:r>
      <w:r w:rsidRPr="00B97E44">
        <w:rPr>
          <w:b/>
          <w:bCs/>
          <w:rtl/>
        </w:rPr>
        <w:t xml:space="preserve"> תקומה תוכנית </w:t>
      </w:r>
      <w:r w:rsidRPr="00B97E44">
        <w:rPr>
          <w:rFonts w:hint="eastAsia"/>
          <w:b/>
          <w:bCs/>
          <w:rtl/>
        </w:rPr>
        <w:t>תמרוץ</w:t>
      </w:r>
      <w:r w:rsidRPr="00B97E44">
        <w:rPr>
          <w:b/>
          <w:bCs/>
          <w:rtl/>
        </w:rPr>
        <w:t xml:space="preserve"> </w:t>
      </w:r>
      <w:r w:rsidRPr="00B97E44">
        <w:rPr>
          <w:rFonts w:hint="cs"/>
          <w:b/>
          <w:bCs/>
          <w:rtl/>
        </w:rPr>
        <w:t>ל</w:t>
      </w:r>
      <w:r w:rsidRPr="00B97E44">
        <w:rPr>
          <w:b/>
          <w:bCs/>
          <w:rtl/>
        </w:rPr>
        <w:t xml:space="preserve">עובדי הוראה לשנת הלימודים תשפ"ו. </w:t>
      </w:r>
      <w:bookmarkEnd w:id="34"/>
      <w:r w:rsidRPr="00B97E44">
        <w:rPr>
          <w:b/>
          <w:bCs/>
          <w:rtl/>
        </w:rPr>
        <w:t>הואיל ועובדי ההוראה נדרשים לשיבוץ חודשים קודם לפתיחת שנת הלימודים המשמעות היא ש</w:t>
      </w:r>
      <w:r w:rsidRPr="00B97E44">
        <w:rPr>
          <w:rFonts w:hint="cs"/>
          <w:b/>
          <w:bCs/>
          <w:rtl/>
        </w:rPr>
        <w:t xml:space="preserve">גם אם תגובש בהמשך תוכנית </w:t>
      </w:r>
      <w:r w:rsidRPr="00B97E44">
        <w:rPr>
          <w:rFonts w:hint="cs"/>
          <w:b/>
          <w:bCs/>
          <w:rtl/>
        </w:rPr>
        <w:t>תמרוץ</w:t>
      </w:r>
      <w:r w:rsidRPr="00B97E44">
        <w:rPr>
          <w:rFonts w:hint="cs"/>
          <w:b/>
          <w:bCs/>
          <w:rtl/>
        </w:rPr>
        <w:t xml:space="preserve"> לעובדי הוראה ל</w:t>
      </w:r>
      <w:r w:rsidRPr="00B97E44">
        <w:rPr>
          <w:rFonts w:hint="eastAsia"/>
          <w:b/>
          <w:bCs/>
          <w:rtl/>
        </w:rPr>
        <w:t>שנת</w:t>
      </w:r>
      <w:r w:rsidRPr="00B97E44">
        <w:rPr>
          <w:b/>
          <w:bCs/>
          <w:rtl/>
        </w:rPr>
        <w:t xml:space="preserve"> </w:t>
      </w:r>
      <w:r w:rsidRPr="00B97E44">
        <w:rPr>
          <w:rFonts w:hint="eastAsia"/>
          <w:b/>
          <w:bCs/>
          <w:rtl/>
        </w:rPr>
        <w:t>הלימודים</w:t>
      </w:r>
      <w:r w:rsidRPr="00B97E44">
        <w:rPr>
          <w:b/>
          <w:bCs/>
          <w:rtl/>
        </w:rPr>
        <w:t xml:space="preserve"> </w:t>
      </w:r>
      <w:r w:rsidRPr="00B97E44">
        <w:rPr>
          <w:rFonts w:hint="eastAsia"/>
          <w:b/>
          <w:bCs/>
          <w:rtl/>
        </w:rPr>
        <w:t>תשפ</w:t>
      </w:r>
      <w:r w:rsidRPr="00B97E44">
        <w:rPr>
          <w:b/>
          <w:bCs/>
          <w:rtl/>
        </w:rPr>
        <w:t>"</w:t>
      </w:r>
      <w:r w:rsidRPr="00B97E44">
        <w:rPr>
          <w:rFonts w:hint="cs"/>
          <w:b/>
          <w:bCs/>
          <w:rtl/>
        </w:rPr>
        <w:t>ו לא יהיה בה כדי לסייע באופן ממשי בגיוס עובדי הוראה חדשים, אף שהנושא תוקצב בתוכנית החומש ב-200 מיליו</w:t>
      </w:r>
      <w:r>
        <w:rPr>
          <w:rFonts w:hint="cs"/>
          <w:b/>
          <w:bCs/>
          <w:rtl/>
        </w:rPr>
        <w:t>ני</w:t>
      </w:r>
      <w:r w:rsidRPr="00B97E44">
        <w:rPr>
          <w:rFonts w:hint="cs"/>
          <w:b/>
          <w:bCs/>
          <w:rtl/>
        </w:rPr>
        <w:t xml:space="preserve"> ש"ח</w:t>
      </w:r>
      <w:r w:rsidRPr="00B97E44">
        <w:rPr>
          <w:b/>
          <w:bCs/>
          <w:rtl/>
        </w:rPr>
        <w:t>.</w:t>
      </w:r>
    </w:p>
    <w:p w:rsidR="005B126E" w:rsidP="001916A9">
      <w:pPr>
        <w:spacing w:line="269" w:lineRule="auto"/>
        <w:rPr>
          <w:b/>
          <w:bCs/>
          <w:rtl/>
        </w:rPr>
      </w:pPr>
    </w:p>
    <w:p w:rsidR="005B126E" w:rsidRPr="00B97E44" w:rsidP="001916A9">
      <w:pPr>
        <w:spacing w:line="269" w:lineRule="auto"/>
        <w:rPr>
          <w:b/>
          <w:bCs/>
          <w:rtl/>
        </w:rPr>
      </w:pPr>
      <w:r w:rsidRPr="00B97E44">
        <w:rPr>
          <w:rFonts w:hint="eastAsia"/>
          <w:b/>
          <w:bCs/>
          <w:rtl/>
        </w:rPr>
        <w:t>משרד</w:t>
      </w:r>
      <w:r w:rsidRPr="00B97E44">
        <w:rPr>
          <w:b/>
          <w:bCs/>
          <w:rtl/>
        </w:rPr>
        <w:t xml:space="preserve"> מבקר המדינה ממליץ כי מינהלת תקומה</w:t>
      </w:r>
      <w:r w:rsidRPr="00B97E44">
        <w:rPr>
          <w:rFonts w:hint="cs"/>
          <w:b/>
          <w:bCs/>
          <w:rtl/>
        </w:rPr>
        <w:t xml:space="preserve"> </w:t>
      </w:r>
      <w:r w:rsidRPr="00B97E44">
        <w:rPr>
          <w:b/>
          <w:bCs/>
          <w:rtl/>
        </w:rPr>
        <w:t>בשיתוף אגף השכר והסכמי עבודה במשרד האוצר</w:t>
      </w:r>
      <w:r w:rsidRPr="00B97E44">
        <w:rPr>
          <w:rFonts w:hint="cs"/>
          <w:b/>
          <w:bCs/>
          <w:rtl/>
        </w:rPr>
        <w:t xml:space="preserve">, </w:t>
      </w:r>
      <w:r w:rsidRPr="00B97E44">
        <w:rPr>
          <w:rFonts w:hint="eastAsia"/>
          <w:b/>
          <w:bCs/>
          <w:rtl/>
        </w:rPr>
        <w:t>משרד</w:t>
      </w:r>
      <w:r w:rsidRPr="00B97E44">
        <w:rPr>
          <w:b/>
          <w:bCs/>
          <w:rtl/>
        </w:rPr>
        <w:t xml:space="preserve"> החינוך</w:t>
      </w:r>
      <w:r w:rsidRPr="00B97E44">
        <w:rPr>
          <w:rFonts w:hint="cs"/>
          <w:b/>
          <w:bCs/>
          <w:rtl/>
        </w:rPr>
        <w:t xml:space="preserve"> והרשויות המקומיות בחבל</w:t>
      </w:r>
      <w:r w:rsidRPr="00B97E44">
        <w:rPr>
          <w:b/>
          <w:bCs/>
          <w:rtl/>
        </w:rPr>
        <w:t xml:space="preserve"> </w:t>
      </w:r>
      <w:r w:rsidRPr="00B97E44">
        <w:rPr>
          <w:rFonts w:hint="cs"/>
          <w:b/>
          <w:bCs/>
          <w:rtl/>
        </w:rPr>
        <w:t xml:space="preserve">תמדוד </w:t>
      </w:r>
      <w:r w:rsidRPr="00B97E44">
        <w:rPr>
          <w:b/>
          <w:bCs/>
          <w:rtl/>
        </w:rPr>
        <w:t xml:space="preserve">את מידת </w:t>
      </w:r>
      <w:r w:rsidRPr="00B97E44">
        <w:rPr>
          <w:rFonts w:hint="cs"/>
          <w:b/>
          <w:bCs/>
          <w:rtl/>
        </w:rPr>
        <w:t>ה</w:t>
      </w:r>
      <w:r w:rsidRPr="00B97E44">
        <w:rPr>
          <w:b/>
          <w:bCs/>
          <w:rtl/>
        </w:rPr>
        <w:t xml:space="preserve">אפקטיביות </w:t>
      </w:r>
      <w:r w:rsidRPr="00B97E44">
        <w:rPr>
          <w:rFonts w:hint="cs"/>
          <w:b/>
          <w:bCs/>
          <w:rtl/>
        </w:rPr>
        <w:t xml:space="preserve">של </w:t>
      </w:r>
      <w:r w:rsidRPr="00B97E44">
        <w:rPr>
          <w:b/>
          <w:bCs/>
          <w:rtl/>
        </w:rPr>
        <w:t xml:space="preserve">מנגנון </w:t>
      </w:r>
      <w:r w:rsidRPr="00B97E44">
        <w:rPr>
          <w:b/>
          <w:bCs/>
          <w:rtl/>
        </w:rPr>
        <w:t>הת</w:t>
      </w:r>
      <w:r w:rsidRPr="00B97E44">
        <w:rPr>
          <w:rFonts w:hint="cs"/>
          <w:b/>
          <w:bCs/>
          <w:rtl/>
        </w:rPr>
        <w:t>מרוץ</w:t>
      </w:r>
      <w:r w:rsidRPr="00B97E44">
        <w:rPr>
          <w:b/>
          <w:bCs/>
          <w:rtl/>
        </w:rPr>
        <w:t xml:space="preserve"> ש</w:t>
      </w:r>
      <w:r w:rsidRPr="00B97E44">
        <w:rPr>
          <w:rFonts w:hint="cs"/>
          <w:b/>
          <w:bCs/>
          <w:rtl/>
        </w:rPr>
        <w:t>גובש</w:t>
      </w:r>
      <w:r w:rsidRPr="00B97E44">
        <w:rPr>
          <w:b/>
          <w:bCs/>
          <w:rtl/>
        </w:rPr>
        <w:t xml:space="preserve">, </w:t>
      </w:r>
      <w:r w:rsidRPr="00B97E44">
        <w:rPr>
          <w:rFonts w:hint="cs"/>
          <w:b/>
          <w:bCs/>
          <w:rtl/>
        </w:rPr>
        <w:t>ותתאים אותו</w:t>
      </w:r>
      <w:r w:rsidRPr="00B97E44">
        <w:rPr>
          <w:b/>
          <w:bCs/>
          <w:rtl/>
        </w:rPr>
        <w:t xml:space="preserve"> לצרכים שהשתנו בשטח, </w:t>
      </w:r>
      <w:r w:rsidRPr="00B97E44">
        <w:rPr>
          <w:rFonts w:hint="cs"/>
          <w:b/>
          <w:bCs/>
          <w:rtl/>
        </w:rPr>
        <w:t>תבחן את המחסור במורים בכל אחד מבתי הספר ובהתאם לכך</w:t>
      </w:r>
      <w:r w:rsidRPr="00B97E44">
        <w:rPr>
          <w:b/>
          <w:bCs/>
          <w:rtl/>
        </w:rPr>
        <w:t xml:space="preserve"> </w:t>
      </w:r>
      <w:r w:rsidRPr="00B97E44">
        <w:rPr>
          <w:rFonts w:hint="cs"/>
          <w:b/>
          <w:bCs/>
          <w:rtl/>
        </w:rPr>
        <w:t xml:space="preserve">וליעדים עדכניים, תבצע </w:t>
      </w:r>
      <w:r w:rsidRPr="00B97E44">
        <w:rPr>
          <w:b/>
          <w:bCs/>
          <w:rtl/>
        </w:rPr>
        <w:t>הסטת משאבים או שינויים במבנה התמריץ</w:t>
      </w:r>
      <w:r w:rsidRPr="00B97E44">
        <w:rPr>
          <w:rFonts w:hint="cs"/>
          <w:b/>
          <w:bCs/>
          <w:rtl/>
        </w:rPr>
        <w:t xml:space="preserve"> לשנים הבאות.</w:t>
      </w:r>
    </w:p>
    <w:p w:rsidR="005B126E" w:rsidP="001916A9">
      <w:pPr>
        <w:spacing w:line="269" w:lineRule="auto"/>
        <w:rPr>
          <w:b/>
          <w:bCs/>
          <w:rtl/>
        </w:rPr>
      </w:pPr>
    </w:p>
    <w:p w:rsidR="005B126E" w:rsidRPr="00B97E44" w:rsidP="001916A9">
      <w:pPr>
        <w:spacing w:line="269" w:lineRule="auto"/>
        <w:rPr>
          <w:rtl/>
        </w:rPr>
      </w:pPr>
      <w:r w:rsidRPr="00B97E44">
        <w:rPr>
          <w:rFonts w:hint="cs"/>
          <w:b/>
          <w:bCs/>
          <w:rtl/>
        </w:rPr>
        <w:t xml:space="preserve">במסגרת הבחינה האמורה מוצע </w:t>
      </w:r>
      <w:r w:rsidRPr="00B97E44">
        <w:rPr>
          <w:rFonts w:hint="eastAsia"/>
          <w:b/>
          <w:bCs/>
          <w:rtl/>
        </w:rPr>
        <w:t>שיוגד</w:t>
      </w:r>
      <w:r w:rsidRPr="00B97E44">
        <w:rPr>
          <w:b/>
          <w:bCs/>
          <w:rtl/>
        </w:rPr>
        <w:t xml:space="preserve">ר מנגנון שיבטיח את המשך עבודתם של </w:t>
      </w:r>
      <w:r w:rsidRPr="00B97E44">
        <w:rPr>
          <w:rFonts w:hint="cs"/>
          <w:b/>
          <w:bCs/>
          <w:rtl/>
        </w:rPr>
        <w:t>עובדי ההוראה</w:t>
      </w:r>
      <w:r w:rsidRPr="00B97E44">
        <w:rPr>
          <w:b/>
          <w:bCs/>
          <w:rtl/>
        </w:rPr>
        <w:t xml:space="preserve"> גם לאחר תום חמש השנים של הפעלת התוכנית ויפחית את הסיכו</w:t>
      </w:r>
      <w:r w:rsidRPr="00B97E44">
        <w:rPr>
          <w:rFonts w:hint="eastAsia"/>
          <w:b/>
          <w:bCs/>
          <w:rtl/>
        </w:rPr>
        <w:t>ן</w:t>
      </w:r>
      <w:r w:rsidRPr="00B97E44">
        <w:rPr>
          <w:b/>
          <w:bCs/>
          <w:rtl/>
        </w:rPr>
        <w:t xml:space="preserve"> לירידה חדה במצבת כוח האדם באזור עם תום תקופת </w:t>
      </w:r>
      <w:r w:rsidRPr="00B97E44">
        <w:rPr>
          <w:b/>
          <w:bCs/>
          <w:rtl/>
        </w:rPr>
        <w:t>התמרו</w:t>
      </w:r>
      <w:r w:rsidRPr="00B97E44">
        <w:rPr>
          <w:rFonts w:hint="cs"/>
          <w:b/>
          <w:bCs/>
          <w:rtl/>
        </w:rPr>
        <w:t>ץ</w:t>
      </w:r>
      <w:r w:rsidRPr="00B97E44">
        <w:rPr>
          <w:rFonts w:hint="cs"/>
          <w:b/>
          <w:bCs/>
          <w:rtl/>
        </w:rPr>
        <w:t>. עוד מוצע כי ייבחן המחסור בעובדי הוראה בכל אחד מבתי הספר תוך הבחנה בין אזורים בחבל לפי מדד הפריפריאליות ותיבחן האפשרות לשלב</w:t>
      </w:r>
      <w:r w:rsidRPr="00B97E44">
        <w:rPr>
          <w:b/>
          <w:bCs/>
          <w:rtl/>
        </w:rPr>
        <w:t xml:space="preserve"> סל תמריצים משלים</w:t>
      </w:r>
      <w:r w:rsidRPr="00B97E44">
        <w:rPr>
          <w:rFonts w:hint="cs"/>
          <w:b/>
          <w:bCs/>
          <w:rtl/>
        </w:rPr>
        <w:t xml:space="preserve"> למענקים הכספיים</w:t>
      </w:r>
      <w:r w:rsidRPr="00B97E44">
        <w:rPr>
          <w:b/>
          <w:bCs/>
          <w:rtl/>
        </w:rPr>
        <w:t>, דוגמת מסלולי קידום מקצועי, תנאי עבודה מיטביים, מימון שכר דירה או אפשרויות הכשרה והשתלמות</w:t>
      </w:r>
      <w:r w:rsidRPr="00B97E44">
        <w:rPr>
          <w:rFonts w:hint="cs"/>
          <w:b/>
          <w:bCs/>
          <w:rtl/>
        </w:rPr>
        <w:t xml:space="preserve"> כפי שנעשה בתוכנית </w:t>
      </w:r>
      <w:r w:rsidRPr="00B97E44">
        <w:rPr>
          <w:rFonts w:hint="cs"/>
          <w:b/>
          <w:bCs/>
          <w:rtl/>
        </w:rPr>
        <w:t>התמרוץ</w:t>
      </w:r>
      <w:r w:rsidRPr="00B97E44">
        <w:rPr>
          <w:rFonts w:hint="cs"/>
          <w:b/>
          <w:bCs/>
          <w:rtl/>
        </w:rPr>
        <w:t xml:space="preserve"> של העובדים הסוציאליי</w:t>
      </w:r>
      <w:r w:rsidRPr="00B97E44">
        <w:rPr>
          <w:rFonts w:hint="eastAsia"/>
          <w:b/>
          <w:bCs/>
          <w:rtl/>
        </w:rPr>
        <w:t>ם</w:t>
      </w:r>
      <w:r w:rsidRPr="00B97E44">
        <w:rPr>
          <w:rFonts w:hint="cs"/>
          <w:b/>
          <w:bCs/>
          <w:rtl/>
        </w:rPr>
        <w:t>.</w:t>
      </w:r>
      <w:bookmarkEnd w:id="35"/>
    </w:p>
    <w:p w:rsidR="005B126E" w:rsidP="001916A9">
      <w:pPr>
        <w:spacing w:line="269" w:lineRule="auto"/>
        <w:rPr>
          <w:rtl/>
        </w:rPr>
      </w:pPr>
    </w:p>
    <w:p w:rsidR="005B126E" w:rsidP="001916A9">
      <w:pPr>
        <w:spacing w:line="269" w:lineRule="auto"/>
        <w:rPr>
          <w:rtl/>
        </w:rPr>
      </w:pPr>
      <w:r w:rsidRPr="00B97E44">
        <w:rPr>
          <w:rFonts w:hint="cs"/>
          <w:rtl/>
        </w:rPr>
        <w:t>אגף תקציבים במשרד האוצר מסר בתשובתו למשרד מבקר המדינה מאוקטובר 2025 כי לשיטתו הקושי נעוץ בניסוח החלטת הממשלה המגביל את דרכי הפתרון למנגנון בעייתי, נוקשה ומוגבל בהשפעתו. על פי אגף התקציבים, מנגנון של מענקים כספיים לעובדים באזור מסוים יוצר תמריץ לקניבליזציה ולהחלשת אזורים סמוכים באופן המוביל לתנועה של עובדים נדרשים מאזור אחד לאזור אחר, אינו נותן דגש מספק לשיפור איכות העובדים ומחייב הקצאה גם לעובדים קיימים העומדים בקריטריונים - זאת ללא הוכחה לשיפור בפרודוקטיביות של העובדים או להפחתת שחיקה ובלי ליצור שינוי תשתיתי ובר קיימ</w:t>
      </w:r>
      <w:r w:rsidR="00DA6AD6">
        <w:rPr>
          <w:rFonts w:hint="cs"/>
          <w:rtl/>
        </w:rPr>
        <w:t>ה</w:t>
      </w:r>
      <w:r w:rsidRPr="00B97E44">
        <w:rPr>
          <w:rFonts w:hint="cs"/>
          <w:rtl/>
        </w:rPr>
        <w:t xml:space="preserve"> מעצם העובדה </w:t>
      </w:r>
      <w:r w:rsidRPr="00B97E44">
        <w:rPr>
          <w:rFonts w:hint="cs"/>
          <w:rtl/>
        </w:rPr>
        <w:t>שהתמרוץ</w:t>
      </w:r>
      <w:r w:rsidRPr="00B97E44">
        <w:rPr>
          <w:rFonts w:hint="cs"/>
          <w:rtl/>
        </w:rPr>
        <w:t xml:space="preserve"> מוגבל בזמן. עוד הוסיף אגף תקציבים כי הוא סבור שיש לשנות מהיסוד את מנגנון </w:t>
      </w:r>
      <w:r w:rsidRPr="00B97E44">
        <w:rPr>
          <w:rFonts w:hint="cs"/>
          <w:rtl/>
        </w:rPr>
        <w:t>התמרוץ</w:t>
      </w:r>
      <w:r w:rsidRPr="00B97E44">
        <w:rPr>
          <w:rFonts w:hint="cs"/>
          <w:rtl/>
        </w:rPr>
        <w:t xml:space="preserve"> ולהפכו למנגנון גמיש שיפעל למשיכת עובדי הוראה חדשים בעלי כישורים גבוהים תוך ניתוח מדויק של הצרכים בשיתוף הדוק עם הרשויות המקומיות ולמציאת דרכים להגדלת הפרודוקטיביו</w:t>
      </w:r>
      <w:r w:rsidRPr="00B97E44">
        <w:rPr>
          <w:rFonts w:hint="eastAsia"/>
          <w:rtl/>
        </w:rPr>
        <w:t>ת</w:t>
      </w:r>
      <w:r w:rsidRPr="00B97E44">
        <w:rPr>
          <w:rFonts w:hint="cs"/>
          <w:rtl/>
        </w:rPr>
        <w:t xml:space="preserve"> והמקצועיות של העובדים הקיימים.</w:t>
      </w:r>
    </w:p>
    <w:p w:rsidR="005B126E" w:rsidRPr="00B97E44" w:rsidP="001916A9">
      <w:pPr>
        <w:spacing w:line="269" w:lineRule="auto"/>
        <w:rPr>
          <w:rtl/>
        </w:rPr>
      </w:pPr>
      <w:r w:rsidRPr="00B97E44">
        <w:rPr>
          <w:rtl/>
        </w:rPr>
        <w:t xml:space="preserve">המועצה האזורית </w:t>
      </w:r>
      <w:r w:rsidRPr="00B97E44">
        <w:rPr>
          <w:b/>
          <w:bCs/>
          <w:rtl/>
        </w:rPr>
        <w:t xml:space="preserve">אשכול </w:t>
      </w:r>
      <w:r w:rsidRPr="00B97E44">
        <w:rPr>
          <w:rtl/>
        </w:rPr>
        <w:t xml:space="preserve">מסרה בתשובתה כי מתווה התמריצים </w:t>
      </w:r>
      <w:r w:rsidRPr="00B97E44">
        <w:rPr>
          <w:rFonts w:hint="cs"/>
          <w:rtl/>
        </w:rPr>
        <w:t xml:space="preserve">לשנת הלימודים תשפ"ה </w:t>
      </w:r>
      <w:r w:rsidRPr="00B97E44">
        <w:rPr>
          <w:rtl/>
        </w:rPr>
        <w:t xml:space="preserve">גובש ללא בירור </w:t>
      </w:r>
      <w:r w:rsidRPr="00B97E44">
        <w:rPr>
          <w:rFonts w:hint="cs"/>
          <w:rtl/>
        </w:rPr>
        <w:t xml:space="preserve">של </w:t>
      </w:r>
      <w:r w:rsidRPr="00B97E44">
        <w:rPr>
          <w:rtl/>
        </w:rPr>
        <w:t>צ</w:t>
      </w:r>
      <w:r w:rsidRPr="00B97E44">
        <w:rPr>
          <w:rFonts w:hint="cs"/>
          <w:rtl/>
        </w:rPr>
        <w:t>ו</w:t>
      </w:r>
      <w:r w:rsidRPr="00B97E44">
        <w:rPr>
          <w:rtl/>
        </w:rPr>
        <w:t>רכי המערכת וללא קביעת מדדי הצלחה, כפי שדרשה המועצה. המועצה ציינה כי אוכלוסיית המחנכים, הנמצאת ב</w:t>
      </w:r>
      <w:r w:rsidRPr="00B97E44">
        <w:rPr>
          <w:rFonts w:hint="cs"/>
          <w:rtl/>
        </w:rPr>
        <w:t>מ</w:t>
      </w:r>
      <w:r w:rsidRPr="00B97E44">
        <w:rPr>
          <w:rtl/>
        </w:rPr>
        <w:t>חס</w:t>
      </w:r>
      <w:r w:rsidRPr="00B97E44">
        <w:rPr>
          <w:rFonts w:hint="cs"/>
          <w:rtl/>
        </w:rPr>
        <w:t>ו</w:t>
      </w:r>
      <w:r w:rsidRPr="00B97E44">
        <w:rPr>
          <w:rtl/>
        </w:rPr>
        <w:t xml:space="preserve">ר במוסדות התיכוניים, לא </w:t>
      </w:r>
      <w:r w:rsidRPr="00B97E44">
        <w:rPr>
          <w:rtl/>
        </w:rPr>
        <w:t>תו</w:t>
      </w:r>
      <w:r w:rsidRPr="00B97E44">
        <w:rPr>
          <w:rFonts w:hint="cs"/>
          <w:rtl/>
        </w:rPr>
        <w:t>עדפה</w:t>
      </w:r>
      <w:r w:rsidRPr="00B97E44">
        <w:rPr>
          <w:rtl/>
        </w:rPr>
        <w:t xml:space="preserve">, וכי </w:t>
      </w:r>
      <w:r w:rsidRPr="00B97E44">
        <w:rPr>
          <w:rFonts w:hint="cs"/>
          <w:rtl/>
        </w:rPr>
        <w:t>ב</w:t>
      </w:r>
      <w:r w:rsidRPr="00B97E44">
        <w:rPr>
          <w:rtl/>
        </w:rPr>
        <w:t>מתווה חסר</w:t>
      </w:r>
      <w:r w:rsidRPr="00B97E44">
        <w:rPr>
          <w:rFonts w:hint="cs"/>
          <w:rtl/>
        </w:rPr>
        <w:t>ה התייחסות לסוגיית</w:t>
      </w:r>
      <w:r w:rsidRPr="00B97E44">
        <w:rPr>
          <w:rtl/>
        </w:rPr>
        <w:t xml:space="preserve"> </w:t>
      </w:r>
      <w:r w:rsidRPr="00B97E44">
        <w:rPr>
          <w:rFonts w:hint="cs"/>
          <w:rtl/>
        </w:rPr>
        <w:t>ה</w:t>
      </w:r>
      <w:r w:rsidRPr="00B97E44">
        <w:rPr>
          <w:rtl/>
        </w:rPr>
        <w:t xml:space="preserve">תחבורה, </w:t>
      </w:r>
      <w:r w:rsidRPr="00B97E44">
        <w:rPr>
          <w:rFonts w:hint="cs"/>
          <w:rtl/>
        </w:rPr>
        <w:t>שהיא</w:t>
      </w:r>
      <w:r w:rsidRPr="00B97E44">
        <w:rPr>
          <w:rtl/>
        </w:rPr>
        <w:t xml:space="preserve"> צורך בסיסי לגיוס עובדים במועצה רחבת ידיים</w:t>
      </w:r>
      <w:r w:rsidRPr="00B97E44">
        <w:rPr>
          <w:rFonts w:hint="cs"/>
          <w:rtl/>
        </w:rPr>
        <w:t xml:space="preserve"> כמו אשכול</w:t>
      </w:r>
      <w:r w:rsidRPr="00B97E44">
        <w:rPr>
          <w:rtl/>
        </w:rPr>
        <w:t>. עוד ציינה המועצה כי המתווה פורסם לאחר פתיחת שנת הלימודים, ולכן לא היה אפקטיבי במאמצי גיוס כוח האדם לחבל התקומה, וכי נכון לנובמבר 2025 עדיין לא קיים מתווה תמריצים עדכני</w:t>
      </w:r>
      <w:r w:rsidRPr="00B97E44">
        <w:rPr>
          <w:rFonts w:hint="cs"/>
          <w:rtl/>
        </w:rPr>
        <w:t xml:space="preserve"> לשנת הלימודים תשפ"ו</w:t>
      </w:r>
      <w:r w:rsidRPr="00B97E44">
        <w:rPr>
          <w:rtl/>
        </w:rPr>
        <w:t>.</w:t>
      </w:r>
    </w:p>
    <w:p w:rsidR="005B126E" w:rsidP="001916A9">
      <w:pPr>
        <w:spacing w:line="269" w:lineRule="auto"/>
        <w:rPr>
          <w:rtl/>
        </w:rPr>
      </w:pPr>
    </w:p>
    <w:p w:rsidR="005B126E" w:rsidRPr="00B97E44" w:rsidP="001916A9">
      <w:pPr>
        <w:spacing w:line="269" w:lineRule="auto"/>
        <w:rPr>
          <w:rtl/>
        </w:rPr>
      </w:pPr>
      <w:r w:rsidRPr="00B97E44">
        <w:rPr>
          <w:rFonts w:hint="cs"/>
          <w:rtl/>
        </w:rPr>
        <w:t>מינהלת תקומה מסרה בתשוב</w:t>
      </w:r>
      <w:r>
        <w:rPr>
          <w:rFonts w:hint="cs"/>
          <w:rtl/>
        </w:rPr>
        <w:t>ו</w:t>
      </w:r>
      <w:r w:rsidRPr="00B97E44">
        <w:rPr>
          <w:rFonts w:hint="cs"/>
          <w:rtl/>
        </w:rPr>
        <w:t>ת</w:t>
      </w:r>
      <w:r>
        <w:rPr>
          <w:rFonts w:hint="cs"/>
          <w:rtl/>
        </w:rPr>
        <w:t>י</w:t>
      </w:r>
      <w:r w:rsidRPr="00B97E44">
        <w:rPr>
          <w:rFonts w:hint="cs"/>
          <w:rtl/>
        </w:rPr>
        <w:t xml:space="preserve">ה כי במסגרת הכנת מתווה </w:t>
      </w:r>
      <w:r w:rsidRPr="00B97E44">
        <w:rPr>
          <w:rFonts w:hint="cs"/>
          <w:rtl/>
        </w:rPr>
        <w:t>התמרוץ</w:t>
      </w:r>
      <w:r w:rsidRPr="00B97E44">
        <w:rPr>
          <w:rFonts w:hint="cs"/>
          <w:rtl/>
        </w:rPr>
        <w:t xml:space="preserve"> לשנת תשפ"ו התקיימו דיונים עם מנהלי בתי ספר, עם נציגי רשויות מקומיות, עם נציגי משרד החינוך, עם נציגי אגף השכר והסכמי עבודה במשרד האוצר ועם נציגי מינהלת תקומה </w:t>
      </w:r>
      <w:r>
        <w:rPr>
          <w:rFonts w:hint="cs"/>
          <w:rtl/>
        </w:rPr>
        <w:t xml:space="preserve">תוך בחינת צורכי השטח </w:t>
      </w:r>
      <w:r w:rsidRPr="00B97E44">
        <w:rPr>
          <w:rFonts w:hint="cs"/>
          <w:rtl/>
        </w:rPr>
        <w:t xml:space="preserve">כדי לדייק את מתווה </w:t>
      </w:r>
      <w:r w:rsidRPr="00B97E44">
        <w:rPr>
          <w:rFonts w:hint="cs"/>
          <w:rtl/>
        </w:rPr>
        <w:t>התמרוץ</w:t>
      </w:r>
      <w:r w:rsidRPr="00B97E44">
        <w:rPr>
          <w:rFonts w:hint="cs"/>
          <w:rtl/>
        </w:rPr>
        <w:t xml:space="preserve"> ולאפשר להחילו גם על שנת תשפ"ו שהחלה. גם עיריית </w:t>
      </w:r>
      <w:r w:rsidRPr="00B97E44">
        <w:rPr>
          <w:rFonts w:hint="eastAsia"/>
          <w:b/>
          <w:bCs/>
          <w:rtl/>
        </w:rPr>
        <w:t>שדרות</w:t>
      </w:r>
      <w:r w:rsidRPr="00B97E44">
        <w:rPr>
          <w:rFonts w:hint="cs"/>
          <w:rtl/>
        </w:rPr>
        <w:t xml:space="preserve"> ציינה בתשובתה כי לקראת שנת הלימודים תשפ"ו התקיימה היוועצות רחבה של משרד החינוך עם הרשויות המקומיות.</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אגף השכר והסכמי עבודה במשרד האוצר מסר בתשובתו מנובמבר 2025 כי בקרוב צפוי להתפרסם מתווה </w:t>
      </w:r>
      <w:r w:rsidRPr="00B97E44">
        <w:rPr>
          <w:rtl/>
        </w:rPr>
        <w:t>תמרוץ</w:t>
      </w:r>
      <w:r w:rsidRPr="00B97E44">
        <w:rPr>
          <w:rtl/>
        </w:rPr>
        <w:t xml:space="preserve"> לשנים תשפ"ו</w:t>
      </w:r>
      <w:r w:rsidRPr="00B97E44">
        <w:rPr>
          <w:rFonts w:hint="cs"/>
          <w:rtl/>
        </w:rPr>
        <w:t xml:space="preserve"> - </w:t>
      </w:r>
      <w:r w:rsidRPr="00B97E44">
        <w:rPr>
          <w:rtl/>
        </w:rPr>
        <w:t>תשפ"ח</w:t>
      </w:r>
      <w:r w:rsidRPr="00B97E44">
        <w:rPr>
          <w:rFonts w:hint="cs"/>
          <w:rtl/>
        </w:rPr>
        <w:t xml:space="preserve"> שעליו הוסכם בינו ובין מינהלת תקומה ומשרד החינוך, </w:t>
      </w:r>
      <w:r w:rsidRPr="00B97E44">
        <w:rPr>
          <w:rtl/>
        </w:rPr>
        <w:t>בהתאם למסגרת התקציב שנותרה לאחר יישום</w:t>
      </w:r>
      <w:r w:rsidRPr="00B97E44">
        <w:rPr>
          <w:rFonts w:hint="cs"/>
          <w:rtl/>
        </w:rPr>
        <w:t xml:space="preserve"> </w:t>
      </w:r>
      <w:r w:rsidRPr="00B97E44">
        <w:rPr>
          <w:rtl/>
        </w:rPr>
        <w:t>המתווה לשנת תשפ"ה.</w:t>
      </w:r>
      <w:r w:rsidRPr="00B97E44">
        <w:rPr>
          <w:rFonts w:hint="cs"/>
          <w:rtl/>
        </w:rPr>
        <w:t xml:space="preserve"> משרד החינוך מסר גם הוא בתשובתו מנובמבר 2025 כי תוכנית תמריצים חדשה לשנת הלימודים תשפ"ו אמורה להתפרסם בקרוב.</w:t>
      </w:r>
    </w:p>
    <w:p w:rsidR="005B126E" w:rsidP="001916A9">
      <w:pPr>
        <w:spacing w:line="269" w:lineRule="auto"/>
        <w:rPr>
          <w:b/>
          <w:bCs/>
          <w:rtl/>
        </w:rPr>
      </w:pPr>
    </w:p>
    <w:p w:rsidR="005B126E" w:rsidRPr="005C1BD3" w:rsidP="001916A9">
      <w:pPr>
        <w:spacing w:line="269" w:lineRule="auto"/>
        <w:rPr>
          <w:b/>
          <w:bCs/>
          <w:rtl/>
        </w:rPr>
      </w:pPr>
      <w:r w:rsidRPr="005C1BD3">
        <w:rPr>
          <w:rFonts w:hint="eastAsia"/>
          <w:b/>
          <w:bCs/>
          <w:rtl/>
        </w:rPr>
        <w:t>נמצא</w:t>
      </w:r>
      <w:r w:rsidRPr="005C1BD3">
        <w:rPr>
          <w:b/>
          <w:bCs/>
          <w:rtl/>
        </w:rPr>
        <w:t xml:space="preserve"> כי גם בדצמבר 2025 טרם פורסמה תוכנית התמריצים לעובדי ההוראה בחבל התקומה </w:t>
      </w:r>
      <w:r w:rsidRPr="005C1BD3">
        <w:rPr>
          <w:rFonts w:hint="eastAsia"/>
          <w:b/>
          <w:bCs/>
          <w:rtl/>
        </w:rPr>
        <w:t>לשנת</w:t>
      </w:r>
      <w:r w:rsidRPr="005C1BD3">
        <w:rPr>
          <w:b/>
          <w:bCs/>
          <w:rtl/>
        </w:rPr>
        <w:t xml:space="preserve"> </w:t>
      </w:r>
      <w:r w:rsidRPr="005C1BD3">
        <w:rPr>
          <w:rFonts w:hint="eastAsia"/>
          <w:b/>
          <w:bCs/>
          <w:rtl/>
        </w:rPr>
        <w:t>הלימודים</w:t>
      </w:r>
      <w:r w:rsidRPr="005C1BD3">
        <w:rPr>
          <w:b/>
          <w:bCs/>
          <w:rtl/>
        </w:rPr>
        <w:t xml:space="preserve"> </w:t>
      </w:r>
      <w:r w:rsidRPr="005C1BD3">
        <w:rPr>
          <w:rFonts w:hint="eastAsia"/>
          <w:b/>
          <w:bCs/>
          <w:rtl/>
        </w:rPr>
        <w:t>תשפ</w:t>
      </w:r>
      <w:r w:rsidRPr="005C1BD3">
        <w:rPr>
          <w:b/>
          <w:bCs/>
          <w:rtl/>
        </w:rPr>
        <w:t>"ו.</w:t>
      </w:r>
    </w:p>
    <w:p w:rsidR="005B126E" w:rsidP="001916A9">
      <w:pPr>
        <w:spacing w:line="269" w:lineRule="auto"/>
        <w:rPr>
          <w:b/>
          <w:bCs/>
          <w:rtl/>
        </w:rPr>
      </w:pPr>
    </w:p>
    <w:p w:rsidR="005B126E" w:rsidRPr="00B97E44" w:rsidP="001916A9">
      <w:pPr>
        <w:spacing w:line="269" w:lineRule="auto"/>
        <w:rPr>
          <w:b/>
          <w:bCs/>
          <w:rtl/>
        </w:rPr>
      </w:pPr>
      <w:r w:rsidRPr="00B97E44">
        <w:rPr>
          <w:rFonts w:hint="eastAsia"/>
          <w:b/>
          <w:bCs/>
          <w:rtl/>
        </w:rPr>
        <w:t>על</w:t>
      </w:r>
      <w:r w:rsidRPr="00B97E44">
        <w:rPr>
          <w:b/>
          <w:bCs/>
          <w:rtl/>
        </w:rPr>
        <w:t xml:space="preserve"> </w:t>
      </w:r>
      <w:r w:rsidRPr="00B97E44">
        <w:rPr>
          <w:rFonts w:hint="eastAsia"/>
          <w:b/>
          <w:bCs/>
          <w:rtl/>
        </w:rPr>
        <w:t>משרד</w:t>
      </w:r>
      <w:r w:rsidRPr="00B97E44">
        <w:rPr>
          <w:b/>
          <w:bCs/>
          <w:rtl/>
        </w:rPr>
        <w:t xml:space="preserve"> </w:t>
      </w:r>
      <w:r w:rsidRPr="00B97E44">
        <w:rPr>
          <w:rFonts w:hint="eastAsia"/>
          <w:b/>
          <w:bCs/>
          <w:rtl/>
        </w:rPr>
        <w:t>החינוך</w:t>
      </w:r>
      <w:r w:rsidRPr="00B97E44">
        <w:rPr>
          <w:b/>
          <w:bCs/>
          <w:rtl/>
        </w:rPr>
        <w:t xml:space="preserve">, </w:t>
      </w:r>
      <w:r w:rsidRPr="00B97E44">
        <w:rPr>
          <w:rFonts w:hint="eastAsia"/>
          <w:b/>
          <w:bCs/>
          <w:rtl/>
        </w:rPr>
        <w:t>מינהלת</w:t>
      </w:r>
      <w:r w:rsidRPr="00B97E44">
        <w:rPr>
          <w:b/>
          <w:bCs/>
          <w:rtl/>
        </w:rPr>
        <w:t xml:space="preserve"> </w:t>
      </w:r>
      <w:r w:rsidRPr="00B97E44">
        <w:rPr>
          <w:rFonts w:hint="eastAsia"/>
          <w:b/>
          <w:bCs/>
          <w:rtl/>
        </w:rPr>
        <w:t>תקומה</w:t>
      </w:r>
      <w:r w:rsidRPr="00B97E44">
        <w:rPr>
          <w:b/>
          <w:bCs/>
          <w:rtl/>
        </w:rPr>
        <w:t xml:space="preserve"> </w:t>
      </w:r>
      <w:r w:rsidRPr="00B97E44">
        <w:rPr>
          <w:rFonts w:hint="eastAsia"/>
          <w:b/>
          <w:bCs/>
          <w:rtl/>
        </w:rPr>
        <w:t>ואגף</w:t>
      </w:r>
      <w:r w:rsidRPr="00B97E44">
        <w:rPr>
          <w:b/>
          <w:bCs/>
          <w:rtl/>
        </w:rPr>
        <w:t xml:space="preserve"> </w:t>
      </w:r>
      <w:r w:rsidRPr="00B97E44">
        <w:rPr>
          <w:rFonts w:hint="eastAsia"/>
          <w:b/>
          <w:bCs/>
          <w:rtl/>
        </w:rPr>
        <w:t>השכר</w:t>
      </w:r>
      <w:r w:rsidRPr="00B97E44">
        <w:rPr>
          <w:b/>
          <w:bCs/>
          <w:rtl/>
        </w:rPr>
        <w:t xml:space="preserve"> </w:t>
      </w:r>
      <w:r w:rsidRPr="00B97E44">
        <w:rPr>
          <w:rFonts w:hint="eastAsia"/>
          <w:b/>
          <w:bCs/>
          <w:rtl/>
        </w:rPr>
        <w:t>והסכמי</w:t>
      </w:r>
      <w:r w:rsidRPr="00B97E44">
        <w:rPr>
          <w:b/>
          <w:bCs/>
          <w:rtl/>
        </w:rPr>
        <w:t xml:space="preserve"> </w:t>
      </w:r>
      <w:r w:rsidRPr="00B97E44">
        <w:rPr>
          <w:rFonts w:hint="eastAsia"/>
          <w:b/>
          <w:bCs/>
          <w:rtl/>
        </w:rPr>
        <w:t>עבודה</w:t>
      </w:r>
      <w:r w:rsidRPr="00B97E44">
        <w:rPr>
          <w:b/>
          <w:bCs/>
          <w:rtl/>
        </w:rPr>
        <w:t xml:space="preserve"> </w:t>
      </w:r>
      <w:r w:rsidRPr="00B97E44">
        <w:rPr>
          <w:rFonts w:hint="eastAsia"/>
          <w:b/>
          <w:bCs/>
          <w:rtl/>
        </w:rPr>
        <w:t>לפעול</w:t>
      </w:r>
      <w:r w:rsidRPr="00B97E44">
        <w:rPr>
          <w:b/>
          <w:bCs/>
          <w:rtl/>
        </w:rPr>
        <w:t xml:space="preserve"> </w:t>
      </w:r>
      <w:r w:rsidRPr="00B97E44">
        <w:rPr>
          <w:rFonts w:hint="eastAsia"/>
          <w:b/>
          <w:bCs/>
          <w:rtl/>
        </w:rPr>
        <w:t>ביתר</w:t>
      </w:r>
      <w:r w:rsidRPr="00B97E44">
        <w:rPr>
          <w:b/>
          <w:bCs/>
          <w:rtl/>
        </w:rPr>
        <w:t xml:space="preserve"> </w:t>
      </w:r>
      <w:r w:rsidRPr="00B97E44">
        <w:rPr>
          <w:rFonts w:hint="eastAsia"/>
          <w:b/>
          <w:bCs/>
          <w:rtl/>
        </w:rPr>
        <w:t>שאת</w:t>
      </w:r>
      <w:r w:rsidRPr="00B97E44">
        <w:rPr>
          <w:b/>
          <w:bCs/>
          <w:rtl/>
        </w:rPr>
        <w:t xml:space="preserve"> </w:t>
      </w:r>
      <w:r w:rsidRPr="00B97E44">
        <w:rPr>
          <w:rFonts w:hint="eastAsia"/>
          <w:b/>
          <w:bCs/>
          <w:rtl/>
        </w:rPr>
        <w:t>לפרסומה</w:t>
      </w:r>
      <w:r w:rsidRPr="00B97E44">
        <w:rPr>
          <w:b/>
          <w:bCs/>
          <w:rtl/>
        </w:rPr>
        <w:t xml:space="preserve"> של תוכנית תמריצים לעובדי ההוראה לשנת הלימודים תשפ"ו כיוון שככול שחולף הזמן </w:t>
      </w:r>
      <w:r w:rsidRPr="00B97E44">
        <w:rPr>
          <w:rFonts w:hint="eastAsia"/>
          <w:b/>
          <w:bCs/>
          <w:rtl/>
        </w:rPr>
        <w:t>האפשרות</w:t>
      </w:r>
      <w:r w:rsidRPr="00B97E44">
        <w:rPr>
          <w:b/>
          <w:bCs/>
          <w:rtl/>
        </w:rPr>
        <w:t xml:space="preserve"> </w:t>
      </w:r>
      <w:r w:rsidRPr="00B97E44">
        <w:rPr>
          <w:rFonts w:hint="eastAsia"/>
          <w:b/>
          <w:bCs/>
          <w:rtl/>
        </w:rPr>
        <w:t>של</w:t>
      </w:r>
      <w:r w:rsidRPr="00B97E44">
        <w:rPr>
          <w:b/>
          <w:bCs/>
          <w:rtl/>
        </w:rPr>
        <w:t xml:space="preserve"> </w:t>
      </w:r>
      <w:r w:rsidRPr="00B97E44">
        <w:rPr>
          <w:rFonts w:hint="eastAsia"/>
          <w:b/>
          <w:bCs/>
          <w:rtl/>
        </w:rPr>
        <w:t>התוכנית</w:t>
      </w:r>
      <w:r w:rsidRPr="00B97E44">
        <w:rPr>
          <w:b/>
          <w:bCs/>
          <w:rtl/>
        </w:rPr>
        <w:t xml:space="preserve"> </w:t>
      </w:r>
      <w:r w:rsidRPr="00B97E44">
        <w:rPr>
          <w:rFonts w:hint="eastAsia"/>
          <w:b/>
          <w:bCs/>
          <w:rtl/>
        </w:rPr>
        <w:t>למלא</w:t>
      </w:r>
      <w:r w:rsidRPr="00B97E44">
        <w:rPr>
          <w:b/>
          <w:bCs/>
          <w:rtl/>
        </w:rPr>
        <w:t xml:space="preserve"> את </w:t>
      </w:r>
      <w:r w:rsidRPr="00B97E44">
        <w:rPr>
          <w:rFonts w:hint="eastAsia"/>
          <w:b/>
          <w:bCs/>
          <w:rtl/>
        </w:rPr>
        <w:t>י</w:t>
      </w:r>
      <w:r w:rsidRPr="00B97E44">
        <w:rPr>
          <w:b/>
          <w:bCs/>
          <w:rtl/>
        </w:rPr>
        <w:t xml:space="preserve">יעודה </w:t>
      </w:r>
      <w:r w:rsidRPr="00B97E44">
        <w:rPr>
          <w:rFonts w:hint="eastAsia"/>
          <w:b/>
          <w:bCs/>
          <w:rtl/>
        </w:rPr>
        <w:t>פוחתת</w:t>
      </w:r>
      <w:r w:rsidRPr="00B97E44">
        <w:rPr>
          <w:b/>
          <w:bCs/>
          <w:rtl/>
        </w:rPr>
        <w:t xml:space="preserve">. </w:t>
      </w:r>
    </w:p>
    <w:p w:rsidR="005B126E" w:rsidRPr="00B97E44" w:rsidP="001916A9">
      <w:pPr>
        <w:spacing w:line="269" w:lineRule="auto"/>
        <w:rPr>
          <w:rtl/>
        </w:rPr>
      </w:pPr>
    </w:p>
    <w:p w:rsidR="005B126E" w:rsidRPr="00B97E44" w:rsidP="001916A9">
      <w:pPr>
        <w:pStyle w:val="Heading5"/>
        <w:spacing w:line="269" w:lineRule="auto"/>
        <w:rPr>
          <w:rtl/>
        </w:rPr>
      </w:pPr>
      <w:r w:rsidRPr="00B97E44">
        <w:rPr>
          <w:rFonts w:hint="cs"/>
          <w:rtl/>
        </w:rPr>
        <w:t xml:space="preserve">תוכנית החומש - שיקום קיבוץ ניר עוז בראי החינוך </w:t>
      </w:r>
    </w:p>
    <w:p w:rsidR="005B126E" w:rsidP="001916A9">
      <w:pPr>
        <w:spacing w:line="269" w:lineRule="auto"/>
        <w:rPr>
          <w:rtl/>
        </w:rPr>
      </w:pPr>
    </w:p>
    <w:p w:rsidR="005B126E" w:rsidRPr="00B97E44" w:rsidP="001916A9">
      <w:pPr>
        <w:spacing w:line="269" w:lineRule="auto"/>
        <w:rPr>
          <w:rtl/>
        </w:rPr>
      </w:pPr>
      <w:r w:rsidRPr="00B97E44">
        <w:rPr>
          <w:rFonts w:hint="cs"/>
          <w:rtl/>
        </w:rPr>
        <w:t>מתקפת הטרור בשבעה באוקטובר פגעה באופן קשה ביישובים רבים בחבל התקומה, ואולם יישוב אחד מהם נפגע באופן חמור במיוחד - קיבוץ ניר עוז.</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קיבוץ ניר עוז שייך למועצה האזורית </w:t>
      </w:r>
      <w:r w:rsidRPr="00B97E44">
        <w:rPr>
          <w:rFonts w:hint="cs"/>
          <w:b/>
          <w:bCs/>
          <w:rtl/>
        </w:rPr>
        <w:t>אשכול</w:t>
      </w:r>
      <w:r w:rsidRPr="00B97E44">
        <w:rPr>
          <w:rFonts w:hint="cs"/>
          <w:rtl/>
        </w:rPr>
        <w:t xml:space="preserve">. קודם </w:t>
      </w:r>
      <w:r>
        <w:rPr>
          <w:rFonts w:hint="cs"/>
          <w:rtl/>
        </w:rPr>
        <w:t>למתקפת הטרור בשבעה</w:t>
      </w:r>
      <w:r w:rsidRPr="00B97E44">
        <w:rPr>
          <w:rFonts w:hint="cs"/>
          <w:rtl/>
        </w:rPr>
        <w:t xml:space="preserve"> באוקטובר מנתה אוכלוסיית הקיבוץ 384 חברים ותושבים. בשבעה באוקטובר 117 </w:t>
      </w:r>
      <w:r>
        <w:rPr>
          <w:rFonts w:hint="cs"/>
          <w:rtl/>
        </w:rPr>
        <w:t xml:space="preserve">איש </w:t>
      </w:r>
      <w:r w:rsidRPr="00B97E44">
        <w:rPr>
          <w:rFonts w:hint="cs"/>
          <w:rtl/>
        </w:rPr>
        <w:t>נרצחו או נחטפו</w:t>
      </w:r>
      <w:r>
        <w:rPr>
          <w:rFonts w:hint="cs"/>
          <w:rtl/>
        </w:rPr>
        <w:t xml:space="preserve"> מניר עוז</w:t>
      </w:r>
      <w:r w:rsidRPr="00B97E44">
        <w:rPr>
          <w:rFonts w:hint="cs"/>
          <w:rtl/>
        </w:rPr>
        <w:t>.</w:t>
      </w:r>
    </w:p>
    <w:p w:rsidR="005B126E" w:rsidP="001916A9">
      <w:pPr>
        <w:spacing w:line="269" w:lineRule="auto"/>
        <w:rPr>
          <w:rtl/>
        </w:rPr>
      </w:pPr>
    </w:p>
    <w:p w:rsidR="005B126E" w:rsidP="001916A9">
      <w:pPr>
        <w:spacing w:line="269" w:lineRule="auto"/>
        <w:rPr>
          <w:rtl/>
        </w:rPr>
      </w:pPr>
      <w:r w:rsidRPr="00B97E44">
        <w:rPr>
          <w:rFonts w:hint="cs"/>
          <w:rtl/>
        </w:rPr>
        <w:t xml:space="preserve">ממדי ההרס שנגרמו לקיבוץ ניר עוז מתבטאים בהיבטים פיזיים הנדסיים, בהיבטים אנושיים, מנהיגותיים וקהילתיים ובהיבטים כלכליים חריגים בחומרתם. במהלך מתקפת הטרור חדרו מחבלים ל-97% מבתיו של הקיבוץ, מארבעה כיוונים שונים, נשרפו וניזוקו עשרות מבני ציבור וכן חדר האוכל ומפעל </w:t>
      </w:r>
      <w:r w:rsidRPr="00B97E44">
        <w:rPr>
          <w:rFonts w:hint="cs"/>
          <w:rtl/>
        </w:rPr>
        <w:t>נירלט</w:t>
      </w:r>
      <w:r w:rsidRPr="00B97E44">
        <w:rPr>
          <w:rFonts w:hint="cs"/>
          <w:rtl/>
        </w:rPr>
        <w:t xml:space="preserve"> ולמעשה הקיבוץ כולו נכבש וחולל. כוחות צה"ל הגיעו ליישוב רק לאחר שאחרון המחבלים כבר יצא ממנו</w:t>
      </w:r>
      <w:r>
        <w:rPr>
          <w:vertAlign w:val="superscript"/>
          <w:rtl/>
        </w:rPr>
        <w:footnoteReference w:id="61"/>
      </w:r>
      <w:r w:rsidRPr="00B97E44">
        <w:rPr>
          <w:rFonts w:hint="cs"/>
          <w:rtl/>
        </w:rPr>
        <w:t xml:space="preserve">. </w:t>
      </w:r>
    </w:p>
    <w:p w:rsidR="005B126E" w:rsidRPr="00B97E44" w:rsidP="003474AA">
      <w:pPr>
        <w:keepNext/>
        <w:keepLines/>
        <w:spacing w:line="360" w:lineRule="auto"/>
        <w:jc w:val="center"/>
        <w:rPr>
          <w:rtl/>
        </w:rPr>
      </w:pPr>
      <w:r w:rsidRPr="00B97E44">
        <w:rPr>
          <w:rFonts w:hint="cs"/>
          <w:rtl/>
        </w:rPr>
        <w:t xml:space="preserve">תמונות 7 - 8: </w:t>
      </w:r>
      <w:r w:rsidRPr="00B97E44">
        <w:rPr>
          <w:rFonts w:hint="cs"/>
          <w:b/>
          <w:bCs/>
          <w:rtl/>
        </w:rPr>
        <w:t>קיבוץ ניר עוז לאחר מתקפת הטרור בשבעה באוקטובר</w:t>
      </w:r>
    </w:p>
    <w:tbl>
      <w:tblPr>
        <w:bidiVisual/>
        <w:tblW w:w="0" w:type="auto"/>
        <w:tblLook w:val="04A0"/>
      </w:tblPr>
      <w:tblGrid>
        <w:gridCol w:w="4465"/>
        <w:gridCol w:w="4465"/>
      </w:tblGrid>
      <w:tr w:rsidTr="00FF2A74">
        <w:tblPrEx>
          <w:tblW w:w="0" w:type="auto"/>
          <w:tblLook w:val="04A0"/>
        </w:tblPrEx>
        <w:tc>
          <w:tcPr>
            <w:tcW w:w="4105" w:type="dxa"/>
          </w:tcPr>
          <w:p w:rsidR="005B126E" w:rsidRPr="00B97E44" w:rsidP="001916A9">
            <w:pPr>
              <w:keepNext/>
              <w:keepLines/>
              <w:spacing w:line="269" w:lineRule="auto"/>
              <w:rPr>
                <w:rtl/>
              </w:rPr>
            </w:pPr>
            <w:r w:rsidRPr="00B97E44">
              <w:rPr>
                <w:rFonts w:hint="cs"/>
                <w:noProof/>
              </w:rPr>
              <w:drawing>
                <wp:inline distT="0" distB="0" distL="0" distR="0">
                  <wp:extent cx="3024000" cy="2268731"/>
                  <wp:effectExtent l="0" t="0" r="5080" b="0"/>
                  <wp:docPr id="24" name="תמונה 24" descr="מבנה שרוף ומפויח בניר עו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4"/>
                          <pic:cNvPicPr>
                            <a:picLocks noChangeAspect="1" noChangeArrowheads="1"/>
                          </pic:cNvPicPr>
                        </pic:nvPicPr>
                        <pic:blipFill>
                          <a:blip xmlns:r="http://schemas.openxmlformats.org/officeDocument/2006/relationships" r:embed="rId28" cstate="screen">
                            <a:extLst>
                              <a:ext xmlns:a="http://schemas.openxmlformats.org/drawingml/2006/main" uri="{28A0092B-C50C-407E-A947-70E740481C1C}">
                                <a14:useLocalDpi xmlns:a14="http://schemas.microsoft.com/office/drawing/2010/main" val="0"/>
                              </a:ext>
                            </a:extLst>
                          </a:blip>
                          <a:stretch>
                            <a:fillRect/>
                          </a:stretch>
                        </pic:blipFill>
                        <pic:spPr bwMode="auto">
                          <a:xfrm>
                            <a:off x="0" y="0"/>
                            <a:ext cx="3024000" cy="2268731"/>
                          </a:xfrm>
                          <a:prstGeom prst="rect">
                            <a:avLst/>
                          </a:prstGeom>
                          <a:noFill/>
                          <a:ln>
                            <a:noFill/>
                          </a:ln>
                        </pic:spPr>
                      </pic:pic>
                    </a:graphicData>
                  </a:graphic>
                </wp:inline>
              </w:drawing>
            </w:r>
          </w:p>
        </w:tc>
        <w:tc>
          <w:tcPr>
            <w:tcW w:w="4106" w:type="dxa"/>
          </w:tcPr>
          <w:p w:rsidR="005B126E" w:rsidRPr="00B97E44" w:rsidP="001916A9">
            <w:pPr>
              <w:spacing w:line="269" w:lineRule="auto"/>
              <w:rPr>
                <w:rtl/>
              </w:rPr>
            </w:pPr>
            <w:r w:rsidRPr="00B97E44">
              <w:rPr>
                <w:noProof/>
              </w:rPr>
              <w:drawing>
                <wp:inline distT="0" distB="0" distL="0" distR="0">
                  <wp:extent cx="3024000" cy="2268000"/>
                  <wp:effectExtent l="0" t="0" r="5080" b="0"/>
                  <wp:docPr id="26" name="תמונה 26" descr="בתמונה יש הריסות מבנה בקיבוץ ניר עו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5"/>
                          <pic:cNvPicPr>
                            <a:picLocks noChangeAspect="1" noChangeArrowheads="1"/>
                          </pic:cNvPicPr>
                        </pic:nvPicPr>
                        <pic:blipFill>
                          <a:blip xmlns:r="http://schemas.openxmlformats.org/officeDocument/2006/relationships" r:embed="rId29" cstate="screen">
                            <a:extLst>
                              <a:ext xmlns:a="http://schemas.openxmlformats.org/drawingml/2006/main" uri="{28A0092B-C50C-407E-A947-70E740481C1C}">
                                <a14:useLocalDpi xmlns:a14="http://schemas.microsoft.com/office/drawing/2010/main" val="0"/>
                              </a:ext>
                            </a:extLst>
                          </a:blip>
                          <a:stretch>
                            <a:fillRect/>
                          </a:stretch>
                        </pic:blipFill>
                        <pic:spPr bwMode="auto">
                          <a:xfrm>
                            <a:off x="0" y="0"/>
                            <a:ext cx="3024000" cy="2268000"/>
                          </a:xfrm>
                          <a:prstGeom prst="rect">
                            <a:avLst/>
                          </a:prstGeom>
                          <a:noFill/>
                          <a:ln>
                            <a:noFill/>
                          </a:ln>
                        </pic:spPr>
                      </pic:pic>
                    </a:graphicData>
                  </a:graphic>
                </wp:inline>
              </w:drawing>
            </w:r>
          </w:p>
        </w:tc>
      </w:tr>
    </w:tbl>
    <w:p w:rsidR="005B126E" w:rsidRPr="00B97E44" w:rsidP="001916A9">
      <w:pPr>
        <w:spacing w:line="269" w:lineRule="auto"/>
        <w:rPr>
          <w:sz w:val="16"/>
          <w:szCs w:val="20"/>
          <w:rtl/>
        </w:rPr>
      </w:pPr>
      <w:r w:rsidRPr="00B97E44">
        <w:rPr>
          <w:rFonts w:hint="cs"/>
          <w:sz w:val="16"/>
          <w:szCs w:val="20"/>
          <w:rtl/>
        </w:rPr>
        <w:t xml:space="preserve">צולם בידי </w:t>
      </w:r>
      <w:r>
        <w:rPr>
          <w:rFonts w:hint="cs"/>
          <w:sz w:val="16"/>
          <w:szCs w:val="20"/>
          <w:rtl/>
        </w:rPr>
        <w:t>משרד מבקר המדינה</w:t>
      </w:r>
      <w:r w:rsidRPr="00B97E44">
        <w:rPr>
          <w:rFonts w:hint="cs"/>
          <w:sz w:val="16"/>
          <w:szCs w:val="20"/>
          <w:rtl/>
        </w:rPr>
        <w:t xml:space="preserve"> בפברואר 2024.</w:t>
      </w:r>
    </w:p>
    <w:p w:rsidR="005B126E" w:rsidP="001916A9">
      <w:pPr>
        <w:spacing w:line="269" w:lineRule="auto"/>
        <w:rPr>
          <w:rtl/>
        </w:rPr>
      </w:pPr>
    </w:p>
    <w:p w:rsidR="005B126E" w:rsidRPr="00B97E44" w:rsidP="001916A9">
      <w:pPr>
        <w:spacing w:line="269" w:lineRule="auto"/>
        <w:rPr>
          <w:rtl/>
        </w:rPr>
      </w:pPr>
      <w:r w:rsidRPr="00B97E44">
        <w:rPr>
          <w:rFonts w:hint="cs"/>
          <w:rtl/>
        </w:rPr>
        <w:t>נוכח הפגיעה הקשה נחתם עם הקיבוץ הסכם לשיקומו הפיזי</w:t>
      </w:r>
      <w:r>
        <w:rPr>
          <w:rFonts w:hint="cs"/>
          <w:rtl/>
        </w:rPr>
        <w:t xml:space="preserve"> ששילב בין מתווים שונים של </w:t>
      </w:r>
      <w:r>
        <w:rPr>
          <w:rFonts w:hint="cs"/>
          <w:rtl/>
        </w:rPr>
        <w:t>המינהלת</w:t>
      </w:r>
      <w:r w:rsidRPr="00B97E44">
        <w:rPr>
          <w:rFonts w:hint="cs"/>
          <w:rtl/>
        </w:rPr>
        <w:t xml:space="preserve">. </w:t>
      </w:r>
      <w:r w:rsidRPr="00B97E44">
        <w:rPr>
          <w:rtl/>
        </w:rPr>
        <w:t xml:space="preserve">במועד </w:t>
      </w:r>
      <w:r w:rsidRPr="00B97E44">
        <w:rPr>
          <w:rFonts w:hint="cs"/>
          <w:rtl/>
        </w:rPr>
        <w:t xml:space="preserve">סיום </w:t>
      </w:r>
      <w:r w:rsidRPr="00B97E44">
        <w:rPr>
          <w:rtl/>
        </w:rPr>
        <w:t>הביקורת</w:t>
      </w:r>
      <w:r w:rsidRPr="00B97E44">
        <w:rPr>
          <w:rFonts w:hint="cs"/>
          <w:rtl/>
        </w:rPr>
        <w:t xml:space="preserve"> השיקום</w:t>
      </w:r>
      <w:r w:rsidRPr="00B97E44">
        <w:rPr>
          <w:rtl/>
        </w:rPr>
        <w:t xml:space="preserve"> עדיין לא הושלם, 120 ממשקי הבית של קהילת ניר עוז התגוררו במתחם כרמי גת בקריית גת, ו-29 משקי בית נוספים התגוררו ברחבי הארץ ובחו"ל.</w:t>
      </w:r>
    </w:p>
    <w:p w:rsidR="005B126E" w:rsidP="001916A9">
      <w:pPr>
        <w:spacing w:line="269" w:lineRule="auto"/>
        <w:rPr>
          <w:rtl/>
        </w:rPr>
      </w:pPr>
    </w:p>
    <w:p w:rsidR="005B126E" w:rsidRPr="00B97E44" w:rsidP="001916A9">
      <w:pPr>
        <w:spacing w:line="269" w:lineRule="auto"/>
        <w:rPr>
          <w:rtl/>
        </w:rPr>
      </w:pPr>
      <w:r w:rsidRPr="00B97E44">
        <w:rPr>
          <w:rFonts w:hint="cs"/>
          <w:rtl/>
        </w:rPr>
        <w:t>האתגרים של קהילת ניר עוז גדולים ורבים: הקהילה עברה טראומה ושכול ובמשך תקופה ארוכה עוד המתינה לחטופים מחברי הקהילה שישובו לביתם או לקבורה בישראל; היה צורך במתן שירותים ופתרונות מגוונים לקהילה קיבוצית הפזורה בכמה מקומות בנפרד מגרעין הקהילה בכרמי גת;</w:t>
      </w:r>
      <w:r w:rsidRPr="00B97E44">
        <w:rPr>
          <w:rFonts w:hint="cs"/>
        </w:rPr>
        <w:t xml:space="preserve"> </w:t>
      </w:r>
      <w:r w:rsidRPr="00B97E44">
        <w:rPr>
          <w:rFonts w:hint="cs"/>
          <w:rtl/>
        </w:rPr>
        <w:t>נדרשו הוצאות כבדות בתחומי החינוך, השמירה והשינוע כדי לשמר את הקהילה מאוחדת; וכל זה לצד קידום עבודות השיקום של מבני הקיבוץ, המאלץ את הקהילה להסתמך בעיקר על כספי תרומות.</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כאמור </w:t>
      </w:r>
      <w:r w:rsidRPr="00B97E44">
        <w:rPr>
          <w:rFonts w:hint="eastAsia"/>
          <w:rtl/>
        </w:rPr>
        <w:t>לעיל</w:t>
      </w:r>
      <w:r w:rsidRPr="00B97E44">
        <w:rPr>
          <w:rtl/>
        </w:rPr>
        <w:t xml:space="preserve">, מערך הגיל הרך </w:t>
      </w:r>
      <w:r w:rsidRPr="00B97E44">
        <w:rPr>
          <w:rFonts w:hint="eastAsia"/>
          <w:rtl/>
        </w:rPr>
        <w:t>בקיבוצים</w:t>
      </w:r>
      <w:r w:rsidRPr="00B97E44">
        <w:rPr>
          <w:rtl/>
        </w:rPr>
        <w:t xml:space="preserve"> בחבל התקומה הוא חלק בלתי נפרד מהקהילה, </w:t>
      </w:r>
      <w:r w:rsidRPr="00B97E44">
        <w:rPr>
          <w:rFonts w:hint="eastAsia"/>
          <w:rtl/>
        </w:rPr>
        <w:t>ו</w:t>
      </w:r>
      <w:r w:rsidRPr="00B97E44">
        <w:rPr>
          <w:rFonts w:hint="cs"/>
          <w:rtl/>
        </w:rPr>
        <w:t>ל</w:t>
      </w:r>
      <w:r w:rsidRPr="00B97E44">
        <w:rPr>
          <w:rtl/>
        </w:rPr>
        <w:t xml:space="preserve">קיבוצים </w:t>
      </w:r>
      <w:r w:rsidRPr="00B97E44">
        <w:rPr>
          <w:rFonts w:hint="eastAsia"/>
          <w:rtl/>
        </w:rPr>
        <w:t>חלק</w:t>
      </w:r>
      <w:r w:rsidRPr="00B97E44">
        <w:rPr>
          <w:rtl/>
        </w:rPr>
        <w:t xml:space="preserve"> </w:t>
      </w:r>
      <w:r w:rsidRPr="00B97E44">
        <w:rPr>
          <w:rFonts w:hint="eastAsia"/>
          <w:rtl/>
        </w:rPr>
        <w:t>מרכזי</w:t>
      </w:r>
      <w:r w:rsidRPr="00B97E44">
        <w:rPr>
          <w:rtl/>
        </w:rPr>
        <w:t xml:space="preserve"> </w:t>
      </w:r>
      <w:r w:rsidRPr="00B97E44">
        <w:rPr>
          <w:rFonts w:hint="eastAsia"/>
          <w:rtl/>
        </w:rPr>
        <w:t>בהובלתו</w:t>
      </w:r>
      <w:r w:rsidRPr="00B97E44">
        <w:rPr>
          <w:rtl/>
        </w:rPr>
        <w:t xml:space="preserve"> במסגרת האוטונומיה הקהילתית שלהם.</w:t>
      </w:r>
      <w:r w:rsidRPr="00B97E44">
        <w:rPr>
          <w:rFonts w:hint="cs"/>
          <w:b/>
          <w:bCs/>
          <w:rtl/>
        </w:rPr>
        <w:t xml:space="preserve"> </w:t>
      </w:r>
      <w:r w:rsidRPr="00B97E44">
        <w:rPr>
          <w:rFonts w:hint="cs"/>
          <w:rtl/>
        </w:rPr>
        <w:t xml:space="preserve">מינהלת תקומה מתקצבת כל ילד בגיל לידה עד שש ב-13,500 ש"ח בשנה. התקציב הזה אמור לעבור לניר עוז דרך המועצה האזורית </w:t>
      </w:r>
      <w:r w:rsidRPr="00B97E44">
        <w:rPr>
          <w:rFonts w:hint="eastAsia"/>
          <w:b/>
          <w:bCs/>
          <w:rtl/>
        </w:rPr>
        <w:t>אשכול</w:t>
      </w:r>
      <w:r w:rsidRPr="00B97E44">
        <w:rPr>
          <w:rFonts w:hint="cs"/>
          <w:rtl/>
        </w:rPr>
        <w:t xml:space="preserve">. בינואר 2025 קבעה המועצה תוכנית חינוכית לקיבוץ ניר עוז, ללא היוועצות </w:t>
      </w:r>
      <w:r w:rsidRPr="00B97E44">
        <w:rPr>
          <w:rFonts w:hint="cs"/>
          <w:rtl/>
        </w:rPr>
        <w:t>עימו</w:t>
      </w:r>
      <w:r w:rsidRPr="00B97E44">
        <w:rPr>
          <w:rFonts w:hint="cs"/>
          <w:rtl/>
        </w:rPr>
        <w:t>, ובה חוגים, הכשרות, סל תרבות והרצאות להורים. ואולם הקיבוץ היה זקוק, לעמדתו, לכוח אדם מקצועי ומיומן שיסייע בהתמודדות היום-יומית בשיקום אחרי האירועים בעוד פעילויות חוסן נוספות הוא יוכל לממן מכספי תרומות.</w:t>
      </w:r>
    </w:p>
    <w:p w:rsidR="005B126E" w:rsidRPr="00B97E44" w:rsidP="001916A9">
      <w:pPr>
        <w:spacing w:line="269" w:lineRule="auto"/>
        <w:ind w:left="-567"/>
        <w:rPr>
          <w:szCs w:val="20"/>
          <w:rtl/>
        </w:rPr>
      </w:pPr>
      <w:r w:rsidRPr="00B97E44">
        <w:rPr>
          <w:szCs w:val="20"/>
          <w:rtl/>
        </w:rPr>
        <w:tab/>
      </w:r>
    </w:p>
    <w:p w:rsidR="005B126E" w:rsidRPr="00B97E44" w:rsidP="001916A9">
      <w:pPr>
        <w:spacing w:line="269" w:lineRule="auto"/>
        <w:rPr>
          <w:b/>
          <w:bCs/>
          <w:rtl/>
        </w:rPr>
      </w:pPr>
      <w:r w:rsidRPr="00B97E44">
        <w:rPr>
          <w:rFonts w:hint="cs"/>
          <w:b/>
          <w:bCs/>
          <w:rtl/>
        </w:rPr>
        <w:t>רק לאחר דין ודברים ממושך שארך שבועות ארוכים והתקיים לאחר שהמועצה האזורית אשכול קבעה את התוכנית בינואר 2025, הגיעה המועצה להסכמות עם קיבוץ ניר עוז כיצד להשתמש בתקציבים. עיכוב זה היה יכול להימנע לו המועצה האזורית אשכול הייתה מכינה את התוכניות בשיתוף הקיבוץ מלכתחילה.</w:t>
      </w:r>
    </w:p>
    <w:p w:rsidR="005B126E" w:rsidP="001916A9">
      <w:pPr>
        <w:spacing w:line="269" w:lineRule="auto"/>
        <w:rPr>
          <w:rtl/>
        </w:rPr>
      </w:pPr>
    </w:p>
    <w:p w:rsidR="005B126E" w:rsidRPr="00B97E44" w:rsidP="001916A9">
      <w:pPr>
        <w:spacing w:line="269" w:lineRule="auto"/>
        <w:rPr>
          <w:rtl/>
        </w:rPr>
      </w:pPr>
      <w:r w:rsidRPr="00B97E44">
        <w:rPr>
          <w:rFonts w:hint="cs"/>
          <w:rtl/>
        </w:rPr>
        <w:t>הביקורת העלתה עוד כי מינהלת תקומה ומשרדי הממשלה לא הצליחו לענות על צורכי הקהילה באופן מהיר ומיטבי גם בתחום החינוך הבלתי פורמלי, שיש בו כדי לסייע בשיקומה. בקריטריונים לתקצוב הרשויות המקומיות שפרסם משרד החינוך בנושא החינוך הבלתי פורמלי בעקבות תוכנית החומש, המיועד לשנים 2025 - 2028 (תשפ"ה - תשפ"ח)</w:t>
      </w:r>
      <w:r>
        <w:rPr>
          <w:vertAlign w:val="superscript"/>
          <w:rtl/>
        </w:rPr>
        <w:footnoteReference w:id="62"/>
      </w:r>
      <w:r w:rsidRPr="00B97E44">
        <w:rPr>
          <w:rFonts w:hint="cs"/>
          <w:rtl/>
        </w:rPr>
        <w:t>, הוקצו 26 מיליו</w:t>
      </w:r>
      <w:r>
        <w:rPr>
          <w:rFonts w:hint="cs"/>
          <w:rtl/>
        </w:rPr>
        <w:t>ני</w:t>
      </w:r>
      <w:r w:rsidRPr="00B97E44">
        <w:rPr>
          <w:rFonts w:hint="cs"/>
          <w:rtl/>
        </w:rPr>
        <w:t xml:space="preserve"> ש"ח לרשויות המקומיות בחבל התקומה ושני מיליו</w:t>
      </w:r>
      <w:r>
        <w:rPr>
          <w:rFonts w:hint="cs"/>
          <w:rtl/>
        </w:rPr>
        <w:t>ני</w:t>
      </w:r>
      <w:r w:rsidRPr="00B97E44">
        <w:rPr>
          <w:rFonts w:hint="cs"/>
          <w:rtl/>
        </w:rPr>
        <w:t xml:space="preserve"> ש"ח נוספים ליישובים קטנים המונים עד 70 תלמידים בכיתות א</w:t>
      </w:r>
      <w:r>
        <w:rPr>
          <w:rFonts w:hint="cs"/>
          <w:rtl/>
        </w:rPr>
        <w:t>'-</w:t>
      </w:r>
      <w:r w:rsidRPr="00B97E44">
        <w:rPr>
          <w:rFonts w:hint="cs"/>
          <w:rtl/>
        </w:rPr>
        <w:t>י"ב לשנת תשפ"ה. מטרות התוכנית היו פיתוח, העמקה וביסוס של מערך חינוך בלתי פורמלי איכותי ובר קיימ</w:t>
      </w:r>
      <w:r w:rsidR="00DA6AD6">
        <w:rPr>
          <w:rFonts w:hint="cs"/>
          <w:rtl/>
        </w:rPr>
        <w:t>ה</w:t>
      </w:r>
      <w:r w:rsidRPr="00B97E44">
        <w:rPr>
          <w:rFonts w:hint="cs"/>
          <w:rtl/>
        </w:rPr>
        <w:t>, באמצעות העסקת כוח אדם מקצועי ומיומן וחיזוק תחושת השייכות בעזרת מנהיגות הנוער, העמקת הקשר בין החינוך הבלתי פורמלי לחינוך הפורמלי וטיפוח חוסן. הרכיבים שתוקצבו בתוכנית היו העסקת כוח אדם והפעלתו בשדה החינוך הבלתי פורמלי; רכישת תוכניות חינוכיות ערכיות; היסעים לפעילות; והצטיידות בתחום הבלתי פורמלי.</w:t>
      </w:r>
    </w:p>
    <w:p w:rsidR="005B126E" w:rsidRPr="00B97E44" w:rsidP="001916A9">
      <w:pPr>
        <w:spacing w:line="269" w:lineRule="auto"/>
        <w:rPr>
          <w:rtl/>
        </w:rPr>
      </w:pPr>
    </w:p>
    <w:p w:rsidR="005B126E" w:rsidP="001916A9">
      <w:pPr>
        <w:spacing w:line="269" w:lineRule="auto"/>
        <w:rPr>
          <w:b/>
          <w:bCs/>
          <w:rtl/>
        </w:rPr>
      </w:pPr>
      <w:r w:rsidRPr="00B97E44">
        <w:rPr>
          <w:rFonts w:hint="cs"/>
          <w:b/>
          <w:bCs/>
          <w:rtl/>
        </w:rPr>
        <w:t>הביקורת העלתה כי עד אמצע יוני 2025, שלהי שנת הלימודים תשפ"ה, התקציבים בגין גיל לידה עד שלוש לא התקבלו בקהילת ניר עוז שבמגורי הביניים בקריית גת. זאת ועוד, נכון למועד האמור, הפעילות הבלתי פורמלית והעסקת כוח האדם לשעות הצוהריים והערב לילדי הקהילה בגילי בית הספר מומנה מתרומות. פעילות זו חיונית במיוחד לילדים ולנערים שחוו טראומות קשות ובכללן התמודדות עם אבל על אובדן בני משפחה וחברים והמתנה לשובם של יקיריהם משבי החמאס לשיקום או לקבורה. יוצא אפוא שקיבוץ ניר עוז - הלכה למעשה - נאלץ להעניק למדינה ולרשות המקומית באמצעות תרומות "מימון ביניים" עד להעברת התקציבים.</w:t>
      </w:r>
    </w:p>
    <w:p w:rsidR="005B126E" w:rsidRPr="00B97E44" w:rsidP="001916A9">
      <w:pPr>
        <w:spacing w:line="269" w:lineRule="auto"/>
        <w:rPr>
          <w:b/>
          <w:bCs/>
          <w:rtl/>
        </w:rPr>
      </w:pPr>
    </w:p>
    <w:p w:rsidR="005B126E" w:rsidRPr="00B97E44" w:rsidP="001916A9">
      <w:pPr>
        <w:spacing w:line="269" w:lineRule="auto"/>
        <w:rPr>
          <w:rtl/>
        </w:rPr>
      </w:pPr>
      <w:r w:rsidRPr="00B97E44">
        <w:rPr>
          <w:rFonts w:hint="eastAsia"/>
          <w:rtl/>
        </w:rPr>
        <w:t>מינהלת</w:t>
      </w:r>
      <w:r w:rsidRPr="00B97E44">
        <w:rPr>
          <w:rtl/>
        </w:rPr>
        <w:t xml:space="preserve"> </w:t>
      </w:r>
      <w:r w:rsidRPr="00B97E44">
        <w:rPr>
          <w:rFonts w:hint="eastAsia"/>
          <w:rtl/>
        </w:rPr>
        <w:t>תקומה</w:t>
      </w:r>
      <w:r w:rsidRPr="00B97E44">
        <w:rPr>
          <w:rtl/>
        </w:rPr>
        <w:t xml:space="preserve"> </w:t>
      </w:r>
      <w:r w:rsidRPr="00B97E44">
        <w:rPr>
          <w:rFonts w:hint="eastAsia"/>
          <w:rtl/>
        </w:rPr>
        <w:t>מעבירה</w:t>
      </w:r>
      <w:r w:rsidRPr="00B97E44">
        <w:rPr>
          <w:rtl/>
        </w:rPr>
        <w:t xml:space="preserve"> </w:t>
      </w:r>
      <w:r w:rsidRPr="00B97E44">
        <w:rPr>
          <w:rFonts w:hint="eastAsia"/>
          <w:rtl/>
        </w:rPr>
        <w:t>את</w:t>
      </w:r>
      <w:r w:rsidRPr="00B97E44">
        <w:rPr>
          <w:rtl/>
        </w:rPr>
        <w:t xml:space="preserve"> </w:t>
      </w:r>
      <w:r w:rsidRPr="00B97E44">
        <w:rPr>
          <w:rFonts w:hint="eastAsia"/>
          <w:rtl/>
        </w:rPr>
        <w:t>התקציבים</w:t>
      </w:r>
      <w:r w:rsidRPr="00B97E44">
        <w:rPr>
          <w:rtl/>
        </w:rPr>
        <w:t xml:space="preserve"> </w:t>
      </w:r>
      <w:r w:rsidRPr="00B97E44">
        <w:rPr>
          <w:rFonts w:hint="eastAsia"/>
          <w:rtl/>
        </w:rPr>
        <w:t>ליישובי</w:t>
      </w:r>
      <w:r w:rsidRPr="00B97E44">
        <w:rPr>
          <w:rtl/>
        </w:rPr>
        <w:t xml:space="preserve"> </w:t>
      </w:r>
      <w:r w:rsidRPr="00B97E44">
        <w:rPr>
          <w:rFonts w:hint="eastAsia"/>
          <w:rtl/>
        </w:rPr>
        <w:t>חבל</w:t>
      </w:r>
      <w:r w:rsidRPr="00B97E44">
        <w:rPr>
          <w:rtl/>
        </w:rPr>
        <w:t xml:space="preserve"> </w:t>
      </w:r>
      <w:r w:rsidRPr="00B97E44">
        <w:rPr>
          <w:rFonts w:hint="eastAsia"/>
          <w:rtl/>
        </w:rPr>
        <w:t>התקומה</w:t>
      </w:r>
      <w:r w:rsidRPr="00B97E44">
        <w:rPr>
          <w:rtl/>
        </w:rPr>
        <w:t xml:space="preserve"> שבמועצה האזורית </w:t>
      </w:r>
      <w:r w:rsidRPr="00B544FF">
        <w:rPr>
          <w:b/>
          <w:bCs/>
          <w:rtl/>
        </w:rPr>
        <w:t>אשכול</w:t>
      </w:r>
      <w:r w:rsidRPr="00B97E44">
        <w:rPr>
          <w:rtl/>
        </w:rPr>
        <w:t xml:space="preserve"> </w:t>
      </w:r>
      <w:r w:rsidRPr="00B97E44">
        <w:rPr>
          <w:rFonts w:hint="eastAsia"/>
          <w:rtl/>
        </w:rPr>
        <w:t>דרך</w:t>
      </w:r>
      <w:r w:rsidRPr="00B97E44">
        <w:rPr>
          <w:rtl/>
        </w:rPr>
        <w:t xml:space="preserve"> </w:t>
      </w:r>
      <w:r w:rsidRPr="00B97E44">
        <w:rPr>
          <w:rFonts w:hint="eastAsia"/>
          <w:rtl/>
        </w:rPr>
        <w:t>המועצה</w:t>
      </w:r>
      <w:r w:rsidRPr="00B97E44">
        <w:rPr>
          <w:rtl/>
        </w:rPr>
        <w:t xml:space="preserve">, וזו </w:t>
      </w:r>
      <w:r w:rsidRPr="00B97E44">
        <w:rPr>
          <w:rFonts w:hint="eastAsia"/>
          <w:rtl/>
        </w:rPr>
        <w:t>רשאית</w:t>
      </w:r>
      <w:r w:rsidRPr="00B97E44">
        <w:rPr>
          <w:rtl/>
        </w:rPr>
        <w:t xml:space="preserve"> </w:t>
      </w:r>
      <w:r w:rsidRPr="00B97E44">
        <w:rPr>
          <w:rFonts w:hint="eastAsia"/>
          <w:rtl/>
        </w:rPr>
        <w:t>לנהל</w:t>
      </w:r>
      <w:r w:rsidRPr="00B97E44">
        <w:rPr>
          <w:rtl/>
        </w:rPr>
        <w:t xml:space="preserve"> </w:t>
      </w:r>
      <w:r w:rsidRPr="00B97E44">
        <w:rPr>
          <w:rFonts w:hint="eastAsia"/>
          <w:rtl/>
        </w:rPr>
        <w:t>את</w:t>
      </w:r>
      <w:r w:rsidRPr="00B97E44">
        <w:rPr>
          <w:rtl/>
        </w:rPr>
        <w:t xml:space="preserve"> </w:t>
      </w:r>
      <w:r w:rsidRPr="00B97E44">
        <w:rPr>
          <w:rFonts w:hint="eastAsia"/>
          <w:rtl/>
        </w:rPr>
        <w:t>התקציבים</w:t>
      </w:r>
      <w:r w:rsidRPr="00B97E44">
        <w:rPr>
          <w:rtl/>
        </w:rPr>
        <w:t xml:space="preserve"> </w:t>
      </w:r>
      <w:r w:rsidRPr="00B97E44">
        <w:rPr>
          <w:rFonts w:hint="eastAsia"/>
          <w:rtl/>
        </w:rPr>
        <w:t>כראות</w:t>
      </w:r>
      <w:r w:rsidRPr="00B97E44">
        <w:rPr>
          <w:rtl/>
        </w:rPr>
        <w:t xml:space="preserve"> </w:t>
      </w:r>
      <w:r w:rsidRPr="00B97E44">
        <w:rPr>
          <w:rFonts w:hint="eastAsia"/>
          <w:rtl/>
        </w:rPr>
        <w:t>עיניה</w:t>
      </w:r>
      <w:r w:rsidRPr="00B97E44">
        <w:rPr>
          <w:rtl/>
        </w:rPr>
        <w:t>. מצב זה עלול ליצור אי</w:t>
      </w:r>
      <w:r w:rsidRPr="00B97E44">
        <w:rPr>
          <w:rFonts w:hint="cs"/>
          <w:rtl/>
        </w:rPr>
        <w:t>-</w:t>
      </w:r>
      <w:r w:rsidRPr="00B97E44">
        <w:rPr>
          <w:rtl/>
        </w:rPr>
        <w:t xml:space="preserve">הלימה בין </w:t>
      </w:r>
      <w:r w:rsidRPr="00B97E44">
        <w:rPr>
          <w:rFonts w:hint="eastAsia"/>
          <w:rtl/>
        </w:rPr>
        <w:t>צורכי</w:t>
      </w:r>
      <w:r w:rsidRPr="00B97E44">
        <w:rPr>
          <w:rtl/>
        </w:rPr>
        <w:t xml:space="preserve"> </w:t>
      </w:r>
      <w:r w:rsidRPr="00B97E44">
        <w:rPr>
          <w:rFonts w:hint="eastAsia"/>
          <w:rtl/>
        </w:rPr>
        <w:t>ילדי</w:t>
      </w:r>
      <w:r w:rsidRPr="00B97E44">
        <w:rPr>
          <w:rtl/>
        </w:rPr>
        <w:t xml:space="preserve"> </w:t>
      </w:r>
      <w:r w:rsidRPr="00B97E44">
        <w:rPr>
          <w:rFonts w:hint="eastAsia"/>
          <w:rtl/>
        </w:rPr>
        <w:t>הקיבוץ</w:t>
      </w:r>
      <w:r w:rsidRPr="00B97E44">
        <w:rPr>
          <w:rtl/>
        </w:rPr>
        <w:t xml:space="preserve"> </w:t>
      </w:r>
      <w:r w:rsidRPr="00B97E44">
        <w:rPr>
          <w:rFonts w:hint="eastAsia"/>
          <w:rtl/>
        </w:rPr>
        <w:t>ניר</w:t>
      </w:r>
      <w:r w:rsidRPr="00B97E44">
        <w:rPr>
          <w:rtl/>
        </w:rPr>
        <w:t xml:space="preserve"> </w:t>
      </w:r>
      <w:r w:rsidRPr="00B97E44">
        <w:rPr>
          <w:rFonts w:hint="eastAsia"/>
          <w:rtl/>
        </w:rPr>
        <w:t>עוז</w:t>
      </w:r>
      <w:r w:rsidRPr="00B97E44">
        <w:rPr>
          <w:rtl/>
        </w:rPr>
        <w:t xml:space="preserve"> </w:t>
      </w:r>
      <w:r w:rsidRPr="00B97E44">
        <w:rPr>
          <w:rFonts w:hint="eastAsia"/>
          <w:rtl/>
        </w:rPr>
        <w:t>או</w:t>
      </w:r>
      <w:r w:rsidRPr="00B97E44">
        <w:rPr>
          <w:rtl/>
        </w:rPr>
        <w:t xml:space="preserve"> </w:t>
      </w:r>
      <w:r w:rsidRPr="00B97E44">
        <w:rPr>
          <w:rFonts w:hint="eastAsia"/>
          <w:rtl/>
        </w:rPr>
        <w:t>קיבוצים</w:t>
      </w:r>
      <w:r w:rsidRPr="00B97E44">
        <w:rPr>
          <w:rtl/>
        </w:rPr>
        <w:t xml:space="preserve"> </w:t>
      </w:r>
      <w:r w:rsidRPr="00B97E44">
        <w:rPr>
          <w:rFonts w:hint="eastAsia"/>
          <w:rtl/>
        </w:rPr>
        <w:t>אחרים</w:t>
      </w:r>
      <w:r w:rsidRPr="00B97E44">
        <w:rPr>
          <w:rtl/>
        </w:rPr>
        <w:t xml:space="preserve"> </w:t>
      </w:r>
      <w:r w:rsidRPr="00B97E44">
        <w:rPr>
          <w:rFonts w:hint="eastAsia"/>
          <w:rtl/>
        </w:rPr>
        <w:t>שנפגעו</w:t>
      </w:r>
      <w:r w:rsidRPr="00B97E44">
        <w:rPr>
          <w:rtl/>
        </w:rPr>
        <w:t xml:space="preserve"> </w:t>
      </w:r>
      <w:r w:rsidRPr="00B97E44">
        <w:rPr>
          <w:rFonts w:hint="eastAsia"/>
          <w:rtl/>
        </w:rPr>
        <w:t>ותושביהם</w:t>
      </w:r>
      <w:r w:rsidRPr="00B97E44">
        <w:rPr>
          <w:rtl/>
        </w:rPr>
        <w:t xml:space="preserve"> </w:t>
      </w:r>
      <w:r w:rsidRPr="00B97E44">
        <w:rPr>
          <w:rFonts w:hint="eastAsia"/>
          <w:rtl/>
        </w:rPr>
        <w:t>אינם</w:t>
      </w:r>
      <w:r w:rsidRPr="00B97E44">
        <w:rPr>
          <w:rtl/>
        </w:rPr>
        <w:t xml:space="preserve"> </w:t>
      </w:r>
      <w:r w:rsidRPr="00B97E44">
        <w:rPr>
          <w:rFonts w:hint="eastAsia"/>
          <w:rtl/>
        </w:rPr>
        <w:t>מתגוררים</w:t>
      </w:r>
      <w:r w:rsidRPr="00B97E44">
        <w:rPr>
          <w:rtl/>
        </w:rPr>
        <w:t xml:space="preserve"> </w:t>
      </w:r>
      <w:r w:rsidRPr="00B97E44">
        <w:rPr>
          <w:rFonts w:hint="eastAsia"/>
          <w:rtl/>
        </w:rPr>
        <w:t>באותה</w:t>
      </w:r>
      <w:r w:rsidRPr="00B97E44">
        <w:rPr>
          <w:rtl/>
        </w:rPr>
        <w:t xml:space="preserve"> </w:t>
      </w:r>
      <w:r w:rsidRPr="00B97E44">
        <w:rPr>
          <w:rFonts w:hint="eastAsia"/>
          <w:rtl/>
        </w:rPr>
        <w:t>עת</w:t>
      </w:r>
      <w:r w:rsidRPr="00B97E44">
        <w:rPr>
          <w:rtl/>
        </w:rPr>
        <w:t xml:space="preserve"> </w:t>
      </w:r>
      <w:r w:rsidRPr="00B97E44">
        <w:rPr>
          <w:rFonts w:hint="eastAsia"/>
          <w:rtl/>
        </w:rPr>
        <w:t>בתחומי</w:t>
      </w:r>
      <w:r w:rsidRPr="00B97E44">
        <w:rPr>
          <w:rtl/>
        </w:rPr>
        <w:t xml:space="preserve"> </w:t>
      </w:r>
      <w:r w:rsidRPr="00B97E44">
        <w:rPr>
          <w:rFonts w:hint="eastAsia"/>
          <w:rtl/>
        </w:rPr>
        <w:t>המועצה</w:t>
      </w:r>
      <w:r w:rsidRPr="00B97E44">
        <w:rPr>
          <w:rtl/>
        </w:rPr>
        <w:t xml:space="preserve"> </w:t>
      </w:r>
      <w:r w:rsidRPr="00B97E44">
        <w:rPr>
          <w:rFonts w:hint="eastAsia"/>
          <w:rtl/>
        </w:rPr>
        <w:t>האזורית</w:t>
      </w:r>
      <w:r w:rsidRPr="00B97E44">
        <w:rPr>
          <w:rtl/>
        </w:rPr>
        <w:t xml:space="preserve">, </w:t>
      </w:r>
      <w:r w:rsidRPr="00B97E44">
        <w:rPr>
          <w:rFonts w:hint="eastAsia"/>
          <w:rtl/>
        </w:rPr>
        <w:t>ובין</w:t>
      </w:r>
      <w:r w:rsidRPr="00B97E44">
        <w:rPr>
          <w:rtl/>
        </w:rPr>
        <w:t xml:space="preserve"> </w:t>
      </w:r>
      <w:r w:rsidRPr="00B97E44">
        <w:rPr>
          <w:rFonts w:hint="eastAsia"/>
          <w:rtl/>
        </w:rPr>
        <w:t>השירותים</w:t>
      </w:r>
      <w:r w:rsidRPr="00B97E44">
        <w:rPr>
          <w:rtl/>
        </w:rPr>
        <w:t xml:space="preserve"> </w:t>
      </w:r>
      <w:r w:rsidRPr="00B97E44">
        <w:rPr>
          <w:rFonts w:hint="eastAsia"/>
          <w:rtl/>
        </w:rPr>
        <w:t>שמציעה</w:t>
      </w:r>
      <w:r w:rsidRPr="00B97E44">
        <w:rPr>
          <w:rtl/>
        </w:rPr>
        <w:t xml:space="preserve"> </w:t>
      </w:r>
      <w:r w:rsidRPr="00B97E44">
        <w:rPr>
          <w:rFonts w:hint="eastAsia"/>
          <w:rtl/>
        </w:rPr>
        <w:t>להם</w:t>
      </w:r>
      <w:r w:rsidRPr="00B97E44">
        <w:rPr>
          <w:rtl/>
        </w:rPr>
        <w:t xml:space="preserve"> </w:t>
      </w:r>
      <w:r w:rsidRPr="00B97E44">
        <w:rPr>
          <w:rFonts w:hint="eastAsia"/>
          <w:rtl/>
        </w:rPr>
        <w:t>המועצה</w:t>
      </w:r>
      <w:r w:rsidRPr="00B97E44">
        <w:rPr>
          <w:rtl/>
        </w:rPr>
        <w:t>.</w:t>
      </w:r>
    </w:p>
    <w:p w:rsidR="005B126E" w:rsidP="001916A9">
      <w:pPr>
        <w:spacing w:line="269" w:lineRule="auto"/>
        <w:ind w:left="-1"/>
        <w:contextualSpacing/>
        <w:rPr>
          <w:b/>
          <w:bCs/>
          <w:rtl/>
        </w:rPr>
      </w:pPr>
    </w:p>
    <w:p w:rsidR="005B126E" w:rsidRPr="00B97E44" w:rsidP="001916A9">
      <w:pPr>
        <w:spacing w:line="269" w:lineRule="auto"/>
        <w:ind w:left="-1"/>
        <w:contextualSpacing/>
        <w:rPr>
          <w:b/>
          <w:bCs/>
          <w:rtl/>
        </w:rPr>
      </w:pPr>
      <w:r w:rsidRPr="00B97E44">
        <w:rPr>
          <w:rFonts w:hint="cs"/>
          <w:b/>
          <w:bCs/>
          <w:rtl/>
        </w:rPr>
        <w:t>על המועצה האזורית אשכול בבואה לתקצב את התוכניות הבאות מתקציבי תקומה להיוועץ באופן מלא עם נציגי כל אחד מהיישובים שנפגעו במתקפת הטרור בשבעה באוקטובר וזכאים לתקציבי החינוך מתקומה, כדי למנוע עיכובים ולענות באופן המדויק ביותר על הצרכים.</w:t>
      </w:r>
    </w:p>
    <w:p w:rsidR="005B126E" w:rsidRPr="00B97E44" w:rsidP="001916A9">
      <w:pPr>
        <w:spacing w:line="269" w:lineRule="auto"/>
        <w:ind w:left="-567"/>
        <w:rPr>
          <w:szCs w:val="20"/>
          <w:rtl/>
        </w:rPr>
      </w:pPr>
    </w:p>
    <w:p w:rsidR="005B126E" w:rsidP="001916A9">
      <w:pPr>
        <w:spacing w:line="269" w:lineRule="auto"/>
        <w:rPr>
          <w:rtl/>
        </w:rPr>
      </w:pPr>
      <w:r w:rsidRPr="00B97E44">
        <w:rPr>
          <w:rFonts w:hint="eastAsia"/>
          <w:rtl/>
        </w:rPr>
        <w:t>המועצה</w:t>
      </w:r>
      <w:r w:rsidRPr="00B97E44">
        <w:rPr>
          <w:rtl/>
        </w:rPr>
        <w:t xml:space="preserve"> האזורית </w:t>
      </w:r>
      <w:r w:rsidRPr="00B97E44">
        <w:rPr>
          <w:rFonts w:hint="eastAsia"/>
          <w:b/>
          <w:bCs/>
          <w:rtl/>
        </w:rPr>
        <w:t>אשכול</w:t>
      </w:r>
      <w:r w:rsidRPr="00B97E44">
        <w:rPr>
          <w:rtl/>
        </w:rPr>
        <w:t xml:space="preserve"> </w:t>
      </w:r>
      <w:r w:rsidRPr="00B97E44">
        <w:rPr>
          <w:rFonts w:hint="cs"/>
          <w:rtl/>
        </w:rPr>
        <w:t xml:space="preserve">הדגישה בתשובתה כי הסכום שהושקע בשירותים שניתנו לילדי ניר עוז היה גבוה בהרבה מהסכום "המגיע לפי הנוהל", ובשל עוצמת הפגיעה בתושבי הקיבוץ לא נגרעו כספים מתקציבי תקומה שיועדו לילדי הקיבוץ לצורך התשתית הארגונית הפיזית התומכת במערכת החינוך של המועצה האזורית אשכול עצמה - וזאת בשונה מכל יישוב אחר במועצה. עוד מסרה המועצה בתשובתה </w:t>
      </w:r>
      <w:r w:rsidRPr="00B97E44">
        <w:rPr>
          <w:rFonts w:hint="eastAsia"/>
          <w:rtl/>
        </w:rPr>
        <w:t>כי</w:t>
      </w:r>
      <w:r w:rsidRPr="00B97E44">
        <w:rPr>
          <w:rtl/>
        </w:rPr>
        <w:t xml:space="preserve"> נכון לשנת תשפ"ו הוסדר מנגנון תקשורת לניהול משותף של כספי תקומה לגיל הרך בקיבוצים, וכי היא מקבלת החלטות על הקצאת התקציב רק בתיאום מוקדם עם מנהלי החינוך בקיבוצים. עוד הוסיפה המועצה </w:t>
      </w:r>
      <w:r w:rsidRPr="00B97E44">
        <w:rPr>
          <w:rFonts w:hint="eastAsia"/>
          <w:rtl/>
        </w:rPr>
        <w:t>כי</w:t>
      </w:r>
      <w:r w:rsidRPr="00B97E44">
        <w:rPr>
          <w:rtl/>
        </w:rPr>
        <w:t xml:space="preserve"> </w:t>
      </w:r>
      <w:r w:rsidRPr="00B97E44">
        <w:rPr>
          <w:rFonts w:hint="eastAsia"/>
          <w:rtl/>
        </w:rPr>
        <w:t>דווקא</w:t>
      </w:r>
      <w:r w:rsidRPr="00B97E44">
        <w:rPr>
          <w:rtl/>
        </w:rPr>
        <w:t xml:space="preserve"> </w:t>
      </w:r>
      <w:r w:rsidRPr="00B97E44">
        <w:rPr>
          <w:rFonts w:hint="eastAsia"/>
          <w:rtl/>
        </w:rPr>
        <w:t>הבירוקרטיה</w:t>
      </w:r>
      <w:r w:rsidRPr="00B97E44">
        <w:rPr>
          <w:rtl/>
        </w:rPr>
        <w:t xml:space="preserve"> </w:t>
      </w:r>
      <w:r w:rsidRPr="00B97E44">
        <w:rPr>
          <w:rFonts w:hint="eastAsia"/>
          <w:rtl/>
        </w:rPr>
        <w:t>ואופן</w:t>
      </w:r>
      <w:r w:rsidRPr="00B97E44">
        <w:rPr>
          <w:rtl/>
        </w:rPr>
        <w:t xml:space="preserve"> </w:t>
      </w:r>
      <w:r w:rsidRPr="00B97E44">
        <w:rPr>
          <w:rFonts w:hint="eastAsia"/>
          <w:rtl/>
        </w:rPr>
        <w:t>הפעולה</w:t>
      </w:r>
      <w:r w:rsidRPr="00B97E44">
        <w:rPr>
          <w:rtl/>
        </w:rPr>
        <w:t xml:space="preserve"> </w:t>
      </w:r>
      <w:r w:rsidRPr="00B97E44">
        <w:rPr>
          <w:rFonts w:hint="eastAsia"/>
          <w:rtl/>
        </w:rPr>
        <w:t>של</w:t>
      </w:r>
      <w:r w:rsidRPr="00B97E44">
        <w:rPr>
          <w:rtl/>
        </w:rPr>
        <w:t xml:space="preserve"> </w:t>
      </w:r>
      <w:r w:rsidRPr="00B97E44">
        <w:rPr>
          <w:rFonts w:hint="eastAsia"/>
          <w:rtl/>
        </w:rPr>
        <w:t>מ</w:t>
      </w:r>
      <w:r w:rsidRPr="00B97E44">
        <w:rPr>
          <w:rFonts w:hint="cs"/>
          <w:rtl/>
        </w:rPr>
        <w:t>י</w:t>
      </w:r>
      <w:r w:rsidRPr="00B97E44">
        <w:rPr>
          <w:rFonts w:hint="eastAsia"/>
          <w:rtl/>
        </w:rPr>
        <w:t>נהלת</w:t>
      </w:r>
      <w:r w:rsidRPr="00B97E44">
        <w:rPr>
          <w:rtl/>
        </w:rPr>
        <w:t xml:space="preserve"> </w:t>
      </w:r>
      <w:r w:rsidRPr="00B97E44">
        <w:rPr>
          <w:rFonts w:hint="eastAsia"/>
          <w:rtl/>
        </w:rPr>
        <w:t>תקומה</w:t>
      </w:r>
      <w:r w:rsidRPr="00B97E44">
        <w:rPr>
          <w:rtl/>
        </w:rPr>
        <w:t xml:space="preserve"> </w:t>
      </w:r>
      <w:r w:rsidRPr="00B97E44">
        <w:rPr>
          <w:rFonts w:hint="eastAsia"/>
          <w:rtl/>
        </w:rPr>
        <w:t>מול</w:t>
      </w:r>
      <w:r w:rsidRPr="00B97E44">
        <w:rPr>
          <w:rtl/>
        </w:rPr>
        <w:t xml:space="preserve"> </w:t>
      </w:r>
      <w:r w:rsidRPr="00B97E44">
        <w:rPr>
          <w:rFonts w:hint="eastAsia"/>
          <w:rtl/>
        </w:rPr>
        <w:t>הקיבוץ</w:t>
      </w:r>
      <w:r w:rsidRPr="00B97E44">
        <w:rPr>
          <w:rtl/>
        </w:rPr>
        <w:t xml:space="preserve"> </w:t>
      </w:r>
      <w:r w:rsidRPr="00B97E44">
        <w:rPr>
          <w:rFonts w:hint="eastAsia"/>
          <w:rtl/>
        </w:rPr>
        <w:t>והמועצה</w:t>
      </w:r>
      <w:r w:rsidRPr="00B97E44">
        <w:rPr>
          <w:rtl/>
        </w:rPr>
        <w:t xml:space="preserve"> </w:t>
      </w:r>
      <w:r w:rsidRPr="00B97E44">
        <w:rPr>
          <w:rFonts w:hint="eastAsia"/>
          <w:rtl/>
        </w:rPr>
        <w:t>הם</w:t>
      </w:r>
      <w:r w:rsidRPr="00B97E44">
        <w:rPr>
          <w:rtl/>
        </w:rPr>
        <w:t xml:space="preserve"> </w:t>
      </w:r>
      <w:r w:rsidRPr="00B97E44">
        <w:rPr>
          <w:rFonts w:hint="eastAsia"/>
          <w:rtl/>
        </w:rPr>
        <w:t>שגרמו</w:t>
      </w:r>
      <w:r w:rsidRPr="00B97E44">
        <w:rPr>
          <w:rtl/>
        </w:rPr>
        <w:t xml:space="preserve"> </w:t>
      </w:r>
      <w:r w:rsidRPr="00B97E44">
        <w:rPr>
          <w:rFonts w:hint="eastAsia"/>
          <w:rtl/>
        </w:rPr>
        <w:t>לקשיים</w:t>
      </w:r>
      <w:r w:rsidRPr="00B97E44">
        <w:rPr>
          <w:rtl/>
        </w:rPr>
        <w:t xml:space="preserve"> </w:t>
      </w:r>
      <w:r w:rsidRPr="00B97E44">
        <w:rPr>
          <w:rFonts w:hint="eastAsia"/>
          <w:rtl/>
        </w:rPr>
        <w:t>העולים</w:t>
      </w:r>
      <w:r w:rsidRPr="00B97E44">
        <w:rPr>
          <w:rtl/>
        </w:rPr>
        <w:t xml:space="preserve"> </w:t>
      </w:r>
      <w:r w:rsidRPr="00B97E44">
        <w:rPr>
          <w:rFonts w:hint="eastAsia"/>
          <w:rtl/>
        </w:rPr>
        <w:t>בדוח</w:t>
      </w:r>
      <w:r w:rsidRPr="00B97E44">
        <w:rPr>
          <w:rtl/>
        </w:rPr>
        <w:t xml:space="preserve"> </w:t>
      </w:r>
      <w:r w:rsidRPr="00B97E44">
        <w:rPr>
          <w:rFonts w:hint="eastAsia"/>
          <w:rtl/>
        </w:rPr>
        <w:t>בנוגע</w:t>
      </w:r>
      <w:r w:rsidRPr="00B97E44">
        <w:rPr>
          <w:rtl/>
        </w:rPr>
        <w:t xml:space="preserve"> </w:t>
      </w:r>
      <w:r w:rsidRPr="00B97E44">
        <w:rPr>
          <w:rFonts w:hint="eastAsia"/>
          <w:rtl/>
        </w:rPr>
        <w:t>לקיבוץ</w:t>
      </w:r>
      <w:r w:rsidRPr="00B97E44">
        <w:rPr>
          <w:rtl/>
        </w:rPr>
        <w:t xml:space="preserve"> </w:t>
      </w:r>
      <w:r w:rsidRPr="00B97E44">
        <w:rPr>
          <w:rFonts w:hint="eastAsia"/>
          <w:rtl/>
        </w:rPr>
        <w:t>ניר</w:t>
      </w:r>
      <w:r w:rsidRPr="00B97E44">
        <w:rPr>
          <w:rtl/>
        </w:rPr>
        <w:t xml:space="preserve"> </w:t>
      </w:r>
      <w:r w:rsidRPr="00B97E44">
        <w:rPr>
          <w:rFonts w:hint="eastAsia"/>
          <w:rtl/>
        </w:rPr>
        <w:t>עוז</w:t>
      </w:r>
      <w:r w:rsidRPr="00B97E44">
        <w:rPr>
          <w:rtl/>
        </w:rPr>
        <w:t>.</w:t>
      </w:r>
      <w:r w:rsidRPr="00B97E44">
        <w:rPr>
          <w:rFonts w:hint="cs"/>
          <w:rtl/>
        </w:rPr>
        <w:t xml:space="preserve"> </w:t>
      </w:r>
    </w:p>
    <w:p w:rsidR="005B126E" w:rsidRPr="00B97E44" w:rsidP="001916A9">
      <w:pPr>
        <w:spacing w:line="269" w:lineRule="auto"/>
        <w:rPr>
          <w:rtl/>
        </w:rPr>
      </w:pPr>
      <w:r w:rsidRPr="00B97E44">
        <w:rPr>
          <w:rFonts w:hint="cs"/>
          <w:rtl/>
        </w:rPr>
        <w:t>משרד החינוך מסר בתשובתו כי הוא מעביר את התקציב לרשויות המקומיות</w:t>
      </w:r>
      <w:r w:rsidRPr="00B97E44">
        <w:rPr>
          <w:rtl/>
        </w:rPr>
        <w:t xml:space="preserve"> באמצעות </w:t>
      </w:r>
      <w:r w:rsidRPr="00B97E44">
        <w:rPr>
          <w:rFonts w:hint="cs"/>
          <w:rtl/>
        </w:rPr>
        <w:t>מערכת</w:t>
      </w:r>
      <w:r w:rsidRPr="00B97E44">
        <w:rPr>
          <w:rtl/>
        </w:rPr>
        <w:t xml:space="preserve"> </w:t>
      </w:r>
      <w:r w:rsidRPr="00B97E44">
        <w:rPr>
          <w:rtl/>
        </w:rPr>
        <w:t>הגפ"ן</w:t>
      </w:r>
      <w:r w:rsidRPr="00B97E44">
        <w:rPr>
          <w:rFonts w:hint="cs"/>
          <w:rtl/>
        </w:rPr>
        <w:t>, והן אחראיות להעבירו ליישובים בהתאם לתוכנית העבודה המאושרת על ידו. ה</w:t>
      </w:r>
      <w:r w:rsidRPr="00B97E44">
        <w:rPr>
          <w:rtl/>
        </w:rPr>
        <w:t xml:space="preserve">משרד </w:t>
      </w:r>
      <w:r w:rsidRPr="00B97E44">
        <w:rPr>
          <w:rFonts w:hint="cs"/>
          <w:rtl/>
        </w:rPr>
        <w:t xml:space="preserve">ציין </w:t>
      </w:r>
      <w:r w:rsidRPr="00B97E44">
        <w:rPr>
          <w:rtl/>
        </w:rPr>
        <w:t xml:space="preserve">כי המחלוקות בנוגע לתקצוב היו קיימות </w:t>
      </w:r>
      <w:r w:rsidRPr="00B97E44">
        <w:rPr>
          <w:rFonts w:hint="cs"/>
          <w:rtl/>
        </w:rPr>
        <w:t xml:space="preserve">גם </w:t>
      </w:r>
      <w:r w:rsidRPr="00B97E44">
        <w:rPr>
          <w:rtl/>
        </w:rPr>
        <w:t>לפני חקיקת חוק תקומה.</w:t>
      </w:r>
    </w:p>
    <w:p w:rsidR="005B126E" w:rsidP="001916A9">
      <w:pPr>
        <w:autoSpaceDE w:val="0"/>
        <w:autoSpaceDN w:val="0"/>
        <w:adjustRightInd w:val="0"/>
        <w:spacing w:line="269" w:lineRule="auto"/>
        <w:rPr>
          <w:rtl/>
        </w:rPr>
      </w:pPr>
    </w:p>
    <w:p w:rsidR="005B126E" w:rsidRPr="00B97E44" w:rsidP="001916A9">
      <w:pPr>
        <w:autoSpaceDE w:val="0"/>
        <w:autoSpaceDN w:val="0"/>
        <w:adjustRightInd w:val="0"/>
        <w:spacing w:line="269" w:lineRule="auto"/>
        <w:rPr>
          <w:b/>
          <w:bCs/>
          <w:rtl/>
        </w:rPr>
      </w:pPr>
      <w:r w:rsidRPr="00B97E44">
        <w:rPr>
          <w:rFonts w:hint="cs"/>
          <w:rtl/>
        </w:rPr>
        <w:t xml:space="preserve">מינהלת תקומה מסרה בתשובתה כי </w:t>
      </w:r>
      <w:r w:rsidRPr="00B97E44">
        <w:rPr>
          <w:rtl/>
        </w:rPr>
        <w:t>המענה החינוכי ל</w:t>
      </w:r>
      <w:r w:rsidRPr="00B97E44">
        <w:rPr>
          <w:rFonts w:hint="cs"/>
          <w:rtl/>
        </w:rPr>
        <w:t xml:space="preserve">קיבוץ </w:t>
      </w:r>
      <w:r w:rsidRPr="00B97E44">
        <w:rPr>
          <w:rtl/>
        </w:rPr>
        <w:t xml:space="preserve">ניר עוז דומה </w:t>
      </w:r>
      <w:r w:rsidRPr="00B97E44">
        <w:rPr>
          <w:rFonts w:hint="cs"/>
          <w:rtl/>
        </w:rPr>
        <w:t xml:space="preserve">לזה </w:t>
      </w:r>
      <w:r w:rsidRPr="00B97E44">
        <w:rPr>
          <w:rtl/>
        </w:rPr>
        <w:t xml:space="preserve">שניתן </w:t>
      </w:r>
      <w:r w:rsidRPr="00B97E44">
        <w:rPr>
          <w:rFonts w:hint="cs"/>
          <w:rtl/>
        </w:rPr>
        <w:t>ל</w:t>
      </w:r>
      <w:r w:rsidRPr="00B97E44">
        <w:rPr>
          <w:rtl/>
        </w:rPr>
        <w:t>כל יישובי החבל</w:t>
      </w:r>
      <w:r w:rsidRPr="00B97E44">
        <w:rPr>
          <w:rFonts w:hint="cs"/>
          <w:rtl/>
        </w:rPr>
        <w:t xml:space="preserve">, אך </w:t>
      </w:r>
      <w:r w:rsidRPr="00B97E44">
        <w:rPr>
          <w:rtl/>
        </w:rPr>
        <w:t>נוכח עוצמת הפגיעה</w:t>
      </w:r>
      <w:r w:rsidRPr="00B97E44">
        <w:rPr>
          <w:rFonts w:hint="cs"/>
          <w:rtl/>
        </w:rPr>
        <w:t xml:space="preserve"> בקיבוץ ובתושביו</w:t>
      </w:r>
      <w:r w:rsidRPr="00B97E44">
        <w:rPr>
          <w:rtl/>
        </w:rPr>
        <w:t xml:space="preserve">, ניתן </w:t>
      </w:r>
      <w:r w:rsidRPr="00B97E44">
        <w:rPr>
          <w:rFonts w:hint="cs"/>
          <w:rtl/>
        </w:rPr>
        <w:t xml:space="preserve">לו </w:t>
      </w:r>
      <w:r w:rsidRPr="00B97E44">
        <w:rPr>
          <w:rtl/>
        </w:rPr>
        <w:t>מענה גם באמצעות תקציב</w:t>
      </w:r>
      <w:r w:rsidRPr="00B97E44">
        <w:rPr>
          <w:rFonts w:hint="cs"/>
          <w:rtl/>
        </w:rPr>
        <w:t>ים</w:t>
      </w:r>
      <w:r w:rsidRPr="00B97E44">
        <w:rPr>
          <w:rtl/>
        </w:rPr>
        <w:t xml:space="preserve"> חריגים דרך</w:t>
      </w:r>
      <w:r w:rsidRPr="00B97E44">
        <w:rPr>
          <w:rFonts w:hint="cs"/>
          <w:rtl/>
        </w:rPr>
        <w:t xml:space="preserve"> </w:t>
      </w:r>
      <w:r w:rsidRPr="00B97E44">
        <w:rPr>
          <w:rtl/>
        </w:rPr>
        <w:t>משרד החינוך והמועצה ה</w:t>
      </w:r>
      <w:r w:rsidRPr="00B97E44">
        <w:rPr>
          <w:rFonts w:hint="cs"/>
          <w:rtl/>
        </w:rPr>
        <w:t>אזורית</w:t>
      </w:r>
      <w:r w:rsidRPr="00B97E44">
        <w:t>.</w:t>
      </w:r>
      <w:r w:rsidRPr="00B97E44">
        <w:rPr>
          <w:rFonts w:hint="cs"/>
          <w:rtl/>
        </w:rPr>
        <w:t xml:space="preserve"> עוד הוסיפה </w:t>
      </w:r>
      <w:r w:rsidRPr="00B97E44">
        <w:rPr>
          <w:rFonts w:hint="cs"/>
          <w:rtl/>
        </w:rPr>
        <w:t>המינהלת</w:t>
      </w:r>
      <w:r w:rsidRPr="00B97E44">
        <w:rPr>
          <w:rFonts w:hint="cs"/>
          <w:rtl/>
        </w:rPr>
        <w:t xml:space="preserve"> כי בהתאם להחלטות הממשלה בעניינה</w:t>
      </w:r>
      <w:r w:rsidRPr="00B97E44">
        <w:rPr>
          <w:rFonts w:ascii="David" w:hAnsi="David"/>
          <w:sz w:val="24"/>
          <w:rtl/>
        </w:rPr>
        <w:t xml:space="preserve">, </w:t>
      </w:r>
      <w:r w:rsidRPr="00B97E44">
        <w:rPr>
          <w:rFonts w:ascii="David" w:hAnsi="David" w:hint="cs"/>
          <w:sz w:val="24"/>
          <w:rtl/>
        </w:rPr>
        <w:t>תפקידה הוא</w:t>
      </w:r>
      <w:r w:rsidRPr="00B97E44">
        <w:rPr>
          <w:rFonts w:ascii="David" w:hAnsi="David"/>
          <w:sz w:val="24"/>
          <w:rtl/>
        </w:rPr>
        <w:t xml:space="preserve"> לתגבר</w:t>
      </w:r>
      <w:r w:rsidRPr="00B97E44">
        <w:rPr>
          <w:rFonts w:ascii="David" w:hAnsi="David" w:hint="cs"/>
          <w:sz w:val="24"/>
          <w:rtl/>
        </w:rPr>
        <w:t xml:space="preserve"> </w:t>
      </w:r>
      <w:r w:rsidRPr="00B97E44">
        <w:rPr>
          <w:rFonts w:ascii="David" w:hAnsi="David"/>
          <w:sz w:val="24"/>
          <w:rtl/>
        </w:rPr>
        <w:t>את המענים ולייצר מענים חדשים בשיתוף הגורמים ה</w:t>
      </w:r>
      <w:r w:rsidRPr="00B97E44">
        <w:rPr>
          <w:rFonts w:ascii="David" w:hAnsi="David" w:hint="cs"/>
          <w:sz w:val="24"/>
          <w:rtl/>
        </w:rPr>
        <w:t>רלוונטיים</w:t>
      </w:r>
      <w:r w:rsidRPr="00B97E44">
        <w:rPr>
          <w:rFonts w:ascii="David" w:hAnsi="David"/>
          <w:sz w:val="24"/>
          <w:rtl/>
        </w:rPr>
        <w:t xml:space="preserve"> כך שיינת</w:t>
      </w:r>
      <w:r w:rsidRPr="00B97E44">
        <w:rPr>
          <w:rFonts w:ascii="David" w:hAnsi="David" w:hint="cs"/>
          <w:sz w:val="24"/>
          <w:rtl/>
        </w:rPr>
        <w:t>נו</w:t>
      </w:r>
      <w:r w:rsidRPr="00B97E44">
        <w:rPr>
          <w:rFonts w:ascii="David" w:hAnsi="David"/>
          <w:sz w:val="24"/>
          <w:rtl/>
        </w:rPr>
        <w:t xml:space="preserve"> לאוכלוסייה שנפגעה</w:t>
      </w:r>
      <w:r w:rsidRPr="00B97E44">
        <w:rPr>
          <w:rFonts w:ascii="David" w:hAnsi="David" w:hint="cs"/>
          <w:sz w:val="24"/>
          <w:rtl/>
        </w:rPr>
        <w:t xml:space="preserve"> </w:t>
      </w:r>
      <w:r w:rsidRPr="00B97E44">
        <w:rPr>
          <w:rFonts w:ascii="David" w:hAnsi="David"/>
          <w:sz w:val="24"/>
          <w:rtl/>
        </w:rPr>
        <w:t>פתרונות לבעיות הרבות</w:t>
      </w:r>
      <w:r w:rsidRPr="00B97E44">
        <w:rPr>
          <w:rFonts w:ascii="David" w:hAnsi="David" w:hint="cs"/>
          <w:sz w:val="24"/>
          <w:rtl/>
        </w:rPr>
        <w:t xml:space="preserve"> שפקדו אותה, ו</w:t>
      </w:r>
      <w:r w:rsidRPr="00B97E44">
        <w:rPr>
          <w:rtl/>
        </w:rPr>
        <w:t>לצד</w:t>
      </w:r>
      <w:r w:rsidRPr="00B97E44">
        <w:rPr>
          <w:rFonts w:hint="cs"/>
          <w:rtl/>
        </w:rPr>
        <w:t xml:space="preserve"> </w:t>
      </w:r>
      <w:r w:rsidRPr="00B97E44">
        <w:rPr>
          <w:rtl/>
        </w:rPr>
        <w:t>זאת</w:t>
      </w:r>
      <w:r>
        <w:rPr>
          <w:rFonts w:hint="cs"/>
          <w:rtl/>
        </w:rPr>
        <w:t xml:space="preserve"> </w:t>
      </w:r>
      <w:r w:rsidRPr="00B97E44">
        <w:rPr>
          <w:rFonts w:hint="cs"/>
          <w:rtl/>
        </w:rPr>
        <w:t xml:space="preserve">היא </w:t>
      </w:r>
      <w:r w:rsidRPr="00B97E44">
        <w:rPr>
          <w:rtl/>
        </w:rPr>
        <w:t xml:space="preserve">מייצרת </w:t>
      </w:r>
      <w:r w:rsidRPr="00B97E44">
        <w:rPr>
          <w:rFonts w:hint="cs"/>
          <w:rtl/>
        </w:rPr>
        <w:t xml:space="preserve">עימם </w:t>
      </w:r>
      <w:r w:rsidRPr="00B97E44">
        <w:rPr>
          <w:rtl/>
        </w:rPr>
        <w:t xml:space="preserve">שיח מתמשך </w:t>
      </w:r>
      <w:r w:rsidRPr="00B97E44">
        <w:rPr>
          <w:rFonts w:hint="cs"/>
          <w:rtl/>
        </w:rPr>
        <w:t>ופועלת</w:t>
      </w:r>
      <w:r w:rsidRPr="00B97E44">
        <w:rPr>
          <w:rtl/>
        </w:rPr>
        <w:t xml:space="preserve"> </w:t>
      </w:r>
      <w:r w:rsidRPr="00B97E44">
        <w:rPr>
          <w:rFonts w:hint="cs"/>
          <w:rtl/>
        </w:rPr>
        <w:t>ל</w:t>
      </w:r>
      <w:r w:rsidRPr="00B97E44">
        <w:rPr>
          <w:rtl/>
        </w:rPr>
        <w:t>הסרת חסמים ו</w:t>
      </w:r>
      <w:r w:rsidRPr="00B97E44">
        <w:rPr>
          <w:rFonts w:hint="cs"/>
          <w:rtl/>
        </w:rPr>
        <w:t>ל</w:t>
      </w:r>
      <w:r w:rsidRPr="00B97E44">
        <w:rPr>
          <w:rtl/>
        </w:rPr>
        <w:t>מתן פתרונות</w:t>
      </w:r>
      <w:r w:rsidRPr="00B97E44">
        <w:rPr>
          <w:rFonts w:hint="cs"/>
          <w:rtl/>
        </w:rPr>
        <w:t xml:space="preserve"> </w:t>
      </w:r>
      <w:r w:rsidRPr="00B97E44">
        <w:rPr>
          <w:rtl/>
        </w:rPr>
        <w:t>לבעיות שעולות</w:t>
      </w:r>
      <w:r w:rsidRPr="00B97E44">
        <w:t>.</w:t>
      </w:r>
    </w:p>
    <w:p w:rsidR="005B126E" w:rsidP="001916A9">
      <w:pPr>
        <w:spacing w:line="269" w:lineRule="auto"/>
        <w:rPr>
          <w:b/>
          <w:bCs/>
          <w:rtl/>
        </w:rPr>
      </w:pPr>
    </w:p>
    <w:p w:rsidR="005B126E" w:rsidRPr="00B97E44" w:rsidP="001916A9">
      <w:pPr>
        <w:spacing w:line="269" w:lineRule="auto"/>
        <w:rPr>
          <w:rtl/>
        </w:rPr>
      </w:pPr>
      <w:r w:rsidRPr="00B97E44">
        <w:rPr>
          <w:rFonts w:hint="eastAsia"/>
          <w:b/>
          <w:bCs/>
          <w:rtl/>
        </w:rPr>
        <w:t>יוצא</w:t>
      </w:r>
      <w:r w:rsidRPr="00B97E44">
        <w:rPr>
          <w:b/>
          <w:bCs/>
          <w:rtl/>
        </w:rPr>
        <w:t xml:space="preserve"> אפוא </w:t>
      </w:r>
      <w:r w:rsidRPr="00B97E44">
        <w:rPr>
          <w:rFonts w:hint="eastAsia"/>
          <w:b/>
          <w:bCs/>
          <w:rtl/>
        </w:rPr>
        <w:t>כי</w:t>
      </w:r>
      <w:r w:rsidRPr="00B97E44">
        <w:rPr>
          <w:b/>
          <w:bCs/>
          <w:rtl/>
        </w:rPr>
        <w:t xml:space="preserve"> </w:t>
      </w:r>
      <w:r w:rsidRPr="00B97E44">
        <w:rPr>
          <w:rFonts w:hint="eastAsia"/>
          <w:b/>
          <w:bCs/>
          <w:rtl/>
        </w:rPr>
        <w:t>הסדרת</w:t>
      </w:r>
      <w:r w:rsidRPr="00B97E44">
        <w:rPr>
          <w:b/>
          <w:bCs/>
          <w:rtl/>
        </w:rPr>
        <w:t xml:space="preserve"> </w:t>
      </w:r>
      <w:r w:rsidRPr="00B97E44">
        <w:rPr>
          <w:rFonts w:hint="eastAsia"/>
          <w:b/>
          <w:bCs/>
          <w:rtl/>
        </w:rPr>
        <w:t>מנגנון</w:t>
      </w:r>
      <w:r w:rsidRPr="00B97E44">
        <w:rPr>
          <w:b/>
          <w:bCs/>
          <w:rtl/>
        </w:rPr>
        <w:t xml:space="preserve"> </w:t>
      </w:r>
      <w:r w:rsidRPr="00B97E44">
        <w:rPr>
          <w:rFonts w:hint="eastAsia"/>
          <w:b/>
          <w:bCs/>
          <w:rtl/>
        </w:rPr>
        <w:t>העברת</w:t>
      </w:r>
      <w:r w:rsidRPr="00B97E44">
        <w:rPr>
          <w:b/>
          <w:bCs/>
          <w:rtl/>
        </w:rPr>
        <w:t xml:space="preserve"> </w:t>
      </w:r>
      <w:r w:rsidRPr="00B97E44">
        <w:rPr>
          <w:rFonts w:hint="eastAsia"/>
          <w:b/>
          <w:bCs/>
          <w:rtl/>
        </w:rPr>
        <w:t>הכספים</w:t>
      </w:r>
      <w:r w:rsidRPr="00B97E44">
        <w:rPr>
          <w:b/>
          <w:bCs/>
          <w:rtl/>
        </w:rPr>
        <w:t xml:space="preserve"> </w:t>
      </w:r>
      <w:r w:rsidRPr="00B97E44">
        <w:rPr>
          <w:rFonts w:hint="cs"/>
          <w:b/>
          <w:bCs/>
          <w:rtl/>
        </w:rPr>
        <w:t>דרך ה</w:t>
      </w:r>
      <w:r w:rsidRPr="00B97E44">
        <w:rPr>
          <w:rFonts w:hint="eastAsia"/>
          <w:b/>
          <w:bCs/>
          <w:rtl/>
        </w:rPr>
        <w:t>מועצות</w:t>
      </w:r>
      <w:r w:rsidRPr="00B97E44">
        <w:rPr>
          <w:b/>
          <w:bCs/>
          <w:rtl/>
        </w:rPr>
        <w:t xml:space="preserve"> </w:t>
      </w:r>
      <w:r w:rsidRPr="00B97E44">
        <w:rPr>
          <w:rFonts w:hint="eastAsia"/>
          <w:b/>
          <w:bCs/>
          <w:rtl/>
        </w:rPr>
        <w:t>האזוריות</w:t>
      </w:r>
      <w:r w:rsidRPr="00B97E44">
        <w:rPr>
          <w:rFonts w:hint="cs"/>
          <w:b/>
          <w:bCs/>
          <w:rtl/>
        </w:rPr>
        <w:t xml:space="preserve"> </w:t>
      </w:r>
      <w:r w:rsidRPr="00B97E44">
        <w:rPr>
          <w:rFonts w:hint="eastAsia"/>
          <w:b/>
          <w:bCs/>
          <w:rtl/>
        </w:rPr>
        <w:t>בעבור</w:t>
      </w:r>
      <w:r w:rsidRPr="00B97E44">
        <w:rPr>
          <w:b/>
          <w:bCs/>
          <w:rtl/>
        </w:rPr>
        <w:t xml:space="preserve"> </w:t>
      </w:r>
      <w:r w:rsidRPr="00B97E44">
        <w:rPr>
          <w:rFonts w:hint="eastAsia"/>
          <w:b/>
          <w:bCs/>
          <w:rtl/>
        </w:rPr>
        <w:t>ילדים</w:t>
      </w:r>
      <w:r w:rsidRPr="00B97E44">
        <w:rPr>
          <w:b/>
          <w:bCs/>
          <w:rtl/>
        </w:rPr>
        <w:t xml:space="preserve"> </w:t>
      </w:r>
      <w:r w:rsidRPr="00B97E44">
        <w:rPr>
          <w:rFonts w:hint="eastAsia"/>
          <w:b/>
          <w:bCs/>
          <w:rtl/>
        </w:rPr>
        <w:t>מגיל</w:t>
      </w:r>
      <w:r w:rsidRPr="00B97E44">
        <w:rPr>
          <w:b/>
          <w:bCs/>
          <w:rtl/>
        </w:rPr>
        <w:t xml:space="preserve"> </w:t>
      </w:r>
      <w:r w:rsidRPr="00B97E44">
        <w:rPr>
          <w:rFonts w:hint="eastAsia"/>
          <w:b/>
          <w:bCs/>
          <w:rtl/>
        </w:rPr>
        <w:t>לידה</w:t>
      </w:r>
      <w:r w:rsidRPr="00B97E44">
        <w:rPr>
          <w:b/>
          <w:bCs/>
          <w:rtl/>
        </w:rPr>
        <w:t xml:space="preserve"> </w:t>
      </w:r>
      <w:r w:rsidRPr="00B97E44">
        <w:rPr>
          <w:rFonts w:hint="eastAsia"/>
          <w:b/>
          <w:bCs/>
          <w:rtl/>
        </w:rPr>
        <w:t>עד</w:t>
      </w:r>
      <w:r w:rsidRPr="00B97E44">
        <w:rPr>
          <w:b/>
          <w:bCs/>
          <w:rtl/>
        </w:rPr>
        <w:t xml:space="preserve"> </w:t>
      </w:r>
      <w:r w:rsidRPr="00B97E44">
        <w:rPr>
          <w:rFonts w:hint="eastAsia"/>
          <w:b/>
          <w:bCs/>
          <w:rtl/>
        </w:rPr>
        <w:t>שש</w:t>
      </w:r>
      <w:r w:rsidRPr="00B97E44">
        <w:rPr>
          <w:b/>
          <w:bCs/>
          <w:rtl/>
        </w:rPr>
        <w:t xml:space="preserve"> </w:t>
      </w:r>
      <w:r w:rsidRPr="00B97E44">
        <w:rPr>
          <w:rFonts w:hint="cs"/>
          <w:b/>
          <w:bCs/>
          <w:rtl/>
        </w:rPr>
        <w:t xml:space="preserve">לקיבוץ ניר עוז, וגם לקיבוצים אחרים בחבל, המספקים בעצמם את שירותי החינוך עד גיל שש, </w:t>
      </w:r>
      <w:r w:rsidRPr="00B97E44">
        <w:rPr>
          <w:rFonts w:hint="eastAsia"/>
          <w:b/>
          <w:bCs/>
          <w:rtl/>
        </w:rPr>
        <w:t>התעכבה</w:t>
      </w:r>
      <w:r w:rsidRPr="00B97E44">
        <w:rPr>
          <w:b/>
          <w:bCs/>
          <w:rtl/>
        </w:rPr>
        <w:t xml:space="preserve"> </w:t>
      </w:r>
      <w:r w:rsidRPr="00B97E44">
        <w:rPr>
          <w:rFonts w:hint="cs"/>
          <w:b/>
          <w:bCs/>
          <w:rtl/>
        </w:rPr>
        <w:t>בשל</w:t>
      </w:r>
      <w:r w:rsidRPr="00B97E44">
        <w:rPr>
          <w:b/>
          <w:bCs/>
          <w:rtl/>
        </w:rPr>
        <w:t xml:space="preserve"> מחלוקות </w:t>
      </w:r>
      <w:r w:rsidRPr="00B97E44">
        <w:rPr>
          <w:rFonts w:hint="eastAsia"/>
          <w:b/>
          <w:bCs/>
          <w:rtl/>
        </w:rPr>
        <w:t>לגבי</w:t>
      </w:r>
      <w:r w:rsidRPr="00B97E44">
        <w:rPr>
          <w:b/>
          <w:bCs/>
          <w:rtl/>
        </w:rPr>
        <w:t xml:space="preserve"> השימוש שייעשה בתקציב, תוכניות החינוך שתפעיל המועצה, המועדים לקבלת הכספים </w:t>
      </w:r>
      <w:r w:rsidRPr="00B97E44">
        <w:rPr>
          <w:rFonts w:hint="cs"/>
          <w:b/>
          <w:bCs/>
          <w:rtl/>
        </w:rPr>
        <w:t xml:space="preserve">ועוד. </w:t>
      </w:r>
      <w:r w:rsidRPr="00B97E44">
        <w:rPr>
          <w:b/>
          <w:bCs/>
          <w:rtl/>
        </w:rPr>
        <w:t xml:space="preserve">מחלוקות אלה </w:t>
      </w:r>
      <w:r w:rsidRPr="00B97E44">
        <w:rPr>
          <w:rFonts w:hint="cs"/>
          <w:b/>
          <w:bCs/>
          <w:rtl/>
        </w:rPr>
        <w:t>התגלעו</w:t>
      </w:r>
      <w:r w:rsidRPr="00B97E44">
        <w:rPr>
          <w:b/>
          <w:bCs/>
          <w:rtl/>
        </w:rPr>
        <w:t xml:space="preserve"> על רקע מתחים הקיימים ממילא בין המועצות האזוריות ליישובים (ראו פרק חיזוק השלטון המקומי להלן).</w:t>
      </w:r>
    </w:p>
    <w:p w:rsidR="005B126E" w:rsidP="001916A9">
      <w:pPr>
        <w:spacing w:line="269" w:lineRule="auto"/>
        <w:rPr>
          <w:b/>
          <w:bCs/>
          <w:rtl/>
        </w:rPr>
      </w:pPr>
    </w:p>
    <w:p w:rsidR="005B126E" w:rsidRPr="00B97E44" w:rsidP="001916A9">
      <w:pPr>
        <w:spacing w:line="269" w:lineRule="auto"/>
        <w:rPr>
          <w:b/>
          <w:bCs/>
          <w:rtl/>
        </w:rPr>
      </w:pPr>
      <w:r w:rsidRPr="00B97E44">
        <w:rPr>
          <w:rFonts w:hint="cs"/>
          <w:b/>
          <w:bCs/>
          <w:rtl/>
        </w:rPr>
        <w:t>הביקורת העלתה כי על רקע המחלוקות האמורות מינהלת תקומה ומשרד החינוך, המבקשים להעביר את תקציבי החינוך דרך הרשויות המקומיות, מתקשים בביצוע בקרה שתבטיח שהתקציבים יגיעו בפועל לכל יישוב ויישוב מיישובי חבל התקומה ובפרט ליישובים שנפגעו באופן קשה ומרביתם של מי שהתגוררו בהם בשבעה באוקטובר נמצאים בשנות השיקום והבינוי מחדש מחוץ לתחומי המועצה האזורית וחבל התקומה. מצב הדברים מותיר את ילדי היישובים האלה ללא מענה מספק.</w:t>
      </w:r>
    </w:p>
    <w:p w:rsidR="005B126E" w:rsidP="001916A9">
      <w:pPr>
        <w:spacing w:line="269" w:lineRule="auto"/>
        <w:rPr>
          <w:rtl/>
        </w:rPr>
      </w:pPr>
    </w:p>
    <w:p w:rsidR="005B126E" w:rsidRPr="00B97E44" w:rsidP="001916A9">
      <w:pPr>
        <w:spacing w:line="269" w:lineRule="auto"/>
        <w:rPr>
          <w:b/>
          <w:bCs/>
          <w:rtl/>
        </w:rPr>
      </w:pPr>
      <w:r w:rsidRPr="00B97E44">
        <w:rPr>
          <w:rFonts w:hint="cs"/>
          <w:rtl/>
        </w:rPr>
        <w:t xml:space="preserve">מינהלת תקומה מסרה בתשובתה כי הדברים מצויים באחריות </w:t>
      </w:r>
      <w:r w:rsidRPr="00B97E44">
        <w:rPr>
          <w:rtl/>
        </w:rPr>
        <w:t>משרד החינוך ו</w:t>
      </w:r>
      <w:r w:rsidRPr="00B97E44">
        <w:rPr>
          <w:rFonts w:hint="cs"/>
          <w:rtl/>
        </w:rPr>
        <w:t>ה</w:t>
      </w:r>
      <w:r w:rsidRPr="00B97E44">
        <w:rPr>
          <w:rtl/>
        </w:rPr>
        <w:t>רשות המקומית</w:t>
      </w:r>
      <w:r w:rsidRPr="00B97E44">
        <w:rPr>
          <w:rFonts w:hint="cs"/>
          <w:rtl/>
        </w:rPr>
        <w:t xml:space="preserve"> וכי </w:t>
      </w:r>
      <w:r w:rsidRPr="00B97E44">
        <w:rPr>
          <w:rtl/>
        </w:rPr>
        <w:t>תפקיד</w:t>
      </w:r>
      <w:r w:rsidRPr="00B97E44">
        <w:rPr>
          <w:rFonts w:hint="cs"/>
          <w:rtl/>
        </w:rPr>
        <w:t>ה</w:t>
      </w:r>
      <w:r w:rsidRPr="00B97E44">
        <w:rPr>
          <w:rtl/>
        </w:rPr>
        <w:t xml:space="preserve"> הוא לתגבר</w:t>
      </w:r>
      <w:r w:rsidRPr="00B97E44">
        <w:rPr>
          <w:rFonts w:hint="cs"/>
          <w:rtl/>
        </w:rPr>
        <w:t xml:space="preserve"> </w:t>
      </w:r>
      <w:r w:rsidRPr="00B97E44">
        <w:rPr>
          <w:rtl/>
        </w:rPr>
        <w:t xml:space="preserve">את המענים ולייצר מענים חדשים בשיתוף הגורמים האמורים כך שיינתן </w:t>
      </w:r>
      <w:r w:rsidRPr="00B97E44">
        <w:rPr>
          <w:rFonts w:hint="cs"/>
          <w:rtl/>
        </w:rPr>
        <w:t xml:space="preserve">מענה </w:t>
      </w:r>
      <w:r w:rsidRPr="00B97E44">
        <w:rPr>
          <w:rtl/>
        </w:rPr>
        <w:t>לאוכלוסייה שנפגעה</w:t>
      </w:r>
      <w:r w:rsidRPr="00B97E44">
        <w:rPr>
          <w:rFonts w:hint="cs"/>
          <w:rtl/>
        </w:rPr>
        <w:t>.</w:t>
      </w:r>
    </w:p>
    <w:p w:rsidR="005B126E" w:rsidP="001916A9">
      <w:pPr>
        <w:spacing w:line="269" w:lineRule="auto"/>
        <w:rPr>
          <w:b/>
          <w:bCs/>
          <w:rtl/>
        </w:rPr>
      </w:pPr>
    </w:p>
    <w:p w:rsidR="005B126E" w:rsidRPr="00B97E44" w:rsidP="001916A9">
      <w:pPr>
        <w:spacing w:line="269" w:lineRule="auto"/>
        <w:rPr>
          <w:b/>
          <w:bCs/>
          <w:rtl/>
        </w:rPr>
      </w:pPr>
      <w:r w:rsidRPr="00B97E44">
        <w:rPr>
          <w:rFonts w:hint="cs"/>
          <w:b/>
          <w:bCs/>
          <w:rtl/>
        </w:rPr>
        <w:t xml:space="preserve">משנקבע בהחלטות הממשלה כי באחריותם של משרד החינוך </w:t>
      </w:r>
      <w:r w:rsidRPr="00B97E44">
        <w:rPr>
          <w:rFonts w:hint="cs"/>
          <w:b/>
          <w:bCs/>
          <w:rtl/>
        </w:rPr>
        <w:t>ומינהלת</w:t>
      </w:r>
      <w:r w:rsidRPr="00B97E44">
        <w:rPr>
          <w:rFonts w:hint="cs"/>
          <w:b/>
          <w:bCs/>
          <w:rtl/>
        </w:rPr>
        <w:t xml:space="preserve"> תקומה לתקצב ולממן את פעילויות החינוך לילדי חבל התקומה ובכללם ילדי ניר עוז, עליהם לקיים בקרה אחר מימוש </w:t>
      </w:r>
      <w:r w:rsidRPr="00B97E44">
        <w:rPr>
          <w:b/>
          <w:bCs/>
          <w:rtl/>
        </w:rPr>
        <w:t xml:space="preserve">התקציבים המועברים לרשויות המקומיות עבור חינוך ילדי </w:t>
      </w:r>
      <w:r w:rsidRPr="00B97E44">
        <w:rPr>
          <w:rFonts w:hint="cs"/>
          <w:b/>
          <w:bCs/>
          <w:rtl/>
        </w:rPr>
        <w:t>ה</w:t>
      </w:r>
      <w:r w:rsidRPr="00B97E44">
        <w:rPr>
          <w:b/>
          <w:bCs/>
          <w:rtl/>
        </w:rPr>
        <w:t xml:space="preserve">חבל </w:t>
      </w:r>
      <w:r w:rsidRPr="00B97E44">
        <w:rPr>
          <w:rFonts w:hint="cs"/>
          <w:b/>
          <w:bCs/>
          <w:rtl/>
        </w:rPr>
        <w:t>ולוודא</w:t>
      </w:r>
      <w:r w:rsidRPr="00B97E44">
        <w:rPr>
          <w:b/>
          <w:bCs/>
          <w:rtl/>
        </w:rPr>
        <w:t xml:space="preserve"> </w:t>
      </w:r>
      <w:r w:rsidRPr="00B97E44">
        <w:rPr>
          <w:rFonts w:hint="eastAsia"/>
          <w:b/>
          <w:bCs/>
          <w:rtl/>
        </w:rPr>
        <w:t>כי</w:t>
      </w:r>
      <w:r w:rsidRPr="00B97E44">
        <w:rPr>
          <w:b/>
          <w:bCs/>
          <w:rtl/>
        </w:rPr>
        <w:t xml:space="preserve"> </w:t>
      </w:r>
      <w:r w:rsidRPr="00B97E44">
        <w:rPr>
          <w:rFonts w:hint="cs"/>
          <w:b/>
          <w:bCs/>
          <w:rtl/>
        </w:rPr>
        <w:t>הם</w:t>
      </w:r>
      <w:r w:rsidRPr="00B97E44">
        <w:rPr>
          <w:b/>
          <w:bCs/>
          <w:rtl/>
        </w:rPr>
        <w:t xml:space="preserve"> </w:t>
      </w:r>
      <w:r w:rsidRPr="00B97E44">
        <w:rPr>
          <w:rFonts w:hint="cs"/>
          <w:b/>
          <w:bCs/>
          <w:rtl/>
        </w:rPr>
        <w:t>משמשים למימון ה</w:t>
      </w:r>
      <w:r w:rsidRPr="00B97E44">
        <w:rPr>
          <w:rFonts w:hint="eastAsia"/>
          <w:b/>
          <w:bCs/>
          <w:rtl/>
        </w:rPr>
        <w:t>צרכים</w:t>
      </w:r>
      <w:r w:rsidRPr="00B97E44">
        <w:rPr>
          <w:b/>
          <w:bCs/>
          <w:rtl/>
        </w:rPr>
        <w:t xml:space="preserve"> </w:t>
      </w:r>
      <w:r w:rsidRPr="00B97E44">
        <w:rPr>
          <w:rFonts w:hint="eastAsia"/>
          <w:b/>
          <w:bCs/>
          <w:rtl/>
        </w:rPr>
        <w:t>הנדרשים</w:t>
      </w:r>
      <w:r w:rsidRPr="00B97E44">
        <w:rPr>
          <w:b/>
          <w:bCs/>
          <w:rtl/>
        </w:rPr>
        <w:t xml:space="preserve"> </w:t>
      </w:r>
      <w:r w:rsidRPr="00B97E44">
        <w:rPr>
          <w:rFonts w:hint="eastAsia"/>
          <w:b/>
          <w:bCs/>
          <w:rtl/>
        </w:rPr>
        <w:t>לילדים</w:t>
      </w:r>
      <w:r w:rsidRPr="00B97E44">
        <w:rPr>
          <w:b/>
          <w:bCs/>
          <w:rtl/>
        </w:rPr>
        <w:t xml:space="preserve"> </w:t>
      </w:r>
      <w:r w:rsidRPr="00B97E44">
        <w:rPr>
          <w:rFonts w:hint="eastAsia"/>
          <w:b/>
          <w:bCs/>
          <w:rtl/>
        </w:rPr>
        <w:t>בכל</w:t>
      </w:r>
      <w:r w:rsidRPr="00B97E44">
        <w:rPr>
          <w:b/>
          <w:bCs/>
          <w:rtl/>
        </w:rPr>
        <w:t xml:space="preserve"> </w:t>
      </w:r>
      <w:r w:rsidRPr="00B97E44">
        <w:rPr>
          <w:rFonts w:hint="eastAsia"/>
          <w:b/>
          <w:bCs/>
          <w:rtl/>
        </w:rPr>
        <w:t>יישוב</w:t>
      </w:r>
      <w:r w:rsidRPr="00B97E44">
        <w:rPr>
          <w:b/>
          <w:bCs/>
          <w:rtl/>
        </w:rPr>
        <w:t xml:space="preserve"> </w:t>
      </w:r>
      <w:r w:rsidRPr="00B97E44">
        <w:rPr>
          <w:rFonts w:hint="eastAsia"/>
          <w:b/>
          <w:bCs/>
          <w:rtl/>
        </w:rPr>
        <w:t>ויישוב</w:t>
      </w:r>
      <w:r w:rsidRPr="00B97E44">
        <w:rPr>
          <w:b/>
          <w:bCs/>
          <w:rtl/>
        </w:rPr>
        <w:t>.</w:t>
      </w:r>
      <w:r w:rsidRPr="00B97E44">
        <w:rPr>
          <w:rFonts w:hint="cs"/>
          <w:b/>
          <w:bCs/>
          <w:rtl/>
        </w:rPr>
        <w:t xml:space="preserve"> </w:t>
      </w:r>
    </w:p>
    <w:p w:rsidR="005B126E" w:rsidP="001916A9">
      <w:pPr>
        <w:spacing w:line="269" w:lineRule="auto"/>
        <w:rPr>
          <w:rtl/>
        </w:rPr>
      </w:pPr>
    </w:p>
    <w:p w:rsidR="005B126E" w:rsidRPr="00B97E44" w:rsidP="001916A9">
      <w:pPr>
        <w:spacing w:line="269" w:lineRule="auto"/>
        <w:rPr>
          <w:rtl/>
        </w:rPr>
      </w:pPr>
      <w:r w:rsidRPr="00B97E44">
        <w:rPr>
          <w:rFonts w:hint="cs"/>
          <w:rtl/>
        </w:rPr>
        <w:t>משרד החינוך מסר בתשובתו כי במ</w:t>
      </w:r>
      <w:r w:rsidRPr="00B97E44">
        <w:rPr>
          <w:rtl/>
        </w:rPr>
        <w:t xml:space="preserve">הלך שנת תשפ"ו הוא יפעל יחד עם הרשויות לבניית מסד נתונים שיאפשר ראייה תקציבית מסודרת לפי שלבי גיל. </w:t>
      </w:r>
    </w:p>
    <w:p w:rsidR="005B126E" w:rsidRPr="00B97E44" w:rsidP="001916A9">
      <w:pPr>
        <w:spacing w:line="269" w:lineRule="auto"/>
        <w:rPr>
          <w:rtl/>
        </w:rPr>
      </w:pPr>
    </w:p>
    <w:p w:rsidR="005D6B60" w:rsidP="001916A9">
      <w:pPr>
        <w:bidi w:val="0"/>
        <w:spacing w:line="269" w:lineRule="auto"/>
        <w:rPr>
          <w:rFonts w:eastAsiaTheme="majorEastAsia"/>
          <w:bCs/>
          <w:szCs w:val="26"/>
          <w:rtl/>
        </w:rPr>
      </w:pPr>
      <w:r>
        <w:rPr>
          <w:rtl/>
        </w:rPr>
        <w:br w:type="page"/>
      </w:r>
    </w:p>
    <w:p w:rsidR="005B126E" w:rsidRPr="00B97E44" w:rsidP="003474AA">
      <w:pPr>
        <w:pStyle w:val="Heading4"/>
        <w:rPr>
          <w:rtl/>
        </w:rPr>
      </w:pPr>
      <w:r w:rsidRPr="00B97E44">
        <w:rPr>
          <w:rFonts w:hint="cs"/>
          <w:rtl/>
        </w:rPr>
        <w:t>רווחה וחוסן קהילתי</w:t>
      </w:r>
    </w:p>
    <w:p w:rsidR="005B126E" w:rsidRPr="00B97E44" w:rsidP="001916A9">
      <w:pPr>
        <w:spacing w:line="269" w:lineRule="auto"/>
        <w:rPr>
          <w:rtl/>
        </w:rPr>
      </w:pPr>
    </w:p>
    <w:p w:rsidR="005B126E" w:rsidRPr="00B97E44" w:rsidP="001916A9">
      <w:pPr>
        <w:pStyle w:val="Heading5"/>
        <w:spacing w:line="269" w:lineRule="auto"/>
        <w:rPr>
          <w:rtl/>
        </w:rPr>
      </w:pPr>
      <w:r w:rsidRPr="00B97E44">
        <w:rPr>
          <w:rFonts w:hint="cs"/>
          <w:rtl/>
        </w:rPr>
        <w:t>סיוע פסיכולוגי-חברתי</w:t>
      </w:r>
    </w:p>
    <w:p w:rsidR="005B126E" w:rsidP="001916A9">
      <w:pPr>
        <w:spacing w:line="269" w:lineRule="auto"/>
        <w:rPr>
          <w:rFonts w:eastAsiaTheme="majorEastAsia"/>
          <w:b/>
          <w:sz w:val="24"/>
          <w:rtl/>
        </w:rPr>
      </w:pPr>
    </w:p>
    <w:p w:rsidR="005B126E" w:rsidRPr="00B97E44" w:rsidP="001916A9">
      <w:pPr>
        <w:spacing w:line="269" w:lineRule="auto"/>
        <w:rPr>
          <w:rFonts w:ascii="David" w:hAnsi="David" w:eastAsiaTheme="majorEastAsia"/>
          <w:b/>
          <w:sz w:val="24"/>
          <w:rtl/>
        </w:rPr>
      </w:pPr>
      <w:r w:rsidRPr="00B97E44">
        <w:rPr>
          <w:rFonts w:eastAsiaTheme="majorEastAsia" w:hint="cs"/>
          <w:b/>
          <w:sz w:val="24"/>
          <w:rtl/>
        </w:rPr>
        <w:t>על פי הקואליציה</w:t>
      </w:r>
      <w:r>
        <w:rPr>
          <w:rFonts w:eastAsiaTheme="majorEastAsia" w:hint="cs"/>
          <w:b/>
          <w:sz w:val="24"/>
          <w:rtl/>
        </w:rPr>
        <w:t xml:space="preserve"> הישראלית</w:t>
      </w:r>
      <w:r w:rsidRPr="00B97E44">
        <w:rPr>
          <w:rFonts w:eastAsiaTheme="majorEastAsia" w:hint="cs"/>
          <w:b/>
          <w:sz w:val="24"/>
          <w:rtl/>
        </w:rPr>
        <w:t xml:space="preserve"> לטראומה</w:t>
      </w:r>
      <w:r>
        <w:rPr>
          <w:rFonts w:eastAsiaTheme="majorEastAsia"/>
          <w:b/>
          <w:sz w:val="24"/>
          <w:vertAlign w:val="superscript"/>
          <w:rtl/>
        </w:rPr>
        <w:footnoteReference w:id="63"/>
      </w:r>
      <w:r w:rsidRPr="00B97E44">
        <w:rPr>
          <w:rFonts w:eastAsiaTheme="majorEastAsia" w:hint="cs"/>
          <w:b/>
          <w:sz w:val="24"/>
          <w:rtl/>
        </w:rPr>
        <w:t xml:space="preserve">, </w:t>
      </w:r>
      <w:r w:rsidRPr="00B97E44">
        <w:rPr>
          <w:rFonts w:eastAsiaTheme="majorEastAsia"/>
          <w:b/>
          <w:sz w:val="24"/>
          <w:rtl/>
        </w:rPr>
        <w:t xml:space="preserve">מאז </w:t>
      </w:r>
      <w:r w:rsidRPr="00B97E44">
        <w:rPr>
          <w:rFonts w:eastAsiaTheme="majorEastAsia" w:hint="cs"/>
          <w:b/>
          <w:sz w:val="24"/>
          <w:rtl/>
        </w:rPr>
        <w:t>מתקפת הטרור בשבעה</w:t>
      </w:r>
      <w:r w:rsidRPr="00B97E44">
        <w:rPr>
          <w:rFonts w:eastAsiaTheme="majorEastAsia"/>
          <w:b/>
          <w:sz w:val="24"/>
          <w:rtl/>
        </w:rPr>
        <w:t xml:space="preserve"> </w:t>
      </w:r>
      <w:r w:rsidRPr="00B97E44">
        <w:rPr>
          <w:rFonts w:eastAsiaTheme="majorEastAsia" w:hint="cs"/>
          <w:b/>
          <w:sz w:val="24"/>
          <w:rtl/>
        </w:rPr>
        <w:t>ב</w:t>
      </w:r>
      <w:r w:rsidRPr="00B97E44">
        <w:rPr>
          <w:rFonts w:eastAsiaTheme="majorEastAsia"/>
          <w:b/>
          <w:sz w:val="24"/>
          <w:rtl/>
        </w:rPr>
        <w:t xml:space="preserve">אוקטובר תושבי יישובי </w:t>
      </w:r>
      <w:r w:rsidRPr="00B97E44">
        <w:rPr>
          <w:rFonts w:eastAsiaTheme="majorEastAsia" w:hint="cs"/>
          <w:b/>
          <w:sz w:val="24"/>
          <w:rtl/>
        </w:rPr>
        <w:t>חבל התקומה</w:t>
      </w:r>
      <w:r w:rsidRPr="00B97E44">
        <w:rPr>
          <w:rFonts w:eastAsiaTheme="majorEastAsia"/>
          <w:b/>
          <w:sz w:val="24"/>
          <w:rtl/>
        </w:rPr>
        <w:t xml:space="preserve"> והרשויות הסמוכות חיים במציאות מאתגרת ומורכבת המאופיינת בדריכות גבוהה, חשש מהמצב הביטחוני הלא יציב והתמודדות עם המעברים החוזרים ונשנים בין פינוי לחזרה הביתה. גם </w:t>
      </w:r>
      <w:r w:rsidRPr="00B97E44">
        <w:rPr>
          <w:rFonts w:eastAsiaTheme="majorEastAsia" w:hint="cs"/>
          <w:b/>
          <w:sz w:val="24"/>
          <w:rtl/>
        </w:rPr>
        <w:t>ה</w:t>
      </w:r>
      <w:r w:rsidRPr="00B97E44">
        <w:rPr>
          <w:rFonts w:eastAsiaTheme="majorEastAsia"/>
          <w:b/>
          <w:sz w:val="24"/>
          <w:rtl/>
        </w:rPr>
        <w:t xml:space="preserve">מלחמה </w:t>
      </w:r>
      <w:r w:rsidRPr="00B97E44">
        <w:rPr>
          <w:rFonts w:eastAsiaTheme="majorEastAsia" w:hint="cs"/>
          <w:b/>
          <w:sz w:val="24"/>
          <w:rtl/>
        </w:rPr>
        <w:t>שפרצה בעקבות מתקפת הטרור בשבעה באוקטובר</w:t>
      </w:r>
      <w:r w:rsidRPr="00B97E44">
        <w:rPr>
          <w:rFonts w:eastAsiaTheme="majorEastAsia"/>
          <w:b/>
          <w:sz w:val="24"/>
          <w:rtl/>
        </w:rPr>
        <w:t xml:space="preserve"> ו</w:t>
      </w:r>
      <w:r w:rsidRPr="00B97E44">
        <w:rPr>
          <w:rFonts w:eastAsiaTheme="majorEastAsia" w:hint="cs"/>
          <w:b/>
          <w:sz w:val="24"/>
          <w:rtl/>
        </w:rPr>
        <w:t>ה</w:t>
      </w:r>
      <w:r w:rsidRPr="00B97E44">
        <w:rPr>
          <w:rFonts w:eastAsiaTheme="majorEastAsia"/>
          <w:b/>
          <w:sz w:val="24"/>
          <w:rtl/>
        </w:rPr>
        <w:t>צער בנוגע לחטופים</w:t>
      </w:r>
      <w:r w:rsidRPr="00B97E44">
        <w:rPr>
          <w:rFonts w:eastAsiaTheme="majorEastAsia" w:hint="cs"/>
          <w:b/>
          <w:sz w:val="24"/>
          <w:rtl/>
        </w:rPr>
        <w:t xml:space="preserve"> משפיעים רבות על התושבים. מצב זה </w:t>
      </w:r>
      <w:r w:rsidRPr="00B97E44">
        <w:rPr>
          <w:rFonts w:eastAsiaTheme="majorEastAsia"/>
          <w:b/>
          <w:sz w:val="24"/>
          <w:rtl/>
        </w:rPr>
        <w:t xml:space="preserve">גובה מחיר כבד מבחינה נפשית ופיזית </w:t>
      </w:r>
      <w:r w:rsidRPr="00B97E44">
        <w:rPr>
          <w:rFonts w:eastAsiaTheme="majorEastAsia" w:hint="cs"/>
          <w:b/>
          <w:sz w:val="24"/>
          <w:rtl/>
        </w:rPr>
        <w:t>ו</w:t>
      </w:r>
      <w:r w:rsidRPr="00B97E44">
        <w:rPr>
          <w:rFonts w:eastAsiaTheme="majorEastAsia"/>
          <w:b/>
          <w:sz w:val="24"/>
          <w:rtl/>
        </w:rPr>
        <w:t xml:space="preserve">רבים מהתושבים </w:t>
      </w:r>
      <w:r w:rsidRPr="00B97E44">
        <w:rPr>
          <w:rFonts w:eastAsiaTheme="majorEastAsia" w:hint="cs"/>
          <w:b/>
          <w:sz w:val="24"/>
          <w:rtl/>
        </w:rPr>
        <w:t>דיווחו</w:t>
      </w:r>
      <w:r w:rsidRPr="00B97E44">
        <w:rPr>
          <w:rFonts w:eastAsiaTheme="majorEastAsia"/>
          <w:b/>
          <w:sz w:val="24"/>
          <w:rtl/>
        </w:rPr>
        <w:t xml:space="preserve"> על קושי לחזור לשגרה</w:t>
      </w:r>
      <w:r w:rsidRPr="00B97E44">
        <w:rPr>
          <w:rFonts w:eastAsiaTheme="majorEastAsia" w:hint="cs"/>
          <w:b/>
          <w:sz w:val="24"/>
          <w:rtl/>
        </w:rPr>
        <w:t xml:space="preserve"> ו</w:t>
      </w:r>
      <w:r w:rsidRPr="00B97E44">
        <w:rPr>
          <w:rFonts w:eastAsiaTheme="majorEastAsia"/>
          <w:b/>
          <w:sz w:val="24"/>
          <w:rtl/>
        </w:rPr>
        <w:t>חוסר יציבות שמעורר חוויות של חוסר שליטה וחשש תמידי לשלומם ולשלום יקיריהם</w:t>
      </w:r>
      <w:r w:rsidRPr="00B97E44">
        <w:rPr>
          <w:rFonts w:eastAsiaTheme="majorEastAsia" w:hint="cs"/>
          <w:b/>
          <w:sz w:val="24"/>
          <w:rtl/>
        </w:rPr>
        <w:t xml:space="preserve"> - תחושות ה</w:t>
      </w:r>
      <w:r w:rsidRPr="00B97E44">
        <w:rPr>
          <w:rFonts w:eastAsiaTheme="majorEastAsia"/>
          <w:b/>
          <w:sz w:val="24"/>
          <w:rtl/>
        </w:rPr>
        <w:t>מונע</w:t>
      </w:r>
      <w:r w:rsidRPr="00B97E44">
        <w:rPr>
          <w:rFonts w:eastAsiaTheme="majorEastAsia" w:hint="cs"/>
          <w:b/>
          <w:sz w:val="24"/>
          <w:rtl/>
        </w:rPr>
        <w:t>ות</w:t>
      </w:r>
      <w:r w:rsidRPr="00B97E44">
        <w:rPr>
          <w:rFonts w:eastAsiaTheme="majorEastAsia"/>
          <w:b/>
          <w:sz w:val="24"/>
          <w:rtl/>
        </w:rPr>
        <w:t xml:space="preserve"> מהם לתכנן</w:t>
      </w:r>
      <w:r w:rsidRPr="00B97E44">
        <w:rPr>
          <w:rFonts w:eastAsiaTheme="majorEastAsia" w:hint="cs"/>
          <w:b/>
          <w:sz w:val="24"/>
          <w:rtl/>
        </w:rPr>
        <w:t xml:space="preserve"> לעתיד</w:t>
      </w:r>
      <w:r w:rsidRPr="00B97E44">
        <w:rPr>
          <w:rFonts w:eastAsiaTheme="majorEastAsia"/>
          <w:b/>
          <w:sz w:val="24"/>
          <w:rtl/>
        </w:rPr>
        <w:t>, להתחייב ל</w:t>
      </w:r>
      <w:r w:rsidRPr="00B97E44">
        <w:rPr>
          <w:rFonts w:eastAsiaTheme="majorEastAsia" w:hint="cs"/>
          <w:b/>
          <w:sz w:val="24"/>
          <w:rtl/>
        </w:rPr>
        <w:t>תעסוקה,</w:t>
      </w:r>
      <w:r w:rsidRPr="00B97E44">
        <w:rPr>
          <w:rFonts w:eastAsiaTheme="majorEastAsia"/>
          <w:b/>
          <w:sz w:val="24"/>
          <w:rtl/>
        </w:rPr>
        <w:t xml:space="preserve"> </w:t>
      </w:r>
      <w:r w:rsidRPr="00B97E44">
        <w:rPr>
          <w:rFonts w:eastAsiaTheme="majorEastAsia" w:hint="cs"/>
          <w:b/>
          <w:sz w:val="24"/>
          <w:rtl/>
        </w:rPr>
        <w:t>ל</w:t>
      </w:r>
      <w:r w:rsidRPr="00B97E44">
        <w:rPr>
          <w:rFonts w:eastAsiaTheme="majorEastAsia"/>
          <w:b/>
          <w:sz w:val="24"/>
          <w:rtl/>
        </w:rPr>
        <w:t xml:space="preserve">לימודים או </w:t>
      </w:r>
      <w:r w:rsidRPr="00B97E44">
        <w:rPr>
          <w:rFonts w:eastAsiaTheme="majorEastAsia" w:hint="cs"/>
          <w:b/>
          <w:sz w:val="24"/>
          <w:rtl/>
        </w:rPr>
        <w:t>ל</w:t>
      </w:r>
      <w:r w:rsidRPr="00B97E44">
        <w:rPr>
          <w:rFonts w:eastAsiaTheme="majorEastAsia"/>
          <w:b/>
          <w:sz w:val="24"/>
          <w:rtl/>
        </w:rPr>
        <w:t>חיי משפחה</w:t>
      </w:r>
      <w:r w:rsidRPr="00B97E44">
        <w:rPr>
          <w:rFonts w:eastAsiaTheme="majorEastAsia" w:hint="cs"/>
          <w:b/>
          <w:sz w:val="24"/>
          <w:rtl/>
        </w:rPr>
        <w:t xml:space="preserve"> ומגבירות</w:t>
      </w:r>
      <w:r w:rsidRPr="00B97E44">
        <w:rPr>
          <w:rFonts w:eastAsiaTheme="majorEastAsia"/>
          <w:b/>
          <w:sz w:val="24"/>
          <w:rtl/>
        </w:rPr>
        <w:t xml:space="preserve"> תחושות של </w:t>
      </w:r>
      <w:r w:rsidRPr="00B97E44">
        <w:rPr>
          <w:rFonts w:eastAsiaTheme="majorEastAsia" w:hint="cs"/>
          <w:b/>
          <w:sz w:val="24"/>
          <w:rtl/>
        </w:rPr>
        <w:t>לחץ</w:t>
      </w:r>
      <w:r w:rsidRPr="00B97E44">
        <w:rPr>
          <w:rFonts w:eastAsiaTheme="majorEastAsia"/>
          <w:b/>
          <w:sz w:val="24"/>
          <w:rtl/>
        </w:rPr>
        <w:t xml:space="preserve"> ומת</w:t>
      </w:r>
      <w:r w:rsidRPr="00B97E44">
        <w:rPr>
          <w:rFonts w:ascii="David" w:hAnsi="David" w:eastAsiaTheme="majorEastAsia" w:hint="cs"/>
          <w:b/>
          <w:sz w:val="24"/>
          <w:rtl/>
        </w:rPr>
        <w:t>ח.</w:t>
      </w:r>
    </w:p>
    <w:p w:rsidR="005B126E" w:rsidP="001916A9">
      <w:pPr>
        <w:spacing w:line="269" w:lineRule="auto"/>
        <w:rPr>
          <w:rtl/>
        </w:rPr>
      </w:pPr>
    </w:p>
    <w:p w:rsidR="005B126E" w:rsidRPr="00B97E44" w:rsidP="001916A9">
      <w:pPr>
        <w:spacing w:line="269" w:lineRule="auto"/>
        <w:rPr>
          <w:rFonts w:ascii="David" w:hAnsi="David"/>
          <w:rtl/>
        </w:rPr>
      </w:pPr>
      <w:r w:rsidRPr="00B97E44">
        <w:rPr>
          <w:rFonts w:hint="cs"/>
          <w:rtl/>
        </w:rPr>
        <w:t xml:space="preserve">בסקר שערכה </w:t>
      </w:r>
      <w:r w:rsidRPr="00B97E44">
        <w:rPr>
          <w:rFonts w:hint="cs"/>
          <w:rtl/>
        </w:rPr>
        <w:t>הלמ"ס</w:t>
      </w:r>
      <w:r w:rsidRPr="00B97E44">
        <w:rPr>
          <w:rFonts w:hint="cs"/>
          <w:rtl/>
        </w:rPr>
        <w:t xml:space="preserve"> </w:t>
      </w:r>
      <w:r w:rsidRPr="00B97E44">
        <w:rPr>
          <w:rFonts w:hint="cs"/>
          <w:rtl/>
        </w:rPr>
        <w:t>למינהלת</w:t>
      </w:r>
      <w:r w:rsidRPr="00B97E44">
        <w:rPr>
          <w:rFonts w:hint="cs"/>
          <w:rtl/>
        </w:rPr>
        <w:t xml:space="preserve"> תקומה ומשרד ראש הממשלה בחודשים ינואר - פברואר 2025 בקרב 3,900 נשאלים מתושבי חבל התקומה עלה</w:t>
      </w:r>
      <w:r w:rsidRPr="00B97E44">
        <w:rPr>
          <w:rFonts w:ascii="David" w:hAnsi="David" w:hint="cs"/>
          <w:rtl/>
        </w:rPr>
        <w:t xml:space="preserve"> כי 62% מהנשאלים מגדירים את מצבם הנפשי במועד הסקר בכלל לא טוב או לא כל כך טוב, ו-74% ציינו כי מצבם הנפשי החמיר או החמיר מאוד מאז מתקפת הטרור בשבעה באוקטובר. 57% השיבו כי הם חשים לחץ תמיד או לעיתים קרובות ו-54% השיבו כי הם סובלים מדאגות המפריעות להם לישון</w:t>
      </w:r>
      <w:r>
        <w:rPr>
          <w:rFonts w:ascii="David" w:hAnsi="David"/>
          <w:vertAlign w:val="superscript"/>
          <w:rtl/>
        </w:rPr>
        <w:footnoteReference w:id="64"/>
      </w:r>
      <w:r w:rsidRPr="00B97E44">
        <w:rPr>
          <w:rFonts w:ascii="David" w:hAnsi="David" w:hint="cs"/>
          <w:rtl/>
        </w:rPr>
        <w:t>.</w:t>
      </w:r>
    </w:p>
    <w:p w:rsidR="005B126E" w:rsidP="001916A9">
      <w:pPr>
        <w:spacing w:line="269" w:lineRule="auto"/>
        <w:jc w:val="center"/>
        <w:rPr>
          <w:rFonts w:ascii="David" w:hAnsi="David"/>
          <w:rtl/>
        </w:rPr>
      </w:pPr>
    </w:p>
    <w:p w:rsidR="005B126E" w:rsidRPr="00B97E44" w:rsidP="001916A9">
      <w:pPr>
        <w:spacing w:line="269" w:lineRule="auto"/>
        <w:jc w:val="center"/>
        <w:rPr>
          <w:rFonts w:ascii="David" w:hAnsi="David"/>
        </w:rPr>
      </w:pPr>
      <w:r w:rsidRPr="00B97E44">
        <w:rPr>
          <w:rFonts w:ascii="David" w:hAnsi="David" w:hint="eastAsia"/>
          <w:rtl/>
        </w:rPr>
        <w:t>תרשים</w:t>
      </w:r>
      <w:r w:rsidRPr="00B97E44">
        <w:rPr>
          <w:rFonts w:ascii="David" w:hAnsi="David" w:hint="cs"/>
          <w:rtl/>
        </w:rPr>
        <w:t xml:space="preserve"> 4: </w:t>
      </w:r>
      <w:r w:rsidRPr="00B97E44">
        <w:rPr>
          <w:rFonts w:hint="eastAsia"/>
          <w:b/>
          <w:bCs/>
          <w:noProof/>
          <w:rtl/>
        </w:rPr>
        <w:t>מ</w:t>
      </w:r>
      <w:r w:rsidRPr="00B97E44">
        <w:rPr>
          <w:rFonts w:ascii="David" w:hAnsi="David" w:hint="eastAsia"/>
          <w:b/>
          <w:bCs/>
          <w:rtl/>
        </w:rPr>
        <w:t>צבם</w:t>
      </w:r>
      <w:r w:rsidRPr="00B97E44">
        <w:rPr>
          <w:rFonts w:ascii="David" w:hAnsi="David"/>
          <w:b/>
          <w:bCs/>
          <w:rtl/>
        </w:rPr>
        <w:t xml:space="preserve"> </w:t>
      </w:r>
      <w:r w:rsidRPr="00B97E44">
        <w:rPr>
          <w:rFonts w:ascii="David" w:hAnsi="David" w:hint="eastAsia"/>
          <w:b/>
          <w:bCs/>
          <w:rtl/>
        </w:rPr>
        <w:t>הנפשי</w:t>
      </w:r>
      <w:r w:rsidRPr="00B97E44">
        <w:rPr>
          <w:rFonts w:ascii="David" w:hAnsi="David"/>
          <w:b/>
          <w:bCs/>
          <w:rtl/>
        </w:rPr>
        <w:t xml:space="preserve"> </w:t>
      </w:r>
      <w:r w:rsidRPr="00B97E44">
        <w:rPr>
          <w:rFonts w:ascii="David" w:hAnsi="David" w:hint="eastAsia"/>
          <w:b/>
          <w:bCs/>
          <w:rtl/>
        </w:rPr>
        <w:t>של</w:t>
      </w:r>
      <w:r w:rsidRPr="00B97E44">
        <w:rPr>
          <w:rFonts w:ascii="David" w:hAnsi="David"/>
          <w:b/>
          <w:bCs/>
          <w:rtl/>
        </w:rPr>
        <w:t xml:space="preserve"> </w:t>
      </w:r>
      <w:r w:rsidRPr="00B97E44">
        <w:rPr>
          <w:rFonts w:ascii="David" w:hAnsi="David" w:hint="eastAsia"/>
          <w:b/>
          <w:bCs/>
          <w:rtl/>
        </w:rPr>
        <w:t>תושבי</w:t>
      </w:r>
      <w:r w:rsidRPr="00B97E44">
        <w:rPr>
          <w:rFonts w:ascii="David" w:hAnsi="David"/>
          <w:b/>
          <w:bCs/>
          <w:rtl/>
        </w:rPr>
        <w:t xml:space="preserve"> </w:t>
      </w:r>
      <w:r w:rsidRPr="00B97E44">
        <w:rPr>
          <w:rFonts w:ascii="David" w:hAnsi="David" w:hint="eastAsia"/>
          <w:b/>
          <w:bCs/>
          <w:rtl/>
        </w:rPr>
        <w:t>חבל</w:t>
      </w:r>
      <w:r w:rsidRPr="00B97E44">
        <w:rPr>
          <w:rFonts w:ascii="David" w:hAnsi="David"/>
          <w:b/>
          <w:bCs/>
          <w:rtl/>
        </w:rPr>
        <w:t xml:space="preserve"> </w:t>
      </w:r>
      <w:r w:rsidRPr="00B97E44">
        <w:rPr>
          <w:rFonts w:ascii="David" w:hAnsi="David" w:hint="eastAsia"/>
          <w:b/>
          <w:bCs/>
          <w:rtl/>
        </w:rPr>
        <w:t>התקומה</w:t>
      </w:r>
      <w:r w:rsidRPr="00B97E44">
        <w:rPr>
          <w:rFonts w:ascii="David" w:hAnsi="David" w:hint="cs"/>
          <w:b/>
          <w:bCs/>
          <w:rtl/>
        </w:rPr>
        <w:t xml:space="preserve"> - דיווח עצמי </w:t>
      </w:r>
      <w:r w:rsidRPr="00B97E44">
        <w:rPr>
          <w:rFonts w:ascii="David" w:hAnsi="David"/>
          <w:noProof/>
        </w:rPr>
        <w:drawing>
          <wp:inline distT="0" distB="0" distL="0" distR="0">
            <wp:extent cx="5165408" cy="1925797"/>
            <wp:effectExtent l="0" t="0" r="0" b="0"/>
            <wp:docPr id="25" name="תמונה 25" descr="תרשים המתאר את מצבם הנפשי של תושבי חבל תקומה כפי שתואר לעי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pture 1.JPG"/>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a:off x="0" y="0"/>
                      <a:ext cx="5201112" cy="1939108"/>
                    </a:xfrm>
                    <a:prstGeom prst="rect">
                      <a:avLst/>
                    </a:prstGeom>
                  </pic:spPr>
                </pic:pic>
              </a:graphicData>
            </a:graphic>
          </wp:inline>
        </w:drawing>
      </w:r>
    </w:p>
    <w:p w:rsidR="005B126E" w:rsidRPr="00B97E44" w:rsidP="001916A9">
      <w:pPr>
        <w:spacing w:line="269" w:lineRule="auto"/>
        <w:jc w:val="left"/>
        <w:rPr>
          <w:rFonts w:ascii="David" w:hAnsi="David"/>
          <w:szCs w:val="20"/>
          <w:rtl/>
        </w:rPr>
      </w:pPr>
      <w:r w:rsidRPr="00B97E44">
        <w:rPr>
          <w:rFonts w:ascii="David" w:hAnsi="David" w:hint="cs"/>
          <w:szCs w:val="20"/>
          <w:rtl/>
        </w:rPr>
        <w:t xml:space="preserve">על פי נתוני </w:t>
      </w:r>
      <w:r w:rsidRPr="00B97E44">
        <w:rPr>
          <w:rFonts w:ascii="David" w:hAnsi="David" w:hint="cs"/>
          <w:szCs w:val="20"/>
          <w:rtl/>
        </w:rPr>
        <w:t>הלמ"ס</w:t>
      </w:r>
      <w:r w:rsidRPr="00B97E44">
        <w:rPr>
          <w:rFonts w:ascii="David" w:hAnsi="David"/>
          <w:szCs w:val="20"/>
          <w:rtl/>
        </w:rPr>
        <w:t xml:space="preserve">, </w:t>
      </w:r>
      <w:r w:rsidRPr="00B97E44">
        <w:rPr>
          <w:rFonts w:ascii="David" w:hAnsi="David" w:hint="eastAsia"/>
          <w:szCs w:val="20"/>
          <w:rtl/>
        </w:rPr>
        <w:t>ינואר</w:t>
      </w:r>
      <w:r w:rsidRPr="00B97E44">
        <w:rPr>
          <w:rFonts w:ascii="David" w:hAnsi="David"/>
          <w:szCs w:val="20"/>
          <w:rtl/>
        </w:rPr>
        <w:t>-פברואר 2025</w:t>
      </w:r>
      <w:r w:rsidRPr="00B97E44">
        <w:rPr>
          <w:rFonts w:ascii="David" w:hAnsi="David" w:hint="cs"/>
          <w:szCs w:val="20"/>
          <w:rtl/>
        </w:rPr>
        <w:t>, בעיבוד משרד מבקר המדינה.</w:t>
      </w:r>
    </w:p>
    <w:p w:rsidR="005B126E" w:rsidRPr="00B97E44" w:rsidP="001916A9">
      <w:pPr>
        <w:spacing w:line="269" w:lineRule="auto"/>
        <w:rPr>
          <w:rFonts w:ascii="David" w:hAnsi="David"/>
          <w:szCs w:val="20"/>
          <w:rtl/>
        </w:rPr>
      </w:pPr>
    </w:p>
    <w:p w:rsidR="005B126E" w:rsidRPr="00B97E44" w:rsidP="001916A9">
      <w:pPr>
        <w:spacing w:line="269" w:lineRule="auto"/>
        <w:rPr>
          <w:rFonts w:eastAsiaTheme="majorEastAsia"/>
          <w:bCs/>
          <w:sz w:val="24"/>
          <w:rtl/>
        </w:rPr>
      </w:pPr>
      <w:r w:rsidRPr="00B97E44">
        <w:rPr>
          <w:rFonts w:hint="cs"/>
          <w:rtl/>
        </w:rPr>
        <w:t>השיקום הנפשי הנדרש לתושבי חבל התקומה אחרי מתקפת הטרור נבדק בין היתר בביקורת מיוחדת בנושא</w:t>
      </w:r>
      <w:r>
        <w:rPr>
          <w:vertAlign w:val="superscript"/>
          <w:rtl/>
        </w:rPr>
        <w:footnoteReference w:id="65"/>
      </w:r>
      <w:r w:rsidRPr="00B97E44">
        <w:rPr>
          <w:rFonts w:hint="cs"/>
          <w:rtl/>
        </w:rPr>
        <w:t>. בביקורת הנוכחית נבדקו היבטים בפעילותם של הרשויות המקומיות, של משרד הרווחה, של משרד הנגב והגליל ושל מינהלת תקומה למתן סיוע משקם לקהילות השונות ולחבריהן כפי שעולה מתוכנית החומש.</w:t>
      </w:r>
    </w:p>
    <w:p w:rsidR="005B126E" w:rsidP="001916A9">
      <w:pPr>
        <w:spacing w:line="269" w:lineRule="auto"/>
        <w:rPr>
          <w:rFonts w:ascii="David" w:hAnsi="David"/>
          <w:rtl/>
        </w:rPr>
      </w:pPr>
    </w:p>
    <w:p w:rsidR="005B126E" w:rsidRPr="00B97E44" w:rsidP="001916A9">
      <w:pPr>
        <w:spacing w:line="269" w:lineRule="auto"/>
        <w:rPr>
          <w:rtl/>
        </w:rPr>
      </w:pPr>
      <w:r w:rsidRPr="00B97E44">
        <w:rPr>
          <w:rFonts w:ascii="David" w:hAnsi="David" w:hint="cs"/>
          <w:rtl/>
        </w:rPr>
        <w:t xml:space="preserve">דוח ועדת החקירה הממלכתית </w:t>
      </w:r>
      <w:r w:rsidRPr="00B97E44">
        <w:rPr>
          <w:rFonts w:hint="cs"/>
          <w:rtl/>
        </w:rPr>
        <w:t>בנושא טיפולן של הרשויות המוסמכות במפוני גוש קטיף וצפון השומרון</w:t>
      </w:r>
      <w:r w:rsidRPr="00B97E44">
        <w:rPr>
          <w:rFonts w:ascii="David" w:hAnsi="David" w:hint="cs"/>
          <w:rtl/>
        </w:rPr>
        <w:t xml:space="preserve"> בעניין ההתנתקות בראשות השופט בדימוס אליהו מצא משנת 2010 (להלן - ועדת החקירה הממלכתית בעניין ההתנתקות) </w:t>
      </w:r>
      <w:r w:rsidRPr="00B97E44">
        <w:rPr>
          <w:rFonts w:hint="cs"/>
          <w:rtl/>
        </w:rPr>
        <w:t xml:space="preserve">קבע כלקח מפרשת הטיפול </w:t>
      </w:r>
      <w:r>
        <w:rPr>
          <w:rFonts w:hint="cs"/>
          <w:rtl/>
        </w:rPr>
        <w:t>ב</w:t>
      </w:r>
      <w:r w:rsidRPr="00B97E44">
        <w:rPr>
          <w:rFonts w:hint="cs"/>
          <w:rtl/>
        </w:rPr>
        <w:t>מפוני חבל עזה וצפון השומרון כי גם את חובת המדינה לפעול למתן סיוע פסיכולוגי-חברתי יש לעגן בתחיקה, כדי להימנע ממצב שבו איכות הטיפול הפסיכולוגי-חברתי תושפע ממידת רצונם הטוב של הגורמים המטפלים וממחויבותם למטרה זו. חקיקה רלוונטית צריכה לעסוק גם בהליכי קביעת התקציב לטיפול פסיכולוגי-חברתי;</w:t>
      </w:r>
      <w:r w:rsidRPr="00B97E44">
        <w:t xml:space="preserve"> </w:t>
      </w:r>
      <w:r w:rsidRPr="00B97E44">
        <w:rPr>
          <w:rFonts w:hint="cs"/>
          <w:rtl/>
        </w:rPr>
        <w:t>במתן סיוע למצבי מצוקה;</w:t>
      </w:r>
      <w:r w:rsidRPr="00B97E44">
        <w:rPr>
          <w:rFonts w:hint="cs"/>
        </w:rPr>
        <w:t xml:space="preserve"> </w:t>
      </w:r>
      <w:r w:rsidRPr="00B97E44">
        <w:rPr>
          <w:rFonts w:hint="cs"/>
          <w:rtl/>
        </w:rPr>
        <w:t>בהושטת סיוע משפטי למשתקמים;</w:t>
      </w:r>
      <w:r w:rsidRPr="00B97E44">
        <w:rPr>
          <w:rtl/>
        </w:rPr>
        <w:t xml:space="preserve"> </w:t>
      </w:r>
      <w:r w:rsidRPr="00B97E44">
        <w:rPr>
          <w:rFonts w:hint="cs"/>
          <w:rtl/>
        </w:rPr>
        <w:t>בסוגיית ההשמה וההכשרה המקצועית של המשתקמים; ובמתכונת הטיפול בנוער ובתא המשפחתי</w:t>
      </w:r>
      <w:r>
        <w:rPr>
          <w:vertAlign w:val="superscript"/>
          <w:rtl/>
        </w:rPr>
        <w:footnoteReference w:id="66"/>
      </w:r>
      <w:r w:rsidRPr="00B97E44">
        <w:rPr>
          <w:rFonts w:hint="cs"/>
          <w:rtl/>
        </w:rPr>
        <w:t>.</w:t>
      </w:r>
    </w:p>
    <w:p w:rsidR="005B126E" w:rsidP="001916A9">
      <w:pPr>
        <w:spacing w:line="269" w:lineRule="auto"/>
        <w:rPr>
          <w:rtl/>
        </w:rPr>
      </w:pPr>
    </w:p>
    <w:p w:rsidR="005B126E" w:rsidRPr="00B97E44" w:rsidP="001916A9">
      <w:pPr>
        <w:spacing w:line="269" w:lineRule="auto"/>
        <w:rPr>
          <w:rtl/>
        </w:rPr>
      </w:pPr>
      <w:r w:rsidRPr="00B97E44">
        <w:rPr>
          <w:rFonts w:hint="cs"/>
          <w:rtl/>
        </w:rPr>
        <w:t>עוד צוין בדוח כי יש לבחון אם מערכות הרווחה הקיימות תוכלנה לעמוד בטיפול במשתקמים, שאינו זהה לטיפול בבעיות רווחה שגרתיות, ועל כן יש מקום לגבש תוכנית פעולה שתעמיד נדבך משלים לפעולות הרווחה השגרתיות.</w:t>
      </w:r>
    </w:p>
    <w:p w:rsidR="005B126E" w:rsidP="001916A9">
      <w:pPr>
        <w:spacing w:line="269" w:lineRule="auto"/>
        <w:rPr>
          <w:b/>
          <w:bCs/>
          <w:sz w:val="24"/>
          <w:rtl/>
        </w:rPr>
      </w:pPr>
    </w:p>
    <w:p w:rsidR="005B126E" w:rsidRPr="00B97E44" w:rsidP="001916A9">
      <w:pPr>
        <w:spacing w:line="269" w:lineRule="auto"/>
        <w:rPr>
          <w:szCs w:val="20"/>
          <w:rtl/>
        </w:rPr>
      </w:pPr>
      <w:r w:rsidRPr="00B97E44">
        <w:rPr>
          <w:rFonts w:hint="eastAsia"/>
          <w:b/>
          <w:bCs/>
          <w:sz w:val="24"/>
          <w:rtl/>
        </w:rPr>
        <w:t>בביקורת</w:t>
      </w:r>
      <w:r w:rsidRPr="00B97E44">
        <w:rPr>
          <w:b/>
          <w:bCs/>
          <w:sz w:val="24"/>
          <w:rtl/>
        </w:rPr>
        <w:t xml:space="preserve"> </w:t>
      </w:r>
      <w:r w:rsidRPr="00B97E44">
        <w:rPr>
          <w:rFonts w:hint="eastAsia"/>
          <w:b/>
          <w:bCs/>
          <w:sz w:val="24"/>
          <w:rtl/>
        </w:rPr>
        <w:t>עלה</w:t>
      </w:r>
      <w:r w:rsidRPr="00B97E44">
        <w:rPr>
          <w:b/>
          <w:bCs/>
          <w:sz w:val="24"/>
          <w:rtl/>
        </w:rPr>
        <w:t xml:space="preserve"> </w:t>
      </w:r>
      <w:r w:rsidRPr="00B97E44">
        <w:rPr>
          <w:rFonts w:hint="eastAsia"/>
          <w:b/>
          <w:bCs/>
          <w:sz w:val="24"/>
          <w:rtl/>
        </w:rPr>
        <w:t>כי</w:t>
      </w:r>
      <w:r w:rsidRPr="00B97E44">
        <w:rPr>
          <w:b/>
          <w:bCs/>
          <w:sz w:val="24"/>
          <w:rtl/>
        </w:rPr>
        <w:t xml:space="preserve"> </w:t>
      </w:r>
      <w:r w:rsidRPr="00B97E44">
        <w:rPr>
          <w:rFonts w:hint="eastAsia"/>
          <w:b/>
          <w:bCs/>
          <w:sz w:val="24"/>
          <w:rtl/>
        </w:rPr>
        <w:t>תוכנית</w:t>
      </w:r>
      <w:r w:rsidRPr="00B97E44">
        <w:rPr>
          <w:b/>
          <w:bCs/>
          <w:sz w:val="24"/>
          <w:rtl/>
        </w:rPr>
        <w:t xml:space="preserve"> </w:t>
      </w:r>
      <w:r w:rsidRPr="00B97E44">
        <w:rPr>
          <w:rFonts w:hint="eastAsia"/>
          <w:b/>
          <w:bCs/>
          <w:sz w:val="24"/>
          <w:rtl/>
        </w:rPr>
        <w:t>החומש</w:t>
      </w:r>
      <w:r w:rsidRPr="00B97E44">
        <w:rPr>
          <w:b/>
          <w:bCs/>
          <w:sz w:val="24"/>
          <w:rtl/>
        </w:rPr>
        <w:t xml:space="preserve"> </w:t>
      </w:r>
      <w:r w:rsidRPr="00B97E44">
        <w:rPr>
          <w:rFonts w:hint="eastAsia"/>
          <w:b/>
          <w:bCs/>
          <w:sz w:val="24"/>
          <w:rtl/>
        </w:rPr>
        <w:t>נעדרת</w:t>
      </w:r>
      <w:r w:rsidRPr="00B97E44">
        <w:rPr>
          <w:b/>
          <w:bCs/>
          <w:sz w:val="24"/>
          <w:rtl/>
        </w:rPr>
        <w:t xml:space="preserve"> </w:t>
      </w:r>
      <w:r w:rsidRPr="00B97E44">
        <w:rPr>
          <w:rFonts w:hint="eastAsia"/>
          <w:b/>
          <w:bCs/>
          <w:sz w:val="24"/>
          <w:rtl/>
        </w:rPr>
        <w:t>קווי</w:t>
      </w:r>
      <w:r w:rsidRPr="00B97E44">
        <w:rPr>
          <w:b/>
          <w:bCs/>
          <w:sz w:val="24"/>
          <w:rtl/>
        </w:rPr>
        <w:t xml:space="preserve"> </w:t>
      </w:r>
      <w:r w:rsidRPr="00B97E44">
        <w:rPr>
          <w:rFonts w:hint="eastAsia"/>
          <w:b/>
          <w:bCs/>
          <w:sz w:val="24"/>
          <w:rtl/>
        </w:rPr>
        <w:t>פעולה</w:t>
      </w:r>
      <w:r w:rsidRPr="00B97E44">
        <w:rPr>
          <w:b/>
          <w:bCs/>
          <w:sz w:val="24"/>
          <w:rtl/>
        </w:rPr>
        <w:t xml:space="preserve"> </w:t>
      </w:r>
      <w:r w:rsidRPr="00B97E44">
        <w:rPr>
          <w:rFonts w:hint="eastAsia"/>
          <w:b/>
          <w:bCs/>
          <w:sz w:val="24"/>
          <w:rtl/>
        </w:rPr>
        <w:t>סדורים</w:t>
      </w:r>
      <w:r w:rsidRPr="00B97E44">
        <w:rPr>
          <w:b/>
          <w:bCs/>
          <w:sz w:val="24"/>
          <w:rtl/>
        </w:rPr>
        <w:t xml:space="preserve"> </w:t>
      </w:r>
      <w:r w:rsidRPr="00B97E44">
        <w:rPr>
          <w:rFonts w:hint="eastAsia"/>
          <w:b/>
          <w:bCs/>
          <w:sz w:val="24"/>
          <w:rtl/>
        </w:rPr>
        <w:t>ומתוקצבים</w:t>
      </w:r>
      <w:r w:rsidRPr="00B97E44">
        <w:rPr>
          <w:b/>
          <w:bCs/>
          <w:sz w:val="24"/>
          <w:rtl/>
        </w:rPr>
        <w:t xml:space="preserve"> </w:t>
      </w:r>
      <w:r w:rsidRPr="00B97E44">
        <w:rPr>
          <w:rFonts w:hint="eastAsia"/>
          <w:b/>
          <w:bCs/>
          <w:sz w:val="24"/>
          <w:rtl/>
        </w:rPr>
        <w:t>לצורך</w:t>
      </w:r>
      <w:r w:rsidRPr="00B97E44">
        <w:rPr>
          <w:b/>
          <w:bCs/>
          <w:sz w:val="24"/>
          <w:rtl/>
        </w:rPr>
        <w:t xml:space="preserve"> </w:t>
      </w:r>
      <w:r w:rsidRPr="00B97E44">
        <w:rPr>
          <w:rFonts w:hint="eastAsia"/>
          <w:b/>
          <w:bCs/>
          <w:sz w:val="24"/>
          <w:rtl/>
        </w:rPr>
        <w:t>שיקום</w:t>
      </w:r>
      <w:r w:rsidRPr="00B97E44">
        <w:rPr>
          <w:b/>
          <w:bCs/>
          <w:sz w:val="24"/>
          <w:rtl/>
        </w:rPr>
        <w:t xml:space="preserve"> </w:t>
      </w:r>
      <w:r w:rsidRPr="00B97E44">
        <w:rPr>
          <w:rFonts w:hint="eastAsia"/>
          <w:b/>
          <w:bCs/>
          <w:sz w:val="24"/>
          <w:rtl/>
        </w:rPr>
        <w:t>של</w:t>
      </w:r>
      <w:r w:rsidRPr="00B97E44">
        <w:rPr>
          <w:b/>
          <w:bCs/>
          <w:sz w:val="24"/>
          <w:rtl/>
        </w:rPr>
        <w:t xml:space="preserve"> </w:t>
      </w:r>
      <w:r w:rsidRPr="00B97E44">
        <w:rPr>
          <w:rFonts w:hint="eastAsia"/>
          <w:b/>
          <w:bCs/>
          <w:sz w:val="24"/>
          <w:rtl/>
        </w:rPr>
        <w:t>כל</w:t>
      </w:r>
      <w:r w:rsidRPr="00B97E44">
        <w:rPr>
          <w:b/>
          <w:bCs/>
          <w:sz w:val="24"/>
          <w:rtl/>
        </w:rPr>
        <w:t xml:space="preserve"> </w:t>
      </w:r>
      <w:r w:rsidRPr="00B97E44">
        <w:rPr>
          <w:rFonts w:hint="eastAsia"/>
          <w:b/>
          <w:bCs/>
          <w:sz w:val="24"/>
          <w:rtl/>
        </w:rPr>
        <w:t>אחד</w:t>
      </w:r>
      <w:r w:rsidRPr="00B97E44">
        <w:rPr>
          <w:b/>
          <w:bCs/>
          <w:sz w:val="24"/>
          <w:rtl/>
        </w:rPr>
        <w:t xml:space="preserve"> </w:t>
      </w:r>
      <w:r w:rsidRPr="00B97E44">
        <w:rPr>
          <w:rFonts w:hint="eastAsia"/>
          <w:b/>
          <w:bCs/>
          <w:sz w:val="24"/>
          <w:rtl/>
        </w:rPr>
        <w:t>ואחד</w:t>
      </w:r>
      <w:r w:rsidRPr="00B97E44">
        <w:rPr>
          <w:b/>
          <w:bCs/>
          <w:sz w:val="24"/>
          <w:rtl/>
        </w:rPr>
        <w:t xml:space="preserve"> </w:t>
      </w:r>
      <w:r w:rsidRPr="00B97E44">
        <w:rPr>
          <w:rFonts w:hint="eastAsia"/>
          <w:b/>
          <w:bCs/>
          <w:sz w:val="24"/>
          <w:rtl/>
        </w:rPr>
        <w:t>מתושבי</w:t>
      </w:r>
      <w:r w:rsidRPr="00B97E44">
        <w:rPr>
          <w:b/>
          <w:bCs/>
          <w:sz w:val="24"/>
          <w:rtl/>
        </w:rPr>
        <w:t xml:space="preserve"> </w:t>
      </w:r>
      <w:r w:rsidRPr="00B97E44">
        <w:rPr>
          <w:rFonts w:hint="eastAsia"/>
          <w:b/>
          <w:bCs/>
          <w:sz w:val="24"/>
          <w:rtl/>
        </w:rPr>
        <w:t>החבל</w:t>
      </w:r>
      <w:r w:rsidRPr="00B97E44">
        <w:rPr>
          <w:rFonts w:hint="cs"/>
          <w:b/>
          <w:bCs/>
          <w:sz w:val="24"/>
          <w:rtl/>
        </w:rPr>
        <w:t xml:space="preserve"> </w:t>
      </w:r>
      <w:r>
        <w:rPr>
          <w:rFonts w:hint="cs"/>
          <w:b/>
          <w:bCs/>
          <w:sz w:val="24"/>
          <w:rtl/>
        </w:rPr>
        <w:t xml:space="preserve">והסדרה של מתן מענה פסיכולוגי-חברתי </w:t>
      </w:r>
      <w:r w:rsidRPr="00B97E44">
        <w:rPr>
          <w:rFonts w:hint="cs"/>
          <w:b/>
          <w:bCs/>
          <w:sz w:val="24"/>
          <w:rtl/>
        </w:rPr>
        <w:t>כפי שהמליצה ועדת החקירה הממלכתית בעניין ההתנתקות</w:t>
      </w:r>
      <w:r w:rsidRPr="00B97E44">
        <w:rPr>
          <w:b/>
          <w:bCs/>
          <w:sz w:val="24"/>
          <w:rtl/>
        </w:rPr>
        <w:t xml:space="preserve">. </w:t>
      </w:r>
      <w:r w:rsidRPr="00B97E44">
        <w:rPr>
          <w:rFonts w:hint="eastAsia"/>
          <w:b/>
          <w:bCs/>
          <w:sz w:val="24"/>
          <w:rtl/>
        </w:rPr>
        <w:t>על</w:t>
      </w:r>
      <w:r w:rsidRPr="00B97E44">
        <w:rPr>
          <w:b/>
          <w:bCs/>
          <w:sz w:val="24"/>
          <w:rtl/>
        </w:rPr>
        <w:t xml:space="preserve"> </w:t>
      </w:r>
      <w:r w:rsidRPr="00B97E44">
        <w:rPr>
          <w:rFonts w:hint="eastAsia"/>
          <w:b/>
          <w:bCs/>
          <w:sz w:val="24"/>
          <w:rtl/>
        </w:rPr>
        <w:t>פי</w:t>
      </w:r>
      <w:r w:rsidRPr="00B97E44">
        <w:rPr>
          <w:b/>
          <w:bCs/>
          <w:sz w:val="24"/>
          <w:rtl/>
        </w:rPr>
        <w:t xml:space="preserve"> </w:t>
      </w:r>
      <w:r w:rsidRPr="00B97E44">
        <w:rPr>
          <w:rFonts w:hint="eastAsia"/>
          <w:b/>
          <w:bCs/>
          <w:sz w:val="24"/>
          <w:rtl/>
        </w:rPr>
        <w:t>תוכנית</w:t>
      </w:r>
      <w:r w:rsidRPr="00B97E44">
        <w:rPr>
          <w:b/>
          <w:bCs/>
          <w:sz w:val="24"/>
          <w:rtl/>
        </w:rPr>
        <w:t xml:space="preserve"> </w:t>
      </w:r>
      <w:r w:rsidRPr="00B97E44">
        <w:rPr>
          <w:rFonts w:hint="eastAsia"/>
          <w:b/>
          <w:bCs/>
          <w:sz w:val="24"/>
          <w:rtl/>
        </w:rPr>
        <w:t>החומש</w:t>
      </w:r>
      <w:r w:rsidRPr="00B97E44">
        <w:rPr>
          <w:b/>
          <w:bCs/>
          <w:sz w:val="24"/>
          <w:rtl/>
        </w:rPr>
        <w:t xml:space="preserve">, </w:t>
      </w:r>
      <w:r w:rsidRPr="00B97E44">
        <w:rPr>
          <w:rFonts w:hint="eastAsia"/>
          <w:b/>
          <w:bCs/>
          <w:sz w:val="24"/>
          <w:rtl/>
        </w:rPr>
        <w:t>פעולות</w:t>
      </w:r>
      <w:r w:rsidRPr="00B97E44">
        <w:rPr>
          <w:b/>
          <w:bCs/>
          <w:sz w:val="24"/>
          <w:rtl/>
        </w:rPr>
        <w:t xml:space="preserve"> </w:t>
      </w:r>
      <w:r w:rsidRPr="00B97E44">
        <w:rPr>
          <w:rFonts w:hint="eastAsia"/>
          <w:b/>
          <w:bCs/>
          <w:sz w:val="24"/>
          <w:rtl/>
        </w:rPr>
        <w:t>השיקום</w:t>
      </w:r>
      <w:r w:rsidRPr="00B97E44">
        <w:rPr>
          <w:b/>
          <w:bCs/>
          <w:sz w:val="24"/>
          <w:rtl/>
        </w:rPr>
        <w:t xml:space="preserve"> </w:t>
      </w:r>
      <w:r w:rsidRPr="00B97E44">
        <w:rPr>
          <w:rFonts w:hint="eastAsia"/>
          <w:b/>
          <w:bCs/>
          <w:sz w:val="24"/>
          <w:rtl/>
        </w:rPr>
        <w:t>של</w:t>
      </w:r>
      <w:r w:rsidRPr="00B97E44">
        <w:rPr>
          <w:b/>
          <w:bCs/>
          <w:sz w:val="24"/>
          <w:rtl/>
        </w:rPr>
        <w:t xml:space="preserve"> </w:t>
      </w:r>
      <w:r w:rsidRPr="00B97E44">
        <w:rPr>
          <w:rFonts w:hint="eastAsia"/>
          <w:b/>
          <w:bCs/>
          <w:sz w:val="24"/>
          <w:rtl/>
        </w:rPr>
        <w:t>תושבי</w:t>
      </w:r>
      <w:r w:rsidRPr="00B97E44">
        <w:rPr>
          <w:b/>
          <w:bCs/>
          <w:sz w:val="24"/>
          <w:rtl/>
        </w:rPr>
        <w:t xml:space="preserve"> </w:t>
      </w:r>
      <w:r w:rsidRPr="00B97E44">
        <w:rPr>
          <w:rFonts w:hint="eastAsia"/>
          <w:b/>
          <w:bCs/>
          <w:sz w:val="24"/>
          <w:rtl/>
        </w:rPr>
        <w:t>חבל</w:t>
      </w:r>
      <w:r w:rsidRPr="00B97E44">
        <w:rPr>
          <w:b/>
          <w:bCs/>
          <w:sz w:val="24"/>
          <w:rtl/>
        </w:rPr>
        <w:t xml:space="preserve"> </w:t>
      </w:r>
      <w:r w:rsidRPr="00B97E44">
        <w:rPr>
          <w:rFonts w:hint="eastAsia"/>
          <w:b/>
          <w:bCs/>
          <w:sz w:val="24"/>
          <w:rtl/>
        </w:rPr>
        <w:t>התקומה</w:t>
      </w:r>
      <w:r w:rsidRPr="00B97E44">
        <w:rPr>
          <w:b/>
          <w:bCs/>
          <w:sz w:val="24"/>
          <w:rtl/>
        </w:rPr>
        <w:t xml:space="preserve"> </w:t>
      </w:r>
      <w:r w:rsidRPr="00B97E44">
        <w:rPr>
          <w:rFonts w:hint="eastAsia"/>
          <w:b/>
          <w:bCs/>
          <w:sz w:val="24"/>
          <w:rtl/>
        </w:rPr>
        <w:t>ייעשו</w:t>
      </w:r>
      <w:r w:rsidRPr="00B97E44">
        <w:rPr>
          <w:b/>
          <w:bCs/>
          <w:sz w:val="24"/>
          <w:rtl/>
        </w:rPr>
        <w:t xml:space="preserve"> </w:t>
      </w:r>
      <w:r w:rsidRPr="00B97E44">
        <w:rPr>
          <w:rFonts w:hint="eastAsia"/>
          <w:b/>
          <w:bCs/>
          <w:sz w:val="24"/>
          <w:rtl/>
        </w:rPr>
        <w:t>באמצעות</w:t>
      </w:r>
      <w:r w:rsidRPr="00B97E44">
        <w:rPr>
          <w:b/>
          <w:bCs/>
          <w:sz w:val="24"/>
          <w:rtl/>
        </w:rPr>
        <w:t xml:space="preserve"> </w:t>
      </w:r>
      <w:r w:rsidRPr="00B97E44">
        <w:rPr>
          <w:rFonts w:hint="eastAsia"/>
          <w:b/>
          <w:bCs/>
          <w:sz w:val="24"/>
          <w:rtl/>
        </w:rPr>
        <w:t>התשתית</w:t>
      </w:r>
      <w:r w:rsidRPr="00B97E44">
        <w:rPr>
          <w:b/>
          <w:bCs/>
          <w:sz w:val="24"/>
          <w:rtl/>
        </w:rPr>
        <w:t xml:space="preserve"> </w:t>
      </w:r>
      <w:r w:rsidRPr="00B97E44">
        <w:rPr>
          <w:rFonts w:hint="eastAsia"/>
          <w:b/>
          <w:bCs/>
          <w:sz w:val="24"/>
          <w:rtl/>
        </w:rPr>
        <w:t>הקיימת</w:t>
      </w:r>
      <w:r w:rsidRPr="00B97E44">
        <w:rPr>
          <w:b/>
          <w:bCs/>
          <w:sz w:val="24"/>
          <w:rtl/>
        </w:rPr>
        <w:t xml:space="preserve"> </w:t>
      </w:r>
      <w:r w:rsidRPr="00B97E44">
        <w:rPr>
          <w:rFonts w:hint="eastAsia"/>
          <w:b/>
          <w:bCs/>
          <w:sz w:val="24"/>
          <w:rtl/>
        </w:rPr>
        <w:t>של</w:t>
      </w:r>
      <w:r w:rsidRPr="00B97E44">
        <w:rPr>
          <w:b/>
          <w:bCs/>
          <w:sz w:val="24"/>
          <w:rtl/>
        </w:rPr>
        <w:t xml:space="preserve"> </w:t>
      </w:r>
      <w:r w:rsidRPr="00B97E44">
        <w:rPr>
          <w:rFonts w:hint="eastAsia"/>
          <w:b/>
          <w:bCs/>
          <w:sz w:val="24"/>
          <w:rtl/>
        </w:rPr>
        <w:t>המחלקות</w:t>
      </w:r>
      <w:r w:rsidRPr="00B97E44">
        <w:rPr>
          <w:b/>
          <w:bCs/>
          <w:sz w:val="24"/>
          <w:rtl/>
        </w:rPr>
        <w:t xml:space="preserve"> </w:t>
      </w:r>
      <w:r w:rsidRPr="00B97E44">
        <w:rPr>
          <w:rFonts w:hint="eastAsia"/>
          <w:b/>
          <w:bCs/>
          <w:sz w:val="24"/>
          <w:rtl/>
        </w:rPr>
        <w:t>לשירותים</w:t>
      </w:r>
      <w:r w:rsidRPr="00B97E44">
        <w:rPr>
          <w:b/>
          <w:bCs/>
          <w:sz w:val="24"/>
          <w:rtl/>
        </w:rPr>
        <w:t xml:space="preserve"> </w:t>
      </w:r>
      <w:r w:rsidRPr="00B97E44">
        <w:rPr>
          <w:rFonts w:hint="eastAsia"/>
          <w:b/>
          <w:bCs/>
          <w:sz w:val="24"/>
          <w:rtl/>
        </w:rPr>
        <w:t>חברתיים</w:t>
      </w:r>
      <w:r w:rsidRPr="00B97E44">
        <w:rPr>
          <w:b/>
          <w:bCs/>
          <w:sz w:val="24"/>
          <w:rtl/>
        </w:rPr>
        <w:t xml:space="preserve"> </w:t>
      </w:r>
      <w:r w:rsidRPr="00B97E44">
        <w:rPr>
          <w:rFonts w:hint="eastAsia"/>
          <w:b/>
          <w:bCs/>
          <w:sz w:val="24"/>
          <w:rtl/>
        </w:rPr>
        <w:t>ברשויות</w:t>
      </w:r>
      <w:r w:rsidRPr="00B97E44">
        <w:rPr>
          <w:b/>
          <w:bCs/>
          <w:sz w:val="24"/>
          <w:rtl/>
        </w:rPr>
        <w:t xml:space="preserve"> </w:t>
      </w:r>
      <w:r w:rsidRPr="00B97E44">
        <w:rPr>
          <w:rFonts w:hint="eastAsia"/>
          <w:b/>
          <w:bCs/>
          <w:sz w:val="24"/>
          <w:rtl/>
        </w:rPr>
        <w:t>המקומיות</w:t>
      </w:r>
      <w:r w:rsidRPr="00B97E44">
        <w:rPr>
          <w:b/>
          <w:bCs/>
          <w:sz w:val="24"/>
          <w:rtl/>
        </w:rPr>
        <w:t xml:space="preserve">, </w:t>
      </w:r>
      <w:r w:rsidRPr="00B97E44">
        <w:rPr>
          <w:rFonts w:hint="eastAsia"/>
          <w:b/>
          <w:bCs/>
          <w:sz w:val="24"/>
          <w:rtl/>
        </w:rPr>
        <w:t>ואלו</w:t>
      </w:r>
      <w:r w:rsidRPr="00B97E44">
        <w:rPr>
          <w:b/>
          <w:bCs/>
          <w:sz w:val="24"/>
          <w:rtl/>
        </w:rPr>
        <w:t xml:space="preserve"> </w:t>
      </w:r>
      <w:r w:rsidRPr="00B97E44">
        <w:rPr>
          <w:rFonts w:hint="eastAsia"/>
          <w:b/>
          <w:bCs/>
          <w:sz w:val="24"/>
          <w:rtl/>
        </w:rPr>
        <w:t>יתוגברו</w:t>
      </w:r>
      <w:r w:rsidRPr="00B97E44">
        <w:rPr>
          <w:b/>
          <w:bCs/>
          <w:sz w:val="24"/>
          <w:rtl/>
        </w:rPr>
        <w:t xml:space="preserve"> </w:t>
      </w:r>
      <w:r w:rsidRPr="00B97E44">
        <w:rPr>
          <w:rFonts w:hint="eastAsia"/>
          <w:b/>
          <w:bCs/>
          <w:sz w:val="24"/>
          <w:rtl/>
        </w:rPr>
        <w:t>כמפורט</w:t>
      </w:r>
      <w:r w:rsidRPr="00B97E44">
        <w:rPr>
          <w:b/>
          <w:bCs/>
          <w:sz w:val="24"/>
          <w:rtl/>
        </w:rPr>
        <w:t xml:space="preserve"> </w:t>
      </w:r>
      <w:r w:rsidRPr="00B97E44">
        <w:rPr>
          <w:rFonts w:hint="eastAsia"/>
          <w:b/>
          <w:bCs/>
          <w:sz w:val="24"/>
          <w:rtl/>
        </w:rPr>
        <w:t>להלן</w:t>
      </w:r>
      <w:r w:rsidRPr="00B97E44">
        <w:rPr>
          <w:b/>
          <w:bCs/>
          <w:sz w:val="24"/>
          <w:rtl/>
        </w:rPr>
        <w:t>.</w:t>
      </w:r>
    </w:p>
    <w:p w:rsidR="005B126E" w:rsidP="001916A9">
      <w:pPr>
        <w:spacing w:line="269" w:lineRule="auto"/>
        <w:rPr>
          <w:b/>
          <w:bCs/>
          <w:rtl/>
        </w:rPr>
      </w:pPr>
    </w:p>
    <w:p w:rsidR="005B126E" w:rsidRPr="00B97E44" w:rsidP="001916A9">
      <w:pPr>
        <w:spacing w:line="269" w:lineRule="auto"/>
        <w:rPr>
          <w:b/>
          <w:bCs/>
          <w:rtl/>
        </w:rPr>
      </w:pPr>
      <w:r w:rsidRPr="00B97E44">
        <w:rPr>
          <w:rFonts w:hint="eastAsia"/>
          <w:b/>
          <w:bCs/>
          <w:rtl/>
        </w:rPr>
        <w:t>בתוכנית</w:t>
      </w:r>
      <w:r w:rsidRPr="00B97E44">
        <w:rPr>
          <w:b/>
          <w:bCs/>
          <w:rtl/>
        </w:rPr>
        <w:t xml:space="preserve"> החומש הוקצו 100 מיליו</w:t>
      </w:r>
      <w:r>
        <w:rPr>
          <w:rFonts w:hint="cs"/>
          <w:b/>
          <w:bCs/>
          <w:rtl/>
        </w:rPr>
        <w:t xml:space="preserve">ני </w:t>
      </w:r>
      <w:r w:rsidRPr="00B97E44">
        <w:rPr>
          <w:b/>
          <w:bCs/>
          <w:rtl/>
        </w:rPr>
        <w:t xml:space="preserve">ש"ח להקמת מרכז אזורי רב-תחומי לקידום מענה הוליסטי בתחומי הריפוי, השיקום והחוסן </w:t>
      </w:r>
      <w:r w:rsidRPr="00B97E44">
        <w:rPr>
          <w:rFonts w:hint="cs"/>
          <w:b/>
          <w:bCs/>
          <w:rtl/>
        </w:rPr>
        <w:t>ל</w:t>
      </w:r>
      <w:r w:rsidRPr="00B97E44">
        <w:rPr>
          <w:b/>
          <w:bCs/>
          <w:rtl/>
        </w:rPr>
        <w:t xml:space="preserve">תושבי חבל התקומה. מטרתו לספק מענה אינטגרטיבי טיפולי הרואה את האדם במרכז באמצעות גיבוש מודל טיפולי משקם המשלב בין דיסציפלינות שונות ומעניק מענה טיפולי-שיקומי באמצעות משרדי הבריאות, הרווחה והחינוך והרשויות המקומיות. </w:t>
      </w:r>
    </w:p>
    <w:p w:rsidR="005B126E" w:rsidP="001916A9">
      <w:pPr>
        <w:spacing w:line="269" w:lineRule="auto"/>
        <w:rPr>
          <w:b/>
          <w:bCs/>
          <w:rtl/>
        </w:rPr>
      </w:pPr>
    </w:p>
    <w:p w:rsidR="005B126E" w:rsidRPr="00B97E44" w:rsidP="001916A9">
      <w:pPr>
        <w:spacing w:line="269" w:lineRule="auto"/>
        <w:rPr>
          <w:rtl/>
        </w:rPr>
      </w:pPr>
      <w:r w:rsidRPr="00B97E44">
        <w:rPr>
          <w:rFonts w:hint="eastAsia"/>
          <w:b/>
          <w:bCs/>
          <w:rtl/>
        </w:rPr>
        <w:t>המועצה</w:t>
      </w:r>
      <w:r w:rsidRPr="00B97E44">
        <w:rPr>
          <w:b/>
          <w:bCs/>
          <w:rtl/>
        </w:rPr>
        <w:t xml:space="preserve"> </w:t>
      </w:r>
      <w:r w:rsidRPr="00B97E44">
        <w:rPr>
          <w:rFonts w:hint="eastAsia"/>
          <w:b/>
          <w:bCs/>
          <w:rtl/>
        </w:rPr>
        <w:t>האזורית</w:t>
      </w:r>
      <w:r w:rsidRPr="00B97E44">
        <w:rPr>
          <w:b/>
          <w:bCs/>
          <w:rtl/>
        </w:rPr>
        <w:t xml:space="preserve"> </w:t>
      </w:r>
      <w:r w:rsidRPr="00B97E44">
        <w:rPr>
          <w:rFonts w:hint="eastAsia"/>
          <w:b/>
          <w:bCs/>
          <w:rtl/>
        </w:rPr>
        <w:t>אשכול</w:t>
      </w:r>
      <w:r w:rsidRPr="00B97E44">
        <w:rPr>
          <w:rFonts w:hint="cs"/>
          <w:b/>
          <w:bCs/>
          <w:rtl/>
        </w:rPr>
        <w:t>,</w:t>
      </w:r>
      <w:r w:rsidRPr="00B97E44">
        <w:rPr>
          <w:b/>
          <w:bCs/>
          <w:rtl/>
        </w:rPr>
        <w:t xml:space="preserve"> </w:t>
      </w:r>
      <w:r w:rsidRPr="00B97E44">
        <w:rPr>
          <w:rFonts w:hint="eastAsia"/>
          <w:b/>
          <w:bCs/>
          <w:rtl/>
        </w:rPr>
        <w:t>שהמרכז</w:t>
      </w:r>
      <w:r w:rsidRPr="00B97E44">
        <w:rPr>
          <w:b/>
          <w:bCs/>
          <w:rtl/>
        </w:rPr>
        <w:t xml:space="preserve"> </w:t>
      </w:r>
      <w:r w:rsidRPr="00B97E44">
        <w:rPr>
          <w:rFonts w:hint="eastAsia"/>
          <w:b/>
          <w:bCs/>
          <w:rtl/>
        </w:rPr>
        <w:t>הרב</w:t>
      </w:r>
      <w:r w:rsidRPr="00B97E44">
        <w:rPr>
          <w:rFonts w:hint="cs"/>
          <w:b/>
          <w:bCs/>
          <w:rtl/>
        </w:rPr>
        <w:t>-</w:t>
      </w:r>
      <w:r w:rsidRPr="00B97E44">
        <w:rPr>
          <w:rFonts w:hint="eastAsia"/>
          <w:b/>
          <w:bCs/>
          <w:rtl/>
        </w:rPr>
        <w:t>תחומי</w:t>
      </w:r>
      <w:r w:rsidRPr="00B97E44">
        <w:rPr>
          <w:b/>
          <w:bCs/>
          <w:rtl/>
        </w:rPr>
        <w:t xml:space="preserve"> אמור לקום </w:t>
      </w:r>
      <w:r w:rsidRPr="00B97E44">
        <w:rPr>
          <w:rFonts w:hint="eastAsia"/>
          <w:b/>
          <w:bCs/>
          <w:rtl/>
        </w:rPr>
        <w:t>בתחומה</w:t>
      </w:r>
      <w:r w:rsidRPr="00B97E44">
        <w:rPr>
          <w:rFonts w:hint="cs"/>
          <w:b/>
          <w:bCs/>
          <w:rtl/>
        </w:rPr>
        <w:t>,</w:t>
      </w:r>
      <w:r w:rsidRPr="00B97E44">
        <w:rPr>
          <w:b/>
          <w:bCs/>
          <w:rtl/>
        </w:rPr>
        <w:t xml:space="preserve"> </w:t>
      </w:r>
      <w:r w:rsidRPr="00B97E44">
        <w:rPr>
          <w:rFonts w:hint="eastAsia"/>
          <w:b/>
          <w:bCs/>
          <w:rtl/>
        </w:rPr>
        <w:t>ציינה</w:t>
      </w:r>
      <w:r w:rsidRPr="00B97E44">
        <w:rPr>
          <w:rFonts w:hint="cs"/>
          <w:b/>
          <w:bCs/>
          <w:rtl/>
        </w:rPr>
        <w:t xml:space="preserve"> במהלך הביקורת</w:t>
      </w:r>
      <w:r w:rsidRPr="00B97E44">
        <w:rPr>
          <w:b/>
          <w:bCs/>
          <w:rtl/>
        </w:rPr>
        <w:t xml:space="preserve"> כי הקמת המתחם דורשת שינוי </w:t>
      </w:r>
      <w:r w:rsidRPr="00B97E44">
        <w:rPr>
          <w:b/>
          <w:bCs/>
          <w:rtl/>
        </w:rPr>
        <w:t>תב"ע</w:t>
      </w:r>
      <w:r>
        <w:rPr>
          <w:rFonts w:hint="cs"/>
          <w:b/>
          <w:bCs/>
          <w:rtl/>
        </w:rPr>
        <w:t xml:space="preserve"> (תוכנית בניין עיר)</w:t>
      </w:r>
      <w:r w:rsidRPr="00B97E44">
        <w:rPr>
          <w:b/>
          <w:bCs/>
          <w:rtl/>
        </w:rPr>
        <w:t xml:space="preserve"> וייעודי קרקע </w:t>
      </w:r>
      <w:r w:rsidRPr="00B97E44">
        <w:rPr>
          <w:rFonts w:hint="eastAsia"/>
          <w:b/>
          <w:bCs/>
          <w:rtl/>
        </w:rPr>
        <w:t>וכי</w:t>
      </w:r>
      <w:r w:rsidRPr="00B97E44">
        <w:rPr>
          <w:b/>
          <w:bCs/>
          <w:rtl/>
        </w:rPr>
        <w:t xml:space="preserve"> עד </w:t>
      </w:r>
      <w:r w:rsidRPr="00B97E44">
        <w:rPr>
          <w:rFonts w:hint="eastAsia"/>
          <w:b/>
          <w:bCs/>
          <w:rtl/>
        </w:rPr>
        <w:t>כה</w:t>
      </w:r>
      <w:r w:rsidRPr="00B97E44">
        <w:rPr>
          <w:b/>
          <w:bCs/>
          <w:rtl/>
        </w:rPr>
        <w:t xml:space="preserve"> </w:t>
      </w:r>
      <w:r w:rsidRPr="00B97E44">
        <w:rPr>
          <w:rFonts w:hint="cs"/>
          <w:b/>
          <w:bCs/>
          <w:rtl/>
        </w:rPr>
        <w:t xml:space="preserve">מינהלת תקומה </w:t>
      </w:r>
      <w:r w:rsidRPr="00B97E44">
        <w:rPr>
          <w:b/>
          <w:bCs/>
          <w:rtl/>
        </w:rPr>
        <w:t>לא נ</w:t>
      </w:r>
      <w:r w:rsidRPr="00B97E44">
        <w:rPr>
          <w:rFonts w:hint="cs"/>
          <w:b/>
          <w:bCs/>
          <w:rtl/>
        </w:rPr>
        <w:t>תנה</w:t>
      </w:r>
      <w:r w:rsidRPr="00B97E44">
        <w:rPr>
          <w:b/>
          <w:bCs/>
          <w:rtl/>
        </w:rPr>
        <w:t xml:space="preserve"> הרשאות</w:t>
      </w:r>
      <w:r w:rsidRPr="00B97E44">
        <w:rPr>
          <w:rFonts w:hint="cs"/>
          <w:b/>
          <w:bCs/>
          <w:rtl/>
        </w:rPr>
        <w:t xml:space="preserve"> תקציביות ולו רק </w:t>
      </w:r>
      <w:r w:rsidRPr="00B97E44">
        <w:rPr>
          <w:b/>
          <w:bCs/>
          <w:rtl/>
        </w:rPr>
        <w:t xml:space="preserve">לתקציב חלקי </w:t>
      </w:r>
      <w:r w:rsidRPr="00B97E44">
        <w:rPr>
          <w:rFonts w:hint="cs"/>
          <w:b/>
          <w:bCs/>
          <w:rtl/>
        </w:rPr>
        <w:t>כדי לקדם את</w:t>
      </w:r>
      <w:r w:rsidRPr="00B97E44">
        <w:rPr>
          <w:b/>
          <w:bCs/>
          <w:rtl/>
        </w:rPr>
        <w:t xml:space="preserve"> התכנון של המרכז</w:t>
      </w:r>
      <w:r w:rsidRPr="00B97E44">
        <w:rPr>
          <w:rFonts w:hint="cs"/>
          <w:b/>
          <w:bCs/>
          <w:rtl/>
        </w:rPr>
        <w:t xml:space="preserve">. עוד מסרה המועצה כי </w:t>
      </w:r>
      <w:r w:rsidRPr="00B97E44">
        <w:rPr>
          <w:b/>
          <w:bCs/>
          <w:rtl/>
        </w:rPr>
        <w:t>בכוונת</w:t>
      </w:r>
      <w:r w:rsidRPr="00B97E44">
        <w:rPr>
          <w:rFonts w:hint="cs"/>
          <w:b/>
          <w:bCs/>
          <w:rtl/>
        </w:rPr>
        <w:t>ה</w:t>
      </w:r>
      <w:r w:rsidRPr="00B97E44">
        <w:rPr>
          <w:b/>
          <w:bCs/>
          <w:rtl/>
        </w:rPr>
        <w:t xml:space="preserve"> להוציא כספים מתקציבה כדי לקדם את הקמת</w:t>
      </w:r>
      <w:r w:rsidRPr="00B97E44">
        <w:rPr>
          <w:rFonts w:hint="eastAsia"/>
          <w:b/>
          <w:bCs/>
          <w:rtl/>
        </w:rPr>
        <w:t>ו</w:t>
      </w:r>
      <w:r w:rsidRPr="00B97E44">
        <w:rPr>
          <w:rFonts w:hint="cs"/>
          <w:b/>
          <w:bCs/>
          <w:rtl/>
        </w:rPr>
        <w:t xml:space="preserve"> ו</w:t>
      </w:r>
      <w:r w:rsidRPr="00B97E44">
        <w:rPr>
          <w:rFonts w:hint="eastAsia"/>
          <w:b/>
          <w:bCs/>
          <w:rtl/>
        </w:rPr>
        <w:t>כי</w:t>
      </w:r>
      <w:r w:rsidRPr="00B97E44">
        <w:rPr>
          <w:b/>
          <w:bCs/>
          <w:rtl/>
        </w:rPr>
        <w:t xml:space="preserve"> לאחרונה הודיעה </w:t>
      </w:r>
      <w:r w:rsidRPr="00B97E44">
        <w:rPr>
          <w:rFonts w:hint="cs"/>
          <w:b/>
          <w:bCs/>
          <w:rtl/>
        </w:rPr>
        <w:t xml:space="preserve">לה </w:t>
      </w:r>
      <w:r w:rsidRPr="00B97E44">
        <w:rPr>
          <w:rFonts w:hint="eastAsia"/>
          <w:b/>
          <w:bCs/>
          <w:rtl/>
        </w:rPr>
        <w:t>מינהלת</w:t>
      </w:r>
      <w:r w:rsidRPr="00B97E44">
        <w:rPr>
          <w:b/>
          <w:bCs/>
          <w:rtl/>
        </w:rPr>
        <w:t xml:space="preserve"> תקומה כי התקציב </w:t>
      </w:r>
      <w:r w:rsidRPr="00B97E44">
        <w:rPr>
          <w:rFonts w:hint="eastAsia"/>
          <w:b/>
          <w:bCs/>
          <w:rtl/>
        </w:rPr>
        <w:t>למרכז</w:t>
      </w:r>
      <w:r w:rsidRPr="00B97E44">
        <w:rPr>
          <w:b/>
          <w:bCs/>
          <w:rtl/>
        </w:rPr>
        <w:t xml:space="preserve"> </w:t>
      </w:r>
      <w:r w:rsidRPr="00B97E44">
        <w:rPr>
          <w:rFonts w:hint="cs"/>
          <w:b/>
          <w:bCs/>
          <w:rtl/>
        </w:rPr>
        <w:t xml:space="preserve">הרב-תחומי </w:t>
      </w:r>
      <w:r w:rsidRPr="00B97E44">
        <w:rPr>
          <w:b/>
          <w:bCs/>
          <w:rtl/>
        </w:rPr>
        <w:t>קוצץ.</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מינהלת תקומה מסרה בתשובתה כי </w:t>
      </w:r>
      <w:r w:rsidRPr="00B97E44">
        <w:rPr>
          <w:rtl/>
        </w:rPr>
        <w:t xml:space="preserve">הליך </w:t>
      </w:r>
      <w:r w:rsidRPr="00B97E44">
        <w:rPr>
          <w:rFonts w:hint="cs"/>
          <w:rtl/>
        </w:rPr>
        <w:t>ה</w:t>
      </w:r>
      <w:r w:rsidRPr="00B97E44">
        <w:rPr>
          <w:rtl/>
        </w:rPr>
        <w:t>בחינה ו</w:t>
      </w:r>
      <w:r w:rsidRPr="00B97E44">
        <w:rPr>
          <w:rFonts w:hint="cs"/>
          <w:rtl/>
        </w:rPr>
        <w:t>ההקמה</w:t>
      </w:r>
      <w:r w:rsidRPr="00B97E44">
        <w:rPr>
          <w:rtl/>
        </w:rPr>
        <w:t xml:space="preserve"> של מרכז בסדר גודל מעין זה מורכב ונדרש</w:t>
      </w:r>
      <w:r w:rsidRPr="00B97E44">
        <w:rPr>
          <w:rFonts w:hint="cs"/>
          <w:rtl/>
        </w:rPr>
        <w:t xml:space="preserve"> </w:t>
      </w:r>
      <w:r w:rsidRPr="00B97E44">
        <w:rPr>
          <w:rtl/>
        </w:rPr>
        <w:t>למגוון שיקולים</w:t>
      </w:r>
      <w:r w:rsidRPr="00B97E44">
        <w:rPr>
          <w:rFonts w:hint="cs"/>
          <w:rtl/>
        </w:rPr>
        <w:t>,</w:t>
      </w:r>
      <w:r w:rsidRPr="00B97E44">
        <w:rPr>
          <w:rtl/>
        </w:rPr>
        <w:t xml:space="preserve"> לרבות היבטי תכנון</w:t>
      </w:r>
      <w:r w:rsidRPr="00B97E44">
        <w:rPr>
          <w:rFonts w:hint="cs"/>
          <w:rtl/>
        </w:rPr>
        <w:t>,</w:t>
      </w:r>
      <w:r w:rsidRPr="00B97E44">
        <w:rPr>
          <w:rtl/>
        </w:rPr>
        <w:t xml:space="preserve"> </w:t>
      </w:r>
      <w:r w:rsidRPr="00B97E44">
        <w:rPr>
          <w:rFonts w:hint="cs"/>
          <w:rtl/>
        </w:rPr>
        <w:t>ו</w:t>
      </w:r>
      <w:r w:rsidRPr="00B97E44">
        <w:rPr>
          <w:rtl/>
        </w:rPr>
        <w:t xml:space="preserve">כי </w:t>
      </w:r>
      <w:r w:rsidRPr="00B97E44">
        <w:rPr>
          <w:rFonts w:hint="cs"/>
          <w:rtl/>
        </w:rPr>
        <w:t>בעקבות קיצוץ תקציבי שהושת עליה</w:t>
      </w:r>
      <w:r w:rsidRPr="00B97E44">
        <w:rPr>
          <w:rtl/>
        </w:rPr>
        <w:t xml:space="preserve"> </w:t>
      </w:r>
      <w:r w:rsidRPr="00B97E44">
        <w:rPr>
          <w:rFonts w:hint="cs"/>
          <w:rtl/>
        </w:rPr>
        <w:t>היא נדרשה</w:t>
      </w:r>
      <w:r w:rsidRPr="00B97E44">
        <w:rPr>
          <w:rtl/>
        </w:rPr>
        <w:t xml:space="preserve"> להמשך אפיון המענים הכלולים בת</w:t>
      </w:r>
      <w:r w:rsidRPr="00B97E44">
        <w:rPr>
          <w:rFonts w:hint="cs"/>
          <w:rtl/>
        </w:rPr>
        <w:t>ו</w:t>
      </w:r>
      <w:r w:rsidRPr="00B97E44">
        <w:rPr>
          <w:rtl/>
        </w:rPr>
        <w:t>כנית</w:t>
      </w:r>
      <w:r w:rsidRPr="00B97E44">
        <w:rPr>
          <w:rFonts w:hint="cs"/>
          <w:rtl/>
        </w:rPr>
        <w:t xml:space="preserve"> </w:t>
      </w:r>
      <w:r w:rsidRPr="00B97E44">
        <w:rPr>
          <w:rtl/>
        </w:rPr>
        <w:t>ה</w:t>
      </w:r>
      <w:r w:rsidRPr="00B97E44">
        <w:rPr>
          <w:rFonts w:hint="cs"/>
          <w:rtl/>
        </w:rPr>
        <w:t>חומש</w:t>
      </w:r>
      <w:r w:rsidRPr="00B97E44">
        <w:rPr>
          <w:rtl/>
        </w:rPr>
        <w:t xml:space="preserve"> ו</w:t>
      </w:r>
      <w:r w:rsidRPr="00B97E44">
        <w:rPr>
          <w:rFonts w:hint="cs"/>
          <w:rtl/>
        </w:rPr>
        <w:t>ל</w:t>
      </w:r>
      <w:r w:rsidRPr="00B97E44">
        <w:rPr>
          <w:rtl/>
        </w:rPr>
        <w:t xml:space="preserve">עדכונם. </w:t>
      </w:r>
      <w:r w:rsidRPr="00B97E44">
        <w:rPr>
          <w:rFonts w:hint="cs"/>
          <w:rtl/>
        </w:rPr>
        <w:t xml:space="preserve">עוד הדגישה </w:t>
      </w:r>
      <w:r w:rsidRPr="00B97E44">
        <w:rPr>
          <w:rFonts w:hint="cs"/>
          <w:rtl/>
        </w:rPr>
        <w:t>המינהלת</w:t>
      </w:r>
      <w:r w:rsidRPr="00B97E44">
        <w:rPr>
          <w:rtl/>
        </w:rPr>
        <w:t xml:space="preserve"> כי יישום הפרויקט כפוף להוראות קול קורא</w:t>
      </w:r>
      <w:r w:rsidRPr="00B97E44">
        <w:rPr>
          <w:rFonts w:hint="cs"/>
          <w:rtl/>
        </w:rPr>
        <w:t xml:space="preserve"> </w:t>
      </w:r>
      <w:r w:rsidRPr="00B97E44">
        <w:rPr>
          <w:rtl/>
        </w:rPr>
        <w:t xml:space="preserve">ייעודי שפורסם </w:t>
      </w:r>
      <w:r w:rsidRPr="00B97E44">
        <w:rPr>
          <w:rFonts w:hint="cs"/>
          <w:rtl/>
        </w:rPr>
        <w:t>באוקטובר 2025</w:t>
      </w:r>
      <w:r w:rsidRPr="00B97E44">
        <w:rPr>
          <w:rtl/>
        </w:rPr>
        <w:t xml:space="preserve"> </w:t>
      </w:r>
      <w:r w:rsidRPr="00B97E44">
        <w:rPr>
          <w:rFonts w:hint="cs"/>
          <w:rtl/>
        </w:rPr>
        <w:t>ו</w:t>
      </w:r>
      <w:r w:rsidRPr="00B97E44">
        <w:rPr>
          <w:rtl/>
        </w:rPr>
        <w:t>שנועד לתמ</w:t>
      </w:r>
      <w:r w:rsidRPr="00B97E44">
        <w:rPr>
          <w:rFonts w:hint="cs"/>
          <w:rtl/>
        </w:rPr>
        <w:t xml:space="preserve">וך </w:t>
      </w:r>
      <w:r w:rsidRPr="00B97E44">
        <w:rPr>
          <w:rtl/>
        </w:rPr>
        <w:t xml:space="preserve">בהקמת מבני ציבור ייחודיים </w:t>
      </w:r>
      <w:r w:rsidRPr="00B97E44">
        <w:rPr>
          <w:rtl/>
        </w:rPr>
        <w:t>רשותיים</w:t>
      </w:r>
      <w:r w:rsidRPr="00B97E44">
        <w:rPr>
          <w:rtl/>
        </w:rPr>
        <w:t xml:space="preserve"> ובכלל כך</w:t>
      </w:r>
      <w:r w:rsidRPr="00B97E44">
        <w:rPr>
          <w:rFonts w:hint="cs"/>
          <w:rtl/>
        </w:rPr>
        <w:t xml:space="preserve"> </w:t>
      </w:r>
      <w:r w:rsidRPr="00B97E44">
        <w:rPr>
          <w:rtl/>
        </w:rPr>
        <w:t>לעניין הקצאת התקציב המיועד לו</w:t>
      </w:r>
      <w:r w:rsidRPr="00B97E44">
        <w:rPr>
          <w:rFonts w:hint="cs"/>
          <w:rtl/>
        </w:rPr>
        <w:t>.</w:t>
      </w:r>
    </w:p>
    <w:p w:rsidR="005B126E" w:rsidP="001916A9">
      <w:pPr>
        <w:spacing w:line="269" w:lineRule="auto"/>
        <w:rPr>
          <w:b/>
          <w:bCs/>
          <w:rtl/>
        </w:rPr>
      </w:pPr>
    </w:p>
    <w:p w:rsidR="005B126E" w:rsidRPr="00B97E44" w:rsidP="001916A9">
      <w:pPr>
        <w:spacing w:line="269" w:lineRule="auto"/>
        <w:rPr>
          <w:b/>
          <w:bCs/>
          <w:rtl/>
        </w:rPr>
      </w:pPr>
      <w:r w:rsidRPr="00B97E44">
        <w:rPr>
          <w:rFonts w:hint="eastAsia"/>
          <w:b/>
          <w:bCs/>
          <w:rtl/>
        </w:rPr>
        <w:t>המלצות</w:t>
      </w:r>
      <w:r w:rsidRPr="00B97E44">
        <w:rPr>
          <w:rFonts w:hint="cs"/>
          <w:b/>
          <w:bCs/>
          <w:rtl/>
        </w:rPr>
        <w:t xml:space="preserve"> ועדת החקירה</w:t>
      </w:r>
      <w:r w:rsidRPr="00B97E44">
        <w:rPr>
          <w:b/>
          <w:bCs/>
          <w:rtl/>
        </w:rPr>
        <w:t xml:space="preserve"> </w:t>
      </w:r>
      <w:r w:rsidRPr="00B97E44">
        <w:rPr>
          <w:rFonts w:hint="eastAsia"/>
          <w:b/>
          <w:bCs/>
          <w:rtl/>
        </w:rPr>
        <w:t>הממלכתית</w:t>
      </w:r>
      <w:r w:rsidRPr="00B97E44">
        <w:rPr>
          <w:rFonts w:hint="cs"/>
          <w:b/>
          <w:bCs/>
          <w:rtl/>
        </w:rPr>
        <w:t xml:space="preserve"> בעניין ההתנתקות מבקשות להבטיח שיקום מקיף, ארוך טווח ומלא לכל אחד מהמפונים. </w:t>
      </w:r>
      <w:r w:rsidRPr="00B97E44">
        <w:rPr>
          <w:rFonts w:hint="eastAsia"/>
          <w:b/>
          <w:bCs/>
          <w:rtl/>
        </w:rPr>
        <w:t>משרד</w:t>
      </w:r>
      <w:r w:rsidRPr="00B97E44">
        <w:rPr>
          <w:b/>
          <w:bCs/>
          <w:rtl/>
        </w:rPr>
        <w:t xml:space="preserve"> מבקר המדינה ממליץ כי</w:t>
      </w:r>
      <w:r w:rsidRPr="00B97E44">
        <w:rPr>
          <w:rFonts w:hint="cs"/>
          <w:b/>
          <w:bCs/>
          <w:rtl/>
        </w:rPr>
        <w:t xml:space="preserve"> </w:t>
      </w:r>
      <w:r w:rsidRPr="00B97E44">
        <w:rPr>
          <w:rFonts w:hint="eastAsia"/>
          <w:b/>
          <w:bCs/>
          <w:rtl/>
        </w:rPr>
        <w:t>מינהלת</w:t>
      </w:r>
      <w:r w:rsidRPr="00B97E44">
        <w:rPr>
          <w:b/>
          <w:bCs/>
          <w:rtl/>
        </w:rPr>
        <w:t xml:space="preserve"> תקומה </w:t>
      </w:r>
      <w:r w:rsidRPr="00B97E44">
        <w:rPr>
          <w:rFonts w:hint="cs"/>
          <w:b/>
          <w:bCs/>
          <w:rtl/>
        </w:rPr>
        <w:t>תפעל להבטיח שתושבי החבל יזכו למענה פסיכולוגי-סוציאלי כל עוד הם זקוקים לו ולוודא כי מענה זה לא יושפע מנסיבות חיצוניות וקיצוצים תקציביים שעלולים לפגוע בשיקומם המלא של תושבי החבל ובפרט שקולם של אלו הזקוקים לשירותים אלה לא בהכרח מקבל ביטוי בעת קביעת סדרי העדיפויות.</w:t>
      </w:r>
    </w:p>
    <w:p w:rsidR="005B126E" w:rsidP="001916A9">
      <w:pPr>
        <w:spacing w:line="269" w:lineRule="auto"/>
        <w:rPr>
          <w:rtl/>
        </w:rPr>
      </w:pPr>
    </w:p>
    <w:p w:rsidR="005B126E" w:rsidRPr="00B97E44" w:rsidP="001916A9">
      <w:pPr>
        <w:spacing w:line="269" w:lineRule="auto"/>
        <w:rPr>
          <w:b/>
          <w:bCs/>
          <w:rtl/>
        </w:rPr>
      </w:pPr>
      <w:r w:rsidRPr="00B97E44">
        <w:rPr>
          <w:rFonts w:hint="eastAsia"/>
          <w:rtl/>
        </w:rPr>
        <w:t>מינהלת</w:t>
      </w:r>
      <w:r w:rsidRPr="00B97E44">
        <w:rPr>
          <w:rtl/>
        </w:rPr>
        <w:t xml:space="preserve"> תקומה מסרה בתשוב</w:t>
      </w:r>
      <w:r>
        <w:rPr>
          <w:rFonts w:hint="cs"/>
          <w:rtl/>
        </w:rPr>
        <w:t>ו</w:t>
      </w:r>
      <w:r w:rsidRPr="00B97E44">
        <w:rPr>
          <w:rtl/>
        </w:rPr>
        <w:t>ת</w:t>
      </w:r>
      <w:r>
        <w:rPr>
          <w:rFonts w:hint="cs"/>
          <w:rtl/>
        </w:rPr>
        <w:t>י</w:t>
      </w:r>
      <w:r w:rsidRPr="00B97E44">
        <w:rPr>
          <w:rtl/>
        </w:rPr>
        <w:t xml:space="preserve">ה כי </w:t>
      </w:r>
      <w:r w:rsidRPr="00B97E44">
        <w:rPr>
          <w:rFonts w:hint="eastAsia"/>
          <w:rtl/>
        </w:rPr>
        <w:t>המענים</w:t>
      </w:r>
      <w:r w:rsidRPr="00B97E44">
        <w:rPr>
          <w:rtl/>
        </w:rPr>
        <w:t xml:space="preserve"> </w:t>
      </w:r>
      <w:r w:rsidRPr="00B97E44">
        <w:rPr>
          <w:rFonts w:hint="eastAsia"/>
          <w:rtl/>
        </w:rPr>
        <w:t>שניתנים</w:t>
      </w:r>
      <w:r w:rsidRPr="00B97E44">
        <w:rPr>
          <w:rtl/>
        </w:rPr>
        <w:t xml:space="preserve"> </w:t>
      </w:r>
      <w:r w:rsidRPr="00B97E44">
        <w:rPr>
          <w:rFonts w:hint="eastAsia"/>
          <w:rtl/>
        </w:rPr>
        <w:t>בהיבטים</w:t>
      </w:r>
      <w:r w:rsidRPr="00B97E44">
        <w:rPr>
          <w:rtl/>
        </w:rPr>
        <w:t xml:space="preserve"> </w:t>
      </w:r>
      <w:r w:rsidRPr="00B97E44">
        <w:rPr>
          <w:rFonts w:hint="eastAsia"/>
          <w:rtl/>
        </w:rPr>
        <w:t>הנפשיים</w:t>
      </w:r>
      <w:r w:rsidRPr="00B97E44">
        <w:rPr>
          <w:rFonts w:hint="cs"/>
          <w:rtl/>
        </w:rPr>
        <w:t>-</w:t>
      </w:r>
      <w:r w:rsidRPr="00B97E44">
        <w:rPr>
          <w:rFonts w:hint="eastAsia"/>
          <w:rtl/>
        </w:rPr>
        <w:t>פסיכולוג</w:t>
      </w:r>
      <w:r w:rsidRPr="00B97E44">
        <w:rPr>
          <w:rFonts w:hint="cs"/>
          <w:rtl/>
        </w:rPr>
        <w:t>י</w:t>
      </w:r>
      <w:r w:rsidRPr="00B97E44">
        <w:rPr>
          <w:rFonts w:hint="eastAsia"/>
          <w:rtl/>
        </w:rPr>
        <w:t>ים</w:t>
      </w:r>
      <w:r w:rsidRPr="00B97E44">
        <w:rPr>
          <w:rFonts w:hint="cs"/>
          <w:rtl/>
        </w:rPr>
        <w:t>-</w:t>
      </w:r>
      <w:r w:rsidRPr="00B97E44">
        <w:rPr>
          <w:rFonts w:hint="eastAsia"/>
          <w:rtl/>
        </w:rPr>
        <w:t>חברתיים</w:t>
      </w:r>
      <w:r w:rsidRPr="00B97E44">
        <w:rPr>
          <w:rtl/>
        </w:rPr>
        <w:t xml:space="preserve"> עוגנו לאחר עבודת מטה מקצועית לאפיון ובחינת הצרכים בשטח בהתאמות הנדרשות נוכח מצבו הייחודי של החבל ובפרט לאחר </w:t>
      </w:r>
      <w:r w:rsidRPr="00B97E44">
        <w:rPr>
          <w:rFonts w:hint="cs"/>
          <w:rtl/>
        </w:rPr>
        <w:t>מתקפת הטרור ב</w:t>
      </w:r>
      <w:r w:rsidRPr="00B97E44">
        <w:rPr>
          <w:rFonts w:hint="eastAsia"/>
          <w:rtl/>
        </w:rPr>
        <w:t>שבעה</w:t>
      </w:r>
      <w:r w:rsidRPr="00B97E44">
        <w:rPr>
          <w:rtl/>
        </w:rPr>
        <w:t xml:space="preserve"> </w:t>
      </w:r>
      <w:r w:rsidRPr="00B97E44">
        <w:rPr>
          <w:rFonts w:hint="eastAsia"/>
          <w:rtl/>
        </w:rPr>
        <w:t>באוקטובר</w:t>
      </w:r>
      <w:r w:rsidRPr="00B97E44">
        <w:rPr>
          <w:rtl/>
        </w:rPr>
        <w:t xml:space="preserve">. כך למשל מענים בתחום הבריאות, בריאות הנפש וחוסן עוגנו בראשית </w:t>
      </w:r>
      <w:r w:rsidRPr="00B97E44">
        <w:rPr>
          <w:rFonts w:hint="cs"/>
          <w:rtl/>
        </w:rPr>
        <w:t xml:space="preserve">הדרך בהחלטת ממשלה 1699 </w:t>
      </w:r>
      <w:r w:rsidRPr="00B97E44">
        <w:rPr>
          <w:rFonts w:hint="eastAsia"/>
          <w:rtl/>
        </w:rPr>
        <w:t>ו</w:t>
      </w:r>
      <w:r w:rsidRPr="00B97E44">
        <w:rPr>
          <w:rtl/>
        </w:rPr>
        <w:t xml:space="preserve">נועדו לתת מענה תוספתי לטיפולי חוסן ונפש בטווח הזמן </w:t>
      </w:r>
      <w:r w:rsidRPr="00B97E44">
        <w:rPr>
          <w:rtl/>
        </w:rPr>
        <w:t>המ</w:t>
      </w:r>
      <w:r w:rsidRPr="00B97E44">
        <w:rPr>
          <w:rFonts w:hint="cs"/>
          <w:rtl/>
        </w:rPr>
        <w:t>י</w:t>
      </w:r>
      <w:r w:rsidRPr="00B97E44">
        <w:rPr>
          <w:rtl/>
        </w:rPr>
        <w:t>ידי</w:t>
      </w:r>
      <w:r w:rsidRPr="00B97E44">
        <w:rPr>
          <w:rtl/>
        </w:rPr>
        <w:t xml:space="preserve">, הקצר והבינוני ובסך של 111 </w:t>
      </w:r>
      <w:r w:rsidRPr="00B97E44">
        <w:rPr>
          <w:rFonts w:hint="cs"/>
          <w:rtl/>
        </w:rPr>
        <w:t>מיליו</w:t>
      </w:r>
      <w:r>
        <w:rPr>
          <w:rFonts w:hint="cs"/>
          <w:rtl/>
        </w:rPr>
        <w:t>ני</w:t>
      </w:r>
      <w:r w:rsidRPr="00B97E44">
        <w:rPr>
          <w:rFonts w:hint="cs"/>
          <w:rtl/>
        </w:rPr>
        <w:t xml:space="preserve"> ש"</w:t>
      </w:r>
      <w:r w:rsidRPr="00B97E44">
        <w:rPr>
          <w:rtl/>
        </w:rPr>
        <w:t xml:space="preserve">ח שנועדו בין היתר למימון טיפולים נוספים במרכזי החוסן. </w:t>
      </w:r>
      <w:r w:rsidRPr="00B97E44">
        <w:rPr>
          <w:rFonts w:hint="cs"/>
          <w:rtl/>
        </w:rPr>
        <w:t>המינהלת</w:t>
      </w:r>
      <w:r w:rsidRPr="00B97E44">
        <w:rPr>
          <w:rFonts w:hint="cs"/>
          <w:rtl/>
        </w:rPr>
        <w:t xml:space="preserve"> ציינה כי </w:t>
      </w:r>
      <w:r w:rsidRPr="00B97E44">
        <w:rPr>
          <w:rtl/>
        </w:rPr>
        <w:t>במסגרת זו</w:t>
      </w:r>
      <w:r w:rsidRPr="00B97E44">
        <w:rPr>
          <w:rFonts w:hint="cs"/>
          <w:rtl/>
        </w:rPr>
        <w:t xml:space="preserve"> נכללו</w:t>
      </w:r>
      <w:r w:rsidRPr="00B97E44">
        <w:rPr>
          <w:rtl/>
        </w:rPr>
        <w:t xml:space="preserve"> לדוגמה טיפולים למעגל הנפגעים הראשון ובטווח</w:t>
      </w:r>
      <w:r w:rsidRPr="00B97E44">
        <w:rPr>
          <w:rFonts w:hint="cs"/>
          <w:rtl/>
        </w:rPr>
        <w:t xml:space="preserve"> </w:t>
      </w:r>
      <w:r w:rsidRPr="00B97E44">
        <w:rPr>
          <w:rtl/>
        </w:rPr>
        <w:t xml:space="preserve">הזמן </w:t>
      </w:r>
      <w:r w:rsidRPr="00B97E44">
        <w:rPr>
          <w:rtl/>
        </w:rPr>
        <w:t>המ</w:t>
      </w:r>
      <w:r w:rsidRPr="00B97E44">
        <w:rPr>
          <w:rFonts w:hint="cs"/>
          <w:rtl/>
        </w:rPr>
        <w:t>י</w:t>
      </w:r>
      <w:r w:rsidRPr="00B97E44">
        <w:rPr>
          <w:rtl/>
        </w:rPr>
        <w:t>ידי</w:t>
      </w:r>
      <w:r w:rsidRPr="00B97E44">
        <w:rPr>
          <w:rtl/>
        </w:rPr>
        <w:t xml:space="preserve"> </w:t>
      </w:r>
      <w:r w:rsidRPr="00B97E44">
        <w:rPr>
          <w:rFonts w:hint="cs"/>
          <w:rtl/>
        </w:rPr>
        <w:t xml:space="preserve">תוך </w:t>
      </w:r>
      <w:r w:rsidRPr="00B97E44">
        <w:rPr>
          <w:rtl/>
        </w:rPr>
        <w:t>מתן טיפולים פרטניים, קבוצתיים, זוגיים ומשפחתיים לצד מענים לנפגעי</w:t>
      </w:r>
      <w:r w:rsidRPr="00B97E44">
        <w:rPr>
          <w:rFonts w:hint="cs"/>
          <w:rtl/>
        </w:rPr>
        <w:t>ם</w:t>
      </w:r>
      <w:r w:rsidRPr="00B97E44">
        <w:rPr>
          <w:rtl/>
        </w:rPr>
        <w:t xml:space="preserve"> </w:t>
      </w:r>
      <w:r w:rsidRPr="00B97E44">
        <w:rPr>
          <w:rFonts w:hint="cs"/>
          <w:rtl/>
        </w:rPr>
        <w:t>מ</w:t>
      </w:r>
      <w:r w:rsidRPr="00B97E44">
        <w:rPr>
          <w:rtl/>
        </w:rPr>
        <w:t>מעגלים רחבים יותר ולטווח הזמן הבינוני והארוך.</w:t>
      </w:r>
      <w:r>
        <w:rPr>
          <w:rFonts w:hint="cs"/>
          <w:rtl/>
        </w:rPr>
        <w:t xml:space="preserve"> כמו כן, הותאמו מרכזי החוסן בהיבטי תשתית, תפעול ותחזוקה בסך 99 מיליוני ש"ח.</w:t>
      </w:r>
      <w:r w:rsidRPr="00B97E44">
        <w:rPr>
          <w:rtl/>
        </w:rPr>
        <w:t xml:space="preserve"> כך </w:t>
      </w:r>
      <w:r w:rsidRPr="00B97E44">
        <w:rPr>
          <w:rFonts w:ascii="David" w:hAnsi="David"/>
          <w:sz w:val="24"/>
          <w:rtl/>
        </w:rPr>
        <w:t xml:space="preserve">במסגרת יישום </w:t>
      </w:r>
      <w:r w:rsidRPr="00B97E44">
        <w:rPr>
          <w:rFonts w:ascii="David" w:hAnsi="David" w:hint="cs"/>
          <w:sz w:val="24"/>
          <w:rtl/>
        </w:rPr>
        <w:t>החלטה 1699 בעניין מתן מענים בתחום הבריאות, בריאות הנפש וחוסן</w:t>
      </w:r>
      <w:r w:rsidRPr="00B97E44">
        <w:rPr>
          <w:rFonts w:ascii="David" w:hAnsi="David"/>
          <w:sz w:val="24"/>
        </w:rPr>
        <w:t>,</w:t>
      </w:r>
      <w:r w:rsidRPr="00B97E44">
        <w:rPr>
          <w:rFonts w:ascii="David" w:hAnsi="David"/>
          <w:sz w:val="24"/>
          <w:rtl/>
        </w:rPr>
        <w:t xml:space="preserve"> הוקמו מרפאות בריאות הנפש בחבל אשכול, בשדרות</w:t>
      </w:r>
      <w:r w:rsidRPr="00B97E44">
        <w:rPr>
          <w:rFonts w:ascii="David" w:hAnsi="David" w:hint="cs"/>
          <w:sz w:val="24"/>
          <w:rtl/>
        </w:rPr>
        <w:t>,</w:t>
      </w:r>
      <w:r w:rsidRPr="00B97E44">
        <w:rPr>
          <w:rFonts w:ascii="David" w:hAnsi="David"/>
          <w:sz w:val="24"/>
          <w:rtl/>
        </w:rPr>
        <w:t xml:space="preserve"> ומרפאות למניעת אשפוז פסיכיאטרי ולהפרעות אכילה. הקמת מרפאות אלו </w:t>
      </w:r>
      <w:r w:rsidRPr="00B97E44">
        <w:rPr>
          <w:rFonts w:ascii="David" w:hAnsi="David" w:hint="cs"/>
          <w:sz w:val="24"/>
          <w:rtl/>
        </w:rPr>
        <w:t xml:space="preserve">והפעלתן </w:t>
      </w:r>
      <w:r w:rsidRPr="00B97E44">
        <w:rPr>
          <w:rFonts w:ascii="David" w:hAnsi="David"/>
          <w:sz w:val="24"/>
          <w:rtl/>
        </w:rPr>
        <w:t>נועד</w:t>
      </w:r>
      <w:r w:rsidRPr="00B97E44">
        <w:rPr>
          <w:rFonts w:ascii="David" w:hAnsi="David" w:hint="cs"/>
          <w:sz w:val="24"/>
          <w:rtl/>
        </w:rPr>
        <w:t>ו</w:t>
      </w:r>
      <w:r w:rsidRPr="00B97E44">
        <w:rPr>
          <w:rFonts w:ascii="David" w:hAnsi="David"/>
          <w:sz w:val="24"/>
          <w:rtl/>
        </w:rPr>
        <w:t xml:space="preserve"> לתת מענה לטווח הארוך למצוקה ו</w:t>
      </w:r>
      <w:r w:rsidRPr="00B97E44">
        <w:rPr>
          <w:rFonts w:ascii="David" w:hAnsi="David" w:hint="eastAsia"/>
          <w:sz w:val="24"/>
          <w:rtl/>
        </w:rPr>
        <w:t>ל</w:t>
      </w:r>
      <w:r w:rsidRPr="00B97E44">
        <w:rPr>
          <w:rFonts w:ascii="David" w:hAnsi="David"/>
          <w:sz w:val="24"/>
          <w:rtl/>
        </w:rPr>
        <w:t xml:space="preserve">תחלואה נפשית מוגברת הצפויה נוכח מצבו הייחודי של החבל. </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המועצה האזורית </w:t>
      </w:r>
      <w:r w:rsidRPr="00B97E44">
        <w:rPr>
          <w:rFonts w:hint="eastAsia"/>
          <w:b/>
          <w:bCs/>
          <w:rtl/>
        </w:rPr>
        <w:t>אשכול</w:t>
      </w:r>
      <w:r w:rsidRPr="00B97E44">
        <w:rPr>
          <w:rFonts w:hint="cs"/>
          <w:rtl/>
        </w:rPr>
        <w:t xml:space="preserve"> הוסיפה בתשובתה למשרד מבקר המדינה כי אין די בתוכנית לחמש שנים כדי לעמוד באתגרי השיקום של תושבי המועצה בעקבות מתקפת הטרור בשבעה באוקטובר.</w:t>
      </w:r>
    </w:p>
    <w:p w:rsidR="005B126E" w:rsidRPr="00B97E44" w:rsidP="001916A9">
      <w:pPr>
        <w:spacing w:line="269" w:lineRule="auto"/>
        <w:rPr>
          <w:b/>
          <w:bCs/>
          <w:rtl/>
        </w:rPr>
      </w:pPr>
    </w:p>
    <w:p w:rsidR="005B126E" w:rsidRPr="00B97E44" w:rsidP="001916A9">
      <w:pPr>
        <w:pStyle w:val="Heading5"/>
        <w:spacing w:line="269" w:lineRule="auto"/>
        <w:rPr>
          <w:rtl/>
        </w:rPr>
      </w:pPr>
      <w:r w:rsidRPr="00B97E44">
        <w:rPr>
          <w:rFonts w:hint="cs"/>
          <w:rtl/>
        </w:rPr>
        <w:t>עובדים סוציאליים בחבל התקומה</w:t>
      </w:r>
    </w:p>
    <w:p w:rsidR="005B126E" w:rsidP="001916A9">
      <w:pPr>
        <w:spacing w:line="269" w:lineRule="auto"/>
        <w:rPr>
          <w:noProof/>
          <w:rtl/>
        </w:rPr>
      </w:pPr>
    </w:p>
    <w:p w:rsidR="005B126E" w:rsidRPr="00B97E44" w:rsidP="001916A9">
      <w:pPr>
        <w:spacing w:line="269" w:lineRule="auto"/>
        <w:rPr>
          <w:rtl/>
        </w:rPr>
      </w:pPr>
      <w:r w:rsidRPr="00B97E44">
        <w:rPr>
          <w:rFonts w:hint="cs"/>
          <w:noProof/>
          <w:rtl/>
        </w:rPr>
        <w:t xml:space="preserve">החלטת ממשלה 1699 </w:t>
      </w:r>
      <w:r w:rsidRPr="00B97E44">
        <w:rPr>
          <w:rFonts w:hint="cs"/>
          <w:rtl/>
        </w:rPr>
        <w:t>קבעה כי מינהלת תקומה, ב</w:t>
      </w:r>
      <w:r w:rsidRPr="00B97E44">
        <w:rPr>
          <w:rtl/>
        </w:rPr>
        <w:t xml:space="preserve">אמצעות משרד הרווחה, </w:t>
      </w:r>
      <w:r w:rsidRPr="00B97E44">
        <w:rPr>
          <w:rFonts w:hint="cs"/>
          <w:rtl/>
        </w:rPr>
        <w:t>ת</w:t>
      </w:r>
      <w:r w:rsidRPr="00B97E44">
        <w:rPr>
          <w:rtl/>
        </w:rPr>
        <w:t xml:space="preserve">תמוך בעובדי הרווחה ובמערכת הרווחה ברשויות המקומיות באמצעות התאמת התקינה, תגמול, שימור ומשיכת הון אנושי איכותי </w:t>
      </w:r>
      <w:r w:rsidRPr="00B97E44">
        <w:rPr>
          <w:rFonts w:hint="cs"/>
          <w:rtl/>
        </w:rPr>
        <w:t>ו</w:t>
      </w:r>
      <w:r w:rsidRPr="00B97E44">
        <w:rPr>
          <w:rtl/>
        </w:rPr>
        <w:t>הכשרות והדרכות של עובדים סוציאליים ברשויות המקומיות</w:t>
      </w:r>
      <w:r w:rsidRPr="00B97E44">
        <w:rPr>
          <w:rFonts w:hint="cs"/>
          <w:rtl/>
        </w:rPr>
        <w:t xml:space="preserve">. </w:t>
      </w:r>
      <w:r w:rsidRPr="00B97E44">
        <w:rPr>
          <w:rtl/>
        </w:rPr>
        <w:t>לצורך כך תקצה מ</w:t>
      </w:r>
      <w:r w:rsidRPr="00B97E44">
        <w:rPr>
          <w:rFonts w:hint="cs"/>
          <w:rtl/>
        </w:rPr>
        <w:t>י</w:t>
      </w:r>
      <w:r w:rsidRPr="00B97E44">
        <w:rPr>
          <w:rtl/>
        </w:rPr>
        <w:t>נהלת</w:t>
      </w:r>
      <w:r w:rsidRPr="00B97E44">
        <w:rPr>
          <w:rFonts w:hint="cs"/>
          <w:rtl/>
        </w:rPr>
        <w:t xml:space="preserve"> תקומה </w:t>
      </w:r>
      <w:r w:rsidRPr="00B97E44">
        <w:rPr>
          <w:rtl/>
        </w:rPr>
        <w:t>תקציב בסך 130 מ</w:t>
      </w:r>
      <w:r w:rsidRPr="00B97E44">
        <w:rPr>
          <w:rFonts w:hint="cs"/>
          <w:rtl/>
        </w:rPr>
        <w:t>יליו</w:t>
      </w:r>
      <w:r>
        <w:rPr>
          <w:rFonts w:hint="cs"/>
          <w:rtl/>
        </w:rPr>
        <w:t xml:space="preserve">ני </w:t>
      </w:r>
      <w:r w:rsidRPr="00B97E44">
        <w:rPr>
          <w:rFonts w:hint="cs"/>
          <w:rtl/>
        </w:rPr>
        <w:t>ש"ח</w:t>
      </w:r>
      <w:r w:rsidRPr="00B97E44">
        <w:rPr>
          <w:rtl/>
        </w:rPr>
        <w:t xml:space="preserve"> </w:t>
      </w:r>
      <w:r w:rsidRPr="00B97E44">
        <w:rPr>
          <w:rFonts w:hint="cs"/>
          <w:rtl/>
        </w:rPr>
        <w:t>ב</w:t>
      </w:r>
      <w:r w:rsidRPr="00B97E44">
        <w:rPr>
          <w:rtl/>
        </w:rPr>
        <w:t>מתווה פוחת על פני השנים</w:t>
      </w:r>
      <w:r w:rsidRPr="00B97E44">
        <w:rPr>
          <w:rFonts w:hint="cs"/>
          <w:rtl/>
        </w:rPr>
        <w:t xml:space="preserve"> 2024 - 2028.</w:t>
      </w:r>
    </w:p>
    <w:p w:rsidR="005B126E" w:rsidP="001916A9">
      <w:pPr>
        <w:tabs>
          <w:tab w:val="left" w:pos="8022"/>
        </w:tabs>
        <w:spacing w:line="269" w:lineRule="auto"/>
        <w:rPr>
          <w:rtl/>
        </w:rPr>
      </w:pPr>
    </w:p>
    <w:p w:rsidR="005B126E" w:rsidRPr="00B97E44" w:rsidP="001916A9">
      <w:pPr>
        <w:tabs>
          <w:tab w:val="left" w:pos="8022"/>
        </w:tabs>
        <w:spacing w:line="269" w:lineRule="auto"/>
        <w:rPr>
          <w:rtl/>
        </w:rPr>
      </w:pPr>
      <w:r w:rsidRPr="00B97E44">
        <w:rPr>
          <w:rFonts w:hint="cs"/>
          <w:rtl/>
        </w:rPr>
        <w:t xml:space="preserve">על פי תוכנית החומש, </w:t>
      </w:r>
      <w:r w:rsidRPr="00B97E44">
        <w:rPr>
          <w:rtl/>
        </w:rPr>
        <w:t xml:space="preserve">נדרשת התייחסות ממוקדת וחיזוק במועצה אזורית </w:t>
      </w:r>
      <w:r w:rsidRPr="00B97E44">
        <w:rPr>
          <w:b/>
          <w:bCs/>
          <w:rtl/>
        </w:rPr>
        <w:t>אשכול</w:t>
      </w:r>
      <w:r w:rsidRPr="00B97E44">
        <w:rPr>
          <w:rFonts w:hint="cs"/>
          <w:rtl/>
        </w:rPr>
        <w:t xml:space="preserve"> משום ש</w:t>
      </w:r>
      <w:r w:rsidRPr="00B97E44">
        <w:rPr>
          <w:rtl/>
        </w:rPr>
        <w:t>מדובר ב"פריפריה של הפריפריה"</w:t>
      </w:r>
      <w:r w:rsidRPr="00B97E44">
        <w:rPr>
          <w:rFonts w:hint="cs"/>
          <w:rtl/>
        </w:rPr>
        <w:t xml:space="preserve"> ומאחר שיישובי המועצה היו</w:t>
      </w:r>
      <w:r w:rsidRPr="00B97E44">
        <w:rPr>
          <w:rtl/>
        </w:rPr>
        <w:t xml:space="preserve"> מוקד מרכזי בפגיעה בנפש </w:t>
      </w:r>
      <w:r w:rsidRPr="00B97E44">
        <w:rPr>
          <w:rFonts w:hint="cs"/>
          <w:rtl/>
        </w:rPr>
        <w:t>במתקפת הטרור.</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מנתוני משרד הרווחה עולה כי קודם למתקפת הטרור בשבעה באוקטובר שיעור האיוש של העובדים הסוציאליים במחלקות לשירותים חברתיים בחבל התקומה עמד על 85% ומעלה מתקן העובדים, למעט במועצה האזורית </w:t>
      </w:r>
      <w:r w:rsidRPr="00B97E44">
        <w:rPr>
          <w:rFonts w:hint="eastAsia"/>
          <w:b/>
          <w:bCs/>
          <w:rtl/>
        </w:rPr>
        <w:t>שער</w:t>
      </w:r>
      <w:r w:rsidRPr="00B97E44">
        <w:rPr>
          <w:b/>
          <w:bCs/>
          <w:rtl/>
        </w:rPr>
        <w:t xml:space="preserve"> </w:t>
      </w:r>
      <w:r w:rsidRPr="00B97E44">
        <w:rPr>
          <w:rFonts w:hint="eastAsia"/>
          <w:b/>
          <w:bCs/>
          <w:rtl/>
        </w:rPr>
        <w:t>הנגב</w:t>
      </w:r>
      <w:r w:rsidRPr="00B97E44">
        <w:rPr>
          <w:rFonts w:hint="cs"/>
          <w:rtl/>
        </w:rPr>
        <w:t>, שבה עמד האיוש של תקני העובדים הסוציאליים על 55% בלבד (ראו תרשים 5 להלן).</w:t>
      </w:r>
    </w:p>
    <w:p w:rsidR="005B126E" w:rsidP="001916A9">
      <w:pPr>
        <w:spacing w:line="269" w:lineRule="auto"/>
        <w:rPr>
          <w:rtl/>
        </w:rPr>
      </w:pPr>
    </w:p>
    <w:p w:rsidR="005B126E" w:rsidRPr="00B97E44" w:rsidP="001916A9">
      <w:pPr>
        <w:spacing w:line="269" w:lineRule="auto"/>
        <w:rPr>
          <w:rtl/>
        </w:rPr>
      </w:pPr>
      <w:r w:rsidRPr="00B97E44">
        <w:rPr>
          <w:rFonts w:hint="cs"/>
          <w:rtl/>
        </w:rPr>
        <w:t>כדי לענות על צורכי הרווחה, שגברו מאוד לאחר מתקפת הטרור, הוחלט להגדיל את התקינה לעובדים הסוציאליים במחלקות לשירותים חברתיים ברשויות המקומיות בחבל. בהתאם לכך בינואר 2025 פרסם הממונה על השכר בשיתוף מינהלת תקומה ומשרד הרווחה אישור לתשלום מענקים לגיוס ולשימור עובדי המחלקות לשירותים חברתיים ברשויות חבל התקומה לשנה זו, ובמסגרתו אושרו מענקים חד-פעמיים: מענקי גיוס ושימור בסך 9,600 ש"ח לעובד ומענקי התמדה בסך 12,800 ש"ח לעובד</w:t>
      </w:r>
      <w:r>
        <w:rPr>
          <w:vertAlign w:val="superscript"/>
          <w:rtl/>
        </w:rPr>
        <w:footnoteReference w:id="67"/>
      </w:r>
      <w:r w:rsidRPr="00B97E44">
        <w:rPr>
          <w:rFonts w:hint="cs"/>
          <w:rtl/>
        </w:rPr>
        <w:t>. יתרה מזאת, על פי משרד הרווחה אושרו גם תמריצים נלווים ובהם מימון שכירות לעובדים ותשלום מלא על נסיעות, וכן חוזקה המעטפת המקצועית באמצעות הכשרות, הדרכות והשתתפות בשכר לימוד.</w:t>
      </w:r>
    </w:p>
    <w:p w:rsidR="005B126E" w:rsidP="001916A9">
      <w:pPr>
        <w:spacing w:line="269" w:lineRule="auto"/>
        <w:rPr>
          <w:rtl/>
        </w:rPr>
      </w:pPr>
    </w:p>
    <w:p w:rsidR="005B126E" w:rsidRPr="00B97E44" w:rsidP="001916A9">
      <w:pPr>
        <w:spacing w:line="269" w:lineRule="auto"/>
        <w:rPr>
          <w:rtl/>
        </w:rPr>
      </w:pPr>
      <w:r w:rsidRPr="00B97E44">
        <w:rPr>
          <w:rFonts w:hint="cs"/>
          <w:rtl/>
        </w:rPr>
        <w:t>במסגרת אישור תוכנית המענקים קבעו מינהלת תקומה ומשרד הרווחה יעדים לתקינה של עובדים סוציאליים בחבל התקומה עד שנת 2028. היעד של איוש תקן העובדים הסוציאליים לשנת 2025 הוא 72% מהתקן, שהוגדל כאמור; היעד לשנת 2026 הוא 77% מהתקן והיעד לשנת 2028 הוא 92% מהתקן</w:t>
      </w:r>
      <w:r>
        <w:rPr>
          <w:vertAlign w:val="superscript"/>
          <w:rtl/>
        </w:rPr>
        <w:footnoteReference w:id="68"/>
      </w:r>
      <w:r w:rsidRPr="00B97E44">
        <w:rPr>
          <w:rFonts w:hint="cs"/>
          <w:rtl/>
        </w:rPr>
        <w:t xml:space="preserve">. </w:t>
      </w:r>
    </w:p>
    <w:p w:rsidR="005B126E" w:rsidP="001916A9">
      <w:pPr>
        <w:spacing w:line="269" w:lineRule="auto"/>
        <w:rPr>
          <w:rtl/>
        </w:rPr>
      </w:pPr>
    </w:p>
    <w:p w:rsidR="005B126E" w:rsidRPr="00B97E44" w:rsidP="001916A9">
      <w:pPr>
        <w:spacing w:line="269" w:lineRule="auto"/>
        <w:rPr>
          <w:rtl/>
        </w:rPr>
      </w:pPr>
      <w:r w:rsidRPr="00B97E44">
        <w:rPr>
          <w:rFonts w:hint="eastAsia"/>
          <w:rtl/>
        </w:rPr>
        <w:t>התוכנית</w:t>
      </w:r>
      <w:r w:rsidRPr="00B97E44">
        <w:rPr>
          <w:rFonts w:hint="cs"/>
          <w:rtl/>
        </w:rPr>
        <w:t>,</w:t>
      </w:r>
      <w:r w:rsidRPr="00B97E44">
        <w:rPr>
          <w:rtl/>
        </w:rPr>
        <w:t xml:space="preserve"> </w:t>
      </w:r>
      <w:r w:rsidRPr="00B97E44">
        <w:rPr>
          <w:rFonts w:hint="cs"/>
          <w:rtl/>
        </w:rPr>
        <w:t>ש</w:t>
      </w:r>
      <w:r w:rsidRPr="00B97E44">
        <w:rPr>
          <w:rtl/>
        </w:rPr>
        <w:t xml:space="preserve">לפיה </w:t>
      </w:r>
      <w:r w:rsidRPr="00B97E44">
        <w:rPr>
          <w:rFonts w:hint="eastAsia"/>
          <w:rtl/>
        </w:rPr>
        <w:t>במהלך</w:t>
      </w:r>
      <w:r w:rsidRPr="00B97E44">
        <w:rPr>
          <w:rtl/>
        </w:rPr>
        <w:t xml:space="preserve"> השנים </w:t>
      </w:r>
      <w:r w:rsidRPr="00B97E44">
        <w:rPr>
          <w:rFonts w:hint="eastAsia"/>
          <w:rtl/>
        </w:rPr>
        <w:t>יעלה</w:t>
      </w:r>
      <w:r w:rsidRPr="00B97E44">
        <w:rPr>
          <w:rtl/>
        </w:rPr>
        <w:t xml:space="preserve"> יעד איוש התקינה</w:t>
      </w:r>
      <w:r w:rsidRPr="00B97E44">
        <w:rPr>
          <w:rFonts w:hint="cs"/>
          <w:rtl/>
        </w:rPr>
        <w:t xml:space="preserve"> של העובדים הסוציאליים בחבל,</w:t>
      </w:r>
      <w:r w:rsidRPr="00B97E44">
        <w:rPr>
          <w:rtl/>
        </w:rPr>
        <w:t xml:space="preserve"> </w:t>
      </w:r>
      <w:r w:rsidRPr="00B97E44">
        <w:rPr>
          <w:rFonts w:hint="cs"/>
          <w:rtl/>
        </w:rPr>
        <w:t>אינה</w:t>
      </w:r>
      <w:r w:rsidRPr="00B97E44">
        <w:rPr>
          <w:rtl/>
        </w:rPr>
        <w:t xml:space="preserve"> עולה בקנה אחד עם החלטת הממשלה שקבעה מתווה פוחת</w:t>
      </w:r>
      <w:r w:rsidRPr="00B97E44">
        <w:rPr>
          <w:rFonts w:hint="cs"/>
          <w:rtl/>
        </w:rPr>
        <w:t xml:space="preserve"> ל</w:t>
      </w:r>
      <w:r w:rsidRPr="00B97E44">
        <w:rPr>
          <w:rtl/>
        </w:rPr>
        <w:t xml:space="preserve">תוכנית החומש </w:t>
      </w:r>
      <w:r w:rsidRPr="00B97E44">
        <w:rPr>
          <w:rFonts w:hint="cs"/>
          <w:rtl/>
        </w:rPr>
        <w:t>ש</w:t>
      </w:r>
      <w:r w:rsidRPr="00B97E44">
        <w:rPr>
          <w:rtl/>
        </w:rPr>
        <w:t xml:space="preserve">בה הודגש כאמור כי </w:t>
      </w:r>
      <w:r w:rsidRPr="00B97E44">
        <w:rPr>
          <w:rFonts w:hint="cs"/>
          <w:rtl/>
        </w:rPr>
        <w:t>מתקפת הטרור</w:t>
      </w:r>
      <w:r w:rsidRPr="00B97E44">
        <w:rPr>
          <w:rtl/>
        </w:rPr>
        <w:t xml:space="preserve"> </w:t>
      </w:r>
      <w:r w:rsidRPr="00B97E44">
        <w:rPr>
          <w:rFonts w:hint="cs"/>
          <w:rtl/>
        </w:rPr>
        <w:t>ב</w:t>
      </w:r>
      <w:r w:rsidRPr="00B97E44">
        <w:rPr>
          <w:rFonts w:hint="eastAsia"/>
          <w:rtl/>
        </w:rPr>
        <w:t>שבעה</w:t>
      </w:r>
      <w:r w:rsidRPr="00B97E44">
        <w:rPr>
          <w:rtl/>
        </w:rPr>
        <w:t xml:space="preserve"> באוקטובר גרמ</w:t>
      </w:r>
      <w:r w:rsidRPr="00B97E44">
        <w:rPr>
          <w:rFonts w:hint="cs"/>
          <w:rtl/>
        </w:rPr>
        <w:t>ה</w:t>
      </w:r>
      <w:r w:rsidRPr="00B97E44">
        <w:rPr>
          <w:rtl/>
        </w:rPr>
        <w:t xml:space="preserve"> לצורך גבוה במיוחד בשירותי רווחה וכי</w:t>
      </w:r>
      <w:r w:rsidRPr="00B97E44">
        <w:rPr>
          <w:rFonts w:hint="cs"/>
          <w:rtl/>
        </w:rPr>
        <w:t xml:space="preserve"> צפויה </w:t>
      </w:r>
      <w:r w:rsidRPr="00B97E44">
        <w:rPr>
          <w:rtl/>
        </w:rPr>
        <w:t>עלייה</w:t>
      </w:r>
      <w:r w:rsidRPr="00B97E44">
        <w:rPr>
          <w:rFonts w:hint="cs"/>
          <w:rtl/>
        </w:rPr>
        <w:t xml:space="preserve"> ניכרת </w:t>
      </w:r>
      <w:r w:rsidRPr="00B97E44">
        <w:rPr>
          <w:rtl/>
        </w:rPr>
        <w:t xml:space="preserve">בביקוש לשירותים אלו </w:t>
      </w:r>
      <w:r w:rsidRPr="00B97E44">
        <w:rPr>
          <w:rFonts w:hint="cs"/>
          <w:rtl/>
        </w:rPr>
        <w:t xml:space="preserve">במהלך תקופת הפינוי </w:t>
      </w:r>
      <w:r w:rsidRPr="00B97E44">
        <w:rPr>
          <w:rFonts w:hint="cs"/>
          <w:rtl/>
        </w:rPr>
        <w:t>ומייד</w:t>
      </w:r>
      <w:r w:rsidRPr="00B97E44">
        <w:rPr>
          <w:rFonts w:hint="cs"/>
          <w:rtl/>
        </w:rPr>
        <w:t xml:space="preserve"> לאחריה שיפחת ככל שיחלוף הזמן</w:t>
      </w:r>
      <w:r w:rsidRPr="00B97E44">
        <w:t>.</w:t>
      </w:r>
      <w:r w:rsidRPr="00B97E44">
        <w:rPr>
          <w:rFonts w:hint="cs"/>
          <w:rtl/>
        </w:rPr>
        <w:t xml:space="preserve"> </w:t>
      </w:r>
    </w:p>
    <w:p w:rsidR="005B126E" w:rsidP="001916A9">
      <w:pPr>
        <w:spacing w:line="269" w:lineRule="auto"/>
        <w:rPr>
          <w:rtl/>
        </w:rPr>
      </w:pPr>
    </w:p>
    <w:p w:rsidR="005B126E" w:rsidRPr="00B97E44" w:rsidP="001916A9">
      <w:pPr>
        <w:spacing w:line="269" w:lineRule="auto"/>
        <w:rPr>
          <w:rtl/>
        </w:rPr>
      </w:pPr>
      <w:r w:rsidRPr="00B97E44">
        <w:rPr>
          <w:rFonts w:hint="cs"/>
          <w:rtl/>
        </w:rPr>
        <w:t>מינהלת תקומה הבהירה בתשובתה כי בתוכנית נ</w:t>
      </w:r>
      <w:r w:rsidRPr="00B97E44">
        <w:rPr>
          <w:rtl/>
        </w:rPr>
        <w:t xml:space="preserve">עשתה חלוקה בין </w:t>
      </w:r>
      <w:r w:rsidRPr="00B97E44">
        <w:rPr>
          <w:rFonts w:hint="cs"/>
          <w:rtl/>
        </w:rPr>
        <w:t>הרכיבים</w:t>
      </w:r>
      <w:r w:rsidRPr="00B97E44">
        <w:rPr>
          <w:rtl/>
        </w:rPr>
        <w:t xml:space="preserve"> שעניינם מעטפת ליווי ותמיכה לעובדים במהלך תקופת</w:t>
      </w:r>
      <w:r w:rsidRPr="00B97E44">
        <w:rPr>
          <w:rFonts w:hint="cs"/>
          <w:rtl/>
        </w:rPr>
        <w:t xml:space="preserve"> </w:t>
      </w:r>
      <w:r w:rsidRPr="00B97E44">
        <w:rPr>
          <w:rtl/>
        </w:rPr>
        <w:t>השיקום האינטנסיבי של הקהילות בחבל באמצעות תקצוב פוחת</w:t>
      </w:r>
      <w:r w:rsidRPr="00B97E44">
        <w:rPr>
          <w:rFonts w:hint="cs"/>
          <w:rtl/>
        </w:rPr>
        <w:t xml:space="preserve"> ובין ה</w:t>
      </w:r>
      <w:r w:rsidRPr="00B97E44">
        <w:rPr>
          <w:rtl/>
        </w:rPr>
        <w:t>יעדי</w:t>
      </w:r>
      <w:r w:rsidRPr="00B97E44">
        <w:rPr>
          <w:rFonts w:hint="cs"/>
          <w:rtl/>
        </w:rPr>
        <w:t>ם</w:t>
      </w:r>
      <w:r w:rsidRPr="00B97E44">
        <w:rPr>
          <w:rtl/>
        </w:rPr>
        <w:t xml:space="preserve"> ו</w:t>
      </w:r>
      <w:r w:rsidRPr="00B97E44">
        <w:rPr>
          <w:rFonts w:hint="cs"/>
          <w:rtl/>
        </w:rPr>
        <w:t>ה</w:t>
      </w:r>
      <w:r w:rsidRPr="00B97E44">
        <w:rPr>
          <w:rtl/>
        </w:rPr>
        <w:t xml:space="preserve">היקף </w:t>
      </w:r>
      <w:r w:rsidRPr="00B97E44">
        <w:rPr>
          <w:rFonts w:hint="cs"/>
          <w:rtl/>
        </w:rPr>
        <w:t>של ה</w:t>
      </w:r>
      <w:r w:rsidRPr="00B97E44">
        <w:rPr>
          <w:rtl/>
        </w:rPr>
        <w:t>תקינה</w:t>
      </w:r>
      <w:r w:rsidRPr="00B97E44">
        <w:rPr>
          <w:rFonts w:hint="cs"/>
          <w:rtl/>
        </w:rPr>
        <w:t xml:space="preserve"> </w:t>
      </w:r>
      <w:r w:rsidRPr="00B97E44">
        <w:rPr>
          <w:rtl/>
        </w:rPr>
        <w:t>ואיוש כוח האדם במחלקות לשירותים חברתיים</w:t>
      </w:r>
      <w:r w:rsidRPr="00B97E44">
        <w:rPr>
          <w:rFonts w:hint="cs"/>
          <w:rtl/>
        </w:rPr>
        <w:t xml:space="preserve"> שתוכננו כיעד עולה</w:t>
      </w:r>
      <w:r w:rsidRPr="00B97E44">
        <w:rPr>
          <w:rtl/>
        </w:rPr>
        <w:t xml:space="preserve"> נוכח ההבנה כי</w:t>
      </w:r>
      <w:r w:rsidRPr="00B97E44">
        <w:rPr>
          <w:rFonts w:hint="cs"/>
          <w:rtl/>
        </w:rPr>
        <w:t xml:space="preserve"> </w:t>
      </w:r>
      <w:r w:rsidRPr="00B97E44">
        <w:rPr>
          <w:rtl/>
        </w:rPr>
        <w:t>יידרש לשמר כוח אדם יציב גם לאחר שנות החומש.</w:t>
      </w:r>
    </w:p>
    <w:p w:rsidR="005B126E" w:rsidP="001916A9">
      <w:pPr>
        <w:spacing w:line="269" w:lineRule="auto"/>
        <w:rPr>
          <w:rtl/>
        </w:rPr>
      </w:pPr>
    </w:p>
    <w:p w:rsidR="005B126E" w:rsidP="001916A9">
      <w:pPr>
        <w:spacing w:line="269" w:lineRule="auto"/>
        <w:rPr>
          <w:rtl/>
        </w:rPr>
      </w:pPr>
      <w:r w:rsidRPr="00B97E44">
        <w:rPr>
          <w:rFonts w:hint="cs"/>
          <w:rtl/>
        </w:rPr>
        <w:t xml:space="preserve">משרד הרווחה ורשויות חבל התקומה הצליחו לגייס עשרות עובדים סוציאליים נוספים לאחר מתקפת הטרור בשבעה באוקטובר. בתרשים להלן מוצגים יעדי התקינה והאיוש בפועל ברשויות המקומיות בחבל התקומה בשנת 2023 קודם למתקפת הטרור בשבעה באוקטובר ומלחמת חרבות ברזל בהשוואה למצב באפריל 2025: </w:t>
      </w:r>
    </w:p>
    <w:p w:rsidR="005B126E" w:rsidRPr="00B97E44" w:rsidP="001916A9">
      <w:pPr>
        <w:spacing w:line="269" w:lineRule="auto"/>
        <w:rPr>
          <w:rtl/>
        </w:rPr>
      </w:pPr>
    </w:p>
    <w:p w:rsidR="005B126E" w:rsidRPr="00B97E44" w:rsidP="001916A9">
      <w:pPr>
        <w:keepNext/>
        <w:keepLines/>
        <w:spacing w:line="269" w:lineRule="auto"/>
        <w:jc w:val="center"/>
        <w:rPr>
          <w:b/>
          <w:bCs/>
          <w:rtl/>
        </w:rPr>
      </w:pPr>
      <w:r w:rsidRPr="00B97E44">
        <w:rPr>
          <w:rFonts w:hint="eastAsia"/>
          <w:rtl/>
        </w:rPr>
        <w:t>תרשים</w:t>
      </w:r>
      <w:r w:rsidRPr="00B97E44">
        <w:rPr>
          <w:rtl/>
        </w:rPr>
        <w:t xml:space="preserve"> 5:</w:t>
      </w:r>
      <w:r w:rsidRPr="00B97E44">
        <w:rPr>
          <w:b/>
          <w:bCs/>
          <w:rtl/>
        </w:rPr>
        <w:t xml:space="preserve"> נתוני התקינה והאיוש של העובדים הסוציאליים במחלקות לשירותים</w:t>
      </w:r>
      <w:r w:rsidRPr="00B97E44">
        <w:rPr>
          <w:rFonts w:hint="cs"/>
          <w:b/>
          <w:bCs/>
          <w:rtl/>
        </w:rPr>
        <w:t xml:space="preserve"> חברתיים בחבל התקומה, בהשוואה בין אוקטובר 2023 לאפריל 2025</w:t>
      </w:r>
      <w:r>
        <w:rPr>
          <w:b/>
          <w:bCs/>
          <w:vertAlign w:val="superscript"/>
          <w:rtl/>
        </w:rPr>
        <w:footnoteReference w:id="69"/>
      </w:r>
    </w:p>
    <w:p w:rsidR="005B126E" w:rsidRPr="00B97E44" w:rsidP="001916A9">
      <w:pPr>
        <w:spacing w:line="269" w:lineRule="auto"/>
        <w:jc w:val="center"/>
        <w:rPr>
          <w:b/>
          <w:bCs/>
          <w:rtl/>
        </w:rPr>
      </w:pPr>
      <w:r>
        <w:rPr>
          <w:b/>
          <w:bCs/>
          <w:noProof/>
        </w:rPr>
        <w:drawing>
          <wp:inline distT="0" distB="0" distL="0" distR="0">
            <wp:extent cx="5117190" cy="3517265"/>
            <wp:effectExtent l="0" t="0" r="7620" b="6985"/>
            <wp:docPr id="9" name="תמונה 9" descr="תרשים המתאר את נתוני התקינה והאיוש של העובדים הסוציאלים במחלקות לשירותים חברתיים ברשויות המקומיות בחבל תקומה. הפירוט הרלוונטי נמצא בהמש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bwMode="auto">
                    <a:xfrm>
                      <a:off x="0" y="0"/>
                      <a:ext cx="5129073" cy="3525433"/>
                    </a:xfrm>
                    <a:prstGeom prst="rect">
                      <a:avLst/>
                    </a:prstGeom>
                    <a:noFill/>
                  </pic:spPr>
                </pic:pic>
              </a:graphicData>
            </a:graphic>
          </wp:inline>
        </w:drawing>
      </w:r>
    </w:p>
    <w:p w:rsidR="005B126E" w:rsidRPr="00B97E44" w:rsidP="001916A9">
      <w:pPr>
        <w:spacing w:line="269" w:lineRule="auto"/>
        <w:ind w:right="567"/>
        <w:rPr>
          <w:szCs w:val="20"/>
          <w:rtl/>
        </w:rPr>
      </w:pPr>
      <w:r w:rsidRPr="00B97E44">
        <w:rPr>
          <w:rFonts w:hint="cs"/>
          <w:szCs w:val="20"/>
          <w:rtl/>
        </w:rPr>
        <w:t xml:space="preserve">על פי </w:t>
      </w:r>
      <w:r w:rsidRPr="00B97E44">
        <w:rPr>
          <w:szCs w:val="20"/>
          <w:rtl/>
        </w:rPr>
        <w:t>נתוני משרד הרווחה</w:t>
      </w:r>
      <w:r w:rsidRPr="00B97E44">
        <w:rPr>
          <w:rFonts w:hint="cs"/>
          <w:szCs w:val="20"/>
          <w:rtl/>
        </w:rPr>
        <w:t xml:space="preserve">, 2023 - </w:t>
      </w:r>
      <w:r w:rsidRPr="00B97E44">
        <w:rPr>
          <w:szCs w:val="20"/>
          <w:rtl/>
        </w:rPr>
        <w:t>2025</w:t>
      </w:r>
      <w:r w:rsidRPr="00B97E44">
        <w:rPr>
          <w:rFonts w:hint="cs"/>
          <w:szCs w:val="20"/>
          <w:rtl/>
        </w:rPr>
        <w:t>, בעיבוד משרד מבקר המדינה.</w:t>
      </w:r>
    </w:p>
    <w:p w:rsidR="005B126E" w:rsidP="001916A9">
      <w:pPr>
        <w:tabs>
          <w:tab w:val="left" w:pos="8590"/>
        </w:tabs>
        <w:spacing w:line="269" w:lineRule="auto"/>
        <w:rPr>
          <w:b/>
          <w:bCs/>
          <w:rtl/>
        </w:rPr>
      </w:pPr>
    </w:p>
    <w:p w:rsidR="005B126E" w:rsidRPr="00B97E44" w:rsidP="001916A9">
      <w:pPr>
        <w:tabs>
          <w:tab w:val="left" w:pos="8590"/>
        </w:tabs>
        <w:spacing w:line="269" w:lineRule="auto"/>
        <w:rPr>
          <w:b/>
          <w:bCs/>
          <w:rtl/>
        </w:rPr>
      </w:pPr>
      <w:r w:rsidRPr="00B97E44">
        <w:rPr>
          <w:rFonts w:hint="cs"/>
          <w:b/>
          <w:bCs/>
          <w:rtl/>
        </w:rPr>
        <w:t xml:space="preserve">נמצא כי עד סוף הרבעון הראשון של שנת 2025 לא הושלם גיוס העובדים הסוציאליים במחלקות לשירותים חברתיים במועצות האזוריות אשכול ושער הנגב לשיעור שנקבע בתוכנית המענקים (72% מהתקן). במועצה האזורית אשכול שיעור האיוש עמד על 63% (35 תקנים מאוישים מתוך 56) ובמועצה האזורית שער הנגב - על 58% (22 תקנים מאוישים מתוך 38). זאת אף </w:t>
      </w:r>
      <w:r w:rsidRPr="00B97E44">
        <w:rPr>
          <w:rFonts w:hint="cs"/>
          <w:b/>
          <w:bCs/>
          <w:rtl/>
        </w:rPr>
        <w:t>שמינהלת</w:t>
      </w:r>
      <w:r w:rsidRPr="00B97E44">
        <w:rPr>
          <w:rFonts w:hint="cs"/>
          <w:b/>
          <w:bCs/>
          <w:rtl/>
        </w:rPr>
        <w:t xml:space="preserve"> תקומה זיהתה בתוכנית החומש כי המועצה האזורית אשכול נדרשת לחיזוק בתחום השירותים החברתיים באופן מיוחד והכירה בצרכים הרבים שיש לה נוכח העובדה שמרבית יישוביה חוו אבדות ופגיעות קשות, חברים מקהילותיה נחטפו, ונכון לאוגוסט 2025 חלק מתושביה שוהים במגורים זמניים מחוץ לתחומי המועצה עקב מניעה שיקומית. </w:t>
      </w:r>
    </w:p>
    <w:p w:rsidR="005B126E" w:rsidP="001916A9">
      <w:pPr>
        <w:tabs>
          <w:tab w:val="left" w:pos="8590"/>
        </w:tabs>
        <w:spacing w:line="269" w:lineRule="auto"/>
        <w:rPr>
          <w:b/>
          <w:bCs/>
          <w:rtl/>
        </w:rPr>
      </w:pPr>
    </w:p>
    <w:p w:rsidR="005B126E" w:rsidP="001916A9">
      <w:pPr>
        <w:tabs>
          <w:tab w:val="left" w:pos="8590"/>
        </w:tabs>
        <w:spacing w:line="269" w:lineRule="auto"/>
        <w:rPr>
          <w:b/>
          <w:bCs/>
          <w:rtl/>
        </w:rPr>
      </w:pPr>
      <w:r w:rsidRPr="00B97E44">
        <w:rPr>
          <w:rFonts w:hint="cs"/>
          <w:b/>
          <w:bCs/>
          <w:rtl/>
        </w:rPr>
        <w:t>כך למשל, בקיבוץ חולית, שקהילתו שוהה במגורי הביניים בקיבוץ רביבים, גויסה עובדת סוציאלית רק בנובמבר 2024, שנה ויותר אחרי מתקפת הטרור בשבעה באוקטובר. לעובדת הסוציאלית מומחיות בעבודה עם טראומה אצל ילדים, ומאחר שעלות העסקתה גבוהה מהשכר שהמועצה משלמת, הקיבוץ נאלץ לממן את הפער בעלויות העסקתה. בקיבוץ אחר בתחומי המועצה האזורית אשכול ציינו כי העובדת הסוציאלית שהוקצתה לו מגיעה רק כמה פעמים בשבוע ועוסקת במגוון משימות נוספות ולכן מתקשה לענות על הצרכים הרבים. גם מנהלת האגף לשירותים חברתיים במועצה האזורית אשכול סברה כי התקן שנקבע לכלל המועצה אינו עונה על הצרכים הרבים וכי לא ניתנו משאבים מספיקים להעסקתם של העובדים הסוציאליים החדשים. כך למשל, מנהלת האגף נאלצת לחלוק חדר עם שתי עובדות סוציאליות.</w:t>
      </w:r>
    </w:p>
    <w:p w:rsidR="005B126E" w:rsidRPr="00B97E44" w:rsidP="001916A9">
      <w:pPr>
        <w:tabs>
          <w:tab w:val="left" w:pos="8590"/>
        </w:tabs>
        <w:spacing w:line="269" w:lineRule="auto"/>
        <w:rPr>
          <w:b/>
          <w:bCs/>
          <w:rtl/>
        </w:rPr>
      </w:pPr>
    </w:p>
    <w:p w:rsidR="005B126E" w:rsidRPr="00B97E44" w:rsidP="001916A9">
      <w:pPr>
        <w:tabs>
          <w:tab w:val="left" w:pos="8590"/>
        </w:tabs>
        <w:spacing w:line="269" w:lineRule="auto"/>
        <w:rPr>
          <w:rtl/>
        </w:rPr>
      </w:pPr>
      <w:r w:rsidRPr="00B97E44">
        <w:rPr>
          <w:rFonts w:hint="cs"/>
          <w:b/>
          <w:bCs/>
          <w:rtl/>
        </w:rPr>
        <w:t>גם במחלקה לשירותים חברתיים במועצה האזורית שער הנגב לא הושלם גיוס העובדים הסוציאליים ליעד שקבעה מינהלת תקומה לשנת 2025, אף שחלק מיישוביה נפגעו באופן קשה ביותר במתקפת הטרור בשבעה באוקטובר ויש עדיין יישוב אחד - קיבוץ כפר עזה - שנכון לאוגוסט 2025 תושביו עודם מתגוררים במבנים זמניים מחוץ לתחומי היישוב בשל מניעה שיקומית</w:t>
      </w:r>
      <w:r w:rsidRPr="00B97E44">
        <w:rPr>
          <w:b/>
          <w:bCs/>
          <w:rtl/>
        </w:rPr>
        <w:t>.</w:t>
      </w:r>
      <w:r w:rsidRPr="00B97E44">
        <w:rPr>
          <w:rFonts w:hint="cs"/>
          <w:rtl/>
        </w:rPr>
        <w:t xml:space="preserve"> </w:t>
      </w:r>
    </w:p>
    <w:p w:rsidR="005B126E" w:rsidP="001916A9">
      <w:pPr>
        <w:tabs>
          <w:tab w:val="left" w:pos="8590"/>
        </w:tabs>
        <w:spacing w:line="269" w:lineRule="auto"/>
        <w:rPr>
          <w:b/>
          <w:bCs/>
          <w:rtl/>
        </w:rPr>
      </w:pPr>
    </w:p>
    <w:p w:rsidR="005B126E" w:rsidRPr="00B97E44" w:rsidP="001916A9">
      <w:pPr>
        <w:tabs>
          <w:tab w:val="left" w:pos="8590"/>
        </w:tabs>
        <w:spacing w:line="269" w:lineRule="auto"/>
        <w:rPr>
          <w:b/>
          <w:bCs/>
          <w:rtl/>
        </w:rPr>
      </w:pPr>
      <w:r w:rsidRPr="00B97E44">
        <w:rPr>
          <w:rFonts w:hint="cs"/>
          <w:b/>
          <w:bCs/>
          <w:rtl/>
        </w:rPr>
        <w:t xml:space="preserve">משרד מבקר המדינה </w:t>
      </w:r>
      <w:r>
        <w:rPr>
          <w:rFonts w:hint="cs"/>
          <w:b/>
          <w:bCs/>
          <w:rtl/>
        </w:rPr>
        <w:t>ה</w:t>
      </w:r>
      <w:r w:rsidRPr="00B97E44">
        <w:rPr>
          <w:rFonts w:hint="cs"/>
          <w:b/>
          <w:bCs/>
          <w:rtl/>
        </w:rPr>
        <w:t xml:space="preserve">מליץ כי משרד הרווחה </w:t>
      </w:r>
      <w:r w:rsidRPr="00B97E44">
        <w:rPr>
          <w:rFonts w:hint="cs"/>
          <w:b/>
          <w:bCs/>
          <w:rtl/>
        </w:rPr>
        <w:t>ומינהלת</w:t>
      </w:r>
      <w:r w:rsidRPr="00B97E44">
        <w:rPr>
          <w:rFonts w:hint="cs"/>
          <w:b/>
          <w:bCs/>
          <w:rtl/>
        </w:rPr>
        <w:t xml:space="preserve"> תקומה יסייעו ביתר שאת בגיוס העובדים הסוציאליים במחלקות לשירותים חברתיים במועצות האזוריות, שבהן צורכי הרווחה עודם רבים וחמורים, ויסייעו להן בגיוס המשאבים הנדרשים.</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מינהלת תקומה מסרה בתשובתה בהתייחס לתקנים כי מאז מועד בדיקת הנתונים באפריל 2025 אוישו התקנים </w:t>
      </w:r>
      <w:r>
        <w:rPr>
          <w:rFonts w:hint="cs"/>
          <w:rtl/>
        </w:rPr>
        <w:t xml:space="preserve">בחבל התקומה </w:t>
      </w:r>
      <w:r w:rsidRPr="00B97E44">
        <w:rPr>
          <w:rFonts w:hint="cs"/>
          <w:rtl/>
        </w:rPr>
        <w:t xml:space="preserve">מעל היעד שנקבע ובממוצע משוקלל עמדו נכון ליולי 2025 על כ-83% בעוד היעד שהוצב היה 65%. עוד ציינה </w:t>
      </w:r>
      <w:r w:rsidRPr="00B97E44">
        <w:rPr>
          <w:rFonts w:hint="cs"/>
          <w:rtl/>
        </w:rPr>
        <w:t>המינהלת</w:t>
      </w:r>
      <w:r w:rsidRPr="00B97E44">
        <w:rPr>
          <w:rFonts w:hint="cs"/>
          <w:rtl/>
        </w:rPr>
        <w:t xml:space="preserve"> </w:t>
      </w:r>
      <w:r>
        <w:rPr>
          <w:rFonts w:hint="cs"/>
          <w:rtl/>
        </w:rPr>
        <w:t xml:space="preserve">בתשובותיה </w:t>
      </w:r>
      <w:r w:rsidRPr="00B97E44">
        <w:rPr>
          <w:rFonts w:hint="cs"/>
          <w:rtl/>
        </w:rPr>
        <w:t xml:space="preserve">כי היקף התקינה הגבוה ביותר, שעמד על 33 תקני רווחה, יועד למועצה האזורית </w:t>
      </w:r>
      <w:r w:rsidRPr="00B97E44">
        <w:rPr>
          <w:rFonts w:hint="eastAsia"/>
          <w:b/>
          <w:bCs/>
          <w:rtl/>
        </w:rPr>
        <w:t>אשכול</w:t>
      </w:r>
      <w:r w:rsidRPr="00B97E44">
        <w:rPr>
          <w:rFonts w:hint="cs"/>
          <w:rtl/>
        </w:rPr>
        <w:t xml:space="preserve"> ונעשה בשיתוף ובשיח איתה</w:t>
      </w:r>
      <w:r>
        <w:rPr>
          <w:rFonts w:hint="cs"/>
          <w:rtl/>
        </w:rPr>
        <w:t xml:space="preserve">, וכי בהתאם להיקף התקינה ניתנו רכיבי המעטפת במתווה </w:t>
      </w:r>
      <w:r>
        <w:rPr>
          <w:rFonts w:hint="cs"/>
          <w:rtl/>
        </w:rPr>
        <w:t>התמרוץ</w:t>
      </w:r>
      <w:r>
        <w:rPr>
          <w:rFonts w:hint="cs"/>
          <w:rtl/>
        </w:rPr>
        <w:t>.</w:t>
      </w:r>
    </w:p>
    <w:p w:rsidR="005B126E" w:rsidP="001916A9">
      <w:pPr>
        <w:autoSpaceDE w:val="0"/>
        <w:autoSpaceDN w:val="0"/>
        <w:adjustRightInd w:val="0"/>
        <w:spacing w:line="269" w:lineRule="auto"/>
        <w:rPr>
          <w:rFonts w:ascii="David" w:hAnsi="David"/>
          <w:sz w:val="24"/>
          <w:rtl/>
        </w:rPr>
      </w:pPr>
    </w:p>
    <w:p w:rsidR="005B126E" w:rsidRPr="00B97E44" w:rsidP="001916A9">
      <w:pPr>
        <w:autoSpaceDE w:val="0"/>
        <w:autoSpaceDN w:val="0"/>
        <w:adjustRightInd w:val="0"/>
        <w:spacing w:line="269" w:lineRule="auto"/>
        <w:rPr>
          <w:rtl/>
        </w:rPr>
      </w:pPr>
      <w:r w:rsidRPr="00B97E44">
        <w:rPr>
          <w:rFonts w:ascii="David" w:hAnsi="David" w:hint="cs"/>
          <w:sz w:val="24"/>
          <w:rtl/>
        </w:rPr>
        <w:t xml:space="preserve">מינהלת תקומה הוסיפה כי </w:t>
      </w:r>
      <w:r w:rsidRPr="00B97E44">
        <w:rPr>
          <w:rFonts w:ascii="David" w:hAnsi="David"/>
          <w:sz w:val="24"/>
          <w:rtl/>
        </w:rPr>
        <w:t>הקצאת</w:t>
      </w:r>
      <w:r w:rsidRPr="00B97E44">
        <w:rPr>
          <w:rFonts w:ascii="David" w:hAnsi="David" w:hint="cs"/>
          <w:sz w:val="24"/>
          <w:rtl/>
        </w:rPr>
        <w:t xml:space="preserve"> התקנים נעשית</w:t>
      </w:r>
      <w:r w:rsidRPr="00B97E44">
        <w:rPr>
          <w:rFonts w:ascii="David" w:hAnsi="David"/>
          <w:sz w:val="24"/>
          <w:rtl/>
        </w:rPr>
        <w:t xml:space="preserve"> </w:t>
      </w:r>
      <w:r w:rsidRPr="00B97E44">
        <w:rPr>
          <w:rFonts w:ascii="David" w:hAnsi="David" w:hint="cs"/>
          <w:sz w:val="24"/>
          <w:rtl/>
        </w:rPr>
        <w:t xml:space="preserve">על ידי </w:t>
      </w:r>
      <w:r w:rsidRPr="00B97E44">
        <w:rPr>
          <w:rFonts w:ascii="David" w:hAnsi="David"/>
          <w:sz w:val="24"/>
          <w:rtl/>
        </w:rPr>
        <w:t>משרד הרווחה</w:t>
      </w:r>
      <w:r w:rsidRPr="00B97E44">
        <w:rPr>
          <w:rFonts w:ascii="David" w:hAnsi="David" w:hint="cs"/>
          <w:sz w:val="24"/>
          <w:rtl/>
        </w:rPr>
        <w:t>,</w:t>
      </w:r>
      <w:r w:rsidRPr="00B97E44">
        <w:rPr>
          <w:rFonts w:ascii="David" w:hAnsi="David"/>
          <w:sz w:val="24"/>
          <w:rtl/>
        </w:rPr>
        <w:t xml:space="preserve"> </w:t>
      </w:r>
      <w:r w:rsidRPr="00B97E44">
        <w:rPr>
          <w:rFonts w:ascii="David" w:hAnsi="David" w:hint="cs"/>
          <w:sz w:val="24"/>
          <w:rtl/>
        </w:rPr>
        <w:t>ו</w:t>
      </w:r>
      <w:r w:rsidRPr="00B97E44">
        <w:rPr>
          <w:rFonts w:ascii="David" w:hAnsi="David"/>
          <w:sz w:val="24"/>
          <w:rtl/>
        </w:rPr>
        <w:t>הליך גיוס ואיוש התקנים נעשה ע</w:t>
      </w:r>
      <w:r w:rsidRPr="00B97E44">
        <w:rPr>
          <w:rFonts w:ascii="David" w:hAnsi="David" w:hint="cs"/>
          <w:sz w:val="24"/>
          <w:rtl/>
        </w:rPr>
        <w:t>ל ידי</w:t>
      </w:r>
      <w:r w:rsidRPr="00B97E44">
        <w:rPr>
          <w:rFonts w:ascii="David" w:hAnsi="David"/>
          <w:sz w:val="24"/>
          <w:rtl/>
        </w:rPr>
        <w:t xml:space="preserve"> הרשות </w:t>
      </w:r>
      <w:r w:rsidRPr="00B97E44">
        <w:rPr>
          <w:rFonts w:ascii="David" w:hAnsi="David" w:hint="cs"/>
          <w:sz w:val="24"/>
          <w:rtl/>
        </w:rPr>
        <w:t>המקומית ואילו היא</w:t>
      </w:r>
      <w:r w:rsidRPr="00B97E44">
        <w:rPr>
          <w:rFonts w:ascii="David" w:hAnsi="David"/>
          <w:sz w:val="24"/>
          <w:rtl/>
        </w:rPr>
        <w:t xml:space="preserve"> אינה באה בנעלי</w:t>
      </w:r>
      <w:r w:rsidRPr="00B97E44">
        <w:rPr>
          <w:rFonts w:ascii="David" w:hAnsi="David" w:hint="cs"/>
          <w:sz w:val="24"/>
          <w:rtl/>
        </w:rPr>
        <w:t>הם</w:t>
      </w:r>
      <w:r w:rsidRPr="00B97E44">
        <w:rPr>
          <w:rFonts w:ascii="David" w:hAnsi="David"/>
          <w:sz w:val="24"/>
          <w:rtl/>
        </w:rPr>
        <w:t>. יתרה</w:t>
      </w:r>
      <w:r w:rsidRPr="00B97E44">
        <w:rPr>
          <w:rFonts w:ascii="David" w:hAnsi="David" w:hint="cs"/>
          <w:sz w:val="24"/>
          <w:rtl/>
        </w:rPr>
        <w:t xml:space="preserve"> </w:t>
      </w:r>
      <w:r w:rsidRPr="00B97E44">
        <w:rPr>
          <w:rFonts w:ascii="David" w:hAnsi="David"/>
          <w:sz w:val="24"/>
          <w:rtl/>
        </w:rPr>
        <w:t>מכך, לעמדת</w:t>
      </w:r>
      <w:r w:rsidRPr="00B97E44">
        <w:rPr>
          <w:rFonts w:ascii="David" w:hAnsi="David" w:hint="cs"/>
          <w:sz w:val="24"/>
          <w:rtl/>
        </w:rPr>
        <w:t>ה,</w:t>
      </w:r>
      <w:r w:rsidRPr="00B97E44">
        <w:rPr>
          <w:rFonts w:ascii="David" w:hAnsi="David"/>
          <w:sz w:val="24"/>
          <w:rtl/>
        </w:rPr>
        <w:t xml:space="preserve"> התערבות בהליכי גיוס ואיוש התקנים בהקשר זה אינה רצויה באשר היא</w:t>
      </w:r>
      <w:r w:rsidRPr="00B97E44">
        <w:rPr>
          <w:rFonts w:ascii="David" w:hAnsi="David" w:hint="cs"/>
          <w:sz w:val="24"/>
          <w:rtl/>
        </w:rPr>
        <w:t xml:space="preserve"> </w:t>
      </w:r>
      <w:r w:rsidRPr="00B97E44">
        <w:rPr>
          <w:rFonts w:ascii="David" w:hAnsi="David"/>
          <w:sz w:val="24"/>
          <w:rtl/>
        </w:rPr>
        <w:t>צפויה דווקא לפגוע במנגנוני הרשות ובעצמאותה</w:t>
      </w:r>
      <w:r w:rsidRPr="00B97E44">
        <w:rPr>
          <w:rFonts w:ascii="David" w:hAnsi="David" w:hint="cs"/>
          <w:sz w:val="24"/>
          <w:rtl/>
        </w:rPr>
        <w:t xml:space="preserve">. עם זאת ציינה </w:t>
      </w:r>
      <w:r w:rsidRPr="00B97E44">
        <w:rPr>
          <w:rFonts w:ascii="David" w:hAnsi="David" w:hint="cs"/>
          <w:sz w:val="24"/>
          <w:rtl/>
        </w:rPr>
        <w:t>המינהלת</w:t>
      </w:r>
      <w:r w:rsidRPr="00B97E44">
        <w:rPr>
          <w:rFonts w:ascii="David" w:hAnsi="David" w:hint="cs"/>
          <w:sz w:val="24"/>
          <w:rtl/>
        </w:rPr>
        <w:t xml:space="preserve"> כי במסגרת תוכנית המענקים לעובדים הסוציאליים היא סייעה בגיוס המשאבים והמעטפת הנדרשת להליך הגיוס.</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משרד הרווחה מסר בתשובתו למשרד מבקר המדינה מדצמבר 2025 כי </w:t>
      </w:r>
      <w:r w:rsidRPr="00B97E44">
        <w:rPr>
          <w:rtl/>
        </w:rPr>
        <w:t xml:space="preserve">הוגדרו </w:t>
      </w:r>
      <w:r w:rsidRPr="00B97E44">
        <w:rPr>
          <w:rFonts w:hint="cs"/>
          <w:rtl/>
        </w:rPr>
        <w:t>קריטריונים</w:t>
      </w:r>
      <w:r w:rsidRPr="00B97E44">
        <w:rPr>
          <w:rtl/>
        </w:rPr>
        <w:t xml:space="preserve"> לחלוקת המשאבים, </w:t>
      </w:r>
      <w:r w:rsidRPr="00B97E44">
        <w:rPr>
          <w:rFonts w:hint="cs"/>
          <w:rtl/>
        </w:rPr>
        <w:t>ובכלל זה קריטריון</w:t>
      </w:r>
      <w:r w:rsidRPr="00B97E44">
        <w:rPr>
          <w:rtl/>
        </w:rPr>
        <w:t xml:space="preserve"> המתייחס להיקף הפגיעה ברשויות המקומיות,</w:t>
      </w:r>
      <w:r w:rsidRPr="00B97E44">
        <w:rPr>
          <w:rFonts w:hint="cs"/>
          <w:rtl/>
        </w:rPr>
        <w:t xml:space="preserve"> בו </w:t>
      </w:r>
      <w:r w:rsidRPr="00B97E44">
        <w:rPr>
          <w:rtl/>
        </w:rPr>
        <w:t>ניתן משקל</w:t>
      </w:r>
      <w:r w:rsidRPr="00B97E44">
        <w:rPr>
          <w:rFonts w:hint="cs"/>
          <w:rtl/>
        </w:rPr>
        <w:t xml:space="preserve"> </w:t>
      </w:r>
      <w:r w:rsidRPr="00B97E44">
        <w:rPr>
          <w:rtl/>
        </w:rPr>
        <w:t xml:space="preserve">משמעותי </w:t>
      </w:r>
      <w:r w:rsidRPr="00B97E44">
        <w:rPr>
          <w:rFonts w:hint="cs"/>
          <w:rtl/>
        </w:rPr>
        <w:t>למועצה האזורית</w:t>
      </w:r>
      <w:r w:rsidRPr="00B97E44">
        <w:rPr>
          <w:rtl/>
        </w:rPr>
        <w:t xml:space="preserve"> </w:t>
      </w:r>
      <w:r w:rsidRPr="00B97E44">
        <w:rPr>
          <w:b/>
          <w:bCs/>
          <w:rtl/>
        </w:rPr>
        <w:t>אשכול</w:t>
      </w:r>
      <w:r w:rsidRPr="00B97E44">
        <w:rPr>
          <w:rtl/>
        </w:rPr>
        <w:t>.</w:t>
      </w:r>
      <w:r w:rsidRPr="00B97E44">
        <w:rPr>
          <w:rFonts w:hint="cs"/>
          <w:rtl/>
        </w:rPr>
        <w:t xml:space="preserve"> לעניין שיעור האיוש של העובדים הסוציאליים ברשויות המקומיות בחבל </w:t>
      </w:r>
      <w:r>
        <w:rPr>
          <w:rFonts w:hint="cs"/>
          <w:rtl/>
        </w:rPr>
        <w:t>ה</w:t>
      </w:r>
      <w:r w:rsidRPr="00B97E44">
        <w:rPr>
          <w:rFonts w:hint="cs"/>
          <w:rtl/>
        </w:rPr>
        <w:t xml:space="preserve">תקומה ציין משרד הרווחה כי גיוס העובדים לעת הזו עומד ביעד שהציבו. המשרד ציין כי </w:t>
      </w:r>
      <w:r w:rsidRPr="00B97E44">
        <w:rPr>
          <w:rtl/>
        </w:rPr>
        <w:t xml:space="preserve">במטרה לסייע לרשויות </w:t>
      </w:r>
      <w:r w:rsidRPr="00B97E44">
        <w:rPr>
          <w:rFonts w:hint="cs"/>
          <w:rtl/>
        </w:rPr>
        <w:t>חבל ה</w:t>
      </w:r>
      <w:r w:rsidRPr="00B97E44">
        <w:rPr>
          <w:rtl/>
        </w:rPr>
        <w:t xml:space="preserve">תקומה בגיוס עובדים, </w:t>
      </w:r>
      <w:r w:rsidRPr="00B97E44">
        <w:rPr>
          <w:rFonts w:hint="cs"/>
          <w:rtl/>
        </w:rPr>
        <w:t xml:space="preserve">הוא </w:t>
      </w:r>
      <w:r w:rsidRPr="00B97E44">
        <w:rPr>
          <w:rtl/>
        </w:rPr>
        <w:t>מימן ת</w:t>
      </w:r>
      <w:r w:rsidRPr="00B97E44">
        <w:rPr>
          <w:rFonts w:hint="cs"/>
          <w:rtl/>
        </w:rPr>
        <w:t>ו</w:t>
      </w:r>
      <w:r w:rsidRPr="00B97E44">
        <w:rPr>
          <w:rtl/>
        </w:rPr>
        <w:t>כנית התומכת</w:t>
      </w:r>
      <w:r w:rsidRPr="00B97E44">
        <w:rPr>
          <w:rFonts w:hint="cs"/>
          <w:rtl/>
        </w:rPr>
        <w:t xml:space="preserve"> ב</w:t>
      </w:r>
      <w:r w:rsidRPr="00B97E44">
        <w:rPr>
          <w:rtl/>
        </w:rPr>
        <w:t>תהליכי גיוס ו</w:t>
      </w:r>
      <w:r w:rsidRPr="00B97E44">
        <w:rPr>
          <w:rFonts w:hint="cs"/>
          <w:rtl/>
        </w:rPr>
        <w:t>עד כה גויסו ארבעה</w:t>
      </w:r>
      <w:r w:rsidRPr="00B97E44">
        <w:rPr>
          <w:rtl/>
        </w:rPr>
        <w:t xml:space="preserve"> עובדים </w:t>
      </w:r>
      <w:r w:rsidRPr="00B97E44">
        <w:rPr>
          <w:rFonts w:hint="cs"/>
          <w:rtl/>
        </w:rPr>
        <w:t>במסגרתה.</w:t>
      </w:r>
      <w:r w:rsidRPr="00B97E44">
        <w:rPr>
          <w:rFonts w:ascii="David" w:hAnsi="David"/>
          <w:sz w:val="24"/>
          <w:rtl/>
        </w:rPr>
        <w:t xml:space="preserve"> לגבי הצפיפות במחלקה, </w:t>
      </w:r>
      <w:r w:rsidRPr="00B97E44">
        <w:rPr>
          <w:rFonts w:ascii="David" w:hAnsi="David" w:hint="eastAsia"/>
          <w:sz w:val="24"/>
          <w:rtl/>
        </w:rPr>
        <w:t>מסר</w:t>
      </w:r>
      <w:r w:rsidRPr="00B97E44">
        <w:rPr>
          <w:rFonts w:ascii="David" w:hAnsi="David"/>
          <w:sz w:val="24"/>
          <w:rtl/>
        </w:rPr>
        <w:t xml:space="preserve"> המשרד כי לאור הגידול המשמעותי בכמות העובדים</w:t>
      </w:r>
      <w:r w:rsidRPr="00B97E44">
        <w:rPr>
          <w:rFonts w:ascii="David" w:hAnsi="David"/>
          <w:sz w:val="24"/>
        </w:rPr>
        <w:t>,</w:t>
      </w:r>
      <w:r w:rsidRPr="00B97E44">
        <w:rPr>
          <w:rFonts w:ascii="David" w:hAnsi="David"/>
          <w:sz w:val="24"/>
          <w:rtl/>
        </w:rPr>
        <w:t xml:space="preserve"> יורחב מבנה המחלקה וכי המשרד </w:t>
      </w:r>
      <w:r w:rsidRPr="00B97E44">
        <w:rPr>
          <w:rFonts w:ascii="David" w:hAnsi="David"/>
          <w:sz w:val="24"/>
          <w:rtl/>
        </w:rPr>
        <w:t>ומינהלת</w:t>
      </w:r>
      <w:r w:rsidRPr="00B97E44">
        <w:rPr>
          <w:rFonts w:ascii="David" w:hAnsi="David"/>
          <w:sz w:val="24"/>
          <w:rtl/>
        </w:rPr>
        <w:t xml:space="preserve"> תקומה הקצו תקציבים</w:t>
      </w:r>
      <w:r w:rsidRPr="00B97E44">
        <w:rPr>
          <w:sz w:val="24"/>
          <w:rtl/>
        </w:rPr>
        <w:t xml:space="preserve"> לכך</w:t>
      </w:r>
      <w:r w:rsidRPr="00B97E44">
        <w:rPr>
          <w:rFonts w:hint="cs"/>
          <w:sz w:val="24"/>
          <w:rtl/>
        </w:rPr>
        <w:t xml:space="preserve"> ותוכניות הבינוי בתהליכי אישור</w:t>
      </w:r>
      <w:r w:rsidRPr="00B97E44">
        <w:rPr>
          <w:rFonts w:hint="cs"/>
          <w:rtl/>
        </w:rPr>
        <w:t>.</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המועצה האזורית </w:t>
      </w:r>
      <w:r w:rsidRPr="00B97E44">
        <w:rPr>
          <w:rFonts w:hint="eastAsia"/>
          <w:b/>
          <w:bCs/>
          <w:rtl/>
        </w:rPr>
        <w:t>אשכול</w:t>
      </w:r>
      <w:r w:rsidRPr="00B97E44">
        <w:rPr>
          <w:rFonts w:hint="cs"/>
          <w:rtl/>
        </w:rPr>
        <w:t xml:space="preserve"> מסרה בתשובתה כי בסופו של דבר קיבלה תוספת של 30 תקנים לעובדים סוציאליים ושלושה תקני אדמיניסטרצי</w:t>
      </w:r>
      <w:r w:rsidRPr="00B97E44">
        <w:rPr>
          <w:rFonts w:hint="eastAsia"/>
          <w:rtl/>
        </w:rPr>
        <w:t>ה</w:t>
      </w:r>
      <w:r w:rsidRPr="00B97E44">
        <w:rPr>
          <w:rFonts w:hint="cs"/>
          <w:rtl/>
        </w:rPr>
        <w:t xml:space="preserve">. עוד ציינה כי מכיוון שבקשתה להעניק תמריצים ייחודים לעובדים סוציאליים שיגיעו לעבוד במועצה לא נענתה, עובדים רבים העדיפו לעבוד באזור שדרות, שנגיש יותר, ולא ביישובי המועצה הפריפריאליים. לעניין השירות הסוציאלי שניתן בקיבוץ חולית ציינה המועצה כי עד תחילת עבודתה של </w:t>
      </w:r>
      <w:r w:rsidRPr="00B97E44">
        <w:rPr>
          <w:rFonts w:hint="cs"/>
          <w:rtl/>
        </w:rPr>
        <w:t>העו"סית</w:t>
      </w:r>
      <w:r w:rsidRPr="00B97E44">
        <w:rPr>
          <w:rFonts w:hint="cs"/>
          <w:rtl/>
        </w:rPr>
        <w:t>, את הקיבוץ ליוותה סטודנטית לעבודה סוציאלית בהנחיית עובדת סוציאלית בכירה וכי העובדת הסוציאלית גויסה במהלך ספטמבר אך החלה בעבודתה מאוחר יותר בשל חגי תשרי. אשר לשכר שהוסיף לה קיבוץ חולית, ציינה המועצה כי הוא נעשה טרם קבלת תמריצים נוספים ממשרד הרווחה. בהתייחס לתדירות הביקורים בקיבוץ אחר מסרה המועצה כי היא מונה 32 יישובים וזו תדירות הביקורים שהתקינה הנוכחית מאפשרת.</w:t>
      </w:r>
    </w:p>
    <w:p w:rsidR="005B126E" w:rsidP="001916A9">
      <w:pPr>
        <w:spacing w:line="269" w:lineRule="auto"/>
        <w:rPr>
          <w:rtl/>
        </w:rPr>
      </w:pPr>
    </w:p>
    <w:p w:rsidR="005B126E" w:rsidRPr="00B97E44" w:rsidP="001916A9">
      <w:pPr>
        <w:spacing w:line="269" w:lineRule="auto"/>
      </w:pPr>
      <w:r w:rsidRPr="00B97E44">
        <w:rPr>
          <w:rFonts w:hint="cs"/>
          <w:rtl/>
        </w:rPr>
        <w:t xml:space="preserve">המועצה האזורית </w:t>
      </w:r>
      <w:r w:rsidRPr="00B97E44">
        <w:rPr>
          <w:rFonts w:hint="eastAsia"/>
          <w:b/>
          <w:bCs/>
          <w:rtl/>
        </w:rPr>
        <w:t>שער</w:t>
      </w:r>
      <w:r w:rsidRPr="00B97E44">
        <w:rPr>
          <w:b/>
          <w:bCs/>
          <w:rtl/>
        </w:rPr>
        <w:t xml:space="preserve"> </w:t>
      </w:r>
      <w:r w:rsidRPr="00B97E44">
        <w:rPr>
          <w:rFonts w:hint="eastAsia"/>
          <w:b/>
          <w:bCs/>
          <w:rtl/>
        </w:rPr>
        <w:t>הנגב</w:t>
      </w:r>
      <w:r w:rsidRPr="00B97E44">
        <w:rPr>
          <w:rFonts w:hint="cs"/>
          <w:rtl/>
        </w:rPr>
        <w:t xml:space="preserve"> מסרה למשרד מבקר המדינה כי נכון לנובמבר 2025</w:t>
      </w:r>
      <w:r w:rsidRPr="00B97E44">
        <w:rPr>
          <w:rtl/>
        </w:rPr>
        <w:t xml:space="preserve"> האיוש </w:t>
      </w:r>
      <w:r w:rsidRPr="00B97E44">
        <w:rPr>
          <w:rFonts w:hint="cs"/>
          <w:rtl/>
        </w:rPr>
        <w:t xml:space="preserve">של העובדים הסוציאליים במועצה </w:t>
      </w:r>
      <w:r w:rsidRPr="00B97E44">
        <w:rPr>
          <w:rtl/>
        </w:rPr>
        <w:t>עומד</w:t>
      </w:r>
      <w:r w:rsidRPr="00B97E44">
        <w:rPr>
          <w:rFonts w:hint="cs"/>
          <w:rtl/>
        </w:rPr>
        <w:t xml:space="preserve"> על כ-90%.</w:t>
      </w:r>
    </w:p>
    <w:p w:rsidR="005B126E" w:rsidP="001916A9">
      <w:pPr>
        <w:spacing w:line="269" w:lineRule="auto"/>
        <w:rPr>
          <w:b/>
          <w:bCs/>
          <w:rtl/>
        </w:rPr>
      </w:pPr>
    </w:p>
    <w:p w:rsidR="005B126E" w:rsidRPr="00B97E44" w:rsidP="001916A9">
      <w:pPr>
        <w:spacing w:line="269" w:lineRule="auto"/>
        <w:rPr>
          <w:b/>
          <w:bCs/>
          <w:rtl/>
        </w:rPr>
      </w:pPr>
      <w:r w:rsidRPr="00B97E44">
        <w:rPr>
          <w:rFonts w:hint="cs"/>
          <w:b/>
          <w:bCs/>
          <w:rtl/>
        </w:rPr>
        <w:t>לפי היעדים שקבעו מינהלת תקומה ומשרד הרווחה, בשנת 2028, בשלהי פעילותה של מינהלת תקומה, אמורים להגיע לשיא התקינה של העובדים הסוציאליים - יעד של 92%. ואולם עם סיום פעילותה של מינהלת תקומה יסתיים גם המימון של תקני תקומה לעובדים סוציאליים וייווצ</w:t>
      </w:r>
      <w:r w:rsidRPr="00B97E44">
        <w:rPr>
          <w:rFonts w:hint="eastAsia"/>
          <w:b/>
          <w:bCs/>
          <w:rtl/>
        </w:rPr>
        <w:t>ר</w:t>
      </w:r>
      <w:r w:rsidRPr="00B97E44">
        <w:rPr>
          <w:rFonts w:hint="cs"/>
          <w:b/>
          <w:bCs/>
          <w:rtl/>
        </w:rPr>
        <w:t xml:space="preserve"> פער גדול במחלקות לשירותים חברתיים שהרשויות המקומיות יידרשו לגשר עליו מתקציבן.</w:t>
      </w:r>
    </w:p>
    <w:p w:rsidR="005B126E" w:rsidP="001916A9">
      <w:pPr>
        <w:spacing w:line="269" w:lineRule="auto"/>
        <w:rPr>
          <w:b/>
          <w:bCs/>
          <w:rtl/>
        </w:rPr>
      </w:pPr>
    </w:p>
    <w:p w:rsidR="005B126E" w:rsidRPr="00B97E44" w:rsidP="001916A9">
      <w:pPr>
        <w:spacing w:line="269" w:lineRule="auto"/>
        <w:rPr>
          <w:b/>
          <w:bCs/>
          <w:rtl/>
        </w:rPr>
      </w:pPr>
      <w:r w:rsidRPr="00B97E44">
        <w:rPr>
          <w:rFonts w:hint="cs"/>
          <w:b/>
          <w:bCs/>
          <w:rtl/>
        </w:rPr>
        <w:t xml:space="preserve">משרד מבקר המדינה ממליץ למועצות האזוריות אשכול, חוף אשקלון, שדות נגב ושער הנגב ולעיריית שדרות להיערך כבר עתה בשיתוף משרד הרווחה </w:t>
      </w:r>
      <w:r w:rsidRPr="00B97E44">
        <w:rPr>
          <w:rFonts w:hint="cs"/>
          <w:b/>
          <w:bCs/>
          <w:rtl/>
        </w:rPr>
        <w:t>ומינהלת</w:t>
      </w:r>
      <w:r w:rsidRPr="00B97E44">
        <w:rPr>
          <w:rFonts w:hint="cs"/>
          <w:b/>
          <w:bCs/>
          <w:rtl/>
        </w:rPr>
        <w:t xml:space="preserve"> תקומה לפערי התקצוב של תקינת העובדים הסוציאליים הצפויים להיווצר עם סיום תוכנית החומש ולתכנן את המבנה הארגוני של המחלקות לשירותים חברתיים כך שהשירות לתושבים לא ייפגע עם סיום פעילותה של מינהלת תקומה.</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מינהלת תקומה מסרה בתשובתה כי היא פועלת בשיתוף הגורמים הרלוונטיים במשרד הרווחה וברשויות המקומיות כדי להטמיע את התקנים במחלקות לשירותים חברתיים ברשויות חבל </w:t>
      </w:r>
      <w:r>
        <w:rPr>
          <w:rFonts w:hint="cs"/>
          <w:rtl/>
        </w:rPr>
        <w:t>ה</w:t>
      </w:r>
      <w:r w:rsidRPr="00B97E44">
        <w:rPr>
          <w:rFonts w:hint="cs"/>
          <w:rtl/>
        </w:rPr>
        <w:t>תקומה גם לאחר תום תוכנית החומש.</w:t>
      </w:r>
    </w:p>
    <w:p w:rsidR="005B126E" w:rsidP="001916A9">
      <w:pPr>
        <w:spacing w:line="269" w:lineRule="auto"/>
        <w:rPr>
          <w:rtl/>
        </w:rPr>
      </w:pPr>
    </w:p>
    <w:p w:rsidR="005B126E" w:rsidRPr="00B97E44" w:rsidP="001916A9">
      <w:pPr>
        <w:spacing w:line="269" w:lineRule="auto"/>
      </w:pPr>
      <w:r w:rsidRPr="00B97E44">
        <w:rPr>
          <w:rFonts w:hint="cs"/>
          <w:rtl/>
        </w:rPr>
        <w:t xml:space="preserve">המועצה האזורית </w:t>
      </w:r>
      <w:r w:rsidRPr="00B97E44">
        <w:rPr>
          <w:rFonts w:hint="eastAsia"/>
          <w:b/>
          <w:bCs/>
          <w:rtl/>
        </w:rPr>
        <w:t>אשכול</w:t>
      </w:r>
      <w:r w:rsidRPr="00B97E44">
        <w:rPr>
          <w:rFonts w:hint="cs"/>
          <w:rtl/>
        </w:rPr>
        <w:t xml:space="preserve"> הדגישה בתשובתה כי תוכנית למשך חמש שנים לא תספיק למילוי הצרכים הסוציאליים של המועצה.</w:t>
      </w:r>
    </w:p>
    <w:p w:rsidR="005B126E" w:rsidP="001916A9">
      <w:pPr>
        <w:spacing w:line="269" w:lineRule="auto"/>
        <w:rPr>
          <w:rtl/>
        </w:rPr>
      </w:pPr>
    </w:p>
    <w:p w:rsidR="005B126E" w:rsidRPr="00B97E44" w:rsidP="001916A9">
      <w:pPr>
        <w:spacing w:line="269" w:lineRule="auto"/>
        <w:rPr>
          <w:rFonts w:ascii="David" w:hAnsi="David"/>
          <w:color w:val="000000" w:themeColor="text1"/>
          <w:rtl/>
        </w:rPr>
      </w:pPr>
      <w:r w:rsidRPr="00B97E44">
        <w:rPr>
          <w:rFonts w:hint="cs"/>
          <w:rtl/>
        </w:rPr>
        <w:t xml:space="preserve">עיריית </w:t>
      </w:r>
      <w:r w:rsidRPr="00B97E44">
        <w:rPr>
          <w:rFonts w:hint="eastAsia"/>
          <w:b/>
          <w:bCs/>
          <w:rtl/>
        </w:rPr>
        <w:t>שדרות</w:t>
      </w:r>
      <w:r w:rsidRPr="00B97E44">
        <w:rPr>
          <w:rFonts w:hint="cs"/>
          <w:rtl/>
        </w:rPr>
        <w:t xml:space="preserve"> מסרה בתשובתה למשרד מבקר המדינה כי </w:t>
      </w:r>
      <w:r w:rsidRPr="00B97E44">
        <w:rPr>
          <w:rFonts w:ascii="David" w:hAnsi="David"/>
          <w:color w:val="000000" w:themeColor="text1"/>
          <w:rtl/>
        </w:rPr>
        <w:t>נכון ל</w:t>
      </w:r>
      <w:r w:rsidRPr="00B97E44">
        <w:rPr>
          <w:rFonts w:ascii="David" w:hAnsi="David" w:hint="eastAsia"/>
          <w:color w:val="000000" w:themeColor="text1"/>
          <w:rtl/>
        </w:rPr>
        <w:t>נובמבר</w:t>
      </w:r>
      <w:r w:rsidRPr="00B97E44">
        <w:rPr>
          <w:rFonts w:ascii="David" w:hAnsi="David"/>
          <w:color w:val="000000" w:themeColor="text1"/>
          <w:rtl/>
        </w:rPr>
        <w:t xml:space="preserve"> 2025, כלל התקנים מאוישים בשיעור של 100%</w:t>
      </w:r>
      <w:r w:rsidRPr="00B97E44">
        <w:rPr>
          <w:rFonts w:ascii="David" w:hAnsi="David"/>
          <w:color w:val="000000" w:themeColor="text1"/>
        </w:rPr>
        <w:t xml:space="preserve"> </w:t>
      </w:r>
      <w:r w:rsidRPr="00B97E44">
        <w:rPr>
          <w:rFonts w:ascii="David" w:hAnsi="David"/>
          <w:color w:val="000000" w:themeColor="text1"/>
          <w:rtl/>
        </w:rPr>
        <w:t>וזאת הודות לפעולות י</w:t>
      </w:r>
      <w:r w:rsidRPr="00B97E44">
        <w:rPr>
          <w:rFonts w:ascii="David" w:hAnsi="David" w:hint="cs"/>
          <w:color w:val="000000" w:themeColor="text1"/>
          <w:rtl/>
        </w:rPr>
        <w:t>י</w:t>
      </w:r>
      <w:r w:rsidRPr="00B97E44">
        <w:rPr>
          <w:rFonts w:ascii="David" w:hAnsi="David"/>
          <w:color w:val="000000" w:themeColor="text1"/>
          <w:rtl/>
        </w:rPr>
        <w:t>עודיות שבוצעו, לרבות הפעלת מענקי עידוד והתמדה אשר סייעו בגיוסם ושימורם של עובדים מקצועיים</w:t>
      </w:r>
      <w:r w:rsidRPr="00B97E44">
        <w:rPr>
          <w:rFonts w:ascii="David" w:hAnsi="David" w:hint="cs"/>
          <w:color w:val="000000" w:themeColor="text1"/>
          <w:rtl/>
        </w:rPr>
        <w:t xml:space="preserve">. העירייה ציינה כי </w:t>
      </w:r>
      <w:r w:rsidRPr="00B97E44">
        <w:rPr>
          <w:rFonts w:ascii="David" w:hAnsi="David"/>
          <w:color w:val="000000" w:themeColor="text1"/>
          <w:rtl/>
        </w:rPr>
        <w:t>נוכח האתגרים הייחודיים שע</w:t>
      </w:r>
      <w:r w:rsidRPr="00B97E44">
        <w:rPr>
          <w:rFonts w:ascii="David" w:hAnsi="David" w:hint="cs"/>
          <w:color w:val="000000" w:themeColor="text1"/>
          <w:rtl/>
        </w:rPr>
        <w:t>י</w:t>
      </w:r>
      <w:r w:rsidRPr="00B97E44">
        <w:rPr>
          <w:rFonts w:ascii="David" w:hAnsi="David"/>
          <w:color w:val="000000" w:themeColor="text1"/>
          <w:rtl/>
        </w:rPr>
        <w:t>מם מתמודדת העיר שדרות, במיוחד על רקע אירועי החירום המתמשכים, ישנה חשיבות קריטית להמשך חיזוק העיר</w:t>
      </w:r>
      <w:r w:rsidRPr="00B97E44">
        <w:rPr>
          <w:rFonts w:ascii="David" w:hAnsi="David" w:hint="cs"/>
          <w:color w:val="000000" w:themeColor="text1"/>
          <w:rtl/>
        </w:rPr>
        <w:t>ייה</w:t>
      </w:r>
      <w:r w:rsidRPr="00B97E44">
        <w:rPr>
          <w:rFonts w:ascii="David" w:hAnsi="David"/>
          <w:color w:val="000000" w:themeColor="text1"/>
          <w:rtl/>
        </w:rPr>
        <w:t xml:space="preserve"> בתחום הרווחה הן בהמשך התקצוב, הן בשימור תקני כוח האדם והן בהשלמת התשתיות הנדרשות</w:t>
      </w:r>
      <w:r w:rsidRPr="00B97E44">
        <w:rPr>
          <w:rFonts w:ascii="David" w:hAnsi="David"/>
          <w:color w:val="000000" w:themeColor="text1"/>
        </w:rPr>
        <w:t>.</w:t>
      </w:r>
      <w:r w:rsidRPr="00B97E44">
        <w:rPr>
          <w:rFonts w:ascii="David" w:hAnsi="David" w:hint="cs"/>
          <w:color w:val="000000" w:themeColor="text1"/>
          <w:rtl/>
        </w:rPr>
        <w:t xml:space="preserve"> עוד הוסיפה העירייה כי </w:t>
      </w:r>
      <w:r w:rsidRPr="00B97E44">
        <w:rPr>
          <w:rFonts w:ascii="David" w:hAnsi="David"/>
          <w:color w:val="000000" w:themeColor="text1"/>
          <w:rtl/>
        </w:rPr>
        <w:t>תהליכי השיקום הפרטני והקהילתי אינם יכולים להסתיים בתוך מספר שנים מצומצ</w:t>
      </w:r>
      <w:r w:rsidRPr="00B97E44">
        <w:rPr>
          <w:rFonts w:ascii="David" w:hAnsi="David" w:hint="cs"/>
          <w:color w:val="000000" w:themeColor="text1"/>
          <w:rtl/>
        </w:rPr>
        <w:t>ם</w:t>
      </w:r>
      <w:r w:rsidRPr="00B97E44">
        <w:rPr>
          <w:rFonts w:ascii="David" w:hAnsi="David"/>
          <w:color w:val="000000" w:themeColor="text1"/>
        </w:rPr>
        <w:t xml:space="preserve"> </w:t>
      </w:r>
      <w:r w:rsidRPr="00B97E44">
        <w:rPr>
          <w:rFonts w:ascii="David" w:hAnsi="David"/>
          <w:color w:val="000000" w:themeColor="text1"/>
          <w:rtl/>
        </w:rPr>
        <w:t xml:space="preserve">ועל המדינה לוודא כי הרצף </w:t>
      </w:r>
      <w:r w:rsidRPr="00B97E44">
        <w:rPr>
          <w:rFonts w:ascii="David" w:hAnsi="David"/>
          <w:color w:val="000000" w:themeColor="text1"/>
          <w:rtl/>
        </w:rPr>
        <w:t>השירותי</w:t>
      </w:r>
      <w:r w:rsidRPr="00B97E44">
        <w:rPr>
          <w:rFonts w:ascii="David" w:hAnsi="David"/>
          <w:color w:val="000000" w:themeColor="text1"/>
          <w:rtl/>
        </w:rPr>
        <w:t xml:space="preserve"> נשמר, מתוך הבנה שמצב חירום נוסף עלול להתרחש בעתיד ועלינו להיות ערוכים לכך באופן מלא</w:t>
      </w:r>
      <w:r w:rsidRPr="00B97E44">
        <w:rPr>
          <w:rFonts w:ascii="David" w:hAnsi="David"/>
          <w:color w:val="000000" w:themeColor="text1"/>
        </w:rPr>
        <w:t>.</w:t>
      </w:r>
    </w:p>
    <w:p w:rsidR="005B126E" w:rsidRPr="00B97E44" w:rsidP="001916A9">
      <w:pPr>
        <w:spacing w:line="269" w:lineRule="auto"/>
        <w:ind w:left="-567"/>
        <w:rPr>
          <w:szCs w:val="20"/>
          <w:rtl/>
        </w:rPr>
      </w:pPr>
    </w:p>
    <w:p w:rsidR="005D6B60" w:rsidP="001916A9">
      <w:pPr>
        <w:bidi w:val="0"/>
        <w:spacing w:line="269" w:lineRule="auto"/>
        <w:rPr>
          <w:rFonts w:eastAsiaTheme="majorEastAsia"/>
          <w:bCs/>
          <w:spacing w:val="40"/>
          <w:rtl/>
        </w:rPr>
      </w:pPr>
      <w:r>
        <w:rPr>
          <w:rtl/>
        </w:rPr>
        <w:br w:type="page"/>
      </w:r>
    </w:p>
    <w:p w:rsidR="005B126E" w:rsidRPr="00B97E44" w:rsidP="001916A9">
      <w:pPr>
        <w:pStyle w:val="Heading5"/>
        <w:spacing w:line="269" w:lineRule="auto"/>
        <w:rPr>
          <w:rtl/>
        </w:rPr>
      </w:pPr>
      <w:r w:rsidRPr="00B97E44">
        <w:rPr>
          <w:rFonts w:hint="cs"/>
          <w:rtl/>
        </w:rPr>
        <w:t>המבנה והמערך הקהילתיים</w:t>
      </w:r>
    </w:p>
    <w:p w:rsidR="005B126E" w:rsidP="001916A9">
      <w:pPr>
        <w:tabs>
          <w:tab w:val="left" w:pos="8306"/>
        </w:tabs>
        <w:spacing w:line="269" w:lineRule="auto"/>
        <w:rPr>
          <w:rtl/>
        </w:rPr>
      </w:pPr>
    </w:p>
    <w:p w:rsidR="005B126E" w:rsidRPr="00B97E44" w:rsidP="001916A9">
      <w:pPr>
        <w:tabs>
          <w:tab w:val="left" w:pos="8306"/>
        </w:tabs>
        <w:spacing w:line="269" w:lineRule="auto"/>
        <w:rPr>
          <w:rtl/>
        </w:rPr>
      </w:pPr>
      <w:r w:rsidRPr="00B97E44">
        <w:rPr>
          <w:rFonts w:hint="eastAsia"/>
          <w:rtl/>
        </w:rPr>
        <w:t>קהילתיות</w:t>
      </w:r>
      <w:r w:rsidRPr="00B97E44">
        <w:rPr>
          <w:rtl/>
        </w:rPr>
        <w:t xml:space="preserve"> </w:t>
      </w:r>
      <w:r w:rsidRPr="00B97E44">
        <w:rPr>
          <w:rFonts w:hint="cs"/>
          <w:rtl/>
        </w:rPr>
        <w:t xml:space="preserve">היא </w:t>
      </w:r>
      <w:r w:rsidRPr="00B97E44">
        <w:rPr>
          <w:rFonts w:hint="eastAsia"/>
          <w:rtl/>
        </w:rPr>
        <w:t>תשתית</w:t>
      </w:r>
      <w:r w:rsidRPr="00B97E44">
        <w:rPr>
          <w:rtl/>
        </w:rPr>
        <w:t xml:space="preserve"> </w:t>
      </w:r>
      <w:r w:rsidRPr="00B97E44">
        <w:rPr>
          <w:rFonts w:hint="eastAsia"/>
          <w:rtl/>
        </w:rPr>
        <w:t>בסיסית</w:t>
      </w:r>
      <w:r w:rsidRPr="00B97E44">
        <w:rPr>
          <w:rtl/>
        </w:rPr>
        <w:t xml:space="preserve"> </w:t>
      </w:r>
      <w:r w:rsidRPr="00B97E44">
        <w:rPr>
          <w:rFonts w:hint="eastAsia"/>
          <w:rtl/>
        </w:rPr>
        <w:t>לזהותו</w:t>
      </w:r>
      <w:r w:rsidRPr="00B97E44">
        <w:rPr>
          <w:rtl/>
        </w:rPr>
        <w:t xml:space="preserve"> </w:t>
      </w:r>
      <w:r w:rsidRPr="00B97E44">
        <w:rPr>
          <w:rFonts w:hint="eastAsia"/>
          <w:rtl/>
        </w:rPr>
        <w:t>של</w:t>
      </w:r>
      <w:r w:rsidRPr="00B97E44">
        <w:rPr>
          <w:rtl/>
        </w:rPr>
        <w:t xml:space="preserve"> </w:t>
      </w:r>
      <w:r w:rsidRPr="00B97E44">
        <w:rPr>
          <w:rFonts w:hint="eastAsia"/>
          <w:rtl/>
        </w:rPr>
        <w:t>תושב</w:t>
      </w:r>
      <w:r w:rsidRPr="00B97E44">
        <w:rPr>
          <w:rtl/>
        </w:rPr>
        <w:t xml:space="preserve"> </w:t>
      </w:r>
      <w:r w:rsidRPr="00B97E44">
        <w:rPr>
          <w:rFonts w:hint="eastAsia"/>
          <w:rtl/>
        </w:rPr>
        <w:t>ולחיבורו</w:t>
      </w:r>
      <w:r w:rsidRPr="00B97E44">
        <w:rPr>
          <w:rtl/>
        </w:rPr>
        <w:t xml:space="preserve"> </w:t>
      </w:r>
      <w:r w:rsidRPr="00B97E44">
        <w:rPr>
          <w:rFonts w:hint="eastAsia"/>
          <w:rtl/>
        </w:rPr>
        <w:t>למקום</w:t>
      </w:r>
      <w:r w:rsidRPr="00B97E44">
        <w:rPr>
          <w:rtl/>
        </w:rPr>
        <w:t xml:space="preserve"> </w:t>
      </w:r>
      <w:r w:rsidRPr="00B97E44">
        <w:rPr>
          <w:rFonts w:hint="eastAsia"/>
          <w:rtl/>
        </w:rPr>
        <w:t>מגוריו</w:t>
      </w:r>
      <w:r w:rsidRPr="00B97E44">
        <w:rPr>
          <w:rtl/>
        </w:rPr>
        <w:t xml:space="preserve">, </w:t>
      </w:r>
      <w:r w:rsidRPr="00B97E44">
        <w:rPr>
          <w:rFonts w:hint="eastAsia"/>
          <w:rtl/>
        </w:rPr>
        <w:t>לאנשים</w:t>
      </w:r>
      <w:r w:rsidRPr="00B97E44">
        <w:rPr>
          <w:rtl/>
        </w:rPr>
        <w:t xml:space="preserve"> </w:t>
      </w:r>
      <w:r w:rsidRPr="00B97E44">
        <w:rPr>
          <w:rFonts w:hint="eastAsia"/>
          <w:rtl/>
        </w:rPr>
        <w:t>החיים</w:t>
      </w:r>
      <w:r w:rsidRPr="00B97E44">
        <w:rPr>
          <w:rtl/>
        </w:rPr>
        <w:t xml:space="preserve"> </w:t>
      </w:r>
      <w:r w:rsidRPr="00B97E44">
        <w:rPr>
          <w:rFonts w:hint="cs"/>
          <w:rtl/>
        </w:rPr>
        <w:t>ב</w:t>
      </w:r>
      <w:r w:rsidRPr="00B97E44">
        <w:rPr>
          <w:rFonts w:hint="eastAsia"/>
          <w:rtl/>
        </w:rPr>
        <w:t>סביב</w:t>
      </w:r>
      <w:r w:rsidRPr="00B97E44">
        <w:rPr>
          <w:rFonts w:hint="cs"/>
          <w:rtl/>
        </w:rPr>
        <w:t>ת</w:t>
      </w:r>
      <w:r w:rsidRPr="00B97E44">
        <w:rPr>
          <w:rFonts w:hint="eastAsia"/>
          <w:rtl/>
        </w:rPr>
        <w:t>ו</w:t>
      </w:r>
      <w:r w:rsidRPr="00B97E44">
        <w:rPr>
          <w:rtl/>
        </w:rPr>
        <w:t xml:space="preserve"> </w:t>
      </w:r>
      <w:r w:rsidRPr="00B97E44">
        <w:rPr>
          <w:rFonts w:hint="eastAsia"/>
          <w:rtl/>
        </w:rPr>
        <w:t>ולמרחב</w:t>
      </w:r>
      <w:r w:rsidRPr="00B97E44">
        <w:rPr>
          <w:rtl/>
        </w:rPr>
        <w:t xml:space="preserve"> </w:t>
      </w:r>
      <w:r w:rsidRPr="00B97E44">
        <w:rPr>
          <w:rFonts w:hint="cs"/>
          <w:rtl/>
        </w:rPr>
        <w:t>ש</w:t>
      </w:r>
      <w:r w:rsidRPr="00B97E44">
        <w:rPr>
          <w:rFonts w:hint="eastAsia"/>
          <w:rtl/>
        </w:rPr>
        <w:t>בו</w:t>
      </w:r>
      <w:r w:rsidRPr="00B97E44">
        <w:rPr>
          <w:rtl/>
        </w:rPr>
        <w:t xml:space="preserve"> </w:t>
      </w:r>
      <w:r w:rsidRPr="00B97E44">
        <w:rPr>
          <w:rFonts w:hint="eastAsia"/>
          <w:rtl/>
        </w:rPr>
        <w:t>הוא</w:t>
      </w:r>
      <w:r w:rsidRPr="00B97E44">
        <w:rPr>
          <w:rtl/>
        </w:rPr>
        <w:t xml:space="preserve"> </w:t>
      </w:r>
      <w:r w:rsidRPr="00B97E44">
        <w:rPr>
          <w:rFonts w:hint="eastAsia"/>
          <w:rtl/>
        </w:rPr>
        <w:t>חי</w:t>
      </w:r>
      <w:r>
        <w:rPr>
          <w:vertAlign w:val="superscript"/>
          <w:rtl/>
        </w:rPr>
        <w:footnoteReference w:id="70"/>
      </w:r>
      <w:r w:rsidRPr="00B97E44">
        <w:rPr>
          <w:rtl/>
        </w:rPr>
        <w:t>. בעזרת הקהילה ובעשייה בתוך הקהילה נוצרת לאדם הזדמנות להחזיר לעצמו את המשמעות הקיומית המסייעת לו בהתמודדות עם טראומה ואובדן</w:t>
      </w:r>
      <w:r w:rsidRPr="00B97E44">
        <w:rPr>
          <w:rFonts w:hint="cs"/>
          <w:rtl/>
        </w:rPr>
        <w:t xml:space="preserve"> וכן </w:t>
      </w:r>
      <w:r w:rsidRPr="00B97E44">
        <w:rPr>
          <w:rtl/>
        </w:rPr>
        <w:t xml:space="preserve">את תחושת השייכות, </w:t>
      </w:r>
      <w:r w:rsidRPr="00B97E44">
        <w:rPr>
          <w:rFonts w:hint="cs"/>
          <w:rtl/>
        </w:rPr>
        <w:t xml:space="preserve">את </w:t>
      </w:r>
      <w:r w:rsidRPr="00B97E44">
        <w:rPr>
          <w:rtl/>
        </w:rPr>
        <w:t xml:space="preserve">הסולידריות החברתית, </w:t>
      </w:r>
      <w:r w:rsidRPr="00B97E44">
        <w:rPr>
          <w:rFonts w:hint="cs"/>
          <w:rtl/>
        </w:rPr>
        <w:t xml:space="preserve">את </w:t>
      </w:r>
      <w:r w:rsidRPr="00B97E44">
        <w:rPr>
          <w:rtl/>
        </w:rPr>
        <w:t>היציבות,</w:t>
      </w:r>
      <w:r w:rsidRPr="00B97E44">
        <w:rPr>
          <w:rFonts w:hint="cs"/>
          <w:rtl/>
        </w:rPr>
        <w:t xml:space="preserve"> את</w:t>
      </w:r>
      <w:r w:rsidRPr="00B97E44">
        <w:rPr>
          <w:rtl/>
        </w:rPr>
        <w:t xml:space="preserve"> הביטחון</w:t>
      </w:r>
      <w:r w:rsidRPr="00B97E44">
        <w:rPr>
          <w:rFonts w:hint="cs"/>
          <w:rtl/>
        </w:rPr>
        <w:t>,</w:t>
      </w:r>
      <w:r w:rsidRPr="00B97E44">
        <w:rPr>
          <w:rtl/>
        </w:rPr>
        <w:t xml:space="preserve"> </w:t>
      </w:r>
      <w:r w:rsidRPr="00B97E44">
        <w:rPr>
          <w:rFonts w:hint="cs"/>
          <w:rtl/>
        </w:rPr>
        <w:t xml:space="preserve">את </w:t>
      </w:r>
      <w:r w:rsidRPr="00B97E44">
        <w:rPr>
          <w:rtl/>
        </w:rPr>
        <w:t xml:space="preserve">המסוגלות </w:t>
      </w:r>
      <w:r w:rsidRPr="00B97E44">
        <w:rPr>
          <w:rFonts w:hint="cs"/>
          <w:rtl/>
        </w:rPr>
        <w:t xml:space="preserve">ואת </w:t>
      </w:r>
      <w:r w:rsidRPr="00B97E44">
        <w:rPr>
          <w:rtl/>
        </w:rPr>
        <w:t>המנגנונים המוכרים המאפשרים שגרת חיים</w:t>
      </w:r>
      <w:r>
        <w:rPr>
          <w:vertAlign w:val="superscript"/>
          <w:rtl/>
        </w:rPr>
        <w:footnoteReference w:id="71"/>
      </w:r>
      <w:r w:rsidRPr="00B97E44">
        <w:rPr>
          <w:rtl/>
        </w:rPr>
        <w:t>.</w:t>
      </w:r>
    </w:p>
    <w:p w:rsidR="005B126E" w:rsidP="001916A9">
      <w:pPr>
        <w:tabs>
          <w:tab w:val="left" w:pos="8222"/>
          <w:tab w:val="left" w:pos="8448"/>
        </w:tabs>
        <w:spacing w:line="269" w:lineRule="auto"/>
        <w:rPr>
          <w:rtl/>
        </w:rPr>
      </w:pPr>
    </w:p>
    <w:p w:rsidR="005B126E" w:rsidRPr="00B97E44" w:rsidP="001916A9">
      <w:pPr>
        <w:tabs>
          <w:tab w:val="left" w:pos="8222"/>
          <w:tab w:val="left" w:pos="8448"/>
        </w:tabs>
        <w:spacing w:line="269" w:lineRule="auto"/>
        <w:rPr>
          <w:rtl/>
        </w:rPr>
      </w:pPr>
      <w:r w:rsidRPr="00B97E44">
        <w:rPr>
          <w:rFonts w:hint="cs"/>
          <w:rtl/>
        </w:rPr>
        <w:t xml:space="preserve">אחד העקרונות היסודיים של </w:t>
      </w:r>
      <w:r w:rsidRPr="00B97E44">
        <w:rPr>
          <w:rFonts w:ascii="David" w:hAnsi="David" w:hint="cs"/>
          <w:rtl/>
        </w:rPr>
        <w:t>"בנייה מחדש טוב יותר" (</w:t>
      </w:r>
      <w:r w:rsidRPr="00B97E44">
        <w:rPr>
          <w:rFonts w:ascii="David" w:hAnsi="David"/>
        </w:rPr>
        <w:t>Build Back Better</w:t>
      </w:r>
      <w:r w:rsidRPr="00B97E44">
        <w:rPr>
          <w:rFonts w:ascii="David" w:hAnsi="David" w:hint="cs"/>
          <w:rtl/>
        </w:rPr>
        <w:t>)</w:t>
      </w:r>
      <w:r>
        <w:rPr>
          <w:vertAlign w:val="superscript"/>
        </w:rPr>
        <w:footnoteReference w:id="72"/>
      </w:r>
      <w:r w:rsidRPr="00B97E44">
        <w:t xml:space="preserve"> </w:t>
      </w:r>
      <w:r w:rsidRPr="00B97E44">
        <w:rPr>
          <w:rFonts w:hint="cs"/>
          <w:rtl/>
        </w:rPr>
        <w:t>הוא שהקהילה היא המובילה את הליך השיקום ונכון שסדרי העדיפויות ייקבעו "מלמטה למעלה" ושהתושבים יהיו מעורבים בתהליכי קבלת ההחלטות. ההנחה היא ששיתוף פעיל של התושבים בתכנון ובביצוע של הליכי השיקום יסייע גם בבניית החוסן הקהילתי</w:t>
      </w:r>
      <w:r>
        <w:rPr>
          <w:vertAlign w:val="superscript"/>
          <w:rtl/>
        </w:rPr>
        <w:footnoteReference w:id="73"/>
      </w:r>
      <w:r w:rsidRPr="00B97E44">
        <w:rPr>
          <w:rFonts w:hint="cs"/>
          <w:rtl/>
        </w:rPr>
        <w:t xml:space="preserve">. </w:t>
      </w:r>
      <w:r w:rsidRPr="00B97E44">
        <w:rPr>
          <w:rFonts w:hint="eastAsia"/>
          <w:rtl/>
        </w:rPr>
        <w:t>דברים</w:t>
      </w:r>
      <w:r w:rsidRPr="00B97E44">
        <w:rPr>
          <w:rtl/>
        </w:rPr>
        <w:t xml:space="preserve"> אלה </w:t>
      </w:r>
      <w:r w:rsidRPr="00B97E44">
        <w:rPr>
          <w:rFonts w:hint="eastAsia"/>
          <w:rtl/>
        </w:rPr>
        <w:t>רלוונטי</w:t>
      </w:r>
      <w:r w:rsidRPr="00B97E44">
        <w:rPr>
          <w:rFonts w:hint="cs"/>
          <w:rtl/>
        </w:rPr>
        <w:t>י</w:t>
      </w:r>
      <w:r w:rsidRPr="00B97E44">
        <w:rPr>
          <w:rFonts w:hint="eastAsia"/>
          <w:rtl/>
        </w:rPr>
        <w:t>ם</w:t>
      </w:r>
      <w:r w:rsidRPr="00B97E44">
        <w:rPr>
          <w:rtl/>
        </w:rPr>
        <w:t xml:space="preserve"> באופן מובהק למרחב הכפרי אך </w:t>
      </w:r>
      <w:r>
        <w:rPr>
          <w:rFonts w:hint="cs"/>
          <w:rtl/>
        </w:rPr>
        <w:t xml:space="preserve">הם נכונים </w:t>
      </w:r>
      <w:r w:rsidRPr="00B97E44">
        <w:rPr>
          <w:rtl/>
        </w:rPr>
        <w:t xml:space="preserve">גם למרחב העירוני </w:t>
      </w:r>
      <w:r w:rsidRPr="00B97E44">
        <w:rPr>
          <w:rFonts w:hint="cs"/>
          <w:rtl/>
        </w:rPr>
        <w:t>ב</w:t>
      </w:r>
      <w:r w:rsidRPr="00B97E44">
        <w:rPr>
          <w:rtl/>
        </w:rPr>
        <w:t>התאמות הנדרשות. תנאי לקיומה של קהילתיות ה</w:t>
      </w:r>
      <w:r w:rsidRPr="00B97E44">
        <w:rPr>
          <w:rFonts w:hint="cs"/>
          <w:rtl/>
        </w:rPr>
        <w:t xml:space="preserve">וא </w:t>
      </w:r>
      <w:r w:rsidRPr="00B97E44">
        <w:rPr>
          <w:rtl/>
        </w:rPr>
        <w:t>תשתיות, מנגנונים, מסגרות וכלים המבססים אותה</w:t>
      </w:r>
      <w:r>
        <w:rPr>
          <w:vertAlign w:val="superscript"/>
          <w:rtl/>
        </w:rPr>
        <w:footnoteReference w:id="74"/>
      </w:r>
      <w:r w:rsidRPr="00B97E44">
        <w:rPr>
          <w:rFonts w:hint="cs"/>
          <w:rtl/>
        </w:rPr>
        <w:t>.</w:t>
      </w:r>
      <w:r w:rsidRPr="00B97E44">
        <w:rPr>
          <w:rtl/>
        </w:rPr>
        <w:t xml:space="preserve"> </w:t>
      </w:r>
    </w:p>
    <w:p w:rsidR="005B126E" w:rsidP="001916A9">
      <w:pPr>
        <w:spacing w:line="269" w:lineRule="auto"/>
        <w:ind w:right="-142"/>
        <w:rPr>
          <w:szCs w:val="20"/>
          <w:rtl/>
        </w:rPr>
      </w:pPr>
    </w:p>
    <w:p w:rsidR="005B126E" w:rsidRPr="00B97E44" w:rsidP="001916A9">
      <w:pPr>
        <w:spacing w:line="269" w:lineRule="auto"/>
        <w:ind w:right="-142"/>
        <w:rPr>
          <w:rFonts w:ascii="David" w:hAnsi="David"/>
          <w:rtl/>
        </w:rPr>
      </w:pPr>
      <w:r w:rsidRPr="00B97E44">
        <w:rPr>
          <w:rtl/>
        </w:rPr>
        <w:t>צ</w:t>
      </w:r>
      <w:r w:rsidRPr="00B97E44">
        <w:rPr>
          <w:rFonts w:hint="cs"/>
          <w:rtl/>
        </w:rPr>
        <w:t>ו</w:t>
      </w:r>
      <w:r w:rsidRPr="00B97E44">
        <w:rPr>
          <w:rtl/>
        </w:rPr>
        <w:t>רכי הקהילות הם רבים, שונים ומשתנים, וכך גם כוחותיהן. תהליך השיקום האישי והקהילתי צפוי להיות ארוך וייחודי לכל קהילה</w:t>
      </w:r>
      <w:r w:rsidRPr="00B97E44">
        <w:rPr>
          <w:rFonts w:hint="cs"/>
          <w:rtl/>
        </w:rPr>
        <w:t xml:space="preserve"> וקהילה</w:t>
      </w:r>
      <w:r>
        <w:rPr>
          <w:vertAlign w:val="superscript"/>
          <w:rtl/>
        </w:rPr>
        <w:footnoteReference w:id="75"/>
      </w:r>
      <w:r w:rsidRPr="00B97E44">
        <w:rPr>
          <w:rtl/>
        </w:rPr>
        <w:t>.</w:t>
      </w:r>
      <w:r w:rsidRPr="00B97E44">
        <w:rPr>
          <w:rFonts w:hint="cs"/>
          <w:rtl/>
        </w:rPr>
        <w:t xml:space="preserve"> </w:t>
      </w:r>
      <w:r w:rsidRPr="00B97E44">
        <w:rPr>
          <w:rFonts w:ascii="David" w:hAnsi="David" w:hint="eastAsia"/>
          <w:rtl/>
        </w:rPr>
        <w:t>בדוח</w:t>
      </w:r>
      <w:r w:rsidRPr="00B97E44">
        <w:rPr>
          <w:rFonts w:ascii="David" w:hAnsi="David"/>
          <w:rtl/>
        </w:rPr>
        <w:t xml:space="preserve"> </w:t>
      </w:r>
      <w:r w:rsidRPr="00B97E44">
        <w:rPr>
          <w:rFonts w:ascii="David" w:hAnsi="David" w:hint="eastAsia"/>
          <w:rtl/>
        </w:rPr>
        <w:t>ועדת</w:t>
      </w:r>
      <w:r w:rsidRPr="00B97E44">
        <w:rPr>
          <w:rFonts w:ascii="David" w:hAnsi="David"/>
          <w:rtl/>
        </w:rPr>
        <w:t xml:space="preserve"> </w:t>
      </w:r>
      <w:r w:rsidRPr="00B97E44">
        <w:rPr>
          <w:rFonts w:ascii="David" w:hAnsi="David" w:hint="eastAsia"/>
          <w:rtl/>
        </w:rPr>
        <w:t>החקירה</w:t>
      </w:r>
      <w:r w:rsidRPr="00B97E44">
        <w:rPr>
          <w:rFonts w:ascii="David" w:hAnsi="David"/>
          <w:rtl/>
        </w:rPr>
        <w:t xml:space="preserve"> </w:t>
      </w:r>
      <w:r w:rsidRPr="00B97E44">
        <w:rPr>
          <w:rFonts w:ascii="David" w:hAnsi="David" w:hint="eastAsia"/>
          <w:rtl/>
        </w:rPr>
        <w:t>הממלכתית</w:t>
      </w:r>
      <w:r w:rsidRPr="00B97E44">
        <w:rPr>
          <w:rFonts w:ascii="David" w:hAnsi="David"/>
          <w:rtl/>
        </w:rPr>
        <w:t xml:space="preserve"> </w:t>
      </w:r>
      <w:r w:rsidRPr="00B97E44">
        <w:rPr>
          <w:rFonts w:ascii="David" w:hAnsi="David" w:hint="cs"/>
          <w:rtl/>
        </w:rPr>
        <w:t>ב</w:t>
      </w:r>
      <w:r w:rsidRPr="00B97E44">
        <w:rPr>
          <w:rFonts w:ascii="David" w:hAnsi="David"/>
          <w:rtl/>
        </w:rPr>
        <w:t xml:space="preserve">עניין ההתנתקות עלה </w:t>
      </w:r>
      <w:r w:rsidRPr="00B97E44">
        <w:rPr>
          <w:rFonts w:ascii="David" w:hAnsi="David" w:hint="cs"/>
          <w:rtl/>
        </w:rPr>
        <w:t>כי השיקום הקהילתי הוא תהליך סבוך ומורכב הדורש היערכות מדוקדקת ומותאמת לאוכלוסייה ומחייב מערך תמיכה קהילתי מקצועי לליווי המפונים העוסק גם בהסרת מכשולים וקשיים מוסדיים, חוקיים ותרבותיים</w:t>
      </w:r>
      <w:r>
        <w:rPr>
          <w:rFonts w:ascii="David" w:hAnsi="David"/>
          <w:vertAlign w:val="superscript"/>
          <w:rtl/>
        </w:rPr>
        <w:footnoteReference w:id="76"/>
      </w:r>
      <w:r w:rsidRPr="00B97E44">
        <w:rPr>
          <w:rFonts w:ascii="David" w:hAnsi="David" w:hint="cs"/>
          <w:rtl/>
        </w:rPr>
        <w:t xml:space="preserve">. לפי הדוח, </w:t>
      </w:r>
      <w:r w:rsidRPr="00B97E44">
        <w:rPr>
          <w:rFonts w:ascii="David" w:hAnsi="David" w:hint="eastAsia"/>
          <w:rtl/>
        </w:rPr>
        <w:t>השוני</w:t>
      </w:r>
      <w:r w:rsidRPr="00B97E44">
        <w:rPr>
          <w:rFonts w:ascii="David" w:hAnsi="David"/>
          <w:rtl/>
        </w:rPr>
        <w:t xml:space="preserve"> </w:t>
      </w:r>
      <w:r w:rsidRPr="00B97E44">
        <w:rPr>
          <w:rFonts w:ascii="David" w:hAnsi="David" w:hint="eastAsia"/>
          <w:rtl/>
        </w:rPr>
        <w:t>בין</w:t>
      </w:r>
      <w:r w:rsidRPr="00B97E44">
        <w:rPr>
          <w:rFonts w:ascii="David" w:hAnsi="David"/>
          <w:rtl/>
        </w:rPr>
        <w:t xml:space="preserve"> </w:t>
      </w:r>
      <w:r w:rsidRPr="00B97E44">
        <w:rPr>
          <w:rFonts w:ascii="David" w:hAnsi="David" w:hint="eastAsia"/>
          <w:rtl/>
        </w:rPr>
        <w:t>קהילות</w:t>
      </w:r>
      <w:r w:rsidRPr="00B97E44">
        <w:rPr>
          <w:rFonts w:ascii="David" w:hAnsi="David"/>
          <w:rtl/>
        </w:rPr>
        <w:t xml:space="preserve"> </w:t>
      </w:r>
      <w:r w:rsidRPr="00B97E44">
        <w:rPr>
          <w:rFonts w:ascii="David" w:hAnsi="David" w:hint="eastAsia"/>
          <w:rtl/>
        </w:rPr>
        <w:t>שגילו</w:t>
      </w:r>
      <w:r w:rsidRPr="00B97E44">
        <w:rPr>
          <w:rFonts w:ascii="David" w:hAnsi="David"/>
          <w:rtl/>
        </w:rPr>
        <w:t xml:space="preserve"> </w:t>
      </w:r>
      <w:r w:rsidRPr="00B97E44">
        <w:rPr>
          <w:rFonts w:ascii="David" w:hAnsi="David" w:hint="eastAsia"/>
          <w:rtl/>
        </w:rPr>
        <w:t>חוסן</w:t>
      </w:r>
      <w:r w:rsidRPr="00B97E44">
        <w:rPr>
          <w:rFonts w:ascii="David" w:hAnsi="David"/>
          <w:rtl/>
        </w:rPr>
        <w:t xml:space="preserve"> </w:t>
      </w:r>
      <w:r w:rsidRPr="00B97E44">
        <w:rPr>
          <w:rFonts w:ascii="David" w:hAnsi="David" w:hint="eastAsia"/>
          <w:rtl/>
        </w:rPr>
        <w:t>ובין</w:t>
      </w:r>
      <w:r w:rsidRPr="00B97E44">
        <w:rPr>
          <w:rFonts w:ascii="David" w:hAnsi="David"/>
          <w:rtl/>
        </w:rPr>
        <w:t xml:space="preserve"> </w:t>
      </w:r>
      <w:r w:rsidRPr="00B97E44">
        <w:rPr>
          <w:rFonts w:ascii="David" w:hAnsi="David" w:hint="eastAsia"/>
          <w:rtl/>
        </w:rPr>
        <w:t>שאר</w:t>
      </w:r>
      <w:r w:rsidRPr="00B97E44">
        <w:rPr>
          <w:rFonts w:ascii="David" w:hAnsi="David"/>
          <w:rtl/>
        </w:rPr>
        <w:t xml:space="preserve"> </w:t>
      </w:r>
      <w:r w:rsidRPr="00B97E44">
        <w:rPr>
          <w:rFonts w:ascii="David" w:hAnsi="David" w:hint="eastAsia"/>
          <w:rtl/>
        </w:rPr>
        <w:t>הקהילות</w:t>
      </w:r>
      <w:r w:rsidRPr="00B97E44">
        <w:rPr>
          <w:rFonts w:ascii="David" w:hAnsi="David"/>
          <w:rtl/>
        </w:rPr>
        <w:t xml:space="preserve"> </w:t>
      </w:r>
      <w:r w:rsidRPr="00B97E44">
        <w:rPr>
          <w:rFonts w:ascii="David" w:hAnsi="David" w:hint="eastAsia"/>
          <w:rtl/>
        </w:rPr>
        <w:t>השפיע</w:t>
      </w:r>
      <w:r w:rsidRPr="00B97E44">
        <w:rPr>
          <w:rFonts w:ascii="David" w:hAnsi="David"/>
          <w:rtl/>
        </w:rPr>
        <w:t xml:space="preserve"> </w:t>
      </w:r>
      <w:r w:rsidRPr="00B97E44">
        <w:rPr>
          <w:rFonts w:ascii="David" w:hAnsi="David" w:hint="cs"/>
          <w:rtl/>
        </w:rPr>
        <w:t xml:space="preserve">דרמטית </w:t>
      </w:r>
      <w:r w:rsidRPr="00B97E44">
        <w:rPr>
          <w:rFonts w:ascii="David" w:hAnsi="David" w:hint="eastAsia"/>
          <w:rtl/>
        </w:rPr>
        <w:t>על</w:t>
      </w:r>
      <w:r w:rsidRPr="00B97E44">
        <w:rPr>
          <w:rFonts w:ascii="David" w:hAnsi="David"/>
          <w:rtl/>
        </w:rPr>
        <w:t xml:space="preserve"> </w:t>
      </w:r>
      <w:r w:rsidRPr="00B97E44">
        <w:rPr>
          <w:rFonts w:ascii="David" w:hAnsi="David" w:hint="eastAsia"/>
          <w:rtl/>
        </w:rPr>
        <w:t>השיקום</w:t>
      </w:r>
      <w:r w:rsidRPr="00B97E44">
        <w:rPr>
          <w:rFonts w:ascii="David" w:hAnsi="David"/>
          <w:rtl/>
        </w:rPr>
        <w:t xml:space="preserve">, </w:t>
      </w:r>
      <w:r w:rsidRPr="00B97E44">
        <w:rPr>
          <w:rFonts w:ascii="David" w:hAnsi="David" w:hint="eastAsia"/>
          <w:rtl/>
        </w:rPr>
        <w:t>קצבו</w:t>
      </w:r>
      <w:r w:rsidRPr="00B97E44">
        <w:rPr>
          <w:rFonts w:ascii="David" w:hAnsi="David"/>
          <w:rtl/>
        </w:rPr>
        <w:t xml:space="preserve"> </w:t>
      </w:r>
      <w:r w:rsidRPr="00B97E44">
        <w:rPr>
          <w:rFonts w:ascii="David" w:hAnsi="David" w:hint="eastAsia"/>
          <w:rtl/>
        </w:rPr>
        <w:t>ואופיו</w:t>
      </w:r>
      <w:r>
        <w:rPr>
          <w:rFonts w:ascii="David" w:hAnsi="David"/>
          <w:vertAlign w:val="superscript"/>
          <w:rtl/>
        </w:rPr>
        <w:footnoteReference w:id="77"/>
      </w:r>
      <w:r w:rsidRPr="00B97E44">
        <w:rPr>
          <w:rFonts w:ascii="David" w:hAnsi="David"/>
          <w:rtl/>
        </w:rPr>
        <w:t xml:space="preserve">. </w:t>
      </w:r>
      <w:r w:rsidRPr="00B97E44">
        <w:rPr>
          <w:rFonts w:hint="eastAsia"/>
          <w:rtl/>
        </w:rPr>
        <w:t>הוועדה</w:t>
      </w:r>
      <w:r w:rsidRPr="00B97E44">
        <w:rPr>
          <w:rtl/>
        </w:rPr>
        <w:t xml:space="preserve"> </w:t>
      </w:r>
      <w:r w:rsidRPr="00B97E44">
        <w:rPr>
          <w:rFonts w:hint="eastAsia"/>
          <w:rtl/>
        </w:rPr>
        <w:t>המליצה</w:t>
      </w:r>
      <w:r w:rsidRPr="00B97E44">
        <w:rPr>
          <w:rtl/>
        </w:rPr>
        <w:t xml:space="preserve"> </w:t>
      </w:r>
      <w:r w:rsidRPr="00B97E44">
        <w:rPr>
          <w:rFonts w:hint="eastAsia"/>
          <w:rtl/>
        </w:rPr>
        <w:t>כי</w:t>
      </w:r>
      <w:r w:rsidRPr="00B97E44">
        <w:rPr>
          <w:rtl/>
        </w:rPr>
        <w:t xml:space="preserve"> </w:t>
      </w:r>
      <w:r w:rsidRPr="00B97E44">
        <w:rPr>
          <w:rFonts w:hint="eastAsia"/>
          <w:rtl/>
        </w:rPr>
        <w:t>במקום</w:t>
      </w:r>
      <w:r w:rsidRPr="00B97E44">
        <w:rPr>
          <w:rtl/>
        </w:rPr>
        <w:t xml:space="preserve"> </w:t>
      </w:r>
      <w:r w:rsidRPr="00B97E44">
        <w:rPr>
          <w:rFonts w:hint="eastAsia"/>
          <w:rtl/>
        </w:rPr>
        <w:t>שבו</w:t>
      </w:r>
      <w:r w:rsidRPr="00B97E44">
        <w:rPr>
          <w:rtl/>
        </w:rPr>
        <w:t xml:space="preserve"> </w:t>
      </w:r>
      <w:r w:rsidRPr="00B97E44">
        <w:rPr>
          <w:rFonts w:hint="eastAsia"/>
          <w:rtl/>
        </w:rPr>
        <w:t>קיימים</w:t>
      </w:r>
      <w:r w:rsidRPr="00B97E44">
        <w:rPr>
          <w:rtl/>
        </w:rPr>
        <w:t xml:space="preserve"> </w:t>
      </w:r>
      <w:r w:rsidRPr="00B97E44">
        <w:rPr>
          <w:rFonts w:hint="eastAsia"/>
          <w:rtl/>
        </w:rPr>
        <w:t>מנגנוני</w:t>
      </w:r>
      <w:r w:rsidRPr="00B97E44">
        <w:rPr>
          <w:rtl/>
        </w:rPr>
        <w:t xml:space="preserve"> </w:t>
      </w:r>
      <w:r w:rsidRPr="00B97E44">
        <w:rPr>
          <w:rFonts w:hint="eastAsia"/>
          <w:rtl/>
        </w:rPr>
        <w:t>תמיכה</w:t>
      </w:r>
      <w:r w:rsidRPr="00B97E44">
        <w:rPr>
          <w:rtl/>
        </w:rPr>
        <w:t xml:space="preserve"> </w:t>
      </w:r>
      <w:r w:rsidRPr="00B97E44">
        <w:rPr>
          <w:rFonts w:hint="eastAsia"/>
          <w:rtl/>
        </w:rPr>
        <w:t>פנים</w:t>
      </w:r>
      <w:r w:rsidRPr="00B97E44">
        <w:rPr>
          <w:rFonts w:hint="cs"/>
          <w:rtl/>
        </w:rPr>
        <w:t>-</w:t>
      </w:r>
      <w:r w:rsidRPr="00B97E44">
        <w:rPr>
          <w:rFonts w:hint="eastAsia"/>
          <w:rtl/>
        </w:rPr>
        <w:t>קהילתיים</w:t>
      </w:r>
      <w:r w:rsidRPr="00B97E44">
        <w:rPr>
          <w:rtl/>
        </w:rPr>
        <w:t xml:space="preserve">, </w:t>
      </w:r>
      <w:r w:rsidRPr="00B97E44">
        <w:rPr>
          <w:rFonts w:hint="eastAsia"/>
          <w:rtl/>
        </w:rPr>
        <w:t>על</w:t>
      </w:r>
      <w:r w:rsidRPr="00B97E44">
        <w:rPr>
          <w:rtl/>
        </w:rPr>
        <w:t xml:space="preserve"> </w:t>
      </w:r>
      <w:r w:rsidRPr="00B97E44">
        <w:rPr>
          <w:rFonts w:hint="eastAsia"/>
          <w:rtl/>
        </w:rPr>
        <w:t>המדינה</w:t>
      </w:r>
      <w:r w:rsidRPr="00B97E44">
        <w:rPr>
          <w:rtl/>
        </w:rPr>
        <w:t xml:space="preserve"> </w:t>
      </w:r>
      <w:r w:rsidRPr="00B97E44">
        <w:rPr>
          <w:rFonts w:hint="eastAsia"/>
          <w:rtl/>
        </w:rPr>
        <w:t>להיעזר</w:t>
      </w:r>
      <w:r w:rsidRPr="00B97E44">
        <w:rPr>
          <w:rtl/>
        </w:rPr>
        <w:t xml:space="preserve"> </w:t>
      </w:r>
      <w:r w:rsidRPr="00B97E44">
        <w:rPr>
          <w:rFonts w:hint="eastAsia"/>
          <w:rtl/>
        </w:rPr>
        <w:t>בהם</w:t>
      </w:r>
      <w:r w:rsidRPr="00B97E44">
        <w:rPr>
          <w:rtl/>
        </w:rPr>
        <w:t xml:space="preserve">. </w:t>
      </w:r>
      <w:r w:rsidRPr="00B97E44">
        <w:rPr>
          <w:rFonts w:hint="eastAsia"/>
          <w:rtl/>
        </w:rPr>
        <w:t>עם</w:t>
      </w:r>
      <w:r w:rsidRPr="00B97E44">
        <w:rPr>
          <w:rtl/>
        </w:rPr>
        <w:t xml:space="preserve"> </w:t>
      </w:r>
      <w:r w:rsidRPr="00B97E44">
        <w:rPr>
          <w:rFonts w:hint="eastAsia"/>
          <w:rtl/>
        </w:rPr>
        <w:t>זאת</w:t>
      </w:r>
      <w:r w:rsidRPr="00B97E44">
        <w:rPr>
          <w:rtl/>
        </w:rPr>
        <w:t xml:space="preserve"> </w:t>
      </w:r>
      <w:r w:rsidRPr="00B97E44">
        <w:rPr>
          <w:rFonts w:hint="eastAsia"/>
          <w:rtl/>
        </w:rPr>
        <w:t>ציינה</w:t>
      </w:r>
      <w:r w:rsidRPr="00B97E44">
        <w:rPr>
          <w:rtl/>
        </w:rPr>
        <w:t xml:space="preserve"> </w:t>
      </w:r>
      <w:r w:rsidRPr="00B97E44">
        <w:rPr>
          <w:rFonts w:hint="eastAsia"/>
          <w:rtl/>
        </w:rPr>
        <w:t>הוועדה</w:t>
      </w:r>
      <w:r w:rsidRPr="00B97E44">
        <w:rPr>
          <w:rtl/>
        </w:rPr>
        <w:t xml:space="preserve"> </w:t>
      </w:r>
      <w:r w:rsidRPr="00B97E44">
        <w:rPr>
          <w:rFonts w:hint="eastAsia"/>
          <w:rtl/>
        </w:rPr>
        <w:t>כי</w:t>
      </w:r>
      <w:r w:rsidRPr="00B97E44">
        <w:rPr>
          <w:rtl/>
        </w:rPr>
        <w:t xml:space="preserve"> </w:t>
      </w:r>
      <w:r w:rsidRPr="00B97E44">
        <w:rPr>
          <w:rFonts w:hint="eastAsia"/>
          <w:rtl/>
        </w:rPr>
        <w:t>לשם</w:t>
      </w:r>
      <w:r w:rsidRPr="00B97E44">
        <w:rPr>
          <w:rtl/>
        </w:rPr>
        <w:t xml:space="preserve"> </w:t>
      </w:r>
      <w:r w:rsidRPr="00B97E44">
        <w:rPr>
          <w:rFonts w:hint="eastAsia"/>
          <w:rtl/>
        </w:rPr>
        <w:t>כך</w:t>
      </w:r>
      <w:r w:rsidRPr="00B97E44">
        <w:rPr>
          <w:rtl/>
        </w:rPr>
        <w:t xml:space="preserve"> </w:t>
      </w:r>
      <w:r w:rsidRPr="00B97E44">
        <w:rPr>
          <w:rFonts w:hint="eastAsia"/>
          <w:rtl/>
        </w:rPr>
        <w:t>יש</w:t>
      </w:r>
      <w:r w:rsidRPr="00B97E44">
        <w:rPr>
          <w:rtl/>
        </w:rPr>
        <w:t xml:space="preserve"> </w:t>
      </w:r>
      <w:r w:rsidRPr="00B97E44">
        <w:rPr>
          <w:rFonts w:hint="eastAsia"/>
          <w:rtl/>
        </w:rPr>
        <w:t>לתקצב</w:t>
      </w:r>
      <w:r w:rsidRPr="00B97E44">
        <w:rPr>
          <w:rtl/>
        </w:rPr>
        <w:t xml:space="preserve"> </w:t>
      </w:r>
      <w:r w:rsidRPr="00B97E44">
        <w:rPr>
          <w:rFonts w:hint="eastAsia"/>
          <w:rtl/>
        </w:rPr>
        <w:t>את</w:t>
      </w:r>
      <w:r w:rsidRPr="00B97E44">
        <w:rPr>
          <w:rtl/>
        </w:rPr>
        <w:t xml:space="preserve"> </w:t>
      </w:r>
      <w:r w:rsidRPr="00B97E44">
        <w:rPr>
          <w:rFonts w:hint="eastAsia"/>
          <w:rtl/>
        </w:rPr>
        <w:t>המוסדות</w:t>
      </w:r>
      <w:r w:rsidRPr="00B97E44">
        <w:rPr>
          <w:rtl/>
        </w:rPr>
        <w:t xml:space="preserve"> </w:t>
      </w:r>
      <w:r w:rsidRPr="00B97E44">
        <w:rPr>
          <w:rFonts w:hint="eastAsia"/>
          <w:rtl/>
        </w:rPr>
        <w:t>הקהילתיים</w:t>
      </w:r>
      <w:r w:rsidRPr="00B97E44">
        <w:rPr>
          <w:rtl/>
        </w:rPr>
        <w:t xml:space="preserve"> </w:t>
      </w:r>
      <w:r w:rsidRPr="00B97E44">
        <w:rPr>
          <w:rFonts w:hint="eastAsia"/>
          <w:rtl/>
        </w:rPr>
        <w:t>ולהעניק</w:t>
      </w:r>
      <w:r w:rsidRPr="00B97E44">
        <w:rPr>
          <w:rtl/>
        </w:rPr>
        <w:t xml:space="preserve"> </w:t>
      </w:r>
      <w:r w:rsidRPr="00B97E44">
        <w:rPr>
          <w:rFonts w:hint="eastAsia"/>
          <w:rtl/>
        </w:rPr>
        <w:t>להם</w:t>
      </w:r>
      <w:r w:rsidRPr="00B97E44">
        <w:rPr>
          <w:rtl/>
        </w:rPr>
        <w:t xml:space="preserve"> </w:t>
      </w:r>
      <w:r w:rsidRPr="00B97E44">
        <w:rPr>
          <w:rFonts w:hint="eastAsia"/>
          <w:rtl/>
        </w:rPr>
        <w:t>מרחב</w:t>
      </w:r>
      <w:r w:rsidRPr="00B97E44">
        <w:rPr>
          <w:rtl/>
        </w:rPr>
        <w:t xml:space="preserve"> </w:t>
      </w:r>
      <w:r w:rsidRPr="00B97E44">
        <w:rPr>
          <w:rFonts w:hint="eastAsia"/>
          <w:rtl/>
        </w:rPr>
        <w:t>שיאפשר</w:t>
      </w:r>
      <w:r w:rsidRPr="00B97E44">
        <w:rPr>
          <w:rtl/>
        </w:rPr>
        <w:t xml:space="preserve"> </w:t>
      </w:r>
      <w:r w:rsidRPr="00B97E44">
        <w:rPr>
          <w:rFonts w:hint="eastAsia"/>
          <w:rtl/>
        </w:rPr>
        <w:t>להם</w:t>
      </w:r>
      <w:r w:rsidRPr="00B97E44">
        <w:rPr>
          <w:rtl/>
        </w:rPr>
        <w:t xml:space="preserve"> </w:t>
      </w:r>
      <w:r w:rsidRPr="00B97E44">
        <w:rPr>
          <w:rFonts w:hint="eastAsia"/>
          <w:rtl/>
        </w:rPr>
        <w:t>לפעול</w:t>
      </w:r>
      <w:r>
        <w:rPr>
          <w:vertAlign w:val="superscript"/>
          <w:rtl/>
        </w:rPr>
        <w:footnoteReference w:id="78"/>
      </w:r>
      <w:r w:rsidRPr="00B97E44">
        <w:rPr>
          <w:rtl/>
        </w:rPr>
        <w:t>.</w:t>
      </w:r>
      <w:r w:rsidRPr="00B97E44">
        <w:rPr>
          <w:rFonts w:ascii="David" w:hAnsi="David"/>
          <w:rtl/>
        </w:rPr>
        <w:t xml:space="preserve"> </w:t>
      </w:r>
    </w:p>
    <w:p w:rsidR="005B126E" w:rsidP="001916A9">
      <w:pPr>
        <w:spacing w:line="269" w:lineRule="auto"/>
        <w:ind w:right="-142"/>
        <w:rPr>
          <w:rtl/>
        </w:rPr>
      </w:pPr>
    </w:p>
    <w:p w:rsidR="005B126E" w:rsidRPr="00B97E44" w:rsidP="001916A9">
      <w:pPr>
        <w:spacing w:line="269" w:lineRule="auto"/>
        <w:ind w:right="-142"/>
        <w:rPr>
          <w:rFonts w:ascii="David" w:hAnsi="David"/>
          <w:rtl/>
        </w:rPr>
      </w:pPr>
      <w:r w:rsidRPr="00B97E44">
        <w:rPr>
          <w:rFonts w:hint="cs"/>
          <w:rtl/>
        </w:rPr>
        <w:t xml:space="preserve">בסקר שערכה </w:t>
      </w:r>
      <w:r w:rsidRPr="00B97E44">
        <w:rPr>
          <w:rFonts w:hint="cs"/>
          <w:rtl/>
        </w:rPr>
        <w:t>הלמ"ס</w:t>
      </w:r>
      <w:r w:rsidRPr="00B97E44">
        <w:rPr>
          <w:rFonts w:hint="cs"/>
          <w:rtl/>
        </w:rPr>
        <w:t xml:space="preserve"> </w:t>
      </w:r>
      <w:r w:rsidRPr="00B97E44">
        <w:rPr>
          <w:rFonts w:hint="cs"/>
          <w:rtl/>
        </w:rPr>
        <w:t>למינהלת</w:t>
      </w:r>
      <w:r w:rsidRPr="00B97E44">
        <w:rPr>
          <w:rFonts w:hint="cs"/>
          <w:rtl/>
        </w:rPr>
        <w:t xml:space="preserve"> תקומה ומשרד ראש הממשלה בחודשים ינואר - פברואר 2025 בקרב 3,900 נשאלים מתושבי חבל התקומה עלה</w:t>
      </w:r>
      <w:r w:rsidRPr="00B97E44">
        <w:rPr>
          <w:rFonts w:ascii="David" w:hAnsi="David" w:hint="cs"/>
          <w:rtl/>
        </w:rPr>
        <w:t xml:space="preserve"> כי 76% מהנשאלים חשים שהמקום שבו הם גרים הוא חלק מהזהות שלהם, שיעור דומה השיב כי הוא מרגיש חיבור לאנשים החיים במקום שבו הוא גר וכי אם תהיה לו בעיה, אנשים במקום שבו הוא גר יתגייסו לעזור לו (79%). עם זאת רק 38% הסכימו עם האמירה שהם </w:t>
      </w:r>
      <w:r w:rsidRPr="00B97E44">
        <w:rPr>
          <w:rFonts w:ascii="David" w:hAnsi="David"/>
          <w:rtl/>
        </w:rPr>
        <w:t>מעורב</w:t>
      </w:r>
      <w:r w:rsidRPr="00B97E44">
        <w:rPr>
          <w:rFonts w:ascii="David" w:hAnsi="David" w:hint="cs"/>
          <w:rtl/>
        </w:rPr>
        <w:t>ים</w:t>
      </w:r>
      <w:r w:rsidRPr="00B97E44">
        <w:rPr>
          <w:rFonts w:ascii="David" w:hAnsi="David"/>
          <w:rtl/>
        </w:rPr>
        <w:t xml:space="preserve"> בהחלטות</w:t>
      </w:r>
      <w:r w:rsidRPr="00B97E44">
        <w:rPr>
          <w:rFonts w:ascii="David" w:hAnsi="David" w:hint="cs"/>
          <w:rtl/>
        </w:rPr>
        <w:t xml:space="preserve"> </w:t>
      </w:r>
      <w:r w:rsidRPr="00B97E44">
        <w:rPr>
          <w:rFonts w:ascii="David" w:hAnsi="David"/>
          <w:rtl/>
        </w:rPr>
        <w:t>ו</w:t>
      </w:r>
      <w:r w:rsidRPr="00B97E44">
        <w:rPr>
          <w:rFonts w:ascii="David" w:hAnsi="David" w:hint="cs"/>
          <w:rtl/>
        </w:rPr>
        <w:t>ב</w:t>
      </w:r>
      <w:r w:rsidRPr="00B97E44">
        <w:rPr>
          <w:rFonts w:ascii="David" w:hAnsi="David"/>
          <w:rtl/>
        </w:rPr>
        <w:t xml:space="preserve">תהליכים לגבי המקום </w:t>
      </w:r>
      <w:r w:rsidRPr="00B97E44">
        <w:rPr>
          <w:rFonts w:ascii="David" w:hAnsi="David" w:hint="cs"/>
          <w:rtl/>
        </w:rPr>
        <w:t>ש</w:t>
      </w:r>
      <w:r w:rsidRPr="00B97E44">
        <w:rPr>
          <w:rFonts w:ascii="David" w:hAnsi="David"/>
          <w:rtl/>
        </w:rPr>
        <w:t>בו</w:t>
      </w:r>
      <w:r w:rsidRPr="00B97E44">
        <w:rPr>
          <w:rFonts w:ascii="David" w:hAnsi="David" w:hint="cs"/>
          <w:rtl/>
        </w:rPr>
        <w:t xml:space="preserve"> הם גרים</w:t>
      </w:r>
      <w:r>
        <w:rPr>
          <w:rFonts w:ascii="David" w:hAnsi="David"/>
          <w:vertAlign w:val="superscript"/>
          <w:rtl/>
        </w:rPr>
        <w:footnoteReference w:id="79"/>
      </w:r>
      <w:r w:rsidRPr="00B97E44">
        <w:rPr>
          <w:rFonts w:ascii="David" w:hAnsi="David" w:hint="cs"/>
          <w:rtl/>
        </w:rPr>
        <w:t xml:space="preserve">. </w:t>
      </w:r>
      <w:r w:rsidRPr="00B97E44">
        <w:rPr>
          <w:rFonts w:hint="cs"/>
          <w:rtl/>
        </w:rPr>
        <w:t>סקר נוסף שערכה תנועת עתיד לעוטף במרץ 2025 בקרב 2,889 מתושבי חבל התקומה העלה כי 67% מקרב הנשאלים השיבו כי הם סומכים מאוד או במידה בינונית על חברי קהילתם</w:t>
      </w:r>
      <w:r>
        <w:rPr>
          <w:vertAlign w:val="superscript"/>
          <w:rtl/>
        </w:rPr>
        <w:footnoteReference w:id="80"/>
      </w:r>
      <w:r w:rsidRPr="00B97E44">
        <w:rPr>
          <w:rFonts w:hint="cs"/>
          <w:rtl/>
        </w:rPr>
        <w:t xml:space="preserve">. </w:t>
      </w:r>
    </w:p>
    <w:p w:rsidR="005B126E" w:rsidP="001916A9">
      <w:pPr>
        <w:tabs>
          <w:tab w:val="left" w:pos="8448"/>
        </w:tabs>
        <w:spacing w:line="269" w:lineRule="auto"/>
        <w:ind w:right="-142"/>
        <w:rPr>
          <w:rtl/>
        </w:rPr>
      </w:pPr>
    </w:p>
    <w:p w:rsidR="005B126E" w:rsidRPr="00B97E44" w:rsidP="001916A9">
      <w:pPr>
        <w:tabs>
          <w:tab w:val="left" w:pos="8448"/>
        </w:tabs>
        <w:spacing w:line="269" w:lineRule="auto"/>
        <w:ind w:right="-142"/>
        <w:rPr>
          <w:rtl/>
        </w:rPr>
      </w:pPr>
      <w:r w:rsidRPr="00B97E44">
        <w:rPr>
          <w:rFonts w:hint="eastAsia"/>
          <w:rtl/>
        </w:rPr>
        <w:t>כדי</w:t>
      </w:r>
      <w:r w:rsidRPr="00B97E44">
        <w:rPr>
          <w:rtl/>
        </w:rPr>
        <w:t xml:space="preserve"> לקדם </w:t>
      </w:r>
      <w:r w:rsidRPr="00B97E44">
        <w:rPr>
          <w:rFonts w:hint="eastAsia"/>
          <w:rtl/>
        </w:rPr>
        <w:t>את</w:t>
      </w:r>
      <w:r w:rsidRPr="00B97E44">
        <w:rPr>
          <w:rtl/>
        </w:rPr>
        <w:t xml:space="preserve"> </w:t>
      </w:r>
      <w:r w:rsidRPr="00B97E44">
        <w:rPr>
          <w:rFonts w:hint="eastAsia"/>
          <w:rtl/>
        </w:rPr>
        <w:t>שיקום</w:t>
      </w:r>
      <w:r w:rsidRPr="00B97E44">
        <w:rPr>
          <w:rtl/>
        </w:rPr>
        <w:t xml:space="preserve"> </w:t>
      </w:r>
      <w:r w:rsidRPr="00B97E44">
        <w:rPr>
          <w:rFonts w:hint="eastAsia"/>
          <w:rtl/>
        </w:rPr>
        <w:t>הקהילות</w:t>
      </w:r>
      <w:r w:rsidRPr="00B97E44">
        <w:rPr>
          <w:rtl/>
        </w:rPr>
        <w:t xml:space="preserve"> </w:t>
      </w:r>
      <w:r w:rsidRPr="00B97E44">
        <w:rPr>
          <w:rFonts w:hint="eastAsia"/>
          <w:rtl/>
        </w:rPr>
        <w:t>בחבל</w:t>
      </w:r>
      <w:r w:rsidRPr="00B97E44">
        <w:rPr>
          <w:rtl/>
        </w:rPr>
        <w:t xml:space="preserve"> </w:t>
      </w:r>
      <w:r w:rsidRPr="00B97E44">
        <w:rPr>
          <w:rFonts w:hint="eastAsia"/>
          <w:rtl/>
        </w:rPr>
        <w:t>התקומה</w:t>
      </w:r>
      <w:r w:rsidRPr="00B97E44">
        <w:rPr>
          <w:rtl/>
        </w:rPr>
        <w:t xml:space="preserve"> יש </w:t>
      </w:r>
      <w:r w:rsidRPr="00B97E44">
        <w:rPr>
          <w:rFonts w:hint="eastAsia"/>
          <w:rtl/>
        </w:rPr>
        <w:t>להחזיר</w:t>
      </w:r>
      <w:r w:rsidRPr="00B97E44">
        <w:rPr>
          <w:rtl/>
        </w:rPr>
        <w:t xml:space="preserve"> </w:t>
      </w:r>
      <w:r w:rsidRPr="00B97E44">
        <w:rPr>
          <w:rFonts w:hint="eastAsia"/>
          <w:rtl/>
        </w:rPr>
        <w:t>את</w:t>
      </w:r>
      <w:r w:rsidRPr="00B97E44">
        <w:rPr>
          <w:rtl/>
        </w:rPr>
        <w:t xml:space="preserve"> </w:t>
      </w:r>
      <w:r w:rsidRPr="00B97E44">
        <w:rPr>
          <w:rFonts w:hint="eastAsia"/>
          <w:rtl/>
        </w:rPr>
        <w:t>היישובים</w:t>
      </w:r>
      <w:r w:rsidRPr="00B97E44">
        <w:rPr>
          <w:rtl/>
        </w:rPr>
        <w:t xml:space="preserve"> לניהול אוטונומי על מערכותי</w:t>
      </w:r>
      <w:r w:rsidRPr="00B97E44">
        <w:rPr>
          <w:rFonts w:hint="cs"/>
          <w:rtl/>
        </w:rPr>
        <w:t>הם</w:t>
      </w:r>
      <w:r w:rsidRPr="00B97E44">
        <w:rPr>
          <w:rtl/>
        </w:rPr>
        <w:t xml:space="preserve">. בחלק מהיישובים הנהגת היישוב השתנתה בשל המאורעות - חלק באו מתוך הקהילה ואחרים </w:t>
      </w:r>
      <w:r w:rsidRPr="00B97E44">
        <w:rPr>
          <w:rFonts w:hint="cs"/>
          <w:rtl/>
        </w:rPr>
        <w:t>מ</w:t>
      </w:r>
      <w:r w:rsidRPr="00B97E44">
        <w:rPr>
          <w:rtl/>
        </w:rPr>
        <w:t xml:space="preserve">חוץ </w:t>
      </w:r>
      <w:r w:rsidRPr="00B97E44">
        <w:rPr>
          <w:rFonts w:hint="cs"/>
          <w:rtl/>
        </w:rPr>
        <w:t xml:space="preserve">לה </w:t>
      </w:r>
      <w:r w:rsidRPr="00B97E44">
        <w:rPr>
          <w:rtl/>
        </w:rPr>
        <w:t>ויש צורך בהתאמת המבנה הארגוני</w:t>
      </w:r>
      <w:r>
        <w:rPr>
          <w:vertAlign w:val="superscript"/>
          <w:rtl/>
        </w:rPr>
        <w:footnoteReference w:id="81"/>
      </w:r>
      <w:r w:rsidRPr="00B97E44">
        <w:rPr>
          <w:rFonts w:hint="cs"/>
          <w:rtl/>
        </w:rPr>
        <w:t>.</w:t>
      </w:r>
      <w:r w:rsidRPr="00B97E44">
        <w:rPr>
          <w:rtl/>
        </w:rPr>
        <w:t xml:space="preserve"> האתגר המרכזי העומד בפני הקהילות שנפגעו הוא למנוע את </w:t>
      </w:r>
      <w:r w:rsidRPr="00B97E44">
        <w:rPr>
          <w:rFonts w:hint="eastAsia"/>
          <w:rtl/>
        </w:rPr>
        <w:t>התפרקותן</w:t>
      </w:r>
      <w:r w:rsidRPr="00B97E44">
        <w:rPr>
          <w:rtl/>
        </w:rPr>
        <w:t xml:space="preserve"> </w:t>
      </w:r>
      <w:r w:rsidRPr="00B97E44">
        <w:rPr>
          <w:rFonts w:hint="eastAsia"/>
          <w:rtl/>
        </w:rPr>
        <w:t>או</w:t>
      </w:r>
      <w:r w:rsidRPr="00B97E44">
        <w:rPr>
          <w:rtl/>
        </w:rPr>
        <w:t xml:space="preserve"> </w:t>
      </w:r>
      <w:r w:rsidRPr="00B97E44">
        <w:rPr>
          <w:rFonts w:hint="eastAsia"/>
          <w:rtl/>
        </w:rPr>
        <w:t>היחלשותן</w:t>
      </w:r>
      <w:r w:rsidRPr="00B97E44">
        <w:rPr>
          <w:rFonts w:hint="cs"/>
          <w:rtl/>
        </w:rPr>
        <w:t xml:space="preserve"> - </w:t>
      </w:r>
      <w:r w:rsidRPr="00B97E44">
        <w:rPr>
          <w:rtl/>
        </w:rPr>
        <w:t xml:space="preserve">כשיש קונפליקטים לגבי החלטות משותפות הנוגעות לשיקום, בקושי להתמודד עם מתחים ותסכולים, בפגיעה בתחושת השייכות ובמכלול קשיים שעלולים לתת את אותותיהם בהמשך. </w:t>
      </w:r>
      <w:r w:rsidRPr="00B97E44">
        <w:rPr>
          <w:rFonts w:hint="eastAsia"/>
          <w:rtl/>
        </w:rPr>
        <w:t>לכל</w:t>
      </w:r>
      <w:r w:rsidRPr="00B97E44">
        <w:rPr>
          <w:rtl/>
        </w:rPr>
        <w:t xml:space="preserve"> אלה מתווספת העובדה כי </w:t>
      </w:r>
      <w:r w:rsidRPr="00B97E44">
        <w:rPr>
          <w:rFonts w:hint="eastAsia"/>
          <w:rtl/>
        </w:rPr>
        <w:t>קהילות</w:t>
      </w:r>
      <w:r w:rsidRPr="00B97E44">
        <w:rPr>
          <w:rtl/>
        </w:rPr>
        <w:t xml:space="preserve"> רבות פוצלו </w:t>
      </w:r>
      <w:r w:rsidRPr="00B97E44">
        <w:rPr>
          <w:rFonts w:hint="eastAsia"/>
          <w:rtl/>
        </w:rPr>
        <w:t>בעת</w:t>
      </w:r>
      <w:r w:rsidRPr="00B97E44">
        <w:rPr>
          <w:rtl/>
        </w:rPr>
        <w:t xml:space="preserve"> הפינוי בין כמה אתרי שהייה וחלק מהמשפחות מצאו פתרונות פרטיים או שנותרו</w:t>
      </w:r>
      <w:r w:rsidRPr="00B97E44">
        <w:rPr>
          <w:rFonts w:hint="cs"/>
          <w:rtl/>
        </w:rPr>
        <w:t xml:space="preserve"> להתגורר ביישוב </w:t>
      </w:r>
      <w:r w:rsidRPr="00B97E44">
        <w:rPr>
          <w:rtl/>
        </w:rPr>
        <w:t xml:space="preserve">והאתגר </w:t>
      </w:r>
      <w:r w:rsidRPr="00B97E44">
        <w:rPr>
          <w:rFonts w:hint="eastAsia"/>
          <w:rtl/>
        </w:rPr>
        <w:t>היה</w:t>
      </w:r>
      <w:r w:rsidRPr="00B97E44">
        <w:rPr>
          <w:rtl/>
        </w:rPr>
        <w:t xml:space="preserve"> ועודנו </w:t>
      </w:r>
      <w:r w:rsidRPr="00B97E44">
        <w:rPr>
          <w:rFonts w:hint="eastAsia"/>
          <w:rtl/>
        </w:rPr>
        <w:t>למנוע</w:t>
      </w:r>
      <w:r w:rsidRPr="00B97E44">
        <w:rPr>
          <w:rtl/>
        </w:rPr>
        <w:t xml:space="preserve"> </w:t>
      </w:r>
      <w:r w:rsidRPr="00B97E44">
        <w:rPr>
          <w:rFonts w:hint="eastAsia"/>
          <w:rtl/>
        </w:rPr>
        <w:t>מהפיצול</w:t>
      </w:r>
      <w:r w:rsidRPr="00B97E44">
        <w:rPr>
          <w:rtl/>
        </w:rPr>
        <w:t xml:space="preserve"> </w:t>
      </w:r>
      <w:r w:rsidRPr="00B97E44">
        <w:rPr>
          <w:rFonts w:hint="eastAsia"/>
          <w:rtl/>
        </w:rPr>
        <w:t>הממושך</w:t>
      </w:r>
      <w:r w:rsidRPr="00B97E44">
        <w:rPr>
          <w:rtl/>
        </w:rPr>
        <w:t xml:space="preserve"> </w:t>
      </w:r>
      <w:r w:rsidRPr="00B97E44">
        <w:rPr>
          <w:rFonts w:hint="eastAsia"/>
          <w:rtl/>
        </w:rPr>
        <w:t>לפגוע</w:t>
      </w:r>
      <w:r w:rsidRPr="00B97E44">
        <w:rPr>
          <w:rtl/>
        </w:rPr>
        <w:t xml:space="preserve"> </w:t>
      </w:r>
      <w:r w:rsidRPr="00B97E44">
        <w:rPr>
          <w:rFonts w:hint="eastAsia"/>
          <w:rtl/>
        </w:rPr>
        <w:t>במרקם</w:t>
      </w:r>
      <w:r w:rsidRPr="00B97E44">
        <w:rPr>
          <w:rtl/>
        </w:rPr>
        <w:t xml:space="preserve"> </w:t>
      </w:r>
      <w:r w:rsidRPr="00B97E44">
        <w:rPr>
          <w:rFonts w:hint="eastAsia"/>
          <w:rtl/>
        </w:rPr>
        <w:t>הקהילתי</w:t>
      </w:r>
      <w:r w:rsidRPr="00B97E44">
        <w:rPr>
          <w:rtl/>
        </w:rPr>
        <w:t xml:space="preserve">. </w:t>
      </w:r>
    </w:p>
    <w:p w:rsidR="005B126E" w:rsidP="001916A9">
      <w:pPr>
        <w:spacing w:line="269" w:lineRule="auto"/>
        <w:rPr>
          <w:rtl/>
        </w:rPr>
      </w:pPr>
    </w:p>
    <w:p w:rsidR="005B126E" w:rsidRPr="00B97E44" w:rsidP="001916A9">
      <w:pPr>
        <w:spacing w:line="269" w:lineRule="auto"/>
        <w:rPr>
          <w:rtl/>
        </w:rPr>
      </w:pPr>
      <w:r w:rsidRPr="00B97E44">
        <w:rPr>
          <w:rFonts w:hint="cs"/>
          <w:rtl/>
        </w:rPr>
        <w:t>בהחלטת ממשלה 1699 נקבע כי במסגרת תוכנית החומש יפעלו</w:t>
      </w:r>
      <w:r w:rsidRPr="00B97E44">
        <w:rPr>
          <w:rtl/>
        </w:rPr>
        <w:t xml:space="preserve"> משרד הרווחה, משרד ההתיישבות והמשימות הלאומיות, המשרד לשוויון חברתי, משרד הנגב, הגליל והחוסן הלאומי </w:t>
      </w:r>
      <w:r w:rsidRPr="00B97E44">
        <w:rPr>
          <w:rFonts w:hint="cs"/>
          <w:rtl/>
        </w:rPr>
        <w:t>-</w:t>
      </w:r>
      <w:r w:rsidRPr="00B97E44">
        <w:rPr>
          <w:rtl/>
        </w:rPr>
        <w:t xml:space="preserve"> כולם או חלקם</w:t>
      </w:r>
      <w:r w:rsidRPr="00B97E44">
        <w:rPr>
          <w:rFonts w:hint="cs"/>
          <w:rtl/>
        </w:rPr>
        <w:t>:</w:t>
      </w:r>
      <w:r w:rsidRPr="00B97E44">
        <w:rPr>
          <w:rtl/>
        </w:rPr>
        <w:t xml:space="preserve"> למתן מענה משקם לכל הקהילות ברשויות המקומיות תוך התייחסות לקבוצות שונות באוכלוסייה</w:t>
      </w:r>
      <w:r w:rsidRPr="00B97E44">
        <w:rPr>
          <w:rFonts w:hint="cs"/>
          <w:rtl/>
        </w:rPr>
        <w:t>;</w:t>
      </w:r>
      <w:r w:rsidRPr="00B97E44">
        <w:rPr>
          <w:rFonts w:hint="cs"/>
        </w:rPr>
        <w:t xml:space="preserve"> </w:t>
      </w:r>
      <w:r w:rsidRPr="00B97E44">
        <w:rPr>
          <w:rFonts w:hint="cs"/>
          <w:rtl/>
        </w:rPr>
        <w:t>לתמיכה ב</w:t>
      </w:r>
      <w:r w:rsidRPr="00B97E44">
        <w:rPr>
          <w:rtl/>
        </w:rPr>
        <w:t>פעילות להעצמה מקומית תוך מימון מלווי קהילות, רכזי</w:t>
      </w:r>
      <w:r w:rsidRPr="00B97E44">
        <w:rPr>
          <w:rFonts w:hint="cs"/>
          <w:rtl/>
        </w:rPr>
        <w:t xml:space="preserve"> קהילות</w:t>
      </w:r>
      <w:r w:rsidRPr="00B97E44">
        <w:rPr>
          <w:rtl/>
        </w:rPr>
        <w:t xml:space="preserve"> ומנהלי קהילות ביישובים</w:t>
      </w:r>
      <w:r w:rsidRPr="00B97E44">
        <w:rPr>
          <w:rFonts w:hint="cs"/>
          <w:rtl/>
        </w:rPr>
        <w:t>; ל</w:t>
      </w:r>
      <w:r w:rsidRPr="00B97E44">
        <w:rPr>
          <w:rtl/>
        </w:rPr>
        <w:t>חיזוק מערך ההתנדבות ביישובים ותוכניות לחיזוק החוסן וההבניה הקהילתית</w:t>
      </w:r>
      <w:r w:rsidRPr="00B97E44">
        <w:rPr>
          <w:rFonts w:hint="cs"/>
          <w:rtl/>
        </w:rPr>
        <w:t xml:space="preserve">. </w:t>
      </w:r>
      <w:r w:rsidRPr="00B97E44">
        <w:rPr>
          <w:rtl/>
        </w:rPr>
        <w:t>לצורך כך</w:t>
      </w:r>
      <w:r w:rsidRPr="00B97E44">
        <w:rPr>
          <w:rFonts w:hint="cs"/>
          <w:rtl/>
        </w:rPr>
        <w:t xml:space="preserve"> היה על </w:t>
      </w:r>
      <w:r w:rsidRPr="00B97E44">
        <w:rPr>
          <w:rtl/>
        </w:rPr>
        <w:t>מינהלת תקומה</w:t>
      </w:r>
      <w:r w:rsidRPr="00B97E44">
        <w:rPr>
          <w:rFonts w:hint="cs"/>
          <w:rtl/>
        </w:rPr>
        <w:t xml:space="preserve"> להקצות </w:t>
      </w:r>
      <w:r w:rsidRPr="00B97E44">
        <w:rPr>
          <w:rtl/>
        </w:rPr>
        <w:t>תקציב בסך 115 מ</w:t>
      </w:r>
      <w:r w:rsidRPr="00B97E44">
        <w:rPr>
          <w:rFonts w:hint="cs"/>
          <w:rtl/>
        </w:rPr>
        <w:t>יליו</w:t>
      </w:r>
      <w:r>
        <w:rPr>
          <w:rFonts w:hint="cs"/>
          <w:rtl/>
        </w:rPr>
        <w:t>ני</w:t>
      </w:r>
      <w:r w:rsidRPr="00B97E44">
        <w:rPr>
          <w:rFonts w:hint="cs"/>
          <w:rtl/>
        </w:rPr>
        <w:t xml:space="preserve"> ש"ח </w:t>
      </w:r>
      <w:r w:rsidRPr="00B97E44">
        <w:rPr>
          <w:rtl/>
        </w:rPr>
        <w:t>בשנים</w:t>
      </w:r>
      <w:r w:rsidRPr="00B97E44">
        <w:rPr>
          <w:rFonts w:hint="cs"/>
          <w:rtl/>
        </w:rPr>
        <w:t xml:space="preserve"> 2024 - 2028 </w:t>
      </w:r>
      <w:r w:rsidRPr="00B97E44">
        <w:rPr>
          <w:rtl/>
        </w:rPr>
        <w:t xml:space="preserve">במתווה פוחת על פני </w:t>
      </w:r>
      <w:r w:rsidRPr="00B97E44">
        <w:rPr>
          <w:rFonts w:hint="cs"/>
          <w:rtl/>
        </w:rPr>
        <w:t>ה</w:t>
      </w:r>
      <w:r w:rsidRPr="00B97E44">
        <w:rPr>
          <w:rtl/>
        </w:rPr>
        <w:t>שנים</w:t>
      </w:r>
      <w:r w:rsidRPr="00B97E44">
        <w:t>.</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משרד הרווחה מסר בתשובתו </w:t>
      </w:r>
      <w:r w:rsidRPr="00B97E44">
        <w:rPr>
          <w:rtl/>
        </w:rPr>
        <w:t xml:space="preserve">כי המחלקות לשירותים חברתיים </w:t>
      </w:r>
      <w:r w:rsidRPr="00B97E44">
        <w:rPr>
          <w:rFonts w:hint="cs"/>
          <w:rtl/>
        </w:rPr>
        <w:t xml:space="preserve">במועצות האזוריות </w:t>
      </w:r>
      <w:r w:rsidRPr="00B97E44">
        <w:rPr>
          <w:rtl/>
        </w:rPr>
        <w:t>מלוות את הנהגות</w:t>
      </w:r>
      <w:r w:rsidRPr="00B97E44">
        <w:rPr>
          <w:rFonts w:hint="cs"/>
          <w:rtl/>
        </w:rPr>
        <w:t xml:space="preserve"> </w:t>
      </w:r>
      <w:r w:rsidRPr="00B97E44">
        <w:rPr>
          <w:rtl/>
        </w:rPr>
        <w:t>הישובים והעו</w:t>
      </w:r>
      <w:r w:rsidRPr="00B97E44">
        <w:rPr>
          <w:rFonts w:hint="cs"/>
          <w:rtl/>
        </w:rPr>
        <w:t>בדים הסוציאליים המרחביים</w:t>
      </w:r>
      <w:r w:rsidRPr="00B97E44">
        <w:rPr>
          <w:rtl/>
        </w:rPr>
        <w:t xml:space="preserve">, </w:t>
      </w:r>
      <w:r w:rsidRPr="00B97E44">
        <w:rPr>
          <w:rFonts w:hint="cs"/>
          <w:rtl/>
        </w:rPr>
        <w:t>ותומכות בהם ב</w:t>
      </w:r>
      <w:r w:rsidRPr="00B97E44">
        <w:rPr>
          <w:rtl/>
        </w:rPr>
        <w:t>הכשרות ו</w:t>
      </w:r>
      <w:r w:rsidRPr="00B97E44">
        <w:rPr>
          <w:rFonts w:hint="cs"/>
          <w:rtl/>
        </w:rPr>
        <w:t>ב</w:t>
      </w:r>
      <w:r w:rsidRPr="00B97E44">
        <w:rPr>
          <w:rtl/>
        </w:rPr>
        <w:t>כלים לבעלי תפקידים ליצירת מנהיגות משתפת ומובילה. בנוסף, קיימות ת</w:t>
      </w:r>
      <w:r w:rsidRPr="00B97E44">
        <w:rPr>
          <w:rFonts w:hint="cs"/>
          <w:rtl/>
        </w:rPr>
        <w:t>ו</w:t>
      </w:r>
      <w:r w:rsidRPr="00B97E44">
        <w:rPr>
          <w:rtl/>
        </w:rPr>
        <w:t>כניות</w:t>
      </w:r>
      <w:r w:rsidRPr="00B97E44">
        <w:rPr>
          <w:rFonts w:hint="cs"/>
          <w:rtl/>
        </w:rPr>
        <w:t xml:space="preserve"> </w:t>
      </w:r>
      <w:r w:rsidRPr="00B97E44">
        <w:rPr>
          <w:rtl/>
        </w:rPr>
        <w:t>לסיוע לפרטים ומשפחות לקבל החלטות משפחתיות הנוגעות לחזרה למגורים ב</w:t>
      </w:r>
      <w:r w:rsidRPr="00B97E44">
        <w:rPr>
          <w:rFonts w:hint="cs"/>
          <w:rtl/>
        </w:rPr>
        <w:t xml:space="preserve">חבל התקומה וכי נושאים </w:t>
      </w:r>
      <w:r w:rsidRPr="00B97E44">
        <w:rPr>
          <w:rtl/>
        </w:rPr>
        <w:t xml:space="preserve">כגון עזרה הדדית </w:t>
      </w:r>
      <w:r w:rsidRPr="00B97E44">
        <w:rPr>
          <w:rFonts w:hint="cs"/>
          <w:rtl/>
        </w:rPr>
        <w:t>ו</w:t>
      </w:r>
      <w:r w:rsidRPr="00B97E44">
        <w:rPr>
          <w:rtl/>
        </w:rPr>
        <w:t>מעורבות קהילתית</w:t>
      </w:r>
      <w:r w:rsidRPr="00B97E44">
        <w:rPr>
          <w:rFonts w:hint="cs"/>
          <w:rtl/>
        </w:rPr>
        <w:t xml:space="preserve"> למשל</w:t>
      </w:r>
      <w:r w:rsidRPr="00B97E44">
        <w:rPr>
          <w:rtl/>
        </w:rPr>
        <w:t xml:space="preserve"> בגיבוש תהליכי הנצחה וזיכרון הם חלק</w:t>
      </w:r>
      <w:r w:rsidRPr="00B97E44">
        <w:rPr>
          <w:rFonts w:hint="cs"/>
          <w:rtl/>
        </w:rPr>
        <w:t xml:space="preserve"> </w:t>
      </w:r>
      <w:r w:rsidRPr="00B97E44">
        <w:rPr>
          <w:rtl/>
        </w:rPr>
        <w:t>מת</w:t>
      </w:r>
      <w:r w:rsidRPr="00B97E44">
        <w:rPr>
          <w:rFonts w:hint="cs"/>
          <w:rtl/>
        </w:rPr>
        <w:t>ו</w:t>
      </w:r>
      <w:r w:rsidRPr="00B97E44">
        <w:rPr>
          <w:rtl/>
        </w:rPr>
        <w:t>כניות העבודה הקהילתיות במחלקות לשירותים חברתיים.</w:t>
      </w:r>
    </w:p>
    <w:p w:rsidR="005B126E" w:rsidP="001916A9">
      <w:pPr>
        <w:spacing w:line="269" w:lineRule="auto"/>
        <w:rPr>
          <w:b/>
          <w:bCs/>
          <w:rtl/>
        </w:rPr>
      </w:pPr>
    </w:p>
    <w:p w:rsidR="005B126E" w:rsidRPr="00B97E44" w:rsidP="001916A9">
      <w:pPr>
        <w:spacing w:line="269" w:lineRule="auto"/>
        <w:rPr>
          <w:b/>
          <w:bCs/>
          <w:rtl/>
        </w:rPr>
      </w:pPr>
      <w:r w:rsidRPr="00B97E44">
        <w:rPr>
          <w:rFonts w:hint="cs"/>
          <w:b/>
          <w:bCs/>
          <w:rtl/>
        </w:rPr>
        <w:t>שיקום הקהילות ותגבור חוסנן מצריך העסקת בעלי תפקידים ובראשם רכז קהילה</w:t>
      </w:r>
      <w:r>
        <w:rPr>
          <w:b/>
          <w:bCs/>
          <w:vertAlign w:val="superscript"/>
          <w:rtl/>
        </w:rPr>
        <w:footnoteReference w:id="82"/>
      </w:r>
      <w:r w:rsidRPr="00B97E44">
        <w:rPr>
          <w:rFonts w:hint="cs"/>
          <w:b/>
          <w:bCs/>
          <w:rtl/>
        </w:rPr>
        <w:t>. החלטת הממשלה 1699 ביקשה לסייע לכלל הקהילות בשיקומן,</w:t>
      </w:r>
      <w:r>
        <w:rPr>
          <w:rFonts w:hint="cs"/>
          <w:b/>
          <w:bCs/>
          <w:rtl/>
        </w:rPr>
        <w:t xml:space="preserve"> </w:t>
      </w:r>
      <w:r w:rsidRPr="00B97E44">
        <w:rPr>
          <w:rFonts w:hint="cs"/>
          <w:b/>
          <w:bCs/>
          <w:rtl/>
        </w:rPr>
        <w:t>בהיקף של</w:t>
      </w:r>
      <w:r w:rsidRPr="00B97E44">
        <w:rPr>
          <w:b/>
          <w:bCs/>
          <w:rtl/>
        </w:rPr>
        <w:t xml:space="preserve"> 115 מ</w:t>
      </w:r>
      <w:r w:rsidRPr="00B97E44">
        <w:rPr>
          <w:rFonts w:hint="eastAsia"/>
          <w:b/>
          <w:bCs/>
          <w:rtl/>
        </w:rPr>
        <w:t>יליו</w:t>
      </w:r>
      <w:r>
        <w:rPr>
          <w:rFonts w:hint="cs"/>
          <w:b/>
          <w:bCs/>
          <w:rtl/>
        </w:rPr>
        <w:t>ני</w:t>
      </w:r>
      <w:r w:rsidRPr="00B97E44">
        <w:rPr>
          <w:b/>
          <w:bCs/>
          <w:rtl/>
        </w:rPr>
        <w:t xml:space="preserve"> ש"ח בשנים 2024 - 2028 במתווה פוחת על פני </w:t>
      </w:r>
      <w:r w:rsidRPr="00B97E44">
        <w:rPr>
          <w:rFonts w:hint="eastAsia"/>
          <w:b/>
          <w:bCs/>
          <w:rtl/>
        </w:rPr>
        <w:t>ה</w:t>
      </w:r>
      <w:r w:rsidRPr="00B97E44">
        <w:rPr>
          <w:b/>
          <w:bCs/>
          <w:rtl/>
        </w:rPr>
        <w:t>שנים</w:t>
      </w:r>
      <w:r>
        <w:rPr>
          <w:rFonts w:hint="cs"/>
          <w:b/>
          <w:bCs/>
          <w:rtl/>
        </w:rPr>
        <w:t xml:space="preserve">, </w:t>
      </w:r>
      <w:r w:rsidRPr="00B97E44">
        <w:rPr>
          <w:rFonts w:hint="cs"/>
          <w:b/>
          <w:bCs/>
          <w:rtl/>
        </w:rPr>
        <w:t>בין השאר באמצעות תמיכה כספית בהעסקת רכזי קהילה</w:t>
      </w:r>
      <w:r>
        <w:rPr>
          <w:rFonts w:hint="cs"/>
          <w:b/>
          <w:bCs/>
          <w:rtl/>
        </w:rPr>
        <w:t>.</w:t>
      </w:r>
    </w:p>
    <w:p w:rsidR="005B126E" w:rsidP="001916A9">
      <w:pPr>
        <w:spacing w:line="269" w:lineRule="auto"/>
        <w:rPr>
          <w:rtl/>
        </w:rPr>
      </w:pPr>
    </w:p>
    <w:p w:rsidR="005B126E" w:rsidRPr="00B97E44" w:rsidP="001916A9">
      <w:pPr>
        <w:spacing w:line="269" w:lineRule="auto"/>
        <w:rPr>
          <w:rtl/>
        </w:rPr>
      </w:pPr>
      <w:r w:rsidRPr="00B97E44">
        <w:rPr>
          <w:rFonts w:hint="cs"/>
          <w:rtl/>
        </w:rPr>
        <w:t>בתחילת יוני 2024 פרסמו מינהלת תקומה בשיתוף משרד הנגב והגליל קול קורא לתמיכה בהעסקת רכזי קהילה ביישובים בחבל התקומה שבהם אין רכזי קהילה (יישובים, מושבים והעיר שדרות) מתוך מטרה לבסס חוסן קהילתי ומתן מענה מדויק לכל קהילה. התקציב להעסקת רכזי הקהילה ושנת פעילות עמד על כ-16 מיליו</w:t>
      </w:r>
      <w:r>
        <w:rPr>
          <w:rFonts w:hint="cs"/>
          <w:rtl/>
        </w:rPr>
        <w:t>ני</w:t>
      </w:r>
      <w:r w:rsidRPr="00B97E44">
        <w:rPr>
          <w:rFonts w:hint="cs"/>
          <w:rtl/>
        </w:rPr>
        <w:t xml:space="preserve"> ש"ח לשנים 2024 - 2025.</w:t>
      </w:r>
    </w:p>
    <w:p w:rsidR="005B126E" w:rsidP="001916A9">
      <w:pPr>
        <w:spacing w:line="269" w:lineRule="auto"/>
        <w:rPr>
          <w:rtl/>
        </w:rPr>
      </w:pPr>
    </w:p>
    <w:p w:rsidR="005B126E" w:rsidRPr="00B97E44" w:rsidP="001916A9">
      <w:pPr>
        <w:spacing w:line="269" w:lineRule="auto"/>
        <w:rPr>
          <w:rtl/>
        </w:rPr>
      </w:pPr>
      <w:r w:rsidRPr="00B97E44">
        <w:rPr>
          <w:rFonts w:hint="eastAsia"/>
          <w:rtl/>
        </w:rPr>
        <w:t>באוגוסט</w:t>
      </w:r>
      <w:r w:rsidRPr="00B97E44">
        <w:rPr>
          <w:rtl/>
        </w:rPr>
        <w:t xml:space="preserve"> 2024 </w:t>
      </w:r>
      <w:r w:rsidRPr="00B97E44">
        <w:rPr>
          <w:rFonts w:hint="eastAsia"/>
          <w:rtl/>
        </w:rPr>
        <w:t>העביר</w:t>
      </w:r>
      <w:r w:rsidRPr="00B97E44">
        <w:rPr>
          <w:rtl/>
        </w:rPr>
        <w:t xml:space="preserve"> </w:t>
      </w:r>
      <w:r w:rsidRPr="00B97E44">
        <w:rPr>
          <w:rFonts w:hint="eastAsia"/>
          <w:rtl/>
        </w:rPr>
        <w:t>משרד</w:t>
      </w:r>
      <w:r w:rsidRPr="00B97E44">
        <w:rPr>
          <w:rtl/>
        </w:rPr>
        <w:t xml:space="preserve"> </w:t>
      </w:r>
      <w:r w:rsidRPr="00B97E44">
        <w:rPr>
          <w:rFonts w:hint="eastAsia"/>
          <w:rtl/>
        </w:rPr>
        <w:t>האוצר</w:t>
      </w:r>
      <w:r w:rsidRPr="00B97E44">
        <w:rPr>
          <w:rtl/>
        </w:rPr>
        <w:t xml:space="preserve"> </w:t>
      </w:r>
      <w:r w:rsidRPr="00B97E44">
        <w:rPr>
          <w:rFonts w:hint="eastAsia"/>
          <w:rtl/>
        </w:rPr>
        <w:t>תקציב</w:t>
      </w:r>
      <w:r w:rsidRPr="00B97E44">
        <w:rPr>
          <w:rtl/>
        </w:rPr>
        <w:t xml:space="preserve"> </w:t>
      </w:r>
      <w:r w:rsidRPr="00B97E44">
        <w:rPr>
          <w:rFonts w:hint="eastAsia"/>
          <w:rtl/>
        </w:rPr>
        <w:t>לתקנה</w:t>
      </w:r>
      <w:r w:rsidRPr="00B97E44">
        <w:rPr>
          <w:rtl/>
        </w:rPr>
        <w:t xml:space="preserve"> הרלוונטית </w:t>
      </w:r>
      <w:r w:rsidRPr="00B97E44">
        <w:rPr>
          <w:rFonts w:hint="eastAsia"/>
          <w:rtl/>
        </w:rPr>
        <w:t>שאיפשר</w:t>
      </w:r>
      <w:r w:rsidRPr="00B97E44">
        <w:rPr>
          <w:rtl/>
        </w:rPr>
        <w:t xml:space="preserve"> לרשויות המקומיות </w:t>
      </w:r>
      <w:r w:rsidRPr="00B97E44">
        <w:rPr>
          <w:rFonts w:hint="eastAsia"/>
          <w:rtl/>
        </w:rPr>
        <w:t>לגייס</w:t>
      </w:r>
      <w:r w:rsidRPr="00B97E44">
        <w:rPr>
          <w:rtl/>
        </w:rPr>
        <w:t xml:space="preserve"> עובדים ו</w:t>
      </w:r>
      <w:r w:rsidRPr="00B97E44">
        <w:rPr>
          <w:rFonts w:hint="eastAsia"/>
          <w:rtl/>
        </w:rPr>
        <w:t>להכין</w:t>
      </w:r>
      <w:r w:rsidRPr="00B97E44">
        <w:rPr>
          <w:rtl/>
        </w:rPr>
        <w:t xml:space="preserve"> </w:t>
      </w:r>
      <w:r w:rsidRPr="00B97E44">
        <w:rPr>
          <w:rFonts w:hint="eastAsia"/>
          <w:rtl/>
        </w:rPr>
        <w:t>את</w:t>
      </w:r>
      <w:r w:rsidRPr="00B97E44">
        <w:rPr>
          <w:rtl/>
        </w:rPr>
        <w:t xml:space="preserve"> תוכנית הפעילות, הנדרשת לקבל גם את אישור ועדת המשנה שבה חבר נציג </w:t>
      </w:r>
      <w:r w:rsidRPr="00B97E44">
        <w:rPr>
          <w:rFonts w:hint="eastAsia"/>
          <w:rtl/>
        </w:rPr>
        <w:t>מינהלת</w:t>
      </w:r>
      <w:r w:rsidRPr="00B97E44">
        <w:rPr>
          <w:rtl/>
        </w:rPr>
        <w:t xml:space="preserve"> תקומה וגם את אישור ועדת התמיכות של משרד הנגב והגליל.</w:t>
      </w:r>
    </w:p>
    <w:p w:rsidR="005B126E" w:rsidP="001916A9">
      <w:pPr>
        <w:spacing w:line="269" w:lineRule="auto"/>
        <w:rPr>
          <w:b/>
          <w:bCs/>
          <w:rtl/>
        </w:rPr>
      </w:pPr>
    </w:p>
    <w:p w:rsidR="005B126E" w:rsidRPr="00B97E44" w:rsidP="001916A9">
      <w:pPr>
        <w:spacing w:line="269" w:lineRule="auto"/>
        <w:rPr>
          <w:b/>
          <w:bCs/>
          <w:rtl/>
        </w:rPr>
      </w:pPr>
      <w:r w:rsidRPr="00B97E44">
        <w:rPr>
          <w:rFonts w:hint="cs"/>
          <w:b/>
          <w:bCs/>
          <w:rtl/>
        </w:rPr>
        <w:t xml:space="preserve">על אף חשיבותם של רכזי הקהילות, כפי שעולה מהחלטת הממשלה 1699, ובפרט שתכלית הקול הקורא הייתה לסייע </w:t>
      </w:r>
      <w:r w:rsidRPr="00B97E44">
        <w:rPr>
          <w:b/>
          <w:bCs/>
          <w:rtl/>
        </w:rPr>
        <w:t xml:space="preserve">בתהליך החזרה ההדרגתית לשגרת חיים תפקודית </w:t>
      </w:r>
      <w:r w:rsidRPr="00B97E44">
        <w:rPr>
          <w:rFonts w:hint="cs"/>
          <w:b/>
          <w:bCs/>
          <w:rtl/>
        </w:rPr>
        <w:t>בזמן חזרתן של הקהילות לבתיהן, ואף שתושבי שדרות ויישובים רבים נוספים חזרו לבתיהם כבר בפברואר - מרץ 2024</w:t>
      </w:r>
      <w:r>
        <w:rPr>
          <w:rStyle w:val="FootnoteReference1"/>
          <w:b/>
          <w:bCs/>
          <w:rtl/>
        </w:rPr>
        <w:footnoteReference w:id="83"/>
      </w:r>
      <w:r w:rsidRPr="00B97E44">
        <w:rPr>
          <w:rFonts w:hint="cs"/>
          <w:b/>
          <w:bCs/>
          <w:rtl/>
        </w:rPr>
        <w:t>, נוכח הימשכות ההליכים גיוס הרכזים לקהילות נעשה רק במהלך שנת 2025 ועד מועד סיום הביקורת טרם הושלם.</w:t>
      </w:r>
    </w:p>
    <w:p w:rsidR="005B126E" w:rsidP="001916A9">
      <w:pPr>
        <w:spacing w:line="269" w:lineRule="auto"/>
        <w:rPr>
          <w:rtl/>
        </w:rPr>
      </w:pPr>
    </w:p>
    <w:p w:rsidR="005B126E" w:rsidRPr="00B97E44" w:rsidP="001916A9">
      <w:pPr>
        <w:spacing w:line="269" w:lineRule="auto"/>
        <w:rPr>
          <w:rtl/>
        </w:rPr>
      </w:pPr>
      <w:r>
        <w:rPr>
          <w:rFonts w:hint="cs"/>
          <w:rtl/>
        </w:rPr>
        <w:t>ע</w:t>
      </w:r>
      <w:r w:rsidRPr="00B97E44">
        <w:rPr>
          <w:rFonts w:hint="cs"/>
          <w:rtl/>
        </w:rPr>
        <w:t xml:space="preserve">יריית </w:t>
      </w:r>
      <w:r w:rsidRPr="00B97E44">
        <w:rPr>
          <w:rFonts w:hint="cs"/>
          <w:b/>
          <w:bCs/>
          <w:rtl/>
        </w:rPr>
        <w:t>שדרות</w:t>
      </w:r>
      <w:r w:rsidRPr="00B97E44">
        <w:rPr>
          <w:rFonts w:hint="cs"/>
          <w:rtl/>
        </w:rPr>
        <w:t xml:space="preserve"> מסרה בתשובתה כי </w:t>
      </w:r>
      <w:r w:rsidRPr="00B97E44">
        <w:rPr>
          <w:rFonts w:ascii="David" w:hAnsi="David"/>
          <w:color w:val="000000" w:themeColor="text1"/>
          <w:rtl/>
        </w:rPr>
        <w:t xml:space="preserve">הוקצו </w:t>
      </w:r>
      <w:r w:rsidRPr="00B97E44">
        <w:rPr>
          <w:rFonts w:ascii="David" w:hAnsi="David" w:hint="cs"/>
          <w:color w:val="000000" w:themeColor="text1"/>
          <w:rtl/>
        </w:rPr>
        <w:t>לה</w:t>
      </w:r>
      <w:r w:rsidRPr="00B97E44">
        <w:rPr>
          <w:rFonts w:ascii="David" w:hAnsi="David"/>
          <w:color w:val="000000" w:themeColor="text1"/>
          <w:rtl/>
        </w:rPr>
        <w:t xml:space="preserve"> </w:t>
      </w:r>
      <w:r w:rsidRPr="00B97E44">
        <w:rPr>
          <w:rFonts w:ascii="David" w:hAnsi="David" w:hint="cs"/>
          <w:color w:val="000000" w:themeColor="text1"/>
          <w:rtl/>
        </w:rPr>
        <w:t>שבעה</w:t>
      </w:r>
      <w:r w:rsidRPr="00B97E44">
        <w:rPr>
          <w:rFonts w:ascii="David" w:hAnsi="David"/>
          <w:color w:val="000000" w:themeColor="text1"/>
          <w:rtl/>
        </w:rPr>
        <w:t xml:space="preserve"> תקנים לרכזי קהילה, מתוך הכרה בחשיבות החוסן הקהילתי בתקופה זו</w:t>
      </w:r>
      <w:r w:rsidRPr="00B97E44">
        <w:rPr>
          <w:rFonts w:ascii="David" w:hAnsi="David"/>
          <w:color w:val="000000" w:themeColor="text1"/>
        </w:rPr>
        <w:t>.</w:t>
      </w:r>
      <w:r w:rsidRPr="00B97E44">
        <w:rPr>
          <w:rFonts w:ascii="David" w:hAnsi="David" w:hint="cs"/>
          <w:color w:val="000000" w:themeColor="text1"/>
          <w:rtl/>
        </w:rPr>
        <w:t xml:space="preserve"> </w:t>
      </w:r>
      <w:r w:rsidRPr="00B97E44">
        <w:rPr>
          <w:rFonts w:ascii="David" w:hAnsi="David"/>
          <w:color w:val="000000" w:themeColor="text1"/>
          <w:rtl/>
        </w:rPr>
        <w:t xml:space="preserve">נכון </w:t>
      </w:r>
      <w:r w:rsidRPr="00B97E44">
        <w:rPr>
          <w:rFonts w:ascii="David" w:hAnsi="David" w:hint="cs"/>
          <w:color w:val="000000" w:themeColor="text1"/>
          <w:rtl/>
        </w:rPr>
        <w:t>לנובמבר 2025 שישה</w:t>
      </w:r>
      <w:r w:rsidRPr="00B97E44">
        <w:rPr>
          <w:rFonts w:ascii="David" w:hAnsi="David"/>
          <w:color w:val="000000" w:themeColor="text1"/>
        </w:rPr>
        <w:t xml:space="preserve"> </w:t>
      </w:r>
      <w:r w:rsidRPr="00B97E44">
        <w:rPr>
          <w:rFonts w:ascii="David" w:hAnsi="David"/>
          <w:color w:val="000000" w:themeColor="text1"/>
          <w:rtl/>
        </w:rPr>
        <w:t>רכזים כבר נקלטו בפועל</w:t>
      </w:r>
      <w:r w:rsidRPr="00B97E44">
        <w:rPr>
          <w:rFonts w:ascii="David" w:hAnsi="David"/>
          <w:color w:val="000000" w:themeColor="text1"/>
        </w:rPr>
        <w:t xml:space="preserve"> </w:t>
      </w:r>
      <w:r w:rsidRPr="00B97E44">
        <w:rPr>
          <w:rFonts w:ascii="David" w:hAnsi="David"/>
          <w:color w:val="000000" w:themeColor="text1"/>
          <w:rtl/>
        </w:rPr>
        <w:t>ורכז נוסף נמצא בשלבי קליטה מתקדמים</w:t>
      </w:r>
      <w:r w:rsidRPr="00B97E44">
        <w:rPr>
          <w:rFonts w:ascii="David" w:hAnsi="David"/>
          <w:color w:val="000000" w:themeColor="text1"/>
        </w:rPr>
        <w:t>.</w:t>
      </w:r>
      <w:r w:rsidRPr="00B97E44">
        <w:rPr>
          <w:rFonts w:ascii="David" w:hAnsi="David" w:hint="cs"/>
          <w:color w:val="000000" w:themeColor="text1"/>
          <w:rtl/>
        </w:rPr>
        <w:t xml:space="preserve"> כ</w:t>
      </w:r>
      <w:r w:rsidRPr="00B97E44">
        <w:rPr>
          <w:rFonts w:ascii="David" w:hAnsi="David"/>
          <w:color w:val="000000" w:themeColor="text1"/>
          <w:rtl/>
        </w:rPr>
        <w:t xml:space="preserve">לל הרכזים משולבים במסגרת הארגונית העירונית והתקנים מעוגנים באופן מלא במבנה הארגוני. </w:t>
      </w:r>
      <w:r w:rsidRPr="00B97E44">
        <w:rPr>
          <w:rFonts w:ascii="David" w:hAnsi="David" w:hint="cs"/>
          <w:color w:val="000000" w:themeColor="text1"/>
          <w:rtl/>
        </w:rPr>
        <w:t xml:space="preserve">עוד מסרה העירייה כי </w:t>
      </w:r>
      <w:r w:rsidRPr="00B97E44">
        <w:rPr>
          <w:rFonts w:ascii="David" w:hAnsi="David"/>
          <w:color w:val="000000" w:themeColor="text1"/>
          <w:rtl/>
        </w:rPr>
        <w:t>רכזי הקהילה מהווים שכבת חוסן חיונית, תומכים במשפחות וביחידים, ומחזקים את רציפות השירותים החברתיים בעיר</w:t>
      </w:r>
      <w:r w:rsidRPr="00B97E44">
        <w:rPr>
          <w:rFonts w:ascii="David" w:hAnsi="David"/>
          <w:color w:val="000000" w:themeColor="text1"/>
        </w:rPr>
        <w:t>.</w:t>
      </w:r>
    </w:p>
    <w:p w:rsidR="005B126E" w:rsidRPr="00B97E44" w:rsidP="001916A9">
      <w:pPr>
        <w:spacing w:line="269" w:lineRule="auto"/>
        <w:rPr>
          <w:rtl/>
        </w:rPr>
      </w:pPr>
      <w:r w:rsidRPr="00B97E44">
        <w:rPr>
          <w:rFonts w:ascii="David" w:hAnsi="David" w:hint="eastAsia"/>
          <w:sz w:val="24"/>
          <w:rtl/>
        </w:rPr>
        <w:t>מינהלת</w:t>
      </w:r>
      <w:r w:rsidRPr="00B97E44">
        <w:rPr>
          <w:rFonts w:ascii="David" w:hAnsi="David"/>
          <w:sz w:val="24"/>
          <w:rtl/>
        </w:rPr>
        <w:t xml:space="preserve"> </w:t>
      </w:r>
      <w:r w:rsidRPr="00B97E44">
        <w:rPr>
          <w:rFonts w:ascii="David" w:hAnsi="David" w:hint="eastAsia"/>
          <w:sz w:val="24"/>
          <w:rtl/>
        </w:rPr>
        <w:t>תקומה</w:t>
      </w:r>
      <w:r w:rsidRPr="00B97E44">
        <w:rPr>
          <w:rFonts w:ascii="David" w:hAnsi="David"/>
          <w:sz w:val="24"/>
          <w:rtl/>
        </w:rPr>
        <w:t xml:space="preserve"> </w:t>
      </w:r>
      <w:r w:rsidRPr="00B97E44">
        <w:rPr>
          <w:rFonts w:ascii="David" w:hAnsi="David" w:hint="eastAsia"/>
          <w:sz w:val="24"/>
          <w:rtl/>
        </w:rPr>
        <w:t>מסרה</w:t>
      </w:r>
      <w:r w:rsidRPr="00B97E44">
        <w:rPr>
          <w:rFonts w:ascii="David" w:hAnsi="David"/>
          <w:sz w:val="24"/>
          <w:rtl/>
        </w:rPr>
        <w:t xml:space="preserve"> </w:t>
      </w:r>
      <w:r w:rsidRPr="00B97E44">
        <w:rPr>
          <w:rFonts w:ascii="David" w:hAnsi="David" w:hint="eastAsia"/>
          <w:sz w:val="24"/>
          <w:rtl/>
        </w:rPr>
        <w:t>בתשובתה</w:t>
      </w:r>
      <w:r w:rsidRPr="00B97E44">
        <w:rPr>
          <w:rFonts w:ascii="David" w:hAnsi="David"/>
          <w:sz w:val="24"/>
          <w:rtl/>
        </w:rPr>
        <w:t xml:space="preserve"> </w:t>
      </w:r>
      <w:r w:rsidRPr="00B97E44">
        <w:rPr>
          <w:rFonts w:ascii="David" w:hAnsi="David" w:hint="eastAsia"/>
          <w:sz w:val="24"/>
          <w:rtl/>
        </w:rPr>
        <w:t>כי</w:t>
      </w:r>
      <w:r w:rsidRPr="00B97E44">
        <w:rPr>
          <w:rFonts w:ascii="David" w:hAnsi="David"/>
          <w:sz w:val="24"/>
          <w:rtl/>
        </w:rPr>
        <w:t xml:space="preserve"> </w:t>
      </w:r>
      <w:r w:rsidRPr="00B97E44">
        <w:rPr>
          <w:rFonts w:ascii="David" w:hAnsi="David" w:hint="eastAsia"/>
          <w:sz w:val="24"/>
          <w:rtl/>
        </w:rPr>
        <w:t>בהתאם</w:t>
      </w:r>
      <w:r w:rsidRPr="00B97E44">
        <w:rPr>
          <w:rFonts w:ascii="David" w:hAnsi="David"/>
          <w:sz w:val="24"/>
          <w:rtl/>
        </w:rPr>
        <w:t xml:space="preserve"> </w:t>
      </w:r>
      <w:r w:rsidRPr="00B97E44">
        <w:rPr>
          <w:rFonts w:ascii="David" w:hAnsi="David" w:hint="eastAsia"/>
          <w:sz w:val="24"/>
          <w:rtl/>
        </w:rPr>
        <w:t>למתווה</w:t>
      </w:r>
      <w:r w:rsidRPr="00B97E44">
        <w:rPr>
          <w:rFonts w:ascii="David" w:hAnsi="David"/>
          <w:sz w:val="24"/>
          <w:rtl/>
        </w:rPr>
        <w:t xml:space="preserve"> </w:t>
      </w:r>
      <w:r w:rsidRPr="00B97E44">
        <w:rPr>
          <w:rFonts w:ascii="David" w:hAnsi="David" w:hint="eastAsia"/>
          <w:sz w:val="24"/>
          <w:rtl/>
        </w:rPr>
        <w:t>הקול</w:t>
      </w:r>
      <w:r w:rsidRPr="00B97E44">
        <w:rPr>
          <w:rFonts w:ascii="David" w:hAnsi="David"/>
          <w:sz w:val="24"/>
          <w:rtl/>
        </w:rPr>
        <w:t xml:space="preserve"> </w:t>
      </w:r>
      <w:r w:rsidRPr="00B97E44">
        <w:rPr>
          <w:rFonts w:ascii="David" w:hAnsi="David" w:hint="eastAsia"/>
          <w:sz w:val="24"/>
          <w:rtl/>
        </w:rPr>
        <w:t>הקורא</w:t>
      </w:r>
      <w:r w:rsidRPr="00B97E44">
        <w:rPr>
          <w:rFonts w:ascii="David" w:hAnsi="David"/>
          <w:sz w:val="24"/>
          <w:rtl/>
        </w:rPr>
        <w:t xml:space="preserve">, </w:t>
      </w:r>
      <w:r w:rsidRPr="00B97E44">
        <w:rPr>
          <w:rFonts w:ascii="David" w:hAnsi="David" w:hint="eastAsia"/>
          <w:sz w:val="24"/>
          <w:rtl/>
        </w:rPr>
        <w:t>הליך</w:t>
      </w:r>
      <w:r w:rsidRPr="00B97E44">
        <w:rPr>
          <w:rFonts w:ascii="David" w:hAnsi="David"/>
          <w:sz w:val="24"/>
          <w:rtl/>
        </w:rPr>
        <w:t xml:space="preserve"> הגיוס </w:t>
      </w:r>
      <w:r w:rsidRPr="00B97E44">
        <w:rPr>
          <w:rFonts w:ascii="David" w:hAnsi="David" w:hint="cs"/>
          <w:sz w:val="24"/>
          <w:rtl/>
        </w:rPr>
        <w:t>נמצא תחת</w:t>
      </w:r>
      <w:r w:rsidRPr="00B97E44">
        <w:rPr>
          <w:rFonts w:ascii="David" w:hAnsi="David"/>
          <w:sz w:val="24"/>
          <w:rtl/>
        </w:rPr>
        <w:t xml:space="preserve"> </w:t>
      </w:r>
      <w:r w:rsidRPr="00B97E44">
        <w:rPr>
          <w:rFonts w:ascii="David" w:hAnsi="David" w:hint="eastAsia"/>
          <w:sz w:val="24"/>
          <w:rtl/>
        </w:rPr>
        <w:t>אחריות</w:t>
      </w:r>
      <w:r w:rsidRPr="00B97E44">
        <w:rPr>
          <w:rFonts w:ascii="David" w:hAnsi="David" w:hint="cs"/>
          <w:sz w:val="24"/>
          <w:rtl/>
        </w:rPr>
        <w:t>ן של</w:t>
      </w:r>
      <w:r w:rsidRPr="00B97E44">
        <w:rPr>
          <w:rFonts w:ascii="David" w:hAnsi="David"/>
          <w:sz w:val="24"/>
          <w:rtl/>
        </w:rPr>
        <w:t xml:space="preserve"> </w:t>
      </w:r>
      <w:r w:rsidRPr="00B97E44">
        <w:rPr>
          <w:rFonts w:ascii="David" w:hAnsi="David" w:hint="eastAsia"/>
          <w:sz w:val="24"/>
          <w:rtl/>
        </w:rPr>
        <w:t>הרשויות</w:t>
      </w:r>
      <w:r w:rsidRPr="00B97E44">
        <w:rPr>
          <w:rFonts w:ascii="David" w:hAnsi="David"/>
          <w:sz w:val="24"/>
          <w:rtl/>
        </w:rPr>
        <w:t xml:space="preserve"> </w:t>
      </w:r>
      <w:r w:rsidRPr="00B97E44">
        <w:rPr>
          <w:rFonts w:ascii="David" w:hAnsi="David" w:hint="eastAsia"/>
          <w:sz w:val="24"/>
          <w:rtl/>
        </w:rPr>
        <w:t>המקומיות</w:t>
      </w:r>
      <w:r w:rsidRPr="00B97E44">
        <w:rPr>
          <w:rFonts w:ascii="David" w:hAnsi="David"/>
          <w:sz w:val="24"/>
          <w:rtl/>
        </w:rPr>
        <w:t xml:space="preserve"> </w:t>
      </w:r>
      <w:r w:rsidRPr="00B97E44">
        <w:rPr>
          <w:rFonts w:ascii="David" w:hAnsi="David" w:hint="eastAsia"/>
          <w:sz w:val="24"/>
          <w:rtl/>
        </w:rPr>
        <w:t>וכי</w:t>
      </w:r>
      <w:r w:rsidRPr="00B97E44">
        <w:rPr>
          <w:rFonts w:ascii="David" w:hAnsi="David"/>
          <w:sz w:val="24"/>
          <w:rtl/>
        </w:rPr>
        <w:t xml:space="preserve"> </w:t>
      </w:r>
      <w:r w:rsidRPr="00B97E44">
        <w:rPr>
          <w:rFonts w:ascii="David" w:hAnsi="David" w:hint="eastAsia"/>
          <w:sz w:val="24"/>
          <w:rtl/>
        </w:rPr>
        <w:t>היא</w:t>
      </w:r>
      <w:r w:rsidRPr="00B97E44">
        <w:rPr>
          <w:rFonts w:ascii="David" w:hAnsi="David"/>
          <w:sz w:val="24"/>
          <w:rtl/>
        </w:rPr>
        <w:t xml:space="preserve"> </w:t>
      </w:r>
      <w:r w:rsidRPr="00B97E44">
        <w:rPr>
          <w:rFonts w:ascii="David" w:hAnsi="David" w:hint="eastAsia"/>
          <w:sz w:val="24"/>
          <w:rtl/>
        </w:rPr>
        <w:t>פועלת</w:t>
      </w:r>
      <w:r w:rsidRPr="00B97E44">
        <w:rPr>
          <w:rFonts w:ascii="David" w:hAnsi="David"/>
          <w:sz w:val="24"/>
          <w:rtl/>
        </w:rPr>
        <w:t xml:space="preserve"> </w:t>
      </w:r>
      <w:r w:rsidRPr="00B97E44">
        <w:rPr>
          <w:rFonts w:ascii="David" w:hAnsi="David" w:hint="eastAsia"/>
          <w:sz w:val="24"/>
          <w:rtl/>
        </w:rPr>
        <w:t>במגוון</w:t>
      </w:r>
      <w:r w:rsidRPr="00B97E44">
        <w:rPr>
          <w:rFonts w:ascii="David" w:hAnsi="David"/>
          <w:sz w:val="24"/>
          <w:rtl/>
        </w:rPr>
        <w:t xml:space="preserve"> </w:t>
      </w:r>
      <w:r w:rsidRPr="00B97E44">
        <w:rPr>
          <w:rFonts w:ascii="David" w:hAnsi="David" w:hint="eastAsia"/>
          <w:sz w:val="24"/>
          <w:rtl/>
        </w:rPr>
        <w:t>היבטים</w:t>
      </w:r>
      <w:r w:rsidRPr="00B97E44">
        <w:rPr>
          <w:rFonts w:ascii="David" w:hAnsi="David"/>
          <w:sz w:val="24"/>
          <w:rtl/>
        </w:rPr>
        <w:t xml:space="preserve"> </w:t>
      </w:r>
      <w:r w:rsidRPr="00B97E44">
        <w:rPr>
          <w:rFonts w:ascii="David" w:hAnsi="David" w:hint="eastAsia"/>
          <w:sz w:val="24"/>
          <w:rtl/>
        </w:rPr>
        <w:t>שנועדו</w:t>
      </w:r>
      <w:r w:rsidRPr="00B97E44">
        <w:rPr>
          <w:rFonts w:ascii="David" w:hAnsi="David"/>
          <w:sz w:val="24"/>
          <w:rtl/>
        </w:rPr>
        <w:t xml:space="preserve"> </w:t>
      </w:r>
      <w:r w:rsidRPr="00B97E44">
        <w:rPr>
          <w:rFonts w:ascii="David" w:hAnsi="David" w:hint="eastAsia"/>
          <w:sz w:val="24"/>
          <w:rtl/>
        </w:rPr>
        <w:t>לחזק</w:t>
      </w:r>
      <w:r w:rsidRPr="00B97E44">
        <w:rPr>
          <w:rFonts w:ascii="David" w:hAnsi="David"/>
          <w:sz w:val="24"/>
          <w:rtl/>
        </w:rPr>
        <w:t xml:space="preserve"> </w:t>
      </w:r>
      <w:r w:rsidRPr="00B97E44">
        <w:rPr>
          <w:rFonts w:ascii="David" w:hAnsi="David" w:hint="eastAsia"/>
          <w:sz w:val="24"/>
          <w:rtl/>
        </w:rPr>
        <w:t>את</w:t>
      </w:r>
      <w:r w:rsidRPr="00B97E44">
        <w:rPr>
          <w:rFonts w:ascii="David" w:hAnsi="David"/>
          <w:sz w:val="24"/>
          <w:rtl/>
        </w:rPr>
        <w:t xml:space="preserve"> </w:t>
      </w:r>
      <w:r w:rsidRPr="00B97E44">
        <w:rPr>
          <w:rFonts w:ascii="David" w:hAnsi="David" w:hint="eastAsia"/>
          <w:color w:val="000000" w:themeColor="text1"/>
          <w:rtl/>
        </w:rPr>
        <w:t>הרשויות</w:t>
      </w:r>
      <w:r w:rsidRPr="00B97E44">
        <w:rPr>
          <w:rFonts w:ascii="David" w:hAnsi="David"/>
          <w:sz w:val="24"/>
          <w:rtl/>
        </w:rPr>
        <w:t xml:space="preserve"> </w:t>
      </w:r>
      <w:r w:rsidRPr="00B97E44">
        <w:rPr>
          <w:rFonts w:ascii="David" w:hAnsi="David" w:hint="eastAsia"/>
          <w:sz w:val="24"/>
          <w:rtl/>
        </w:rPr>
        <w:t>המקומיות</w:t>
      </w:r>
      <w:r w:rsidRPr="00B97E44">
        <w:rPr>
          <w:rFonts w:ascii="David" w:hAnsi="David"/>
          <w:sz w:val="24"/>
          <w:rtl/>
        </w:rPr>
        <w:t xml:space="preserve"> </w:t>
      </w:r>
      <w:r w:rsidRPr="00B97E44">
        <w:rPr>
          <w:rFonts w:ascii="David" w:hAnsi="David" w:hint="eastAsia"/>
          <w:sz w:val="24"/>
          <w:rtl/>
        </w:rPr>
        <w:t>לאורך</w:t>
      </w:r>
      <w:r w:rsidRPr="00B97E44">
        <w:rPr>
          <w:rFonts w:ascii="David" w:hAnsi="David"/>
          <w:sz w:val="24"/>
          <w:rtl/>
        </w:rPr>
        <w:t xml:space="preserve"> </w:t>
      </w:r>
      <w:r w:rsidRPr="00B97E44">
        <w:rPr>
          <w:rFonts w:ascii="David" w:hAnsi="David" w:hint="eastAsia"/>
          <w:sz w:val="24"/>
          <w:rtl/>
        </w:rPr>
        <w:t>תקופת</w:t>
      </w:r>
      <w:r w:rsidRPr="00B97E44">
        <w:rPr>
          <w:rFonts w:ascii="David" w:hAnsi="David"/>
          <w:sz w:val="24"/>
          <w:rtl/>
        </w:rPr>
        <w:t xml:space="preserve"> </w:t>
      </w:r>
      <w:r w:rsidRPr="00B97E44">
        <w:rPr>
          <w:rFonts w:ascii="David" w:hAnsi="David" w:hint="eastAsia"/>
          <w:sz w:val="24"/>
          <w:rtl/>
        </w:rPr>
        <w:t>החומש</w:t>
      </w:r>
      <w:r w:rsidRPr="00B97E44">
        <w:rPr>
          <w:rFonts w:ascii="David" w:hAnsi="David"/>
          <w:sz w:val="24"/>
          <w:rtl/>
        </w:rPr>
        <w:t>.</w:t>
      </w:r>
    </w:p>
    <w:p w:rsidR="005B126E" w:rsidP="001916A9">
      <w:pPr>
        <w:spacing w:line="269" w:lineRule="auto"/>
        <w:ind w:left="3"/>
        <w:rPr>
          <w:sz w:val="24"/>
          <w:rtl/>
        </w:rPr>
      </w:pPr>
    </w:p>
    <w:p w:rsidR="005B126E" w:rsidRPr="00B97E44" w:rsidP="001916A9">
      <w:pPr>
        <w:spacing w:line="269" w:lineRule="auto"/>
        <w:ind w:left="3"/>
        <w:rPr>
          <w:sz w:val="24"/>
          <w:rtl/>
        </w:rPr>
      </w:pPr>
      <w:r w:rsidRPr="00B97E44">
        <w:rPr>
          <w:rFonts w:hint="eastAsia"/>
          <w:sz w:val="24"/>
          <w:rtl/>
        </w:rPr>
        <w:t>משרד</w:t>
      </w:r>
      <w:r w:rsidRPr="00B97E44">
        <w:rPr>
          <w:sz w:val="24"/>
          <w:rtl/>
        </w:rPr>
        <w:t xml:space="preserve"> </w:t>
      </w:r>
      <w:r w:rsidRPr="00B97E44">
        <w:rPr>
          <w:rFonts w:hint="eastAsia"/>
          <w:sz w:val="24"/>
          <w:rtl/>
        </w:rPr>
        <w:t>הנגב</w:t>
      </w:r>
      <w:r w:rsidRPr="00B97E44">
        <w:rPr>
          <w:sz w:val="24"/>
          <w:rtl/>
        </w:rPr>
        <w:t xml:space="preserve"> </w:t>
      </w:r>
      <w:r w:rsidRPr="00B97E44">
        <w:rPr>
          <w:rFonts w:hint="eastAsia"/>
          <w:sz w:val="24"/>
          <w:rtl/>
        </w:rPr>
        <w:t>והגליל</w:t>
      </w:r>
      <w:r w:rsidRPr="00B97E44">
        <w:rPr>
          <w:sz w:val="24"/>
          <w:rtl/>
        </w:rPr>
        <w:t xml:space="preserve"> </w:t>
      </w:r>
      <w:r w:rsidRPr="00B97E44">
        <w:rPr>
          <w:rFonts w:hint="eastAsia"/>
          <w:sz w:val="24"/>
          <w:rtl/>
        </w:rPr>
        <w:t>מסר</w:t>
      </w:r>
      <w:r w:rsidRPr="00B97E44">
        <w:rPr>
          <w:sz w:val="24"/>
          <w:rtl/>
        </w:rPr>
        <w:t xml:space="preserve"> </w:t>
      </w:r>
      <w:r w:rsidRPr="00B97E44">
        <w:rPr>
          <w:rFonts w:hint="eastAsia"/>
          <w:sz w:val="24"/>
          <w:rtl/>
        </w:rPr>
        <w:t>בתשובתו</w:t>
      </w:r>
      <w:r w:rsidRPr="00B97E44">
        <w:rPr>
          <w:sz w:val="24"/>
          <w:rtl/>
        </w:rPr>
        <w:t xml:space="preserve"> </w:t>
      </w:r>
      <w:r w:rsidRPr="00B97E44">
        <w:rPr>
          <w:rFonts w:hint="eastAsia"/>
          <w:sz w:val="24"/>
          <w:rtl/>
        </w:rPr>
        <w:t>מאוקטובר</w:t>
      </w:r>
      <w:r w:rsidRPr="00B97E44">
        <w:rPr>
          <w:sz w:val="24"/>
          <w:rtl/>
        </w:rPr>
        <w:t xml:space="preserve"> 202</w:t>
      </w:r>
      <w:r w:rsidRPr="00B97E44">
        <w:rPr>
          <w:rFonts w:hint="cs"/>
          <w:sz w:val="24"/>
          <w:rtl/>
        </w:rPr>
        <w:t>5</w:t>
      </w:r>
      <w:r w:rsidRPr="00B97E44">
        <w:rPr>
          <w:sz w:val="24"/>
          <w:rtl/>
        </w:rPr>
        <w:t xml:space="preserve"> כי הרשויות </w:t>
      </w:r>
      <w:r w:rsidRPr="00B97E44">
        <w:rPr>
          <w:rFonts w:hint="cs"/>
          <w:sz w:val="24"/>
          <w:rtl/>
        </w:rPr>
        <w:t xml:space="preserve">המקומיות </w:t>
      </w:r>
      <w:r w:rsidRPr="00B97E44">
        <w:rPr>
          <w:sz w:val="24"/>
          <w:rtl/>
        </w:rPr>
        <w:t>לא הצליחו לעמוד בלוחות הזמנים שנקבעו</w:t>
      </w:r>
      <w:r w:rsidRPr="00B97E44">
        <w:rPr>
          <w:rFonts w:hint="cs"/>
          <w:sz w:val="24"/>
          <w:rtl/>
        </w:rPr>
        <w:t xml:space="preserve"> לגיוס רכזי קהילה</w:t>
      </w:r>
      <w:r w:rsidRPr="00B97E44">
        <w:rPr>
          <w:sz w:val="24"/>
          <w:rtl/>
        </w:rPr>
        <w:t xml:space="preserve"> בשל הסמיכות למערכת הבחירות ברשויות</w:t>
      </w:r>
      <w:r w:rsidRPr="00B97E44">
        <w:rPr>
          <w:rFonts w:hint="cs"/>
          <w:sz w:val="24"/>
          <w:rtl/>
        </w:rPr>
        <w:t xml:space="preserve"> ו</w:t>
      </w:r>
      <w:r w:rsidRPr="00B97E44">
        <w:rPr>
          <w:rFonts w:hint="eastAsia"/>
          <w:sz w:val="24"/>
          <w:rtl/>
        </w:rPr>
        <w:t>לכן</w:t>
      </w:r>
      <w:r w:rsidRPr="00B97E44">
        <w:rPr>
          <w:sz w:val="24"/>
          <w:rtl/>
        </w:rPr>
        <w:t xml:space="preserve"> ועדת התמיכות במשרד דחתה פעמיים את המועד </w:t>
      </w:r>
      <w:r w:rsidRPr="00B97E44">
        <w:rPr>
          <w:rFonts w:hint="cs"/>
          <w:sz w:val="24"/>
          <w:rtl/>
        </w:rPr>
        <w:t>לגיוס הרכזים והתכנסה בשנית בינואר 2025.</w:t>
      </w:r>
      <w:r w:rsidRPr="00B97E44">
        <w:rPr>
          <w:sz w:val="24"/>
          <w:rtl/>
        </w:rPr>
        <w:t xml:space="preserve"> נכון </w:t>
      </w:r>
      <w:r w:rsidRPr="00B97E44">
        <w:rPr>
          <w:rFonts w:hint="eastAsia"/>
          <w:sz w:val="24"/>
          <w:rtl/>
        </w:rPr>
        <w:t>לאוקטובר</w:t>
      </w:r>
      <w:r w:rsidRPr="00B97E44">
        <w:rPr>
          <w:sz w:val="24"/>
          <w:rtl/>
        </w:rPr>
        <w:t xml:space="preserve"> 2025, גויסו 27 מתוך 28 התקנים שהוקצו</w:t>
      </w:r>
      <w:r w:rsidRPr="00B97E44">
        <w:rPr>
          <w:rFonts w:hint="cs"/>
          <w:sz w:val="24"/>
          <w:rtl/>
        </w:rPr>
        <w:t xml:space="preserve"> לרכזי הקהילה</w:t>
      </w:r>
      <w:r w:rsidRPr="00B97E44">
        <w:rPr>
          <w:sz w:val="24"/>
          <w:rtl/>
        </w:rPr>
        <w:t xml:space="preserve"> </w:t>
      </w:r>
      <w:r w:rsidRPr="00B97E44">
        <w:rPr>
          <w:rFonts w:hint="cs"/>
          <w:sz w:val="24"/>
          <w:rtl/>
        </w:rPr>
        <w:t>ו</w:t>
      </w:r>
      <w:r w:rsidRPr="00B97E44">
        <w:rPr>
          <w:sz w:val="24"/>
          <w:rtl/>
        </w:rPr>
        <w:t>התקן שנותר בלתי מאויש מצוי בעיר שדרו</w:t>
      </w:r>
      <w:r w:rsidRPr="00B97E44">
        <w:rPr>
          <w:rFonts w:hint="cs"/>
          <w:sz w:val="24"/>
          <w:rtl/>
        </w:rPr>
        <w:t>ת, ה</w:t>
      </w:r>
      <w:r w:rsidRPr="00B97E44">
        <w:rPr>
          <w:sz w:val="24"/>
          <w:rtl/>
        </w:rPr>
        <w:t>פועלת להשלמת הליך הגיוס</w:t>
      </w:r>
      <w:r w:rsidRPr="00B97E44">
        <w:rPr>
          <w:rFonts w:hint="cs"/>
          <w:sz w:val="24"/>
          <w:rtl/>
        </w:rPr>
        <w:t>.</w:t>
      </w:r>
    </w:p>
    <w:p w:rsidR="005B126E" w:rsidRPr="00B97E44" w:rsidP="001916A9">
      <w:pPr>
        <w:spacing w:line="269" w:lineRule="auto"/>
        <w:rPr>
          <w:b/>
          <w:bCs/>
          <w:rtl/>
        </w:rPr>
      </w:pPr>
    </w:p>
    <w:p w:rsidR="005B126E" w:rsidRPr="00B97E44" w:rsidP="001916A9">
      <w:pPr>
        <w:pStyle w:val="Heading5"/>
        <w:spacing w:line="269" w:lineRule="auto"/>
        <w:rPr>
          <w:rtl/>
        </w:rPr>
      </w:pPr>
      <w:r w:rsidRPr="00B97E44">
        <w:rPr>
          <w:rFonts w:hint="cs"/>
          <w:rtl/>
        </w:rPr>
        <w:t>הסל היישובי</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בהחלטת ממשלה 1699 נקבע כי לנוכח הצרכים שעלו עקב הלחימה בחבל </w:t>
      </w:r>
      <w:r w:rsidRPr="00B97E44">
        <w:rPr>
          <w:rtl/>
        </w:rPr>
        <w:t>ובשל היעדרותם הממושכת של תושבי החבל מאזור מגוריהם בעקבותיה,</w:t>
      </w:r>
      <w:r w:rsidRPr="00B97E44">
        <w:rPr>
          <w:rFonts w:hint="cs"/>
          <w:rtl/>
        </w:rPr>
        <w:t xml:space="preserve"> תפעל מינהלת תקומה בין היתר לקידום תכנון, התאמה והשלמה של תשתיות ומבני ציבור שבתחום יישובי החבל לשם חזרה מיטבית של הקהילות והתארגנותן ולשם תמיכה בהליכי השיקום, לפי אמות מידה שוויונית שתגבש </w:t>
      </w:r>
      <w:r w:rsidRPr="00B97E44">
        <w:rPr>
          <w:rtl/>
        </w:rPr>
        <w:t>המ</w:t>
      </w:r>
      <w:r w:rsidRPr="00B97E44">
        <w:rPr>
          <w:rFonts w:hint="cs"/>
          <w:rtl/>
        </w:rPr>
        <w:t>י</w:t>
      </w:r>
      <w:r w:rsidRPr="00B97E44">
        <w:rPr>
          <w:rtl/>
        </w:rPr>
        <w:t>נהלת</w:t>
      </w:r>
      <w:r w:rsidRPr="00B97E44">
        <w:rPr>
          <w:rtl/>
        </w:rPr>
        <w:t xml:space="preserve"> בתיאום עם משרד האוצר. </w:t>
      </w:r>
    </w:p>
    <w:p w:rsidR="005B126E" w:rsidP="001916A9">
      <w:pPr>
        <w:spacing w:line="269" w:lineRule="auto"/>
        <w:rPr>
          <w:rtl/>
        </w:rPr>
      </w:pPr>
      <w:bookmarkStart w:id="36" w:name="_Hlk207633452"/>
    </w:p>
    <w:p w:rsidR="005B126E" w:rsidRPr="00B97E44" w:rsidP="001916A9">
      <w:pPr>
        <w:spacing w:line="269" w:lineRule="auto"/>
        <w:rPr>
          <w:rtl/>
        </w:rPr>
      </w:pPr>
      <w:r w:rsidRPr="00B97E44">
        <w:rPr>
          <w:rFonts w:hint="cs"/>
          <w:rtl/>
        </w:rPr>
        <w:t>בתוכנית החומש הוגדר "</w:t>
      </w:r>
      <w:r w:rsidRPr="00B97E44">
        <w:rPr>
          <w:rFonts w:hint="eastAsia"/>
          <w:rtl/>
        </w:rPr>
        <w:t>סל</w:t>
      </w:r>
      <w:r w:rsidRPr="00B97E44">
        <w:rPr>
          <w:rtl/>
        </w:rPr>
        <w:t xml:space="preserve"> </w:t>
      </w:r>
      <w:r w:rsidRPr="00B97E44">
        <w:rPr>
          <w:rFonts w:hint="eastAsia"/>
          <w:rtl/>
        </w:rPr>
        <w:t>יישובי</w:t>
      </w:r>
      <w:r w:rsidRPr="00B97E44">
        <w:rPr>
          <w:rtl/>
        </w:rPr>
        <w:t xml:space="preserve">" </w:t>
      </w:r>
      <w:r w:rsidRPr="00B97E44">
        <w:rPr>
          <w:rFonts w:hint="cs"/>
          <w:rtl/>
        </w:rPr>
        <w:t>שאמור ל</w:t>
      </w:r>
      <w:r w:rsidRPr="00B97E44">
        <w:rPr>
          <w:rFonts w:hint="eastAsia"/>
          <w:rtl/>
        </w:rPr>
        <w:t>שמש</w:t>
      </w:r>
      <w:r w:rsidRPr="00B97E44">
        <w:rPr>
          <w:rtl/>
        </w:rPr>
        <w:t xml:space="preserve"> </w:t>
      </w:r>
      <w:r w:rsidRPr="00B97E44">
        <w:rPr>
          <w:rFonts w:hint="eastAsia"/>
          <w:rtl/>
        </w:rPr>
        <w:t>בין</w:t>
      </w:r>
      <w:r w:rsidRPr="00B97E44">
        <w:rPr>
          <w:rtl/>
        </w:rPr>
        <w:t xml:space="preserve"> </w:t>
      </w:r>
      <w:r w:rsidRPr="00B97E44">
        <w:rPr>
          <w:rFonts w:hint="eastAsia"/>
          <w:rtl/>
        </w:rPr>
        <w:t>היתר</w:t>
      </w:r>
      <w:r w:rsidRPr="00B97E44">
        <w:rPr>
          <w:rtl/>
        </w:rPr>
        <w:t xml:space="preserve"> </w:t>
      </w:r>
      <w:r w:rsidRPr="00B97E44">
        <w:rPr>
          <w:rFonts w:hint="eastAsia"/>
          <w:rtl/>
        </w:rPr>
        <w:t>לביצוע</w:t>
      </w:r>
      <w:r w:rsidRPr="00B97E44">
        <w:rPr>
          <w:rtl/>
        </w:rPr>
        <w:t xml:space="preserve"> </w:t>
      </w:r>
      <w:r w:rsidRPr="00B97E44">
        <w:rPr>
          <w:rFonts w:hint="eastAsia"/>
          <w:rtl/>
        </w:rPr>
        <w:t>התאמות</w:t>
      </w:r>
      <w:r w:rsidRPr="00B97E44">
        <w:rPr>
          <w:rtl/>
        </w:rPr>
        <w:t xml:space="preserve"> </w:t>
      </w:r>
      <w:r w:rsidRPr="00B97E44">
        <w:rPr>
          <w:rFonts w:hint="eastAsia"/>
          <w:rtl/>
        </w:rPr>
        <w:t>ולשדרוג</w:t>
      </w:r>
      <w:r w:rsidRPr="00B97E44">
        <w:rPr>
          <w:rtl/>
        </w:rPr>
        <w:t xml:space="preserve"> </w:t>
      </w:r>
      <w:r w:rsidRPr="00B97E44">
        <w:rPr>
          <w:rFonts w:hint="eastAsia"/>
          <w:rtl/>
        </w:rPr>
        <w:t>תשתיות</w:t>
      </w:r>
      <w:r w:rsidRPr="00B97E44">
        <w:rPr>
          <w:rtl/>
        </w:rPr>
        <w:t xml:space="preserve"> </w:t>
      </w:r>
      <w:r w:rsidRPr="00B97E44">
        <w:rPr>
          <w:rFonts w:hint="eastAsia"/>
          <w:rtl/>
        </w:rPr>
        <w:t>מים</w:t>
      </w:r>
      <w:r w:rsidRPr="00B97E44">
        <w:rPr>
          <w:rtl/>
        </w:rPr>
        <w:t xml:space="preserve"> </w:t>
      </w:r>
      <w:r w:rsidRPr="00B97E44">
        <w:rPr>
          <w:rFonts w:hint="eastAsia"/>
          <w:rtl/>
        </w:rPr>
        <w:t>וביוב</w:t>
      </w:r>
      <w:r w:rsidRPr="00B97E44">
        <w:rPr>
          <w:rtl/>
        </w:rPr>
        <w:t xml:space="preserve">, </w:t>
      </w:r>
      <w:r w:rsidRPr="00B97E44">
        <w:rPr>
          <w:rFonts w:hint="eastAsia"/>
          <w:rtl/>
        </w:rPr>
        <w:t>תשתיות</w:t>
      </w:r>
      <w:r w:rsidRPr="00B97E44">
        <w:rPr>
          <w:rFonts w:hint="cs"/>
          <w:rtl/>
        </w:rPr>
        <w:t xml:space="preserve"> </w:t>
      </w:r>
      <w:r w:rsidRPr="00B97E44">
        <w:rPr>
          <w:rFonts w:hint="eastAsia"/>
          <w:rtl/>
        </w:rPr>
        <w:t>תחבורה</w:t>
      </w:r>
      <w:r w:rsidRPr="00B97E44">
        <w:rPr>
          <w:rtl/>
        </w:rPr>
        <w:t xml:space="preserve"> </w:t>
      </w:r>
      <w:r w:rsidRPr="00B97E44">
        <w:rPr>
          <w:rFonts w:hint="cs"/>
          <w:rtl/>
        </w:rPr>
        <w:t xml:space="preserve">ותשתיות </w:t>
      </w:r>
      <w:r w:rsidRPr="00B97E44">
        <w:rPr>
          <w:rFonts w:hint="eastAsia"/>
          <w:rtl/>
        </w:rPr>
        <w:t>חשמל</w:t>
      </w:r>
      <w:r w:rsidRPr="00B97E44">
        <w:rPr>
          <w:rtl/>
        </w:rPr>
        <w:t xml:space="preserve">, </w:t>
      </w:r>
      <w:r w:rsidRPr="00B97E44">
        <w:rPr>
          <w:rFonts w:hint="cs"/>
          <w:rtl/>
        </w:rPr>
        <w:t xml:space="preserve">לשיפוץ ולשדרוג </w:t>
      </w:r>
      <w:r w:rsidRPr="00B97E44">
        <w:rPr>
          <w:rFonts w:hint="eastAsia"/>
          <w:rtl/>
        </w:rPr>
        <w:t>שטחים</w:t>
      </w:r>
      <w:r w:rsidRPr="00B97E44">
        <w:rPr>
          <w:rtl/>
        </w:rPr>
        <w:t xml:space="preserve"> </w:t>
      </w:r>
      <w:r w:rsidRPr="00B97E44">
        <w:rPr>
          <w:rFonts w:hint="eastAsia"/>
          <w:rtl/>
        </w:rPr>
        <w:t>ציבוריים</w:t>
      </w:r>
      <w:r w:rsidRPr="00B97E44">
        <w:rPr>
          <w:rFonts w:hint="cs"/>
          <w:rtl/>
        </w:rPr>
        <w:t xml:space="preserve"> ו</w:t>
      </w:r>
      <w:r w:rsidRPr="00B97E44">
        <w:rPr>
          <w:rFonts w:hint="eastAsia"/>
          <w:rtl/>
        </w:rPr>
        <w:t>מבני</w:t>
      </w:r>
      <w:r w:rsidRPr="00B97E44">
        <w:rPr>
          <w:rtl/>
        </w:rPr>
        <w:t xml:space="preserve"> </w:t>
      </w:r>
      <w:r w:rsidRPr="00B97E44">
        <w:rPr>
          <w:rFonts w:hint="eastAsia"/>
          <w:rtl/>
        </w:rPr>
        <w:t>ציבור</w:t>
      </w:r>
      <w:r w:rsidRPr="00B97E44">
        <w:rPr>
          <w:rFonts w:hint="cs"/>
          <w:rtl/>
        </w:rPr>
        <w:t xml:space="preserve"> ול</w:t>
      </w:r>
      <w:r w:rsidRPr="00B97E44">
        <w:rPr>
          <w:rFonts w:hint="eastAsia"/>
          <w:rtl/>
        </w:rPr>
        <w:t>חידוש</w:t>
      </w:r>
      <w:r w:rsidRPr="00B97E44">
        <w:rPr>
          <w:rtl/>
        </w:rPr>
        <w:t xml:space="preserve"> </w:t>
      </w:r>
      <w:r w:rsidRPr="00B97E44">
        <w:rPr>
          <w:rFonts w:hint="cs"/>
          <w:rtl/>
        </w:rPr>
        <w:t>פריסת ה</w:t>
      </w:r>
      <w:r w:rsidRPr="00B97E44">
        <w:rPr>
          <w:rFonts w:hint="eastAsia"/>
          <w:rtl/>
        </w:rPr>
        <w:t>מיגון</w:t>
      </w:r>
      <w:bookmarkEnd w:id="36"/>
      <w:r w:rsidRPr="00B97E44">
        <w:rPr>
          <w:rFonts w:hint="cs"/>
          <w:rtl/>
        </w:rPr>
        <w:t xml:space="preserve">. מטרתו המרכזית של הסל היא </w:t>
      </w:r>
      <w:r w:rsidRPr="00B97E44">
        <w:rPr>
          <w:rtl/>
        </w:rPr>
        <w:t>"</w:t>
      </w:r>
      <w:r w:rsidRPr="00B97E44">
        <w:rPr>
          <w:rFonts w:hint="eastAsia"/>
          <w:rtl/>
        </w:rPr>
        <w:t>ליישר</w:t>
      </w:r>
      <w:r w:rsidRPr="00B97E44">
        <w:rPr>
          <w:rtl/>
        </w:rPr>
        <w:t xml:space="preserve"> </w:t>
      </w:r>
      <w:r w:rsidRPr="00B97E44">
        <w:rPr>
          <w:rFonts w:hint="eastAsia"/>
          <w:rtl/>
        </w:rPr>
        <w:t>קו</w:t>
      </w:r>
      <w:r w:rsidRPr="00B97E44">
        <w:rPr>
          <w:rtl/>
        </w:rPr>
        <w:t>"</w:t>
      </w:r>
      <w:r w:rsidRPr="00B97E44">
        <w:rPr>
          <w:rFonts w:hint="cs"/>
          <w:rtl/>
        </w:rPr>
        <w:t xml:space="preserve"> ו</w:t>
      </w:r>
      <w:r w:rsidRPr="00B97E44">
        <w:rPr>
          <w:rFonts w:hint="eastAsia"/>
          <w:rtl/>
        </w:rPr>
        <w:t>לאפשר</w:t>
      </w:r>
      <w:r w:rsidRPr="00B97E44">
        <w:rPr>
          <w:rtl/>
        </w:rPr>
        <w:t xml:space="preserve"> </w:t>
      </w:r>
      <w:r w:rsidRPr="00B97E44">
        <w:rPr>
          <w:rFonts w:hint="eastAsia"/>
          <w:rtl/>
        </w:rPr>
        <w:t>סביבת</w:t>
      </w:r>
      <w:r w:rsidRPr="00B97E44">
        <w:rPr>
          <w:rtl/>
        </w:rPr>
        <w:t xml:space="preserve"> </w:t>
      </w:r>
      <w:r w:rsidRPr="00B97E44">
        <w:rPr>
          <w:rFonts w:hint="eastAsia"/>
          <w:rtl/>
        </w:rPr>
        <w:t>חיים</w:t>
      </w:r>
      <w:r w:rsidRPr="00B97E44">
        <w:rPr>
          <w:rtl/>
        </w:rPr>
        <w:t xml:space="preserve"> </w:t>
      </w:r>
      <w:r w:rsidRPr="00B97E44">
        <w:rPr>
          <w:rFonts w:hint="eastAsia"/>
          <w:rtl/>
        </w:rPr>
        <w:t>מיטיבה</w:t>
      </w:r>
      <w:r w:rsidRPr="00B97E44">
        <w:rPr>
          <w:rtl/>
        </w:rPr>
        <w:t xml:space="preserve"> </w:t>
      </w:r>
      <w:r w:rsidRPr="00B97E44">
        <w:rPr>
          <w:rFonts w:hint="eastAsia"/>
          <w:rtl/>
        </w:rPr>
        <w:t>ומשופרת</w:t>
      </w:r>
      <w:r w:rsidRPr="00B97E44">
        <w:rPr>
          <w:rFonts w:hint="cs"/>
          <w:rtl/>
        </w:rPr>
        <w:t xml:space="preserve"> המותאמת </w:t>
      </w:r>
      <w:r w:rsidRPr="00B97E44">
        <w:rPr>
          <w:rFonts w:hint="eastAsia"/>
          <w:rtl/>
        </w:rPr>
        <w:t>להתארגנות</w:t>
      </w:r>
      <w:r w:rsidRPr="00B97E44">
        <w:rPr>
          <w:rtl/>
        </w:rPr>
        <w:t xml:space="preserve"> </w:t>
      </w:r>
      <w:r w:rsidRPr="00B97E44">
        <w:rPr>
          <w:rFonts w:hint="eastAsia"/>
          <w:rtl/>
        </w:rPr>
        <w:t>קהילתית</w:t>
      </w:r>
      <w:r w:rsidRPr="00B97E44">
        <w:rPr>
          <w:rFonts w:hint="cs"/>
          <w:rtl/>
        </w:rPr>
        <w:t xml:space="preserve"> מחודשת התומכת ב</w:t>
      </w:r>
      <w:r w:rsidRPr="00B97E44">
        <w:rPr>
          <w:rFonts w:hint="eastAsia"/>
          <w:rtl/>
        </w:rPr>
        <w:t>הליכי</w:t>
      </w:r>
      <w:r w:rsidRPr="00B97E44">
        <w:rPr>
          <w:rtl/>
        </w:rPr>
        <w:t xml:space="preserve"> </w:t>
      </w:r>
      <w:r w:rsidRPr="00B97E44">
        <w:rPr>
          <w:rFonts w:hint="eastAsia"/>
          <w:rtl/>
        </w:rPr>
        <w:t>שיקום</w:t>
      </w:r>
      <w:r w:rsidRPr="00B97E44">
        <w:rPr>
          <w:rtl/>
        </w:rPr>
        <w:t xml:space="preserve">, </w:t>
      </w:r>
      <w:r w:rsidRPr="00B97E44">
        <w:rPr>
          <w:rFonts w:hint="cs"/>
          <w:rtl/>
        </w:rPr>
        <w:t>ב</w:t>
      </w:r>
      <w:r w:rsidRPr="00B97E44">
        <w:rPr>
          <w:rFonts w:hint="eastAsia"/>
          <w:rtl/>
        </w:rPr>
        <w:t>העלאת</w:t>
      </w:r>
      <w:r w:rsidRPr="00B97E44">
        <w:rPr>
          <w:rFonts w:hint="cs"/>
          <w:rtl/>
        </w:rPr>
        <w:t xml:space="preserve"> </w:t>
      </w:r>
      <w:r w:rsidRPr="00B97E44">
        <w:rPr>
          <w:rFonts w:hint="eastAsia"/>
          <w:rtl/>
        </w:rPr>
        <w:t>תחושת</w:t>
      </w:r>
      <w:r w:rsidRPr="00B97E44">
        <w:rPr>
          <w:rtl/>
        </w:rPr>
        <w:t xml:space="preserve"> </w:t>
      </w:r>
      <w:r w:rsidRPr="00B97E44">
        <w:rPr>
          <w:rFonts w:hint="eastAsia"/>
          <w:rtl/>
        </w:rPr>
        <w:t>הביטחון</w:t>
      </w:r>
      <w:r w:rsidRPr="00B97E44">
        <w:rPr>
          <w:rtl/>
        </w:rPr>
        <w:t xml:space="preserve"> </w:t>
      </w:r>
      <w:r w:rsidRPr="00B97E44">
        <w:rPr>
          <w:rFonts w:hint="eastAsia"/>
          <w:rtl/>
        </w:rPr>
        <w:t>וכיוצא</w:t>
      </w:r>
      <w:r w:rsidRPr="00B97E44">
        <w:rPr>
          <w:rFonts w:hint="cs"/>
          <w:rtl/>
        </w:rPr>
        <w:t xml:space="preserve"> באלה. </w:t>
      </w:r>
    </w:p>
    <w:p w:rsidR="005B126E" w:rsidP="001916A9">
      <w:pPr>
        <w:spacing w:line="269" w:lineRule="auto"/>
        <w:rPr>
          <w:rtl/>
        </w:rPr>
      </w:pPr>
    </w:p>
    <w:p w:rsidR="005B126E" w:rsidP="001916A9">
      <w:pPr>
        <w:spacing w:line="269" w:lineRule="auto"/>
        <w:rPr>
          <w:rtl/>
        </w:rPr>
      </w:pPr>
      <w:r w:rsidRPr="00B97E44">
        <w:rPr>
          <w:rFonts w:hint="cs"/>
          <w:rtl/>
        </w:rPr>
        <w:t>באוגוסט 2024 פרסמה מינהלת תקומה מתווה לתמיכה ביישובים באמצעות "סלים יישוביים" שיועברו ליישובים עצמם וישמשו לבינוי ושיקום כאמור, בסך 776 מיליוני ש"ח לשנים 2024 - 2028</w:t>
      </w:r>
      <w:r>
        <w:rPr>
          <w:vertAlign w:val="superscript"/>
          <w:rtl/>
        </w:rPr>
        <w:footnoteReference w:id="84"/>
      </w:r>
      <w:r w:rsidRPr="00B97E44">
        <w:rPr>
          <w:rFonts w:hint="cs"/>
          <w:rtl/>
        </w:rPr>
        <w:t>.</w:t>
      </w:r>
    </w:p>
    <w:p w:rsidR="005B126E" w:rsidRPr="00B97E44" w:rsidP="001916A9">
      <w:pPr>
        <w:spacing w:line="269" w:lineRule="auto"/>
        <w:rPr>
          <w:rtl/>
        </w:rPr>
      </w:pPr>
    </w:p>
    <w:p w:rsidR="005B126E" w:rsidRPr="00B97E44" w:rsidP="001916A9">
      <w:pPr>
        <w:spacing w:line="269" w:lineRule="auto"/>
        <w:jc w:val="center"/>
        <w:rPr>
          <w:b/>
          <w:bCs/>
          <w:rtl/>
        </w:rPr>
      </w:pPr>
      <w:r w:rsidRPr="00B97E44">
        <w:rPr>
          <w:rFonts w:hint="cs"/>
          <w:rtl/>
        </w:rPr>
        <w:t>לוח 5:</w:t>
      </w:r>
      <w:r w:rsidRPr="00B97E44">
        <w:rPr>
          <w:rFonts w:hint="cs"/>
          <w:b/>
          <w:bCs/>
          <w:rtl/>
        </w:rPr>
        <w:t xml:space="preserve"> חלוקת תקציב הסלים היישוביים בשנים 2024 - 2028,</w:t>
      </w:r>
      <w:r w:rsidRPr="00B97E44">
        <w:rPr>
          <w:b/>
          <w:bCs/>
          <w:rtl/>
        </w:rPr>
        <w:t xml:space="preserve"> במיליוני ש"ח</w:t>
      </w:r>
    </w:p>
    <w:tbl>
      <w:tblPr>
        <w:tblpPr w:leftFromText="180" w:rightFromText="180" w:vertAnchor="text" w:horzAnchor="margin" w:tblpXSpec="center" w:tblpY="27"/>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73"/>
        <w:gridCol w:w="1173"/>
        <w:gridCol w:w="1173"/>
        <w:gridCol w:w="1173"/>
        <w:gridCol w:w="1173"/>
        <w:gridCol w:w="1173"/>
        <w:gridCol w:w="1173"/>
      </w:tblGrid>
      <w:tr w:rsidTr="00A64958">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173" w:type="dxa"/>
          </w:tcPr>
          <w:p w:rsidR="005B126E" w:rsidRPr="00191A49" w:rsidP="001916A9">
            <w:pPr>
              <w:spacing w:line="269" w:lineRule="auto"/>
              <w:jc w:val="center"/>
              <w:rPr>
                <w:b/>
                <w:bCs/>
                <w:sz w:val="18"/>
                <w:szCs w:val="22"/>
                <w:rtl/>
              </w:rPr>
            </w:pPr>
            <w:r>
              <w:rPr>
                <w:rFonts w:hint="cs"/>
                <w:b/>
                <w:bCs/>
                <w:sz w:val="18"/>
                <w:szCs w:val="22"/>
                <w:rtl/>
              </w:rPr>
              <w:t>ה</w:t>
            </w:r>
            <w:r w:rsidRPr="00191A49">
              <w:rPr>
                <w:rFonts w:hint="cs"/>
                <w:b/>
                <w:bCs/>
                <w:sz w:val="18"/>
                <w:szCs w:val="22"/>
                <w:rtl/>
              </w:rPr>
              <w:t>שנה</w:t>
            </w:r>
          </w:p>
        </w:tc>
        <w:tc>
          <w:tcPr>
            <w:tcW w:w="1173" w:type="dxa"/>
          </w:tcPr>
          <w:p w:rsidR="005B126E" w:rsidRPr="00191A49" w:rsidP="001916A9">
            <w:pPr>
              <w:spacing w:line="269" w:lineRule="auto"/>
              <w:jc w:val="center"/>
              <w:rPr>
                <w:b/>
                <w:bCs/>
                <w:sz w:val="18"/>
                <w:szCs w:val="22"/>
                <w:rtl/>
              </w:rPr>
            </w:pPr>
            <w:r w:rsidRPr="00191A49">
              <w:rPr>
                <w:rFonts w:hint="cs"/>
                <w:b/>
                <w:bCs/>
                <w:sz w:val="18"/>
                <w:szCs w:val="22"/>
                <w:rtl/>
              </w:rPr>
              <w:t>2024</w:t>
            </w:r>
          </w:p>
        </w:tc>
        <w:tc>
          <w:tcPr>
            <w:tcW w:w="1173" w:type="dxa"/>
          </w:tcPr>
          <w:p w:rsidR="005B126E" w:rsidRPr="00191A49" w:rsidP="001916A9">
            <w:pPr>
              <w:spacing w:line="269" w:lineRule="auto"/>
              <w:jc w:val="center"/>
              <w:rPr>
                <w:b/>
                <w:bCs/>
                <w:sz w:val="18"/>
                <w:szCs w:val="22"/>
                <w:rtl/>
              </w:rPr>
            </w:pPr>
            <w:r w:rsidRPr="00191A49">
              <w:rPr>
                <w:rFonts w:hint="cs"/>
                <w:b/>
                <w:bCs/>
                <w:sz w:val="18"/>
                <w:szCs w:val="22"/>
                <w:rtl/>
              </w:rPr>
              <w:t>2025</w:t>
            </w:r>
          </w:p>
        </w:tc>
        <w:tc>
          <w:tcPr>
            <w:tcW w:w="1173" w:type="dxa"/>
          </w:tcPr>
          <w:p w:rsidR="005B126E" w:rsidRPr="00191A49" w:rsidP="001916A9">
            <w:pPr>
              <w:spacing w:line="269" w:lineRule="auto"/>
              <w:jc w:val="center"/>
              <w:rPr>
                <w:b/>
                <w:bCs/>
                <w:sz w:val="18"/>
                <w:szCs w:val="22"/>
                <w:rtl/>
              </w:rPr>
            </w:pPr>
            <w:r w:rsidRPr="00191A49">
              <w:rPr>
                <w:rFonts w:hint="cs"/>
                <w:b/>
                <w:bCs/>
                <w:sz w:val="18"/>
                <w:szCs w:val="22"/>
                <w:rtl/>
              </w:rPr>
              <w:t>2026</w:t>
            </w:r>
          </w:p>
        </w:tc>
        <w:tc>
          <w:tcPr>
            <w:tcW w:w="1173" w:type="dxa"/>
          </w:tcPr>
          <w:p w:rsidR="005B126E" w:rsidRPr="00191A49" w:rsidP="001916A9">
            <w:pPr>
              <w:spacing w:line="269" w:lineRule="auto"/>
              <w:jc w:val="center"/>
              <w:rPr>
                <w:b/>
                <w:bCs/>
                <w:sz w:val="18"/>
                <w:szCs w:val="22"/>
                <w:rtl/>
              </w:rPr>
            </w:pPr>
            <w:r w:rsidRPr="00191A49">
              <w:rPr>
                <w:rFonts w:hint="cs"/>
                <w:b/>
                <w:bCs/>
                <w:sz w:val="18"/>
                <w:szCs w:val="22"/>
                <w:rtl/>
              </w:rPr>
              <w:t>2027</w:t>
            </w:r>
          </w:p>
        </w:tc>
        <w:tc>
          <w:tcPr>
            <w:tcW w:w="1173" w:type="dxa"/>
          </w:tcPr>
          <w:p w:rsidR="005B126E" w:rsidRPr="00191A49" w:rsidP="001916A9">
            <w:pPr>
              <w:spacing w:line="269" w:lineRule="auto"/>
              <w:jc w:val="center"/>
              <w:rPr>
                <w:b/>
                <w:bCs/>
                <w:sz w:val="18"/>
                <w:szCs w:val="22"/>
                <w:rtl/>
              </w:rPr>
            </w:pPr>
            <w:r w:rsidRPr="00191A49">
              <w:rPr>
                <w:rFonts w:hint="cs"/>
                <w:b/>
                <w:bCs/>
                <w:sz w:val="18"/>
                <w:szCs w:val="22"/>
                <w:rtl/>
              </w:rPr>
              <w:t>2028</w:t>
            </w:r>
          </w:p>
        </w:tc>
        <w:tc>
          <w:tcPr>
            <w:tcW w:w="1173" w:type="dxa"/>
          </w:tcPr>
          <w:p w:rsidR="005B126E" w:rsidRPr="00191A49" w:rsidP="001916A9">
            <w:pPr>
              <w:spacing w:line="269" w:lineRule="auto"/>
              <w:jc w:val="center"/>
              <w:rPr>
                <w:b/>
                <w:bCs/>
                <w:sz w:val="18"/>
                <w:szCs w:val="22"/>
                <w:rtl/>
              </w:rPr>
            </w:pPr>
            <w:r w:rsidRPr="00191A49">
              <w:rPr>
                <w:rFonts w:hint="cs"/>
                <w:b/>
                <w:bCs/>
                <w:sz w:val="18"/>
                <w:szCs w:val="22"/>
                <w:rtl/>
              </w:rPr>
              <w:t>סה"כ</w:t>
            </w:r>
          </w:p>
        </w:tc>
      </w:tr>
      <w:tr w:rsidTr="00A64958">
        <w:tblPrEx>
          <w:tblW w:w="0" w:type="auto"/>
          <w:tblLook w:val="04A0"/>
        </w:tblPrEx>
        <w:tc>
          <w:tcPr>
            <w:tcW w:w="1173" w:type="dxa"/>
          </w:tcPr>
          <w:p w:rsidR="005B126E" w:rsidRPr="00B97E44" w:rsidP="001916A9">
            <w:pPr>
              <w:spacing w:line="269" w:lineRule="auto"/>
              <w:jc w:val="left"/>
              <w:rPr>
                <w:b/>
                <w:bCs/>
                <w:rtl/>
              </w:rPr>
            </w:pPr>
            <w:r w:rsidRPr="00191A49">
              <w:rPr>
                <w:rFonts w:hint="cs"/>
                <w:b/>
                <w:bCs/>
                <w:sz w:val="18"/>
                <w:szCs w:val="22"/>
                <w:rtl/>
              </w:rPr>
              <w:t>הרשאה תקציבית</w:t>
            </w:r>
          </w:p>
        </w:tc>
        <w:tc>
          <w:tcPr>
            <w:tcW w:w="1173" w:type="dxa"/>
            <w:vAlign w:val="center"/>
          </w:tcPr>
          <w:p w:rsidR="005B126E" w:rsidRPr="00191A49" w:rsidP="001916A9">
            <w:pPr>
              <w:spacing w:line="269" w:lineRule="auto"/>
              <w:jc w:val="center"/>
              <w:rPr>
                <w:sz w:val="18"/>
                <w:szCs w:val="22"/>
                <w:rtl/>
              </w:rPr>
            </w:pPr>
            <w:r w:rsidRPr="00191A49">
              <w:rPr>
                <w:rFonts w:hint="cs"/>
                <w:sz w:val="18"/>
                <w:szCs w:val="22"/>
                <w:rtl/>
              </w:rPr>
              <w:t>80</w:t>
            </w:r>
          </w:p>
        </w:tc>
        <w:tc>
          <w:tcPr>
            <w:tcW w:w="1173" w:type="dxa"/>
            <w:vAlign w:val="center"/>
          </w:tcPr>
          <w:p w:rsidR="005B126E" w:rsidRPr="00191A49" w:rsidP="001916A9">
            <w:pPr>
              <w:spacing w:line="269" w:lineRule="auto"/>
              <w:jc w:val="center"/>
              <w:rPr>
                <w:sz w:val="18"/>
                <w:szCs w:val="22"/>
                <w:rtl/>
              </w:rPr>
            </w:pPr>
            <w:r w:rsidRPr="00191A49">
              <w:rPr>
                <w:rFonts w:hint="cs"/>
                <w:sz w:val="18"/>
                <w:szCs w:val="22"/>
                <w:rtl/>
              </w:rPr>
              <w:t>180</w:t>
            </w:r>
          </w:p>
        </w:tc>
        <w:tc>
          <w:tcPr>
            <w:tcW w:w="1173" w:type="dxa"/>
            <w:vAlign w:val="center"/>
          </w:tcPr>
          <w:p w:rsidR="005B126E" w:rsidRPr="00191A49" w:rsidP="001916A9">
            <w:pPr>
              <w:spacing w:line="269" w:lineRule="auto"/>
              <w:jc w:val="center"/>
              <w:rPr>
                <w:sz w:val="18"/>
                <w:szCs w:val="22"/>
                <w:rtl/>
              </w:rPr>
            </w:pPr>
            <w:r w:rsidRPr="00191A49">
              <w:rPr>
                <w:rFonts w:hint="cs"/>
                <w:sz w:val="18"/>
                <w:szCs w:val="22"/>
                <w:rtl/>
              </w:rPr>
              <w:t>180</w:t>
            </w:r>
          </w:p>
        </w:tc>
        <w:tc>
          <w:tcPr>
            <w:tcW w:w="1173" w:type="dxa"/>
            <w:vAlign w:val="center"/>
          </w:tcPr>
          <w:p w:rsidR="005B126E" w:rsidRPr="00191A49" w:rsidP="001916A9">
            <w:pPr>
              <w:spacing w:line="269" w:lineRule="auto"/>
              <w:jc w:val="center"/>
              <w:rPr>
                <w:sz w:val="18"/>
                <w:szCs w:val="22"/>
                <w:rtl/>
              </w:rPr>
            </w:pPr>
            <w:r w:rsidRPr="00191A49">
              <w:rPr>
                <w:rFonts w:hint="cs"/>
                <w:sz w:val="18"/>
                <w:szCs w:val="22"/>
                <w:rtl/>
              </w:rPr>
              <w:t>180</w:t>
            </w:r>
          </w:p>
        </w:tc>
        <w:tc>
          <w:tcPr>
            <w:tcW w:w="1173" w:type="dxa"/>
            <w:vAlign w:val="center"/>
          </w:tcPr>
          <w:p w:rsidR="005B126E" w:rsidRPr="00191A49" w:rsidP="001916A9">
            <w:pPr>
              <w:spacing w:line="269" w:lineRule="auto"/>
              <w:jc w:val="center"/>
              <w:rPr>
                <w:sz w:val="18"/>
                <w:szCs w:val="22"/>
                <w:rtl/>
              </w:rPr>
            </w:pPr>
            <w:r w:rsidRPr="00191A49">
              <w:rPr>
                <w:rFonts w:hint="cs"/>
                <w:sz w:val="18"/>
                <w:szCs w:val="22"/>
                <w:rtl/>
              </w:rPr>
              <w:t>156</w:t>
            </w:r>
          </w:p>
        </w:tc>
        <w:tc>
          <w:tcPr>
            <w:tcW w:w="1173" w:type="dxa"/>
            <w:vAlign w:val="center"/>
          </w:tcPr>
          <w:p w:rsidR="005B126E" w:rsidRPr="00191A49" w:rsidP="001916A9">
            <w:pPr>
              <w:spacing w:line="269" w:lineRule="auto"/>
              <w:jc w:val="center"/>
              <w:rPr>
                <w:sz w:val="18"/>
                <w:szCs w:val="22"/>
                <w:rtl/>
              </w:rPr>
            </w:pPr>
            <w:r w:rsidRPr="00191A49">
              <w:rPr>
                <w:rFonts w:hint="cs"/>
                <w:sz w:val="18"/>
                <w:szCs w:val="22"/>
                <w:rtl/>
              </w:rPr>
              <w:t>776</w:t>
            </w:r>
          </w:p>
        </w:tc>
      </w:tr>
    </w:tbl>
    <w:p w:rsidR="005B126E" w:rsidRPr="00B97E44" w:rsidP="001916A9">
      <w:pPr>
        <w:spacing w:line="269" w:lineRule="auto"/>
        <w:jc w:val="left"/>
        <w:rPr>
          <w:szCs w:val="20"/>
          <w:rtl/>
        </w:rPr>
      </w:pPr>
      <w:r>
        <w:rPr>
          <w:rFonts w:hint="cs"/>
          <w:szCs w:val="20"/>
          <w:rtl/>
        </w:rPr>
        <w:t>ה</w:t>
      </w:r>
      <w:r w:rsidRPr="00B97E44">
        <w:rPr>
          <w:rFonts w:hint="cs"/>
          <w:szCs w:val="20"/>
          <w:rtl/>
        </w:rPr>
        <w:t>מקור:</w:t>
      </w:r>
      <w:r w:rsidRPr="00B97E44">
        <w:rPr>
          <w:szCs w:val="20"/>
          <w:rtl/>
        </w:rPr>
        <w:t xml:space="preserve"> קול קורא מס' 2024/4</w:t>
      </w:r>
      <w:r w:rsidRPr="00B97E44">
        <w:rPr>
          <w:rFonts w:hint="cs"/>
          <w:szCs w:val="20"/>
          <w:rtl/>
        </w:rPr>
        <w:t xml:space="preserve"> -</w:t>
      </w:r>
      <w:r w:rsidRPr="00B97E44">
        <w:rPr>
          <w:szCs w:val="20"/>
          <w:rtl/>
        </w:rPr>
        <w:t xml:space="preserve"> הזמנה להגיש בקשות תמיכה למתווה הסל היישובי</w:t>
      </w:r>
      <w:r w:rsidRPr="00B97E44">
        <w:rPr>
          <w:rFonts w:hint="cs"/>
          <w:szCs w:val="20"/>
          <w:rtl/>
        </w:rPr>
        <w:t>,</w:t>
      </w:r>
      <w:r w:rsidRPr="00B97E44">
        <w:rPr>
          <w:szCs w:val="20"/>
          <w:rtl/>
        </w:rPr>
        <w:t xml:space="preserve"> מבחנים לחלוקת כספי תמיכה של מינהלת תקומה בעבור מימוש "סל יישובי" ביישובי חבל התקומה כתוצאה ממלחמת "חרבות ברזל", אוגוסט 2024</w:t>
      </w:r>
      <w:r w:rsidRPr="00B97E44">
        <w:rPr>
          <w:rFonts w:hint="cs"/>
          <w:szCs w:val="20"/>
          <w:rtl/>
        </w:rPr>
        <w:t>.</w:t>
      </w:r>
    </w:p>
    <w:p w:rsidR="005B126E" w:rsidRPr="00B97E44" w:rsidP="001916A9">
      <w:pPr>
        <w:spacing w:line="269" w:lineRule="auto"/>
        <w:rPr>
          <w:rtl/>
        </w:rPr>
      </w:pPr>
    </w:p>
    <w:p w:rsidR="005B126E" w:rsidRPr="00B97E44" w:rsidP="001916A9">
      <w:pPr>
        <w:spacing w:line="269" w:lineRule="auto"/>
        <w:rPr>
          <w:rtl/>
        </w:rPr>
      </w:pPr>
      <w:r w:rsidRPr="00B97E44">
        <w:rPr>
          <w:rFonts w:hint="cs"/>
          <w:rtl/>
        </w:rPr>
        <w:t xml:space="preserve">המתווה כולל מדרגת בסיס </w:t>
      </w:r>
      <w:r w:rsidRPr="00B97E44">
        <w:rPr>
          <w:rtl/>
        </w:rPr>
        <w:t xml:space="preserve">בסך </w:t>
      </w:r>
      <w:r w:rsidRPr="00B97E44">
        <w:rPr>
          <w:rFonts w:hint="cs"/>
          <w:rtl/>
        </w:rPr>
        <w:t xml:space="preserve">8 מיליוני </w:t>
      </w:r>
      <w:r w:rsidRPr="00B97E44">
        <w:rPr>
          <w:rtl/>
        </w:rPr>
        <w:t>ש"ח לכל יישוב</w:t>
      </w:r>
      <w:r w:rsidRPr="00B97E44">
        <w:rPr>
          <w:rFonts w:hint="cs"/>
          <w:rtl/>
        </w:rPr>
        <w:t xml:space="preserve">. </w:t>
      </w:r>
      <w:r w:rsidRPr="00B97E44">
        <w:rPr>
          <w:rtl/>
        </w:rPr>
        <w:t xml:space="preserve">נוסף למדרגת הבסיס, </w:t>
      </w:r>
      <w:r w:rsidRPr="00B97E44">
        <w:rPr>
          <w:rFonts w:hint="cs"/>
          <w:rtl/>
        </w:rPr>
        <w:t>נקבעו קריטריוני</w:t>
      </w:r>
      <w:r w:rsidRPr="00B97E44">
        <w:rPr>
          <w:rFonts w:hint="eastAsia"/>
          <w:rtl/>
        </w:rPr>
        <w:t>ם</w:t>
      </w:r>
      <w:r w:rsidRPr="00B97E44">
        <w:rPr>
          <w:rFonts w:hint="cs"/>
          <w:rtl/>
        </w:rPr>
        <w:t xml:space="preserve"> קשיחים ו</w:t>
      </w:r>
      <w:r w:rsidRPr="00B97E44">
        <w:rPr>
          <w:rtl/>
        </w:rPr>
        <w:t xml:space="preserve">כל יישוב זכאי למדרגה דיפרנציאלית </w:t>
      </w:r>
      <w:r w:rsidRPr="00B97E44">
        <w:rPr>
          <w:rFonts w:hint="cs"/>
          <w:rtl/>
        </w:rPr>
        <w:t>ש</w:t>
      </w:r>
      <w:r w:rsidRPr="00B97E44">
        <w:rPr>
          <w:rtl/>
        </w:rPr>
        <w:t>תחושב לפי שלושה מקדמים</w:t>
      </w:r>
      <w:r w:rsidRPr="00B97E44">
        <w:rPr>
          <w:rFonts w:hint="cs"/>
          <w:rtl/>
        </w:rPr>
        <w:t xml:space="preserve"> מצטברים: מספר</w:t>
      </w:r>
      <w:r w:rsidRPr="00B97E44">
        <w:rPr>
          <w:rtl/>
        </w:rPr>
        <w:t xml:space="preserve"> תושבים </w:t>
      </w:r>
      <w:r w:rsidRPr="00B97E44">
        <w:rPr>
          <w:rFonts w:hint="cs"/>
          <w:rtl/>
        </w:rPr>
        <w:t>(</w:t>
      </w:r>
      <w:r w:rsidRPr="00B97E44">
        <w:rPr>
          <w:rtl/>
        </w:rPr>
        <w:t>60%</w:t>
      </w:r>
      <w:r w:rsidRPr="00B97E44">
        <w:rPr>
          <w:rFonts w:hint="cs"/>
          <w:rtl/>
        </w:rPr>
        <w:t>);</w:t>
      </w:r>
      <w:r w:rsidRPr="00B97E44">
        <w:rPr>
          <w:rFonts w:hint="cs"/>
        </w:rPr>
        <w:t xml:space="preserve"> </w:t>
      </w:r>
      <w:r w:rsidRPr="00B97E44">
        <w:rPr>
          <w:rtl/>
        </w:rPr>
        <w:t xml:space="preserve">מדד פריפריאליות </w:t>
      </w:r>
      <w:r w:rsidRPr="00B97E44">
        <w:rPr>
          <w:rFonts w:hint="cs"/>
          <w:rtl/>
        </w:rPr>
        <w:t>(</w:t>
      </w:r>
      <w:r w:rsidRPr="00B97E44">
        <w:rPr>
          <w:rtl/>
        </w:rPr>
        <w:t>20%</w:t>
      </w:r>
      <w:r w:rsidRPr="00B97E44">
        <w:rPr>
          <w:rFonts w:hint="cs"/>
          <w:rtl/>
        </w:rPr>
        <w:t>) -</w:t>
      </w:r>
      <w:r w:rsidRPr="00B97E44">
        <w:rPr>
          <w:rtl/>
        </w:rPr>
        <w:t xml:space="preserve"> רכיב זה מאפשר להגדיר </w:t>
      </w:r>
      <w:r w:rsidRPr="00B97E44">
        <w:rPr>
          <w:rFonts w:hint="cs"/>
          <w:rtl/>
        </w:rPr>
        <w:t xml:space="preserve">את </w:t>
      </w:r>
      <w:r w:rsidRPr="00B97E44">
        <w:rPr>
          <w:rtl/>
        </w:rPr>
        <w:t>רמת הפריפריאליות של י</w:t>
      </w:r>
      <w:r w:rsidRPr="00B97E44">
        <w:rPr>
          <w:rFonts w:hint="cs"/>
          <w:rtl/>
        </w:rPr>
        <w:t>י</w:t>
      </w:r>
      <w:r w:rsidRPr="00B97E44">
        <w:rPr>
          <w:rtl/>
        </w:rPr>
        <w:t xml:space="preserve">שובי החבל </w:t>
      </w:r>
      <w:r w:rsidRPr="00B97E44">
        <w:rPr>
          <w:rFonts w:hint="cs"/>
          <w:rtl/>
        </w:rPr>
        <w:t xml:space="preserve">באופן יחסי זה לזה לפי מדד </w:t>
      </w:r>
      <w:r w:rsidRPr="00B97E44">
        <w:rPr>
          <w:rFonts w:hint="cs"/>
          <w:rtl/>
        </w:rPr>
        <w:t>הלמ"ס</w:t>
      </w:r>
      <w:r w:rsidRPr="00B97E44">
        <w:rPr>
          <w:rFonts w:hint="cs"/>
          <w:rtl/>
        </w:rPr>
        <w:t>;</w:t>
      </w:r>
      <w:r w:rsidRPr="00B97E44">
        <w:rPr>
          <w:rFonts w:hint="cs"/>
        </w:rPr>
        <w:t xml:space="preserve"> </w:t>
      </w:r>
      <w:r w:rsidRPr="00B97E44">
        <w:rPr>
          <w:rtl/>
        </w:rPr>
        <w:t xml:space="preserve">מדד קרבה לגדר </w:t>
      </w:r>
      <w:r w:rsidRPr="00B97E44">
        <w:rPr>
          <w:rFonts w:hint="cs"/>
          <w:rtl/>
        </w:rPr>
        <w:t>(</w:t>
      </w:r>
      <w:r w:rsidRPr="00B97E44">
        <w:rPr>
          <w:rtl/>
        </w:rPr>
        <w:t>20%</w:t>
      </w:r>
      <w:r w:rsidRPr="00B97E44">
        <w:rPr>
          <w:rFonts w:hint="cs"/>
          <w:rtl/>
        </w:rPr>
        <w:t xml:space="preserve">) </w:t>
      </w:r>
      <w:r w:rsidRPr="00B97E44">
        <w:rPr>
          <w:rtl/>
        </w:rPr>
        <w:t xml:space="preserve">- </w:t>
      </w:r>
      <w:r w:rsidRPr="00B97E44">
        <w:rPr>
          <w:rFonts w:hint="cs"/>
          <w:rtl/>
        </w:rPr>
        <w:t>היישובים חולקו לשלוש קבוצות, ו</w:t>
      </w:r>
      <w:r w:rsidRPr="00B97E44">
        <w:rPr>
          <w:rtl/>
        </w:rPr>
        <w:t xml:space="preserve">כל קבוצה קיבלה ציון מקדם לפי המרחק שלה מגדר </w:t>
      </w:r>
      <w:r w:rsidRPr="00B97E44">
        <w:rPr>
          <w:rFonts w:hint="cs"/>
          <w:rtl/>
        </w:rPr>
        <w:t xml:space="preserve">המערכת </w:t>
      </w:r>
      <w:r w:rsidRPr="00B97E44">
        <w:rPr>
          <w:rtl/>
        </w:rPr>
        <w:t>כך</w:t>
      </w:r>
      <w:r w:rsidRPr="00B97E44">
        <w:rPr>
          <w:rFonts w:hint="cs"/>
          <w:rtl/>
        </w:rPr>
        <w:t xml:space="preserve"> </w:t>
      </w:r>
      <w:r w:rsidRPr="00B97E44">
        <w:rPr>
          <w:rtl/>
        </w:rPr>
        <w:t xml:space="preserve">שהיישובים </w:t>
      </w:r>
      <w:r w:rsidRPr="00B97E44">
        <w:rPr>
          <w:rFonts w:hint="cs"/>
          <w:rtl/>
        </w:rPr>
        <w:t xml:space="preserve">במרחק 0 - 2 ק"מ </w:t>
      </w:r>
      <w:r w:rsidRPr="00B97E44">
        <w:rPr>
          <w:rtl/>
        </w:rPr>
        <w:t>יק</w:t>
      </w:r>
      <w:r w:rsidRPr="00B97E44">
        <w:rPr>
          <w:rFonts w:hint="cs"/>
          <w:rtl/>
        </w:rPr>
        <w:t>בלו פי שלושה מהיישובים הזכאים הנמצאים במרחק 4 - 7 ק"מ ממנה ופי שניים מהיישובים שבמרחק 2 - 4 ק"מ ממנה</w:t>
      </w:r>
      <w:r>
        <w:rPr>
          <w:vertAlign w:val="superscript"/>
          <w:rtl/>
        </w:rPr>
        <w:footnoteReference w:id="85"/>
      </w:r>
      <w:r w:rsidRPr="00B97E44">
        <w:rPr>
          <w:rFonts w:hint="cs"/>
          <w:rtl/>
        </w:rPr>
        <w:t xml:space="preserve">. </w:t>
      </w:r>
    </w:p>
    <w:p w:rsidR="005B126E" w:rsidP="001916A9">
      <w:pPr>
        <w:spacing w:line="269" w:lineRule="auto"/>
        <w:rPr>
          <w:b/>
          <w:bCs/>
          <w:rtl/>
        </w:rPr>
      </w:pPr>
      <w:bookmarkStart w:id="40" w:name="_Hlk207633516"/>
    </w:p>
    <w:p w:rsidR="005B126E" w:rsidRPr="00B97E44" w:rsidP="001916A9">
      <w:pPr>
        <w:spacing w:line="269" w:lineRule="auto"/>
        <w:rPr>
          <w:b/>
          <w:bCs/>
        </w:rPr>
      </w:pPr>
      <w:r w:rsidRPr="00B97E44">
        <w:rPr>
          <w:rFonts w:hint="eastAsia"/>
          <w:b/>
          <w:bCs/>
          <w:rtl/>
        </w:rPr>
        <w:t>במאי</w:t>
      </w:r>
      <w:r w:rsidRPr="00B97E44">
        <w:rPr>
          <w:b/>
          <w:bCs/>
          <w:rtl/>
        </w:rPr>
        <w:t xml:space="preserve"> 2025 </w:t>
      </w:r>
      <w:r w:rsidRPr="00B97E44">
        <w:rPr>
          <w:rFonts w:hint="eastAsia"/>
          <w:b/>
          <w:bCs/>
          <w:rtl/>
        </w:rPr>
        <w:t>הודיעה</w:t>
      </w:r>
      <w:r w:rsidRPr="00B97E44">
        <w:rPr>
          <w:b/>
          <w:bCs/>
          <w:rtl/>
        </w:rPr>
        <w:t xml:space="preserve"> </w:t>
      </w:r>
      <w:r w:rsidRPr="00B97E44">
        <w:rPr>
          <w:rFonts w:hint="eastAsia"/>
          <w:b/>
          <w:bCs/>
          <w:rtl/>
        </w:rPr>
        <w:t>מינהלת</w:t>
      </w:r>
      <w:r w:rsidRPr="00B97E44">
        <w:rPr>
          <w:b/>
          <w:bCs/>
          <w:rtl/>
        </w:rPr>
        <w:t xml:space="preserve"> תקומה ליישובים בחבל כי בכוונתה להוסיף דרישה לסל היישובי לשנת 2025 הכוללת הצגת יעדים דמוגרפיים המתוכננים </w:t>
      </w:r>
      <w:r w:rsidRPr="00B97E44">
        <w:rPr>
          <w:rFonts w:hint="eastAsia"/>
          <w:b/>
          <w:bCs/>
          <w:rtl/>
        </w:rPr>
        <w:t>לכל</w:t>
      </w:r>
      <w:r w:rsidRPr="00B97E44">
        <w:rPr>
          <w:b/>
          <w:bCs/>
          <w:rtl/>
        </w:rPr>
        <w:t xml:space="preserve"> יישוב, וכי היישוב יידרש </w:t>
      </w:r>
      <w:r w:rsidRPr="00B97E44">
        <w:rPr>
          <w:rFonts w:hint="eastAsia"/>
          <w:b/>
          <w:bCs/>
          <w:rtl/>
        </w:rPr>
        <w:t>להסביר</w:t>
      </w:r>
      <w:r w:rsidRPr="00B97E44">
        <w:rPr>
          <w:b/>
          <w:bCs/>
          <w:rtl/>
        </w:rPr>
        <w:t xml:space="preserve"> </w:t>
      </w:r>
      <w:r w:rsidRPr="00B97E44">
        <w:rPr>
          <w:rFonts w:hint="eastAsia"/>
          <w:b/>
          <w:bCs/>
          <w:rtl/>
        </w:rPr>
        <w:t>כיצד</w:t>
      </w:r>
      <w:r w:rsidRPr="00B97E44">
        <w:rPr>
          <w:b/>
          <w:bCs/>
          <w:rtl/>
        </w:rPr>
        <w:t xml:space="preserve"> </w:t>
      </w:r>
      <w:r w:rsidRPr="00B97E44">
        <w:rPr>
          <w:rFonts w:hint="eastAsia"/>
          <w:b/>
          <w:bCs/>
          <w:rtl/>
        </w:rPr>
        <w:t>הסל</w:t>
      </w:r>
      <w:r w:rsidRPr="00B97E44">
        <w:rPr>
          <w:b/>
          <w:bCs/>
          <w:rtl/>
        </w:rPr>
        <w:t xml:space="preserve"> </w:t>
      </w:r>
      <w:r w:rsidRPr="00B97E44">
        <w:rPr>
          <w:rFonts w:hint="eastAsia"/>
          <w:b/>
          <w:bCs/>
          <w:rtl/>
        </w:rPr>
        <w:t>היישובי</w:t>
      </w:r>
      <w:r w:rsidRPr="00B97E44">
        <w:rPr>
          <w:b/>
          <w:bCs/>
          <w:rtl/>
        </w:rPr>
        <w:t xml:space="preserve"> </w:t>
      </w:r>
      <w:r w:rsidRPr="00B97E44">
        <w:rPr>
          <w:rFonts w:hint="eastAsia"/>
          <w:b/>
          <w:bCs/>
          <w:rtl/>
        </w:rPr>
        <w:t>תומך</w:t>
      </w:r>
      <w:r w:rsidRPr="00B97E44">
        <w:rPr>
          <w:b/>
          <w:bCs/>
          <w:rtl/>
        </w:rPr>
        <w:t xml:space="preserve"> </w:t>
      </w:r>
      <w:r w:rsidRPr="00B97E44">
        <w:rPr>
          <w:rFonts w:hint="eastAsia"/>
          <w:b/>
          <w:bCs/>
          <w:rtl/>
        </w:rPr>
        <w:t>בתהליך</w:t>
      </w:r>
      <w:r w:rsidRPr="00B97E44">
        <w:rPr>
          <w:b/>
          <w:bCs/>
          <w:rtl/>
        </w:rPr>
        <w:t xml:space="preserve"> </w:t>
      </w:r>
      <w:r w:rsidRPr="00B97E44">
        <w:rPr>
          <w:rFonts w:hint="eastAsia"/>
          <w:b/>
          <w:bCs/>
          <w:rtl/>
        </w:rPr>
        <w:t>הצמיחה</w:t>
      </w:r>
      <w:r w:rsidRPr="00B97E44">
        <w:rPr>
          <w:b/>
          <w:bCs/>
          <w:rtl/>
        </w:rPr>
        <w:t xml:space="preserve"> הדמוגרפית.</w:t>
      </w:r>
      <w:bookmarkEnd w:id="40"/>
      <w:r w:rsidRPr="00B97E44">
        <w:rPr>
          <w:b/>
          <w:bCs/>
          <w:rtl/>
        </w:rPr>
        <w:t xml:space="preserve"> עוד ציינה </w:t>
      </w:r>
      <w:r w:rsidRPr="00B97E44">
        <w:rPr>
          <w:rFonts w:hint="eastAsia"/>
          <w:b/>
          <w:bCs/>
          <w:rtl/>
        </w:rPr>
        <w:t>מינהלת</w:t>
      </w:r>
      <w:r w:rsidRPr="00B97E44">
        <w:rPr>
          <w:b/>
          <w:bCs/>
          <w:rtl/>
        </w:rPr>
        <w:t xml:space="preserve"> תקומה כי היא </w:t>
      </w:r>
      <w:r w:rsidRPr="00B97E44">
        <w:rPr>
          <w:rFonts w:hint="eastAsia"/>
          <w:b/>
          <w:bCs/>
          <w:rtl/>
        </w:rPr>
        <w:t>שוקלת</w:t>
      </w:r>
      <w:r w:rsidRPr="00B97E44">
        <w:rPr>
          <w:b/>
          <w:bCs/>
          <w:rtl/>
        </w:rPr>
        <w:t xml:space="preserve"> </w:t>
      </w:r>
      <w:r w:rsidRPr="00B97E44">
        <w:rPr>
          <w:rFonts w:hint="eastAsia"/>
          <w:b/>
          <w:bCs/>
          <w:rtl/>
        </w:rPr>
        <w:t>להתנות</w:t>
      </w:r>
      <w:r w:rsidRPr="00B97E44">
        <w:rPr>
          <w:b/>
          <w:bCs/>
          <w:rtl/>
        </w:rPr>
        <w:t xml:space="preserve"> </w:t>
      </w:r>
      <w:r w:rsidRPr="00B97E44">
        <w:rPr>
          <w:rFonts w:hint="eastAsia"/>
          <w:b/>
          <w:bCs/>
          <w:rtl/>
        </w:rPr>
        <w:t>בעתיד</w:t>
      </w:r>
      <w:r w:rsidRPr="00B97E44">
        <w:rPr>
          <w:b/>
          <w:bCs/>
          <w:rtl/>
        </w:rPr>
        <w:t xml:space="preserve"> </w:t>
      </w:r>
      <w:r w:rsidRPr="00B97E44">
        <w:rPr>
          <w:rFonts w:hint="eastAsia"/>
          <w:b/>
          <w:bCs/>
          <w:rtl/>
        </w:rPr>
        <w:t>את</w:t>
      </w:r>
      <w:r w:rsidRPr="00B97E44">
        <w:rPr>
          <w:b/>
          <w:bCs/>
          <w:rtl/>
        </w:rPr>
        <w:t xml:space="preserve"> </w:t>
      </w:r>
      <w:r w:rsidRPr="00B97E44">
        <w:rPr>
          <w:rFonts w:hint="eastAsia"/>
          <w:b/>
          <w:bCs/>
          <w:rtl/>
        </w:rPr>
        <w:t>הסלים</w:t>
      </w:r>
      <w:r w:rsidRPr="00B97E44">
        <w:rPr>
          <w:b/>
          <w:bCs/>
          <w:rtl/>
        </w:rPr>
        <w:t xml:space="preserve"> </w:t>
      </w:r>
      <w:r w:rsidRPr="00B97E44">
        <w:rPr>
          <w:rFonts w:hint="eastAsia"/>
          <w:b/>
          <w:bCs/>
          <w:rtl/>
        </w:rPr>
        <w:t>היישוביים</w:t>
      </w:r>
      <w:r w:rsidRPr="00B97E44">
        <w:rPr>
          <w:b/>
          <w:bCs/>
          <w:rtl/>
        </w:rPr>
        <w:t xml:space="preserve"> </w:t>
      </w:r>
      <w:r w:rsidRPr="00B97E44">
        <w:rPr>
          <w:rFonts w:hint="eastAsia"/>
          <w:b/>
          <w:bCs/>
          <w:rtl/>
        </w:rPr>
        <w:t>בהשגת</w:t>
      </w:r>
      <w:r w:rsidRPr="00B97E44">
        <w:rPr>
          <w:b/>
          <w:bCs/>
          <w:rtl/>
        </w:rPr>
        <w:t xml:space="preserve"> </w:t>
      </w:r>
      <w:r w:rsidRPr="00B97E44">
        <w:rPr>
          <w:rFonts w:hint="eastAsia"/>
          <w:b/>
          <w:bCs/>
          <w:rtl/>
        </w:rPr>
        <w:t>יעדי</w:t>
      </w:r>
      <w:r w:rsidRPr="00B97E44">
        <w:rPr>
          <w:b/>
          <w:bCs/>
          <w:rtl/>
        </w:rPr>
        <w:t xml:space="preserve"> </w:t>
      </w:r>
      <w:r w:rsidRPr="00B97E44">
        <w:rPr>
          <w:rFonts w:hint="eastAsia"/>
          <w:b/>
          <w:bCs/>
          <w:rtl/>
        </w:rPr>
        <w:t>הצמיחה</w:t>
      </w:r>
      <w:r w:rsidRPr="00B97E44">
        <w:rPr>
          <w:b/>
          <w:bCs/>
          <w:rtl/>
        </w:rPr>
        <w:t xml:space="preserve"> </w:t>
      </w:r>
      <w:r w:rsidRPr="00B97E44">
        <w:rPr>
          <w:rFonts w:hint="eastAsia"/>
          <w:b/>
          <w:bCs/>
          <w:rtl/>
        </w:rPr>
        <w:t>בפועל</w:t>
      </w:r>
      <w:r>
        <w:rPr>
          <w:b/>
          <w:bCs/>
          <w:vertAlign w:val="superscript"/>
          <w:rtl/>
        </w:rPr>
        <w:footnoteReference w:id="86"/>
      </w:r>
      <w:r w:rsidRPr="00B97E44">
        <w:rPr>
          <w:b/>
          <w:bCs/>
          <w:rtl/>
        </w:rPr>
        <w:t xml:space="preserve">. </w:t>
      </w:r>
    </w:p>
    <w:p w:rsidR="005B126E" w:rsidP="001916A9">
      <w:pPr>
        <w:spacing w:line="269" w:lineRule="auto"/>
        <w:rPr>
          <w:b/>
          <w:bCs/>
          <w:rtl/>
        </w:rPr>
      </w:pPr>
    </w:p>
    <w:p w:rsidR="005B126E" w:rsidRPr="00B97E44" w:rsidP="001916A9">
      <w:pPr>
        <w:spacing w:line="269" w:lineRule="auto"/>
        <w:rPr>
          <w:b/>
          <w:bCs/>
        </w:rPr>
      </w:pPr>
      <w:r w:rsidRPr="00B97E44">
        <w:rPr>
          <w:rFonts w:hint="eastAsia"/>
          <w:b/>
          <w:bCs/>
          <w:rtl/>
        </w:rPr>
        <w:t>יוצא</w:t>
      </w:r>
      <w:r w:rsidRPr="00B97E44">
        <w:rPr>
          <w:b/>
          <w:bCs/>
          <w:rtl/>
        </w:rPr>
        <w:t xml:space="preserve"> אפוא כי </w:t>
      </w:r>
      <w:r w:rsidRPr="00B97E44">
        <w:rPr>
          <w:rFonts w:hint="eastAsia"/>
          <w:b/>
          <w:bCs/>
          <w:rtl/>
        </w:rPr>
        <w:t>לתנאים</w:t>
      </w:r>
      <w:r w:rsidRPr="00B97E44">
        <w:rPr>
          <w:b/>
          <w:bCs/>
          <w:rtl/>
        </w:rPr>
        <w:t xml:space="preserve"> </w:t>
      </w:r>
      <w:r w:rsidRPr="00B97E44">
        <w:rPr>
          <w:rFonts w:hint="eastAsia"/>
          <w:b/>
          <w:bCs/>
          <w:rtl/>
        </w:rPr>
        <w:t>לקבלת</w:t>
      </w:r>
      <w:r w:rsidRPr="00B97E44">
        <w:rPr>
          <w:b/>
          <w:bCs/>
          <w:rtl/>
        </w:rPr>
        <w:t xml:space="preserve"> </w:t>
      </w:r>
      <w:r w:rsidRPr="00B97E44">
        <w:rPr>
          <w:rFonts w:hint="eastAsia"/>
          <w:b/>
          <w:bCs/>
          <w:rtl/>
        </w:rPr>
        <w:t>הסל</w:t>
      </w:r>
      <w:r w:rsidRPr="00B97E44">
        <w:rPr>
          <w:b/>
          <w:bCs/>
          <w:rtl/>
        </w:rPr>
        <w:t xml:space="preserve"> </w:t>
      </w:r>
      <w:r w:rsidRPr="00B97E44">
        <w:rPr>
          <w:rFonts w:hint="eastAsia"/>
          <w:b/>
          <w:bCs/>
          <w:rtl/>
        </w:rPr>
        <w:t>יישובי</w:t>
      </w:r>
      <w:r w:rsidRPr="00B97E44">
        <w:rPr>
          <w:b/>
          <w:bCs/>
          <w:rtl/>
        </w:rPr>
        <w:t xml:space="preserve"> </w:t>
      </w:r>
      <w:r w:rsidRPr="00B97E44">
        <w:rPr>
          <w:rFonts w:hint="eastAsia"/>
          <w:b/>
          <w:bCs/>
          <w:rtl/>
        </w:rPr>
        <w:t>שאמור</w:t>
      </w:r>
      <w:r w:rsidRPr="00B97E44">
        <w:rPr>
          <w:b/>
          <w:bCs/>
          <w:rtl/>
        </w:rPr>
        <w:t xml:space="preserve"> היה </w:t>
      </w:r>
      <w:r w:rsidRPr="00B97E44">
        <w:rPr>
          <w:rFonts w:hint="eastAsia"/>
          <w:b/>
          <w:bCs/>
          <w:rtl/>
        </w:rPr>
        <w:t>על</w:t>
      </w:r>
      <w:r w:rsidRPr="00B97E44">
        <w:rPr>
          <w:b/>
          <w:bCs/>
          <w:rtl/>
        </w:rPr>
        <w:t xml:space="preserve"> פי תוכנית החומש </w:t>
      </w:r>
      <w:r w:rsidRPr="00B97E44">
        <w:rPr>
          <w:rFonts w:hint="eastAsia"/>
          <w:b/>
          <w:bCs/>
          <w:rtl/>
        </w:rPr>
        <w:t>לשמש</w:t>
      </w:r>
      <w:r w:rsidRPr="00B97E44">
        <w:rPr>
          <w:b/>
          <w:bCs/>
          <w:rtl/>
        </w:rPr>
        <w:t xml:space="preserve"> </w:t>
      </w:r>
      <w:r w:rsidRPr="00B97E44">
        <w:rPr>
          <w:rFonts w:hint="eastAsia"/>
          <w:b/>
          <w:bCs/>
          <w:rtl/>
        </w:rPr>
        <w:t>בין</w:t>
      </w:r>
      <w:r w:rsidRPr="00B97E44">
        <w:rPr>
          <w:b/>
          <w:bCs/>
          <w:rtl/>
        </w:rPr>
        <w:t xml:space="preserve"> </w:t>
      </w:r>
      <w:r w:rsidRPr="00B97E44">
        <w:rPr>
          <w:rFonts w:hint="eastAsia"/>
          <w:b/>
          <w:bCs/>
          <w:rtl/>
        </w:rPr>
        <w:t>היתר</w:t>
      </w:r>
      <w:r w:rsidRPr="00B97E44">
        <w:rPr>
          <w:b/>
          <w:bCs/>
          <w:rtl/>
        </w:rPr>
        <w:t xml:space="preserve"> </w:t>
      </w:r>
      <w:r w:rsidRPr="00B97E44">
        <w:rPr>
          <w:rFonts w:hint="eastAsia"/>
          <w:b/>
          <w:bCs/>
          <w:rtl/>
        </w:rPr>
        <w:t>לביצוע</w:t>
      </w:r>
      <w:r w:rsidRPr="00B97E44">
        <w:rPr>
          <w:b/>
          <w:bCs/>
          <w:rtl/>
        </w:rPr>
        <w:t xml:space="preserve"> </w:t>
      </w:r>
      <w:r w:rsidRPr="00B97E44">
        <w:rPr>
          <w:rFonts w:hint="eastAsia"/>
          <w:b/>
          <w:bCs/>
          <w:rtl/>
        </w:rPr>
        <w:t>התאמות</w:t>
      </w:r>
      <w:r w:rsidRPr="00B97E44">
        <w:rPr>
          <w:b/>
          <w:bCs/>
          <w:rtl/>
        </w:rPr>
        <w:t xml:space="preserve"> </w:t>
      </w:r>
      <w:r w:rsidRPr="00B97E44">
        <w:rPr>
          <w:rFonts w:hint="eastAsia"/>
          <w:b/>
          <w:bCs/>
          <w:rtl/>
        </w:rPr>
        <w:t>ולשדרוג</w:t>
      </w:r>
      <w:r w:rsidRPr="00B97E44">
        <w:rPr>
          <w:b/>
          <w:bCs/>
          <w:rtl/>
        </w:rPr>
        <w:t xml:space="preserve"> </w:t>
      </w:r>
      <w:r w:rsidRPr="00B97E44">
        <w:rPr>
          <w:rFonts w:hint="eastAsia"/>
          <w:b/>
          <w:bCs/>
          <w:rtl/>
        </w:rPr>
        <w:t>תשתיות</w:t>
      </w:r>
      <w:r w:rsidRPr="00B97E44">
        <w:rPr>
          <w:b/>
          <w:bCs/>
          <w:rtl/>
        </w:rPr>
        <w:t xml:space="preserve"> </w:t>
      </w:r>
      <w:r w:rsidRPr="00B97E44">
        <w:rPr>
          <w:rFonts w:hint="eastAsia"/>
          <w:b/>
          <w:bCs/>
          <w:rtl/>
        </w:rPr>
        <w:t>ביישובים</w:t>
      </w:r>
      <w:r w:rsidRPr="00B97E44">
        <w:rPr>
          <w:b/>
          <w:bCs/>
          <w:rtl/>
        </w:rPr>
        <w:t xml:space="preserve"> </w:t>
      </w:r>
      <w:r w:rsidRPr="00B97E44">
        <w:rPr>
          <w:rFonts w:hint="eastAsia"/>
          <w:b/>
          <w:bCs/>
          <w:rtl/>
        </w:rPr>
        <w:t>במטרה</w:t>
      </w:r>
      <w:r w:rsidRPr="00B97E44">
        <w:rPr>
          <w:b/>
          <w:bCs/>
          <w:rtl/>
        </w:rPr>
        <w:t xml:space="preserve"> "</w:t>
      </w:r>
      <w:r w:rsidRPr="00B97E44">
        <w:rPr>
          <w:rFonts w:hint="eastAsia"/>
          <w:b/>
          <w:bCs/>
          <w:rtl/>
        </w:rPr>
        <w:t>ליישר</w:t>
      </w:r>
      <w:r w:rsidRPr="00B97E44">
        <w:rPr>
          <w:b/>
          <w:bCs/>
          <w:rtl/>
        </w:rPr>
        <w:t xml:space="preserve"> </w:t>
      </w:r>
      <w:r w:rsidRPr="00B97E44">
        <w:rPr>
          <w:rFonts w:hint="eastAsia"/>
          <w:b/>
          <w:bCs/>
          <w:rtl/>
        </w:rPr>
        <w:t>קו</w:t>
      </w:r>
      <w:r w:rsidRPr="00B97E44">
        <w:rPr>
          <w:b/>
          <w:bCs/>
          <w:rtl/>
        </w:rPr>
        <w:t>" ו</w:t>
      </w:r>
      <w:r w:rsidRPr="00B97E44">
        <w:rPr>
          <w:rFonts w:hint="eastAsia"/>
          <w:b/>
          <w:bCs/>
          <w:rtl/>
        </w:rPr>
        <w:t>לאפשר</w:t>
      </w:r>
      <w:r w:rsidRPr="00B97E44">
        <w:rPr>
          <w:b/>
          <w:bCs/>
          <w:rtl/>
        </w:rPr>
        <w:t xml:space="preserve"> </w:t>
      </w:r>
      <w:r w:rsidRPr="00B97E44">
        <w:rPr>
          <w:rFonts w:hint="eastAsia"/>
          <w:b/>
          <w:bCs/>
          <w:rtl/>
        </w:rPr>
        <w:t>סביבת</w:t>
      </w:r>
      <w:r w:rsidRPr="00B97E44">
        <w:rPr>
          <w:b/>
          <w:bCs/>
          <w:rtl/>
        </w:rPr>
        <w:t xml:space="preserve"> </w:t>
      </w:r>
      <w:r w:rsidRPr="00B97E44">
        <w:rPr>
          <w:rFonts w:hint="eastAsia"/>
          <w:b/>
          <w:bCs/>
          <w:rtl/>
        </w:rPr>
        <w:t>חיים</w:t>
      </w:r>
      <w:r w:rsidRPr="00B97E44">
        <w:rPr>
          <w:b/>
          <w:bCs/>
          <w:rtl/>
        </w:rPr>
        <w:t xml:space="preserve"> </w:t>
      </w:r>
      <w:r w:rsidRPr="00B97E44">
        <w:rPr>
          <w:rFonts w:hint="eastAsia"/>
          <w:b/>
          <w:bCs/>
          <w:rtl/>
        </w:rPr>
        <w:t>מיטיבה</w:t>
      </w:r>
      <w:r w:rsidRPr="00B97E44">
        <w:rPr>
          <w:b/>
          <w:bCs/>
          <w:rtl/>
        </w:rPr>
        <w:t xml:space="preserve"> </w:t>
      </w:r>
      <w:r w:rsidRPr="00B97E44">
        <w:rPr>
          <w:rFonts w:hint="eastAsia"/>
          <w:b/>
          <w:bCs/>
          <w:rtl/>
        </w:rPr>
        <w:t>ומשופרת</w:t>
      </w:r>
      <w:r w:rsidRPr="00B97E44">
        <w:rPr>
          <w:b/>
          <w:bCs/>
          <w:rtl/>
        </w:rPr>
        <w:t xml:space="preserve"> </w:t>
      </w:r>
      <w:r w:rsidRPr="00B97E44">
        <w:rPr>
          <w:rFonts w:hint="eastAsia"/>
          <w:b/>
          <w:bCs/>
          <w:rtl/>
        </w:rPr>
        <w:t>ושנקבע</w:t>
      </w:r>
      <w:r w:rsidRPr="00B97E44">
        <w:rPr>
          <w:b/>
          <w:bCs/>
          <w:rtl/>
        </w:rPr>
        <w:t xml:space="preserve"> על פי קריטריונים </w:t>
      </w:r>
      <w:r w:rsidRPr="00B97E44">
        <w:rPr>
          <w:rFonts w:hint="eastAsia"/>
          <w:b/>
          <w:bCs/>
          <w:rtl/>
        </w:rPr>
        <w:t>קשיחים</w:t>
      </w:r>
      <w:r w:rsidRPr="00B97E44">
        <w:rPr>
          <w:b/>
          <w:bCs/>
          <w:rtl/>
        </w:rPr>
        <w:t xml:space="preserve"> </w:t>
      </w:r>
      <w:r w:rsidRPr="00B97E44">
        <w:rPr>
          <w:rFonts w:hint="eastAsia"/>
          <w:b/>
          <w:bCs/>
          <w:rtl/>
        </w:rPr>
        <w:t>של</w:t>
      </w:r>
      <w:r w:rsidRPr="00B97E44">
        <w:rPr>
          <w:b/>
          <w:bCs/>
          <w:rtl/>
        </w:rPr>
        <w:t xml:space="preserve"> </w:t>
      </w:r>
      <w:r w:rsidRPr="00B97E44">
        <w:rPr>
          <w:rFonts w:hint="eastAsia"/>
          <w:b/>
          <w:bCs/>
          <w:rtl/>
        </w:rPr>
        <w:t>מספר</w:t>
      </w:r>
      <w:r w:rsidRPr="00B97E44">
        <w:rPr>
          <w:b/>
          <w:bCs/>
          <w:rtl/>
        </w:rPr>
        <w:t xml:space="preserve"> תושבים, מדד פריפריאליות </w:t>
      </w:r>
      <w:r w:rsidRPr="00B97E44">
        <w:rPr>
          <w:rFonts w:hint="eastAsia"/>
          <w:b/>
          <w:bCs/>
          <w:rtl/>
        </w:rPr>
        <w:t>ו</w:t>
      </w:r>
      <w:r w:rsidRPr="00B97E44">
        <w:rPr>
          <w:b/>
          <w:bCs/>
          <w:rtl/>
        </w:rPr>
        <w:t>מדד קרבה לגדר</w:t>
      </w:r>
      <w:r w:rsidRPr="00B97E44">
        <w:rPr>
          <w:rFonts w:hint="cs"/>
          <w:b/>
          <w:bCs/>
          <w:rtl/>
        </w:rPr>
        <w:t>,</w:t>
      </w:r>
      <w:r w:rsidRPr="00B97E44">
        <w:rPr>
          <w:b/>
          <w:bCs/>
          <w:rtl/>
        </w:rPr>
        <w:t xml:space="preserve"> הוסיפה </w:t>
      </w:r>
      <w:r w:rsidRPr="00B97E44">
        <w:rPr>
          <w:rFonts w:hint="eastAsia"/>
          <w:b/>
          <w:bCs/>
          <w:rtl/>
        </w:rPr>
        <w:t>מינהלת</w:t>
      </w:r>
      <w:r w:rsidRPr="00B97E44">
        <w:rPr>
          <w:b/>
          <w:bCs/>
          <w:rtl/>
        </w:rPr>
        <w:t xml:space="preserve"> תקומה במאי 2025 </w:t>
      </w:r>
      <w:r w:rsidRPr="00B97E44">
        <w:rPr>
          <w:rFonts w:hint="cs"/>
          <w:b/>
          <w:bCs/>
          <w:rtl/>
        </w:rPr>
        <w:t>תנאים נוספים</w:t>
      </w:r>
      <w:r w:rsidRPr="00B97E44">
        <w:rPr>
          <w:b/>
          <w:bCs/>
          <w:rtl/>
        </w:rPr>
        <w:t xml:space="preserve"> </w:t>
      </w:r>
      <w:r w:rsidRPr="00B97E44">
        <w:rPr>
          <w:rFonts w:hint="cs"/>
          <w:b/>
          <w:bCs/>
          <w:rtl/>
        </w:rPr>
        <w:t>שלפיהם יידרשו היישובים להציג יעדים דמוגרפיים</w:t>
      </w:r>
      <w:r>
        <w:rPr>
          <w:b/>
          <w:bCs/>
          <w:vertAlign w:val="superscript"/>
          <w:rtl/>
        </w:rPr>
        <w:footnoteReference w:id="87"/>
      </w:r>
      <w:r w:rsidRPr="00B97E44">
        <w:rPr>
          <w:rFonts w:hint="cs"/>
          <w:b/>
          <w:bCs/>
          <w:rtl/>
        </w:rPr>
        <w:t xml:space="preserve"> ולהסביר כיצד הסל היישובי תומך בצמיחה הדמוגרפית</w:t>
      </w:r>
      <w:r w:rsidRPr="00B97E44">
        <w:rPr>
          <w:b/>
          <w:bCs/>
          <w:rtl/>
        </w:rPr>
        <w:t>.</w:t>
      </w:r>
    </w:p>
    <w:p w:rsidR="005B126E" w:rsidP="001916A9">
      <w:pPr>
        <w:spacing w:line="269" w:lineRule="auto"/>
        <w:rPr>
          <w:b/>
          <w:bCs/>
          <w:rtl/>
        </w:rPr>
      </w:pPr>
      <w:bookmarkStart w:id="41" w:name="_Hlk207633540"/>
    </w:p>
    <w:p w:rsidR="005B126E" w:rsidRPr="00B97E44" w:rsidP="001916A9">
      <w:pPr>
        <w:spacing w:line="269" w:lineRule="auto"/>
        <w:rPr>
          <w:b/>
          <w:bCs/>
          <w:rtl/>
        </w:rPr>
      </w:pPr>
      <w:r w:rsidRPr="00B97E44">
        <w:rPr>
          <w:rFonts w:hint="cs"/>
          <w:b/>
          <w:bCs/>
          <w:rtl/>
        </w:rPr>
        <w:t xml:space="preserve">בביקורת עלה כי היישובים מגלים </w:t>
      </w:r>
      <w:r w:rsidRPr="00B97E44">
        <w:rPr>
          <w:b/>
          <w:bCs/>
          <w:rtl/>
        </w:rPr>
        <w:t xml:space="preserve">קושי רב </w:t>
      </w:r>
      <w:r w:rsidRPr="00B97E44">
        <w:rPr>
          <w:rFonts w:hint="cs"/>
          <w:b/>
          <w:bCs/>
          <w:rtl/>
        </w:rPr>
        <w:t>נוכח</w:t>
      </w:r>
      <w:r w:rsidRPr="00B97E44">
        <w:rPr>
          <w:b/>
          <w:bCs/>
          <w:rtl/>
        </w:rPr>
        <w:t xml:space="preserve"> כוונת</w:t>
      </w:r>
      <w:r w:rsidRPr="00B97E44">
        <w:rPr>
          <w:rFonts w:hint="cs"/>
          <w:b/>
          <w:bCs/>
          <w:rtl/>
        </w:rPr>
        <w:t>ה של מינהלת תקומה</w:t>
      </w:r>
      <w:r w:rsidRPr="00B97E44">
        <w:rPr>
          <w:b/>
          <w:bCs/>
          <w:rtl/>
        </w:rPr>
        <w:t xml:space="preserve"> להתנות את הסל היישובי בצמיחה דמוגרפית</w:t>
      </w:r>
      <w:bookmarkEnd w:id="41"/>
      <w:r w:rsidRPr="00B97E44">
        <w:rPr>
          <w:b/>
          <w:bCs/>
          <w:rtl/>
        </w:rPr>
        <w:t xml:space="preserve">. </w:t>
      </w:r>
      <w:r w:rsidRPr="00B97E44">
        <w:rPr>
          <w:rFonts w:hint="cs"/>
          <w:b/>
          <w:bCs/>
          <w:rtl/>
        </w:rPr>
        <w:t>היישובים נסמכו</w:t>
      </w:r>
      <w:r w:rsidRPr="00B97E44">
        <w:rPr>
          <w:b/>
          <w:bCs/>
          <w:rtl/>
        </w:rPr>
        <w:t xml:space="preserve"> על </w:t>
      </w:r>
      <w:r w:rsidRPr="00B97E44">
        <w:rPr>
          <w:rFonts w:hint="cs"/>
          <w:b/>
          <w:bCs/>
          <w:rtl/>
        </w:rPr>
        <w:t>תקציבי הסל</w:t>
      </w:r>
      <w:r w:rsidRPr="00B97E44">
        <w:rPr>
          <w:b/>
          <w:bCs/>
          <w:rtl/>
        </w:rPr>
        <w:t xml:space="preserve"> וגיבש</w:t>
      </w:r>
      <w:r w:rsidRPr="00B97E44">
        <w:rPr>
          <w:rFonts w:hint="cs"/>
          <w:b/>
          <w:bCs/>
          <w:rtl/>
        </w:rPr>
        <w:t>ו</w:t>
      </w:r>
      <w:r w:rsidRPr="00B97E44">
        <w:rPr>
          <w:b/>
          <w:bCs/>
          <w:rtl/>
        </w:rPr>
        <w:t xml:space="preserve"> מתוו</w:t>
      </w:r>
      <w:r w:rsidRPr="00B97E44">
        <w:rPr>
          <w:rFonts w:hint="cs"/>
          <w:b/>
          <w:bCs/>
          <w:rtl/>
        </w:rPr>
        <w:t xml:space="preserve">ים ארוכי טווח </w:t>
      </w:r>
      <w:r w:rsidRPr="00B97E44">
        <w:rPr>
          <w:rFonts w:hint="eastAsia"/>
          <w:b/>
          <w:bCs/>
          <w:rtl/>
        </w:rPr>
        <w:t>לביצוע</w:t>
      </w:r>
      <w:r w:rsidRPr="00B97E44">
        <w:rPr>
          <w:b/>
          <w:bCs/>
          <w:rtl/>
        </w:rPr>
        <w:t xml:space="preserve"> </w:t>
      </w:r>
      <w:r w:rsidRPr="00B97E44">
        <w:rPr>
          <w:rFonts w:hint="eastAsia"/>
          <w:b/>
          <w:bCs/>
          <w:rtl/>
        </w:rPr>
        <w:t>התאמות</w:t>
      </w:r>
      <w:r w:rsidRPr="00B97E44">
        <w:rPr>
          <w:b/>
          <w:bCs/>
          <w:rtl/>
        </w:rPr>
        <w:t xml:space="preserve">, </w:t>
      </w:r>
      <w:r w:rsidRPr="00B97E44">
        <w:rPr>
          <w:rFonts w:hint="eastAsia"/>
          <w:b/>
          <w:bCs/>
          <w:rtl/>
        </w:rPr>
        <w:t>שיפוץ</w:t>
      </w:r>
      <w:r w:rsidRPr="00B97E44">
        <w:rPr>
          <w:b/>
          <w:bCs/>
          <w:rtl/>
        </w:rPr>
        <w:t xml:space="preserve"> </w:t>
      </w:r>
      <w:r w:rsidRPr="00B97E44">
        <w:rPr>
          <w:rFonts w:hint="eastAsia"/>
          <w:b/>
          <w:bCs/>
          <w:rtl/>
        </w:rPr>
        <w:t>ושדרוג</w:t>
      </w:r>
      <w:r w:rsidRPr="00B97E44">
        <w:rPr>
          <w:b/>
          <w:bCs/>
          <w:rtl/>
        </w:rPr>
        <w:t xml:space="preserve"> </w:t>
      </w:r>
      <w:r w:rsidRPr="00B97E44">
        <w:rPr>
          <w:rFonts w:hint="eastAsia"/>
          <w:b/>
          <w:bCs/>
          <w:rtl/>
        </w:rPr>
        <w:t>מבני</w:t>
      </w:r>
      <w:r w:rsidRPr="00B97E44">
        <w:rPr>
          <w:b/>
          <w:bCs/>
          <w:rtl/>
        </w:rPr>
        <w:t xml:space="preserve"> </w:t>
      </w:r>
      <w:r w:rsidRPr="00B97E44">
        <w:rPr>
          <w:rFonts w:hint="eastAsia"/>
          <w:b/>
          <w:bCs/>
          <w:rtl/>
        </w:rPr>
        <w:t>ציבור</w:t>
      </w:r>
      <w:r w:rsidRPr="00B97E44">
        <w:rPr>
          <w:rFonts w:hint="cs"/>
          <w:b/>
          <w:bCs/>
          <w:rtl/>
        </w:rPr>
        <w:t>: "אנחנו</w:t>
      </w:r>
      <w:r w:rsidRPr="00B97E44">
        <w:rPr>
          <w:b/>
          <w:bCs/>
          <w:rtl/>
        </w:rPr>
        <w:t xml:space="preserve"> בעד צמיחה א</w:t>
      </w:r>
      <w:r w:rsidRPr="00B97E44">
        <w:rPr>
          <w:rFonts w:hint="cs"/>
          <w:b/>
          <w:bCs/>
          <w:rtl/>
        </w:rPr>
        <w:t>בל</w:t>
      </w:r>
      <w:r w:rsidRPr="00B97E44">
        <w:rPr>
          <w:b/>
          <w:bCs/>
          <w:rtl/>
        </w:rPr>
        <w:t xml:space="preserve"> צריך להקדים לצמיחה בניית תשתית ראויה שתמשוך תושבים לקיבוץ</w:t>
      </w:r>
      <w:r w:rsidRPr="00B97E44">
        <w:rPr>
          <w:rFonts w:hint="cs"/>
          <w:b/>
          <w:bCs/>
          <w:rtl/>
        </w:rPr>
        <w:t>"</w:t>
      </w:r>
      <w:r>
        <w:rPr>
          <w:b/>
          <w:bCs/>
          <w:vertAlign w:val="superscript"/>
          <w:rtl/>
        </w:rPr>
        <w:footnoteReference w:id="88"/>
      </w:r>
      <w:r w:rsidRPr="00B97E44">
        <w:rPr>
          <w:b/>
          <w:bCs/>
          <w:rtl/>
        </w:rPr>
        <w:t xml:space="preserve">. </w:t>
      </w:r>
      <w:bookmarkStart w:id="43" w:name="_Hlk207633548"/>
      <w:r w:rsidRPr="00B97E44">
        <w:rPr>
          <w:rFonts w:hint="cs"/>
          <w:b/>
          <w:bCs/>
          <w:rtl/>
        </w:rPr>
        <w:t>ודוק -</w:t>
      </w:r>
      <w:r w:rsidRPr="00B97E44">
        <w:rPr>
          <w:b/>
          <w:bCs/>
          <w:rtl/>
        </w:rPr>
        <w:t xml:space="preserve"> ההתניה מקשה במיוחד על היישובים </w:t>
      </w:r>
      <w:r w:rsidRPr="00B97E44">
        <w:rPr>
          <w:rFonts w:hint="cs"/>
          <w:b/>
          <w:bCs/>
          <w:rtl/>
        </w:rPr>
        <w:t>שנפגעו באופן הקשה ביותר ועל יישובים פריפריאליים</w:t>
      </w:r>
      <w:r w:rsidRPr="00B97E44">
        <w:rPr>
          <w:b/>
          <w:bCs/>
          <w:rtl/>
        </w:rPr>
        <w:t xml:space="preserve"> שמתקשים יותר למשוך </w:t>
      </w:r>
      <w:r w:rsidRPr="00B97E44">
        <w:rPr>
          <w:rFonts w:hint="cs"/>
          <w:b/>
          <w:bCs/>
          <w:rtl/>
        </w:rPr>
        <w:t xml:space="preserve">אליהם </w:t>
      </w:r>
      <w:r w:rsidRPr="00B97E44">
        <w:rPr>
          <w:b/>
          <w:bCs/>
          <w:rtl/>
        </w:rPr>
        <w:t xml:space="preserve">תושבים. </w:t>
      </w:r>
    </w:p>
    <w:bookmarkEnd w:id="43"/>
    <w:p w:rsidR="005B126E" w:rsidP="001916A9">
      <w:pPr>
        <w:spacing w:line="269" w:lineRule="auto"/>
        <w:rPr>
          <w:b/>
          <w:bCs/>
          <w:rtl/>
        </w:rPr>
      </w:pPr>
    </w:p>
    <w:p w:rsidR="005B126E" w:rsidRPr="00B97E44" w:rsidP="001916A9">
      <w:pPr>
        <w:spacing w:line="269" w:lineRule="auto"/>
        <w:rPr>
          <w:b/>
          <w:bCs/>
          <w:rtl/>
        </w:rPr>
      </w:pPr>
      <w:r w:rsidRPr="00B97E44">
        <w:rPr>
          <w:rFonts w:hint="eastAsia"/>
          <w:b/>
          <w:bCs/>
          <w:rtl/>
        </w:rPr>
        <w:t>הלכה</w:t>
      </w:r>
      <w:r w:rsidRPr="00B97E44">
        <w:rPr>
          <w:b/>
          <w:bCs/>
          <w:rtl/>
        </w:rPr>
        <w:t xml:space="preserve"> </w:t>
      </w:r>
      <w:r w:rsidRPr="00B97E44">
        <w:rPr>
          <w:rFonts w:hint="eastAsia"/>
          <w:b/>
          <w:bCs/>
          <w:rtl/>
        </w:rPr>
        <w:t>למעשה</w:t>
      </w:r>
      <w:r w:rsidRPr="00B97E44">
        <w:rPr>
          <w:b/>
          <w:bCs/>
          <w:rtl/>
        </w:rPr>
        <w:t xml:space="preserve">, </w:t>
      </w:r>
      <w:r w:rsidRPr="00B97E44">
        <w:rPr>
          <w:rFonts w:hint="eastAsia"/>
          <w:b/>
          <w:bCs/>
          <w:rtl/>
        </w:rPr>
        <w:t>שינוי</w:t>
      </w:r>
      <w:r w:rsidRPr="00B97E44">
        <w:rPr>
          <w:b/>
          <w:bCs/>
          <w:rtl/>
        </w:rPr>
        <w:t xml:space="preserve"> </w:t>
      </w:r>
      <w:r w:rsidRPr="00B97E44">
        <w:rPr>
          <w:rFonts w:hint="eastAsia"/>
          <w:b/>
          <w:bCs/>
          <w:rtl/>
        </w:rPr>
        <w:t>המדיניות</w:t>
      </w:r>
      <w:r w:rsidRPr="00B97E44">
        <w:rPr>
          <w:rFonts w:hint="cs"/>
          <w:b/>
          <w:bCs/>
          <w:rtl/>
        </w:rPr>
        <w:t xml:space="preserve"> שלפיו היישובים נדרשים להציג יעדים לצמיחה דמוגרפית נעשה ללא שיח מקדים עם היישובים והמועצות,</w:t>
      </w:r>
      <w:r w:rsidRPr="00B97E44">
        <w:rPr>
          <w:b/>
          <w:bCs/>
          <w:rtl/>
        </w:rPr>
        <w:t xml:space="preserve"> פוגע ביישובים שנפגעו באופן </w:t>
      </w:r>
      <w:r w:rsidRPr="00B97E44">
        <w:rPr>
          <w:rFonts w:hint="cs"/>
          <w:b/>
          <w:bCs/>
          <w:rtl/>
        </w:rPr>
        <w:t>קשה</w:t>
      </w:r>
      <w:r w:rsidRPr="00B97E44">
        <w:rPr>
          <w:b/>
          <w:bCs/>
          <w:rtl/>
        </w:rPr>
        <w:t xml:space="preserve"> בשבעה באוקטובר ו</w:t>
      </w:r>
      <w:r w:rsidRPr="00B97E44">
        <w:rPr>
          <w:rFonts w:hint="cs"/>
          <w:b/>
          <w:bCs/>
          <w:rtl/>
        </w:rPr>
        <w:t>מצמצם את הקצאת ה</w:t>
      </w:r>
      <w:r w:rsidRPr="00B97E44">
        <w:rPr>
          <w:b/>
          <w:bCs/>
          <w:rtl/>
        </w:rPr>
        <w:t xml:space="preserve">כספים </w:t>
      </w:r>
      <w:r w:rsidRPr="00B97E44">
        <w:rPr>
          <w:rFonts w:hint="cs"/>
          <w:b/>
          <w:bCs/>
          <w:rtl/>
        </w:rPr>
        <w:t>ה</w:t>
      </w:r>
      <w:r w:rsidRPr="00B97E44">
        <w:rPr>
          <w:b/>
          <w:bCs/>
          <w:rtl/>
        </w:rPr>
        <w:t xml:space="preserve">דרושים לשיקומם. קביעת מדיניות חדשה </w:t>
      </w:r>
      <w:r w:rsidRPr="00B97E44">
        <w:rPr>
          <w:rFonts w:hint="cs"/>
          <w:b/>
          <w:bCs/>
          <w:rtl/>
        </w:rPr>
        <w:t xml:space="preserve">וקריטריון נוסף שמצמצם </w:t>
      </w:r>
      <w:r w:rsidRPr="00B97E44">
        <w:rPr>
          <w:rFonts w:hint="eastAsia"/>
          <w:b/>
          <w:bCs/>
          <w:rtl/>
        </w:rPr>
        <w:t>את</w:t>
      </w:r>
      <w:r w:rsidRPr="00B97E44">
        <w:rPr>
          <w:b/>
          <w:bCs/>
          <w:rtl/>
        </w:rPr>
        <w:t xml:space="preserve"> </w:t>
      </w:r>
      <w:r w:rsidRPr="00B97E44">
        <w:rPr>
          <w:rFonts w:hint="eastAsia"/>
          <w:b/>
          <w:bCs/>
          <w:rtl/>
        </w:rPr>
        <w:t>התקציב</w:t>
      </w:r>
      <w:r w:rsidRPr="00B97E44">
        <w:rPr>
          <w:b/>
          <w:bCs/>
          <w:rtl/>
        </w:rPr>
        <w:t xml:space="preserve"> </w:t>
      </w:r>
      <w:r w:rsidRPr="00B97E44">
        <w:rPr>
          <w:rFonts w:hint="eastAsia"/>
          <w:b/>
          <w:bCs/>
          <w:rtl/>
        </w:rPr>
        <w:t>שניתן</w:t>
      </w:r>
      <w:r w:rsidRPr="00B97E44">
        <w:rPr>
          <w:b/>
          <w:bCs/>
          <w:rtl/>
        </w:rPr>
        <w:t xml:space="preserve"> </w:t>
      </w:r>
      <w:r w:rsidRPr="00B97E44">
        <w:rPr>
          <w:rFonts w:hint="eastAsia"/>
          <w:b/>
          <w:bCs/>
          <w:rtl/>
        </w:rPr>
        <w:t>לאותם</w:t>
      </w:r>
      <w:r w:rsidRPr="00B97E44">
        <w:rPr>
          <w:b/>
          <w:bCs/>
          <w:rtl/>
        </w:rPr>
        <w:t xml:space="preserve"> </w:t>
      </w:r>
      <w:r w:rsidRPr="00B97E44">
        <w:rPr>
          <w:rFonts w:hint="eastAsia"/>
          <w:b/>
          <w:bCs/>
          <w:rtl/>
        </w:rPr>
        <w:t>יישובים</w:t>
      </w:r>
      <w:r w:rsidRPr="00B97E44">
        <w:rPr>
          <w:b/>
          <w:bCs/>
          <w:rtl/>
        </w:rPr>
        <w:t xml:space="preserve"> </w:t>
      </w:r>
      <w:r w:rsidRPr="00B97E44">
        <w:rPr>
          <w:rFonts w:hint="eastAsia"/>
          <w:b/>
          <w:bCs/>
          <w:rtl/>
        </w:rPr>
        <w:t>פוגע</w:t>
      </w:r>
      <w:r w:rsidRPr="00B97E44">
        <w:rPr>
          <w:b/>
          <w:bCs/>
          <w:rtl/>
        </w:rPr>
        <w:t xml:space="preserve"> </w:t>
      </w:r>
      <w:r w:rsidRPr="00B97E44">
        <w:rPr>
          <w:rFonts w:hint="eastAsia"/>
          <w:b/>
          <w:bCs/>
          <w:rtl/>
        </w:rPr>
        <w:t>בבניית</w:t>
      </w:r>
      <w:r w:rsidRPr="00B97E44">
        <w:rPr>
          <w:b/>
          <w:bCs/>
          <w:rtl/>
        </w:rPr>
        <w:t xml:space="preserve"> </w:t>
      </w:r>
      <w:r w:rsidRPr="00B97E44">
        <w:rPr>
          <w:rFonts w:hint="eastAsia"/>
          <w:b/>
          <w:bCs/>
          <w:rtl/>
        </w:rPr>
        <w:t>האמון</w:t>
      </w:r>
      <w:r w:rsidRPr="00B97E44">
        <w:rPr>
          <w:b/>
          <w:bCs/>
          <w:rtl/>
        </w:rPr>
        <w:t xml:space="preserve"> </w:t>
      </w:r>
      <w:r w:rsidRPr="00B97E44">
        <w:rPr>
          <w:rFonts w:hint="eastAsia"/>
          <w:b/>
          <w:bCs/>
          <w:rtl/>
        </w:rPr>
        <w:t>בין</w:t>
      </w:r>
      <w:r w:rsidRPr="00B97E44">
        <w:rPr>
          <w:b/>
          <w:bCs/>
          <w:rtl/>
        </w:rPr>
        <w:t xml:space="preserve"> </w:t>
      </w:r>
      <w:r w:rsidRPr="00B97E44">
        <w:rPr>
          <w:rFonts w:hint="eastAsia"/>
          <w:b/>
          <w:bCs/>
          <w:rtl/>
        </w:rPr>
        <w:t>היישוב</w:t>
      </w:r>
      <w:r w:rsidRPr="00B97E44">
        <w:rPr>
          <w:b/>
          <w:bCs/>
          <w:rtl/>
        </w:rPr>
        <w:t xml:space="preserve"> </w:t>
      </w:r>
      <w:r w:rsidRPr="00B97E44">
        <w:rPr>
          <w:rFonts w:hint="eastAsia"/>
          <w:b/>
          <w:bCs/>
          <w:rtl/>
        </w:rPr>
        <w:t>ל</w:t>
      </w:r>
      <w:r w:rsidRPr="00B97E44">
        <w:rPr>
          <w:rFonts w:hint="cs"/>
          <w:b/>
          <w:bCs/>
          <w:rtl/>
        </w:rPr>
        <w:t>מוסדות ה</w:t>
      </w:r>
      <w:r w:rsidRPr="00B97E44">
        <w:rPr>
          <w:rFonts w:hint="eastAsia"/>
          <w:b/>
          <w:bCs/>
          <w:rtl/>
        </w:rPr>
        <w:t>מדינה</w:t>
      </w:r>
      <w:r w:rsidRPr="00B97E44">
        <w:rPr>
          <w:rFonts w:hint="cs"/>
          <w:b/>
          <w:bCs/>
          <w:rtl/>
        </w:rPr>
        <w:t xml:space="preserve"> </w:t>
      </w:r>
      <w:r w:rsidRPr="00B97E44">
        <w:rPr>
          <w:rFonts w:hint="cs"/>
          <w:b/>
          <w:bCs/>
          <w:rtl/>
        </w:rPr>
        <w:t>ומינהלת</w:t>
      </w:r>
      <w:r w:rsidRPr="00B97E44">
        <w:rPr>
          <w:rFonts w:hint="cs"/>
          <w:b/>
          <w:bCs/>
          <w:rtl/>
        </w:rPr>
        <w:t xml:space="preserve"> תקומה</w:t>
      </w:r>
      <w:r w:rsidRPr="00B97E44">
        <w:rPr>
          <w:b/>
          <w:bCs/>
          <w:rtl/>
        </w:rPr>
        <w:t>.</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המועצה האזורית </w:t>
      </w:r>
      <w:r w:rsidRPr="00B97E44">
        <w:rPr>
          <w:rFonts w:hint="eastAsia"/>
          <w:b/>
          <w:bCs/>
          <w:rtl/>
        </w:rPr>
        <w:t>אשכול</w:t>
      </w:r>
      <w:r w:rsidRPr="00B97E44">
        <w:rPr>
          <w:rFonts w:hint="cs"/>
          <w:rtl/>
        </w:rPr>
        <w:t xml:space="preserve"> מסרה בתשובתה כי מינהלת תקומה קבעה יעדים </w:t>
      </w:r>
      <w:r>
        <w:rPr>
          <w:rFonts w:hint="cs"/>
          <w:rtl/>
        </w:rPr>
        <w:t>"</w:t>
      </w:r>
      <w:r w:rsidRPr="00B97E44">
        <w:rPr>
          <w:rFonts w:hint="cs"/>
          <w:rtl/>
        </w:rPr>
        <w:t xml:space="preserve">שלא </w:t>
      </w:r>
      <w:r>
        <w:rPr>
          <w:rFonts w:hint="cs"/>
          <w:rtl/>
        </w:rPr>
        <w:t xml:space="preserve">לקחו בחשבון </w:t>
      </w:r>
      <w:r w:rsidRPr="00B97E44">
        <w:rPr>
          <w:rFonts w:hint="cs"/>
          <w:rtl/>
        </w:rPr>
        <w:t xml:space="preserve">את המציאות </w:t>
      </w:r>
      <w:r>
        <w:rPr>
          <w:rFonts w:hint="cs"/>
          <w:rtl/>
        </w:rPr>
        <w:t xml:space="preserve">בשטח ושלא התיישרו עם המציאות הפיזית </w:t>
      </w:r>
      <w:r w:rsidRPr="00B97E44">
        <w:rPr>
          <w:rFonts w:hint="cs"/>
          <w:rtl/>
        </w:rPr>
        <w:t>והקהילתית בכל יישוב</w:t>
      </w:r>
      <w:r>
        <w:rPr>
          <w:rFonts w:hint="cs"/>
          <w:rtl/>
        </w:rPr>
        <w:t>"</w:t>
      </w:r>
      <w:r w:rsidRPr="00B97E44">
        <w:rPr>
          <w:rFonts w:hint="cs"/>
          <w:rtl/>
        </w:rPr>
        <w:t xml:space="preserve"> וכי נדרש להתאים את יעדי הצמיחה למצבו של כל יישוב תוך בחינה של ההיתכנות הפיזית ורמת הפגיעה בו.</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המועצה האזורית </w:t>
      </w:r>
      <w:r w:rsidRPr="00B97E44">
        <w:rPr>
          <w:rFonts w:hint="eastAsia"/>
          <w:b/>
          <w:bCs/>
          <w:rtl/>
        </w:rPr>
        <w:t>שדות</w:t>
      </w:r>
      <w:r w:rsidRPr="00B97E44">
        <w:rPr>
          <w:b/>
          <w:bCs/>
          <w:rtl/>
        </w:rPr>
        <w:t xml:space="preserve"> </w:t>
      </w:r>
      <w:r w:rsidRPr="00B97E44">
        <w:rPr>
          <w:rFonts w:hint="eastAsia"/>
          <w:b/>
          <w:bCs/>
          <w:rtl/>
        </w:rPr>
        <w:t>נגב</w:t>
      </w:r>
      <w:r w:rsidRPr="00B97E44">
        <w:rPr>
          <w:rFonts w:hint="cs"/>
          <w:b/>
          <w:bCs/>
          <w:rtl/>
        </w:rPr>
        <w:t xml:space="preserve"> </w:t>
      </w:r>
      <w:r w:rsidRPr="00B97E44">
        <w:rPr>
          <w:rFonts w:hint="cs"/>
          <w:rtl/>
        </w:rPr>
        <w:t xml:space="preserve">מסרה בתשובתה מדצמבר 2025 כי </w:t>
      </w:r>
      <w:r w:rsidRPr="00B97E44">
        <w:rPr>
          <w:rtl/>
        </w:rPr>
        <w:t>הצמיחה הדמוגרפית תלויה בראש ובראשונה בהקמת תשתיות פיזיות, במתן ביטחון אישי ובתהליכי</w:t>
      </w:r>
      <w:r w:rsidRPr="00B97E44">
        <w:rPr>
          <w:rFonts w:hint="cs"/>
          <w:rtl/>
        </w:rPr>
        <w:t xml:space="preserve"> </w:t>
      </w:r>
      <w:r w:rsidRPr="00B97E44">
        <w:rPr>
          <w:rtl/>
        </w:rPr>
        <w:t xml:space="preserve">שיקום קהילתי </w:t>
      </w:r>
      <w:r w:rsidRPr="00B97E44">
        <w:rPr>
          <w:rFonts w:hint="cs"/>
          <w:rtl/>
        </w:rPr>
        <w:t>ו</w:t>
      </w:r>
      <w:r w:rsidRPr="00B97E44">
        <w:rPr>
          <w:rtl/>
        </w:rPr>
        <w:t>רק לאחר ביצוע פעולות אלו ניתן לייצר תהליך</w:t>
      </w:r>
      <w:r w:rsidRPr="00B97E44">
        <w:rPr>
          <w:rFonts w:hint="cs"/>
          <w:rtl/>
        </w:rPr>
        <w:t xml:space="preserve"> של</w:t>
      </w:r>
      <w:r w:rsidRPr="00B97E44">
        <w:rPr>
          <w:rtl/>
        </w:rPr>
        <w:t xml:space="preserve"> משיכת אוכלוסייה חדשה.</w:t>
      </w:r>
      <w:r w:rsidRPr="00B97E44">
        <w:rPr>
          <w:rFonts w:hint="cs"/>
          <w:rtl/>
        </w:rPr>
        <w:t xml:space="preserve"> עוד הוסיפה המועצה כי </w:t>
      </w:r>
      <w:r w:rsidRPr="00B97E44">
        <w:rPr>
          <w:rtl/>
        </w:rPr>
        <w:t>קידום מדיניות חדשה ללא שיח מקצועי וענייני מקדים עם נציגות היישובים והמועצות האזוריות פוגע</w:t>
      </w:r>
      <w:r w:rsidRPr="00B97E44">
        <w:rPr>
          <w:rFonts w:hint="cs"/>
          <w:rtl/>
        </w:rPr>
        <w:t xml:space="preserve"> </w:t>
      </w:r>
      <w:r w:rsidRPr="00B97E44">
        <w:rPr>
          <w:rtl/>
        </w:rPr>
        <w:t>באמון בין המדינה, מינהלת תקומה והיישובים עצמם</w:t>
      </w:r>
      <w:r w:rsidRPr="00B97E44">
        <w:rPr>
          <w:rFonts w:hint="cs"/>
          <w:rtl/>
        </w:rPr>
        <w:t xml:space="preserve"> וכי </w:t>
      </w:r>
      <w:r w:rsidRPr="00B97E44">
        <w:rPr>
          <w:rtl/>
        </w:rPr>
        <w:t>שינוי חד-צדדי של הקריטריונים פוגע</w:t>
      </w:r>
      <w:r w:rsidRPr="00B97E44">
        <w:rPr>
          <w:rFonts w:hint="cs"/>
          <w:rtl/>
        </w:rPr>
        <w:t xml:space="preserve"> </w:t>
      </w:r>
      <w:r w:rsidRPr="00B97E44">
        <w:rPr>
          <w:rtl/>
        </w:rPr>
        <w:t>במוטיבציה לשיתוף פעולה וביכולת להבטיח</w:t>
      </w:r>
      <w:r w:rsidRPr="00B97E44">
        <w:rPr>
          <w:rFonts w:hint="cs"/>
          <w:rtl/>
        </w:rPr>
        <w:t xml:space="preserve"> את</w:t>
      </w:r>
      <w:r w:rsidRPr="00B97E44">
        <w:rPr>
          <w:rtl/>
        </w:rPr>
        <w:t xml:space="preserve"> הצלחת תהליכי השיקום והצמיחה.</w:t>
      </w:r>
      <w:r w:rsidRPr="00B97E44">
        <w:rPr>
          <w:rFonts w:hint="cs"/>
          <w:rtl/>
        </w:rPr>
        <w:t xml:space="preserve"> המועצה הדגישה כי רק </w:t>
      </w:r>
      <w:r w:rsidRPr="00B97E44">
        <w:rPr>
          <w:rtl/>
        </w:rPr>
        <w:t xml:space="preserve">באמצעות שיתוף פעולה </w:t>
      </w:r>
      <w:r w:rsidRPr="00B97E44">
        <w:rPr>
          <w:rFonts w:hint="cs"/>
          <w:rtl/>
        </w:rPr>
        <w:t xml:space="preserve">יהיה אפשר </w:t>
      </w:r>
      <w:r w:rsidRPr="00B97E44">
        <w:rPr>
          <w:rtl/>
        </w:rPr>
        <w:t>להצליח לשקם את</w:t>
      </w:r>
      <w:r w:rsidRPr="00B97E44">
        <w:rPr>
          <w:rFonts w:hint="cs"/>
          <w:rtl/>
        </w:rPr>
        <w:t xml:space="preserve"> </w:t>
      </w:r>
      <w:r w:rsidRPr="00B97E44">
        <w:rPr>
          <w:rtl/>
        </w:rPr>
        <w:t>חבל הארץ והיישובים שנפגעו ולייצר תשתית לצמיחה דמוגרפית בעתיד.</w:t>
      </w:r>
      <w:r w:rsidRPr="00B97E44">
        <w:rPr>
          <w:rtl/>
        </w:rPr>
        <w:tab/>
      </w:r>
    </w:p>
    <w:p w:rsidR="005B126E" w:rsidP="001916A9">
      <w:pPr>
        <w:spacing w:line="269" w:lineRule="auto"/>
        <w:rPr>
          <w:rtl/>
        </w:rPr>
      </w:pPr>
    </w:p>
    <w:p w:rsidR="005B126E" w:rsidRPr="00B97E44" w:rsidP="001916A9">
      <w:pPr>
        <w:spacing w:line="269" w:lineRule="auto"/>
        <w:rPr>
          <w:rtl/>
        </w:rPr>
      </w:pPr>
      <w:r w:rsidRPr="00B97E44">
        <w:rPr>
          <w:rFonts w:hint="cs"/>
          <w:rtl/>
        </w:rPr>
        <w:t>אגף תקציבים במשרד האוצר מסר בתשובתו כי לשיטתו תנאי הכרחי לצמיחה ופיתוח חברתי-כלכלי של חבל ארץ הוא הצבת יעדים לגידול דמוגרפי ויצירת יתרונות לגודל אשר יאפשרו</w:t>
      </w:r>
      <w:r w:rsidRPr="00B97E44">
        <w:rPr>
          <w:rtl/>
        </w:rPr>
        <w:t xml:space="preserve"> צמיחה כלכלית אוטונומית</w:t>
      </w:r>
      <w:r w:rsidRPr="00B97E44">
        <w:rPr>
          <w:rFonts w:hint="cs"/>
          <w:rtl/>
        </w:rPr>
        <w:t>, הכוללת בין היתר, הרחבה של השירותים הציבוריים ברשות המקומית, פיתוח תשתיות וקידום עצמאות פיננסית. עוד הוסיף אגף תקציבים כי</w:t>
      </w:r>
      <w:r w:rsidRPr="00B97E44">
        <w:rPr>
          <w:rtl/>
        </w:rPr>
        <w:t xml:space="preserve"> הצבת יעדים </w:t>
      </w:r>
      <w:r w:rsidRPr="00B97E44">
        <w:rPr>
          <w:rFonts w:hint="cs"/>
          <w:rtl/>
        </w:rPr>
        <w:t xml:space="preserve">לגידול </w:t>
      </w:r>
      <w:r w:rsidRPr="00B97E44">
        <w:rPr>
          <w:rtl/>
        </w:rPr>
        <w:t>דמוגרפי</w:t>
      </w:r>
      <w:r w:rsidRPr="00B97E44">
        <w:rPr>
          <w:rFonts w:hint="cs"/>
          <w:rtl/>
        </w:rPr>
        <w:t xml:space="preserve"> מאפשרת הלימה בין</w:t>
      </w:r>
      <w:r w:rsidRPr="00B97E44">
        <w:rPr>
          <w:rtl/>
        </w:rPr>
        <w:t xml:space="preserve"> ההשקעה הממשלתית </w:t>
      </w:r>
      <w:r w:rsidRPr="00B97E44">
        <w:rPr>
          <w:rFonts w:hint="cs"/>
          <w:rtl/>
        </w:rPr>
        <w:t>ובין</w:t>
      </w:r>
      <w:r w:rsidRPr="00B97E44">
        <w:rPr>
          <w:rtl/>
        </w:rPr>
        <w:t xml:space="preserve"> צ</w:t>
      </w:r>
      <w:r w:rsidRPr="00B97E44">
        <w:rPr>
          <w:rFonts w:hint="cs"/>
          <w:rtl/>
        </w:rPr>
        <w:t>ו</w:t>
      </w:r>
      <w:r w:rsidRPr="00B97E44">
        <w:rPr>
          <w:rtl/>
        </w:rPr>
        <w:t>רכי הרשות המקומית ותכליות לאומיות</w:t>
      </w:r>
      <w:r w:rsidRPr="00B97E44">
        <w:rPr>
          <w:rFonts w:hint="cs"/>
          <w:rtl/>
        </w:rPr>
        <w:t xml:space="preserve"> אחרות</w:t>
      </w:r>
      <w:r w:rsidRPr="00B97E44">
        <w:rPr>
          <w:rtl/>
        </w:rPr>
        <w:t>.</w:t>
      </w:r>
      <w:r w:rsidRPr="00B97E44">
        <w:rPr>
          <w:rFonts w:hint="cs"/>
          <w:rtl/>
        </w:rPr>
        <w:t xml:space="preserve"> פרסום קול קורא בעניין ה"סל היישובי" בתוכנית החומש ללא התניה בגידול דמוגרפי נבע, על פי אגף תקציבים, מהצורך הדחוף לפעול לשיקום החבל והוספת הדרישה לצמיחה דמוגרפית בתנאי התמיכה לסל היישובי לשנת 2025 נעשתה לאחר שיח עם מינהלת תקומה ובהסכמתה. </w:t>
      </w:r>
    </w:p>
    <w:p w:rsidR="005B126E" w:rsidP="001916A9">
      <w:pPr>
        <w:autoSpaceDE w:val="0"/>
        <w:autoSpaceDN w:val="0"/>
        <w:adjustRightInd w:val="0"/>
        <w:spacing w:line="269" w:lineRule="auto"/>
        <w:rPr>
          <w:rtl/>
        </w:rPr>
      </w:pPr>
    </w:p>
    <w:p w:rsidR="005B126E" w:rsidP="001916A9">
      <w:pPr>
        <w:autoSpaceDE w:val="0"/>
        <w:autoSpaceDN w:val="0"/>
        <w:adjustRightInd w:val="0"/>
        <w:spacing w:line="269" w:lineRule="auto"/>
        <w:rPr>
          <w:rtl/>
        </w:rPr>
      </w:pPr>
      <w:r w:rsidRPr="00B97E44">
        <w:rPr>
          <w:rFonts w:hint="cs"/>
          <w:rtl/>
        </w:rPr>
        <w:t xml:space="preserve">מינהלת תקומה מסרה בתשובתה כי </w:t>
      </w:r>
      <w:r w:rsidRPr="00B97E44">
        <w:rPr>
          <w:rFonts w:ascii="David" w:hAnsi="David"/>
          <w:sz w:val="24"/>
          <w:rtl/>
        </w:rPr>
        <w:t>בהתאם להחלטות</w:t>
      </w:r>
      <w:r w:rsidRPr="00B97E44">
        <w:rPr>
          <w:rFonts w:ascii="David" w:hAnsi="David" w:hint="cs"/>
          <w:sz w:val="24"/>
          <w:rtl/>
        </w:rPr>
        <w:t>יה של</w:t>
      </w:r>
      <w:r w:rsidRPr="00B97E44">
        <w:rPr>
          <w:rFonts w:ascii="David" w:hAnsi="David"/>
          <w:sz w:val="24"/>
          <w:rtl/>
        </w:rPr>
        <w:t xml:space="preserve"> ועדת התמיכות</w:t>
      </w:r>
      <w:r w:rsidRPr="00B97E44">
        <w:rPr>
          <w:rFonts w:ascii="David" w:hAnsi="David" w:hint="cs"/>
          <w:sz w:val="24"/>
          <w:rtl/>
        </w:rPr>
        <w:t xml:space="preserve"> שלה ממאי 2025 </w:t>
      </w:r>
      <w:r w:rsidRPr="00B97E44">
        <w:rPr>
          <w:rFonts w:ascii="David" w:hAnsi="David"/>
          <w:sz w:val="24"/>
          <w:rtl/>
        </w:rPr>
        <w:t>ניתנה ליישובים אפשרות לבקש הקדמה של תקציב הסל היישובי לשנת 2026 באחד</w:t>
      </w:r>
      <w:r w:rsidRPr="00B97E44">
        <w:rPr>
          <w:rFonts w:ascii="David" w:hAnsi="David" w:hint="cs"/>
          <w:sz w:val="24"/>
          <w:rtl/>
        </w:rPr>
        <w:t xml:space="preserve"> </w:t>
      </w:r>
      <w:r w:rsidRPr="00B97E44">
        <w:rPr>
          <w:rFonts w:ascii="David" w:hAnsi="David"/>
          <w:sz w:val="24"/>
          <w:rtl/>
        </w:rPr>
        <w:t>משני מסלולים</w:t>
      </w:r>
      <w:r w:rsidRPr="00B97E44">
        <w:rPr>
          <w:rFonts w:ascii="David" w:hAnsi="David" w:hint="cs"/>
          <w:sz w:val="24"/>
          <w:rtl/>
        </w:rPr>
        <w:t>:</w:t>
      </w:r>
      <w:r w:rsidRPr="00B97E44">
        <w:rPr>
          <w:rFonts w:ascii="David" w:hAnsi="David"/>
          <w:sz w:val="24"/>
          <w:rtl/>
        </w:rPr>
        <w:t xml:space="preserve"> מסלול א' לטובת רכש יבילים לצמיחה דמוגרפית ומסלול ב' להקדמת התקציב בכפוף</w:t>
      </w:r>
      <w:r w:rsidRPr="00B97E44">
        <w:rPr>
          <w:rFonts w:ascii="David" w:hAnsi="David" w:hint="cs"/>
          <w:sz w:val="24"/>
          <w:rtl/>
        </w:rPr>
        <w:t xml:space="preserve"> </w:t>
      </w:r>
      <w:r w:rsidRPr="00B97E44">
        <w:rPr>
          <w:rFonts w:ascii="David" w:hAnsi="David"/>
          <w:sz w:val="24"/>
          <w:rtl/>
        </w:rPr>
        <w:t>להצגת יעד צמיחה מתוכנן</w:t>
      </w:r>
      <w:r w:rsidRPr="00B97E44">
        <w:rPr>
          <w:rFonts w:ascii="David" w:hAnsi="David" w:hint="cs"/>
          <w:sz w:val="24"/>
          <w:rtl/>
        </w:rPr>
        <w:t>,</w:t>
      </w:r>
      <w:r w:rsidRPr="00B97E44">
        <w:rPr>
          <w:rFonts w:ascii="David" w:hAnsi="David"/>
          <w:sz w:val="24"/>
          <w:rtl/>
        </w:rPr>
        <w:t xml:space="preserve"> והכ</w:t>
      </w:r>
      <w:r w:rsidRPr="00B97E44">
        <w:rPr>
          <w:rFonts w:ascii="David" w:hAnsi="David" w:hint="cs"/>
          <w:sz w:val="24"/>
          <w:rtl/>
        </w:rPr>
        <w:t>ו</w:t>
      </w:r>
      <w:r w:rsidRPr="00B97E44">
        <w:rPr>
          <w:rFonts w:ascii="David" w:hAnsi="David"/>
          <w:sz w:val="24"/>
          <w:rtl/>
        </w:rPr>
        <w:t>ל בהתאם לתנאים שקבעה הוועדה בהחלטתה ופורסמו</w:t>
      </w:r>
      <w:r w:rsidRPr="00B97E44">
        <w:rPr>
          <w:rFonts w:ascii="David" w:hAnsi="David" w:hint="cs"/>
          <w:sz w:val="24"/>
          <w:rtl/>
        </w:rPr>
        <w:t xml:space="preserve"> </w:t>
      </w:r>
      <w:r w:rsidRPr="00B97E44">
        <w:rPr>
          <w:rFonts w:ascii="David" w:hAnsi="David"/>
          <w:sz w:val="24"/>
          <w:rtl/>
        </w:rPr>
        <w:t xml:space="preserve">ליישובים, ובהתאם למטרות </w:t>
      </w:r>
      <w:r w:rsidRPr="00B97E44">
        <w:rPr>
          <w:rFonts w:ascii="David" w:hAnsi="David"/>
          <w:sz w:val="24"/>
          <w:rtl/>
        </w:rPr>
        <w:t>המ</w:t>
      </w:r>
      <w:r w:rsidRPr="00B97E44">
        <w:rPr>
          <w:rFonts w:ascii="David" w:hAnsi="David" w:hint="cs"/>
          <w:sz w:val="24"/>
          <w:rtl/>
        </w:rPr>
        <w:t>י</w:t>
      </w:r>
      <w:r w:rsidRPr="00B97E44">
        <w:rPr>
          <w:rFonts w:ascii="David" w:hAnsi="David"/>
          <w:sz w:val="24"/>
          <w:rtl/>
        </w:rPr>
        <w:t>נהלת</w:t>
      </w:r>
      <w:r w:rsidRPr="00B97E44">
        <w:rPr>
          <w:rFonts w:ascii="David" w:hAnsi="David"/>
          <w:sz w:val="24"/>
          <w:rtl/>
        </w:rPr>
        <w:t xml:space="preserve"> בחיזוק חבל התקומה ועידוד הצמיחה הדמוגרפית ביישובים. כל</w:t>
      </w:r>
      <w:r w:rsidRPr="00B97E44">
        <w:rPr>
          <w:rFonts w:ascii="David" w:hAnsi="David" w:hint="cs"/>
          <w:sz w:val="24"/>
          <w:rtl/>
        </w:rPr>
        <w:t xml:space="preserve"> </w:t>
      </w:r>
      <w:r w:rsidRPr="00B97E44">
        <w:rPr>
          <w:rFonts w:ascii="David" w:hAnsi="David"/>
          <w:sz w:val="24"/>
          <w:rtl/>
        </w:rPr>
        <w:t>זאת, מבלי לגרוע מתנאי התמיכה כפי שנקבעו במקור במתווה</w:t>
      </w:r>
      <w:r w:rsidRPr="00B97E44">
        <w:rPr>
          <w:rFonts w:ascii="David" w:hAnsi="David"/>
          <w:sz w:val="24"/>
        </w:rPr>
        <w:t>.</w:t>
      </w:r>
      <w:r w:rsidRPr="00B97E44">
        <w:rPr>
          <w:rFonts w:ascii="David" w:hAnsi="David" w:hint="cs"/>
          <w:sz w:val="24"/>
          <w:rtl/>
        </w:rPr>
        <w:t xml:space="preserve"> עוד ציינה </w:t>
      </w:r>
      <w:r w:rsidRPr="00B97E44">
        <w:rPr>
          <w:rFonts w:ascii="David" w:hAnsi="David" w:hint="cs"/>
          <w:sz w:val="24"/>
          <w:rtl/>
        </w:rPr>
        <w:t>המינהלת</w:t>
      </w:r>
      <w:r w:rsidRPr="00B97E44">
        <w:rPr>
          <w:rFonts w:ascii="David" w:hAnsi="David" w:hint="cs"/>
          <w:sz w:val="24"/>
          <w:rtl/>
        </w:rPr>
        <w:t xml:space="preserve"> כי</w:t>
      </w:r>
      <w:r w:rsidRPr="00B97E44">
        <w:rPr>
          <w:rFonts w:ascii="David" w:hAnsi="David"/>
          <w:sz w:val="24"/>
          <w:rtl/>
        </w:rPr>
        <w:t xml:space="preserve"> יישובים שנפגעו קשה ומועד החזרה שלהם ליישוב</w:t>
      </w:r>
      <w:r w:rsidRPr="00B97E44">
        <w:rPr>
          <w:rFonts w:ascii="David" w:hAnsi="David" w:hint="cs"/>
          <w:sz w:val="24"/>
          <w:rtl/>
        </w:rPr>
        <w:t xml:space="preserve"> </w:t>
      </w:r>
      <w:r w:rsidRPr="00B97E44">
        <w:rPr>
          <w:rFonts w:ascii="David" w:hAnsi="David"/>
          <w:sz w:val="24"/>
          <w:rtl/>
        </w:rPr>
        <w:t xml:space="preserve">נקבע לשנת 2026 או לאחר מכן, יקבלו את הקדמת התקציב </w:t>
      </w:r>
      <w:r w:rsidRPr="00B97E44">
        <w:rPr>
          <w:rFonts w:ascii="David" w:hAnsi="David" w:hint="cs"/>
          <w:sz w:val="24"/>
          <w:rtl/>
        </w:rPr>
        <w:t>לשנת 2026</w:t>
      </w:r>
      <w:r w:rsidRPr="00B97E44">
        <w:rPr>
          <w:rFonts w:ascii="David" w:hAnsi="David"/>
          <w:sz w:val="24"/>
          <w:rtl/>
        </w:rPr>
        <w:t xml:space="preserve"> מבלי להידרש להצגת יעדי צמיחה</w:t>
      </w:r>
      <w:r w:rsidRPr="00B97E44">
        <w:rPr>
          <w:rFonts w:ascii="David" w:hAnsi="David" w:hint="cs"/>
          <w:sz w:val="24"/>
          <w:rtl/>
        </w:rPr>
        <w:t xml:space="preserve"> </w:t>
      </w:r>
      <w:r w:rsidRPr="00B97E44">
        <w:rPr>
          <w:rFonts w:ascii="David" w:hAnsi="David"/>
          <w:sz w:val="24"/>
          <w:rtl/>
        </w:rPr>
        <w:t>בשלב זה</w:t>
      </w:r>
      <w:r w:rsidRPr="00B97E44">
        <w:rPr>
          <w:rFonts w:ascii="David" w:hAnsi="David" w:hint="cs"/>
          <w:sz w:val="24"/>
          <w:rtl/>
        </w:rPr>
        <w:t xml:space="preserve">. </w:t>
      </w:r>
      <w:r w:rsidRPr="00B97E44">
        <w:rPr>
          <w:rFonts w:ascii="David" w:hAnsi="David"/>
          <w:sz w:val="24"/>
          <w:rtl/>
        </w:rPr>
        <w:t xml:space="preserve">לגבי יישובים שחזרו לאחרונה, קבעה </w:t>
      </w:r>
      <w:r w:rsidRPr="00B97E44">
        <w:rPr>
          <w:rFonts w:ascii="David" w:hAnsi="David" w:hint="cs"/>
          <w:sz w:val="24"/>
          <w:rtl/>
        </w:rPr>
        <w:t>ועדת התמיכות</w:t>
      </w:r>
      <w:r w:rsidRPr="00B97E44">
        <w:rPr>
          <w:rFonts w:ascii="David" w:hAnsi="David"/>
          <w:sz w:val="24"/>
          <w:rtl/>
        </w:rPr>
        <w:t xml:space="preserve"> כי מדידת</w:t>
      </w:r>
      <w:r w:rsidRPr="00B97E44">
        <w:rPr>
          <w:rFonts w:ascii="David" w:hAnsi="David" w:hint="cs"/>
          <w:sz w:val="24"/>
          <w:rtl/>
        </w:rPr>
        <w:t xml:space="preserve"> </w:t>
      </w:r>
      <w:r w:rsidRPr="00B97E44">
        <w:rPr>
          <w:rFonts w:ascii="David" w:hAnsi="David"/>
          <w:sz w:val="24"/>
          <w:rtl/>
        </w:rPr>
        <w:t>יעדי הצמיחה תחל רק לאחר כשנה ממועד חזרת התושבים ליישוב</w:t>
      </w:r>
      <w:r w:rsidRPr="00B97E44">
        <w:rPr>
          <w:rFonts w:hint="cs"/>
          <w:rtl/>
        </w:rPr>
        <w:t>.</w:t>
      </w:r>
    </w:p>
    <w:p w:rsidR="005B126E" w:rsidP="001916A9">
      <w:pPr>
        <w:spacing w:line="269" w:lineRule="auto"/>
        <w:ind w:left="3"/>
        <w:rPr>
          <w:sz w:val="24"/>
          <w:rtl/>
        </w:rPr>
      </w:pPr>
    </w:p>
    <w:p w:rsidR="005B126E" w:rsidRPr="00B544FF" w:rsidP="001916A9">
      <w:pPr>
        <w:spacing w:line="269" w:lineRule="auto"/>
        <w:ind w:left="3"/>
        <w:rPr>
          <w:sz w:val="24"/>
          <w:rtl/>
        </w:rPr>
      </w:pPr>
      <w:r w:rsidRPr="00B544FF">
        <w:rPr>
          <w:rFonts w:hint="eastAsia"/>
          <w:sz w:val="24"/>
          <w:rtl/>
        </w:rPr>
        <w:t>מינהלת</w:t>
      </w:r>
      <w:r w:rsidRPr="00B544FF">
        <w:rPr>
          <w:sz w:val="24"/>
          <w:rtl/>
        </w:rPr>
        <w:t xml:space="preserve"> תקומה מסרה בתשובה נוספת כי כל היישובים הציגו יעדי צמיחה בהתאם ליעדים שהוגדרו</w:t>
      </w:r>
      <w:r>
        <w:rPr>
          <w:rFonts w:hint="cs"/>
          <w:sz w:val="24"/>
          <w:rtl/>
        </w:rPr>
        <w:t>,</w:t>
      </w:r>
      <w:r w:rsidRPr="00B544FF">
        <w:rPr>
          <w:sz w:val="24"/>
          <w:rtl/>
        </w:rPr>
        <w:t xml:space="preserve"> ו</w:t>
      </w:r>
      <w:r>
        <w:rPr>
          <w:rFonts w:hint="cs"/>
          <w:sz w:val="24"/>
          <w:rtl/>
        </w:rPr>
        <w:t xml:space="preserve">כי </w:t>
      </w:r>
      <w:r w:rsidRPr="00B544FF">
        <w:rPr>
          <w:sz w:val="24"/>
          <w:rtl/>
        </w:rPr>
        <w:t>בהתאם</w:t>
      </w:r>
      <w:r>
        <w:rPr>
          <w:rFonts w:hint="cs"/>
          <w:sz w:val="24"/>
          <w:rtl/>
        </w:rPr>
        <w:t xml:space="preserve"> לכך</w:t>
      </w:r>
      <w:r w:rsidRPr="00B544FF">
        <w:rPr>
          <w:sz w:val="24"/>
          <w:rtl/>
        </w:rPr>
        <w:t xml:space="preserve"> </w:t>
      </w:r>
      <w:r w:rsidRPr="00B544FF">
        <w:rPr>
          <w:rFonts w:hint="eastAsia"/>
          <w:sz w:val="24"/>
          <w:rtl/>
        </w:rPr>
        <w:t>אישרה</w:t>
      </w:r>
      <w:r w:rsidRPr="00B544FF">
        <w:rPr>
          <w:sz w:val="24"/>
          <w:rtl/>
        </w:rPr>
        <w:t xml:space="preserve"> </w:t>
      </w:r>
      <w:r w:rsidRPr="00B544FF">
        <w:rPr>
          <w:rFonts w:hint="eastAsia"/>
          <w:sz w:val="24"/>
          <w:rtl/>
        </w:rPr>
        <w:t>ועדת</w:t>
      </w:r>
      <w:r w:rsidRPr="00B544FF">
        <w:rPr>
          <w:sz w:val="24"/>
          <w:rtl/>
        </w:rPr>
        <w:t xml:space="preserve"> </w:t>
      </w:r>
      <w:r w:rsidRPr="00B544FF">
        <w:rPr>
          <w:rFonts w:hint="eastAsia"/>
          <w:sz w:val="24"/>
          <w:rtl/>
        </w:rPr>
        <w:t>תמיכות</w:t>
      </w:r>
      <w:r w:rsidRPr="00B544FF">
        <w:rPr>
          <w:sz w:val="24"/>
          <w:rtl/>
        </w:rPr>
        <w:t xml:space="preserve"> </w:t>
      </w:r>
      <w:r w:rsidRPr="00B544FF">
        <w:rPr>
          <w:rFonts w:hint="eastAsia"/>
          <w:sz w:val="24"/>
          <w:rtl/>
        </w:rPr>
        <w:t>את</w:t>
      </w:r>
      <w:r w:rsidRPr="00B544FF">
        <w:rPr>
          <w:sz w:val="24"/>
          <w:rtl/>
        </w:rPr>
        <w:t xml:space="preserve"> </w:t>
      </w:r>
      <w:r w:rsidRPr="00B544FF">
        <w:rPr>
          <w:rFonts w:hint="eastAsia"/>
          <w:sz w:val="24"/>
          <w:rtl/>
        </w:rPr>
        <w:t>הקדמת</w:t>
      </w:r>
      <w:r w:rsidRPr="00B544FF">
        <w:rPr>
          <w:sz w:val="24"/>
          <w:rtl/>
        </w:rPr>
        <w:t xml:space="preserve"> </w:t>
      </w:r>
      <w:r>
        <w:rPr>
          <w:rFonts w:hint="cs"/>
          <w:sz w:val="24"/>
          <w:rtl/>
        </w:rPr>
        <w:t>ה</w:t>
      </w:r>
      <w:r w:rsidRPr="00B544FF">
        <w:rPr>
          <w:rFonts w:hint="eastAsia"/>
          <w:sz w:val="24"/>
          <w:rtl/>
        </w:rPr>
        <w:t>הרשאה</w:t>
      </w:r>
      <w:r w:rsidRPr="00B544FF">
        <w:rPr>
          <w:sz w:val="24"/>
          <w:rtl/>
        </w:rPr>
        <w:t xml:space="preserve"> </w:t>
      </w:r>
      <w:r w:rsidRPr="00B544FF">
        <w:rPr>
          <w:rFonts w:hint="eastAsia"/>
          <w:sz w:val="24"/>
          <w:rtl/>
        </w:rPr>
        <w:t>של</w:t>
      </w:r>
      <w:r w:rsidRPr="00B544FF">
        <w:rPr>
          <w:sz w:val="24"/>
          <w:rtl/>
        </w:rPr>
        <w:t xml:space="preserve"> </w:t>
      </w:r>
      <w:r w:rsidRPr="00B544FF">
        <w:rPr>
          <w:rFonts w:hint="eastAsia"/>
          <w:sz w:val="24"/>
          <w:rtl/>
        </w:rPr>
        <w:t>תקציב</w:t>
      </w:r>
      <w:r w:rsidRPr="00B544FF">
        <w:rPr>
          <w:sz w:val="24"/>
          <w:rtl/>
        </w:rPr>
        <w:t xml:space="preserve"> </w:t>
      </w:r>
      <w:r w:rsidRPr="00B544FF">
        <w:rPr>
          <w:rFonts w:hint="eastAsia"/>
          <w:sz w:val="24"/>
          <w:rtl/>
        </w:rPr>
        <w:t>הסל</w:t>
      </w:r>
      <w:r w:rsidRPr="00B544FF">
        <w:rPr>
          <w:sz w:val="24"/>
          <w:rtl/>
        </w:rPr>
        <w:t xml:space="preserve"> </w:t>
      </w:r>
      <w:r w:rsidRPr="00B544FF">
        <w:rPr>
          <w:rFonts w:hint="eastAsia"/>
          <w:sz w:val="24"/>
          <w:rtl/>
        </w:rPr>
        <w:t>לשנת</w:t>
      </w:r>
      <w:r w:rsidRPr="00B544FF">
        <w:rPr>
          <w:sz w:val="24"/>
          <w:rtl/>
        </w:rPr>
        <w:t xml:space="preserve"> 2026 </w:t>
      </w:r>
      <w:r w:rsidRPr="00B544FF">
        <w:rPr>
          <w:rFonts w:hint="eastAsia"/>
          <w:sz w:val="24"/>
          <w:rtl/>
        </w:rPr>
        <w:t>למעט</w:t>
      </w:r>
      <w:r w:rsidRPr="00B544FF">
        <w:rPr>
          <w:sz w:val="24"/>
          <w:rtl/>
        </w:rPr>
        <w:t xml:space="preserve"> </w:t>
      </w:r>
      <w:r>
        <w:rPr>
          <w:rFonts w:hint="cs"/>
          <w:sz w:val="24"/>
          <w:rtl/>
        </w:rPr>
        <w:t xml:space="preserve">עבור </w:t>
      </w:r>
      <w:r w:rsidRPr="00B544FF">
        <w:rPr>
          <w:rFonts w:hint="eastAsia"/>
          <w:sz w:val="24"/>
          <w:rtl/>
        </w:rPr>
        <w:t>יישוב</w:t>
      </w:r>
      <w:r w:rsidRPr="00B544FF">
        <w:rPr>
          <w:sz w:val="24"/>
          <w:rtl/>
        </w:rPr>
        <w:t xml:space="preserve"> </w:t>
      </w:r>
      <w:r w:rsidRPr="00B544FF">
        <w:rPr>
          <w:rFonts w:hint="eastAsia"/>
          <w:sz w:val="24"/>
          <w:rtl/>
        </w:rPr>
        <w:t>אחד</w:t>
      </w:r>
      <w:r w:rsidRPr="00B544FF">
        <w:rPr>
          <w:sz w:val="24"/>
          <w:rtl/>
        </w:rPr>
        <w:t>.</w:t>
      </w:r>
    </w:p>
    <w:p w:rsidR="005B126E" w:rsidP="001916A9">
      <w:pPr>
        <w:spacing w:line="269" w:lineRule="auto"/>
        <w:rPr>
          <w:b/>
          <w:bCs/>
          <w:rtl/>
        </w:rPr>
      </w:pPr>
    </w:p>
    <w:p w:rsidR="005B126E" w:rsidRPr="00E212C3" w:rsidP="001916A9">
      <w:pPr>
        <w:spacing w:line="269" w:lineRule="auto"/>
        <w:rPr>
          <w:b/>
          <w:bCs/>
          <w:rtl/>
        </w:rPr>
      </w:pPr>
      <w:r w:rsidRPr="00B97E44">
        <w:rPr>
          <w:b/>
          <w:bCs/>
          <w:rtl/>
        </w:rPr>
        <w:t xml:space="preserve">נוכח </w:t>
      </w:r>
      <w:r w:rsidRPr="00B97E44">
        <w:rPr>
          <w:rFonts w:hint="cs"/>
          <w:b/>
          <w:bCs/>
          <w:rtl/>
        </w:rPr>
        <w:t xml:space="preserve">הסתמכותם של </w:t>
      </w:r>
      <w:r w:rsidRPr="00B97E44">
        <w:rPr>
          <w:b/>
          <w:bCs/>
          <w:rtl/>
        </w:rPr>
        <w:t>המועצות האזוריות ו</w:t>
      </w:r>
      <w:r w:rsidRPr="00B97E44">
        <w:rPr>
          <w:rFonts w:hint="cs"/>
          <w:b/>
          <w:bCs/>
          <w:rtl/>
        </w:rPr>
        <w:t xml:space="preserve">של </w:t>
      </w:r>
      <w:r w:rsidRPr="00B97E44">
        <w:rPr>
          <w:b/>
          <w:bCs/>
          <w:rtl/>
        </w:rPr>
        <w:t>היישובים הזכאים כי מבחני התמיכה שפורסמו בשנת 2024 בעבור מימוש הסל היישובי יחולו גם בשנים</w:t>
      </w:r>
      <w:r w:rsidRPr="00B97E44">
        <w:rPr>
          <w:rFonts w:hint="cs"/>
          <w:b/>
          <w:bCs/>
          <w:rtl/>
        </w:rPr>
        <w:t xml:space="preserve"> 2025 - 2028,</w:t>
      </w:r>
      <w:r w:rsidRPr="00B97E44">
        <w:rPr>
          <w:b/>
          <w:bCs/>
          <w:rtl/>
        </w:rPr>
        <w:t xml:space="preserve"> מומלץ כי מינהלת תקומה תיידע </w:t>
      </w:r>
      <w:r w:rsidRPr="00B97E44">
        <w:rPr>
          <w:rFonts w:hint="cs"/>
          <w:b/>
          <w:bCs/>
          <w:rtl/>
        </w:rPr>
        <w:t xml:space="preserve">בעתיד </w:t>
      </w:r>
      <w:r w:rsidRPr="00B97E44">
        <w:rPr>
          <w:b/>
          <w:bCs/>
          <w:rtl/>
        </w:rPr>
        <w:t>את הציבור מראש על כוונתה לעדכן את המבחנים באמצעות הליך מקדים של פרסום העדכון המוצע</w:t>
      </w:r>
      <w:r w:rsidRPr="00B97E44">
        <w:rPr>
          <w:rFonts w:hint="cs"/>
          <w:b/>
          <w:bCs/>
          <w:rtl/>
        </w:rPr>
        <w:t xml:space="preserve"> </w:t>
      </w:r>
      <w:r w:rsidRPr="00B97E44">
        <w:rPr>
          <w:b/>
          <w:bCs/>
          <w:rtl/>
        </w:rPr>
        <w:t xml:space="preserve">להערות הציבור </w:t>
      </w:r>
      <w:r w:rsidRPr="00B97E44">
        <w:rPr>
          <w:rFonts w:hint="cs"/>
          <w:b/>
          <w:bCs/>
          <w:rtl/>
        </w:rPr>
        <w:t xml:space="preserve">שיאפשר לבצע </w:t>
      </w:r>
      <w:r w:rsidRPr="00B97E44">
        <w:rPr>
          <w:b/>
          <w:bCs/>
          <w:rtl/>
        </w:rPr>
        <w:t xml:space="preserve">שינויים </w:t>
      </w:r>
      <w:r w:rsidRPr="00B97E44">
        <w:rPr>
          <w:rFonts w:hint="cs"/>
          <w:b/>
          <w:bCs/>
          <w:rtl/>
        </w:rPr>
        <w:t>במתווה</w:t>
      </w:r>
      <w:r>
        <w:rPr>
          <w:rFonts w:hint="cs"/>
          <w:b/>
          <w:bCs/>
          <w:rtl/>
        </w:rPr>
        <w:t xml:space="preserve"> לאחר שהמועצות האזוריות והיישובים בחבל התקומה השמיעו את התייחסותם לנושא ונשקלו כלל השיקום הרלוונטיי</w:t>
      </w:r>
      <w:r>
        <w:rPr>
          <w:rFonts w:hint="eastAsia"/>
          <w:b/>
          <w:bCs/>
          <w:rtl/>
        </w:rPr>
        <w:t>ם</w:t>
      </w:r>
      <w:r>
        <w:rPr>
          <w:rFonts w:hint="cs"/>
          <w:b/>
          <w:bCs/>
          <w:rtl/>
        </w:rPr>
        <w:t>.</w:t>
      </w:r>
    </w:p>
    <w:p w:rsidR="005B126E" w:rsidRPr="00B97E44" w:rsidP="001916A9">
      <w:pPr>
        <w:spacing w:line="269" w:lineRule="auto"/>
        <w:ind w:left="-567"/>
        <w:rPr>
          <w:b/>
          <w:bCs/>
          <w:rtl/>
        </w:rPr>
      </w:pPr>
    </w:p>
    <w:p w:rsidR="005B126E" w:rsidRPr="00B97E44" w:rsidP="001916A9">
      <w:pPr>
        <w:pStyle w:val="Heading5"/>
        <w:spacing w:line="269" w:lineRule="auto"/>
        <w:rPr>
          <w:rtl/>
        </w:rPr>
      </w:pPr>
      <w:bookmarkStart w:id="44" w:name="_Hlk207634201"/>
      <w:r w:rsidRPr="00B97E44">
        <w:rPr>
          <w:rFonts w:hint="cs"/>
          <w:rtl/>
        </w:rPr>
        <w:t>תמיכה בתושבים שאינם מ</w:t>
      </w:r>
      <w:r>
        <w:rPr>
          <w:rFonts w:hint="cs"/>
          <w:rtl/>
        </w:rPr>
        <w:t>עוניינים</w:t>
      </w:r>
      <w:r w:rsidRPr="00B97E44">
        <w:rPr>
          <w:rFonts w:hint="cs"/>
          <w:rtl/>
        </w:rPr>
        <w:t xml:space="preserve"> לחזור להתגורר בחבל </w:t>
      </w:r>
      <w:r>
        <w:rPr>
          <w:rFonts w:hint="cs"/>
          <w:rtl/>
        </w:rPr>
        <w:t>ה</w:t>
      </w:r>
      <w:r w:rsidRPr="00B97E44">
        <w:rPr>
          <w:rFonts w:hint="cs"/>
          <w:rtl/>
        </w:rPr>
        <w:t>תקומה</w:t>
      </w:r>
    </w:p>
    <w:bookmarkEnd w:id="44"/>
    <w:p w:rsidR="005B126E" w:rsidP="001916A9">
      <w:pPr>
        <w:spacing w:line="269" w:lineRule="auto"/>
        <w:rPr>
          <w:rtl/>
        </w:rPr>
      </w:pPr>
    </w:p>
    <w:p w:rsidR="005B126E" w:rsidRPr="00B97E44" w:rsidP="001916A9">
      <w:pPr>
        <w:spacing w:line="269" w:lineRule="auto"/>
        <w:rPr>
          <w:rtl/>
        </w:rPr>
      </w:pPr>
      <w:r>
        <w:rPr>
          <w:rFonts w:hint="cs"/>
          <w:rtl/>
        </w:rPr>
        <w:t>ל</w:t>
      </w:r>
      <w:r w:rsidRPr="00B97E44">
        <w:rPr>
          <w:rFonts w:hint="cs"/>
          <w:rtl/>
        </w:rPr>
        <w:t>אחר מתקפת הטרור בשבעה באוקטובר יש תושבים מקרב היישובים שנפגעו באופן קשה המבקשים להעתיק את מקום מגוריהם לאזור אחר מחוץ לחבל התקומה, אולם הם עלולים להתקשות למכור את בתיהם הן בשל ירידת הערך שתיתכן לאחר המתקפה בשבעה באוקטובר ומלחמת חרבות ברזל והן בשל קשיים בירוקרטיים הנובעים מהמסגרת הקיבוצית של מרבית היישובים שנפגעו.</w:t>
      </w:r>
    </w:p>
    <w:p w:rsidR="005B126E" w:rsidP="001916A9">
      <w:pPr>
        <w:spacing w:line="269" w:lineRule="auto"/>
        <w:rPr>
          <w:rtl/>
        </w:rPr>
      </w:pPr>
    </w:p>
    <w:p w:rsidR="005B126E" w:rsidRPr="00B97E44" w:rsidP="001916A9">
      <w:pPr>
        <w:spacing w:line="269" w:lineRule="auto"/>
        <w:rPr>
          <w:rtl/>
        </w:rPr>
      </w:pPr>
      <w:r w:rsidRPr="00B97E44">
        <w:rPr>
          <w:rFonts w:hint="cs"/>
          <w:rtl/>
        </w:rPr>
        <w:t>סוגיית הסיוע מטעם המדינה לתושבים שהחליטו לא לחזור לביתם היא נושא מורכב, ובפרט כשהמטרה של הממשלה היא לשקם את החבל, לעודד צמיחה דמוגרפית ולהשיב את התושבים לביתם. עם זאת פעולות הממשלה כמובא להלן מלמדות כי היא ראתה חובה לסייע ולתמוך גם בתושבים אלה.</w:t>
      </w:r>
    </w:p>
    <w:p w:rsidR="005B126E" w:rsidP="001916A9">
      <w:pPr>
        <w:spacing w:line="269" w:lineRule="auto"/>
        <w:rPr>
          <w:rtl/>
        </w:rPr>
      </w:pPr>
    </w:p>
    <w:p w:rsidR="005B126E" w:rsidRPr="00B97E44" w:rsidP="001916A9">
      <w:pPr>
        <w:spacing w:line="269" w:lineRule="auto"/>
      </w:pPr>
      <w:r w:rsidRPr="00B97E44">
        <w:rPr>
          <w:rFonts w:hint="cs"/>
          <w:rtl/>
        </w:rPr>
        <w:t xml:space="preserve">בהמלצות ועדת החקירה בעניין ההתנתקות משנת 2010 צוין כי על המדינה לשאוף ככל האפשר להשתמש באירוע הלאומי שהתרחש ובמאמצי השיקום, המטילים נטל כבד על המדינה, כהזדמנות לקדם יעדים לאומיים נוספים, לבד מן המטרה של טיפול במשתקמים, </w:t>
      </w:r>
      <w:r w:rsidRPr="00B97E44">
        <w:rPr>
          <w:rFonts w:hint="eastAsia"/>
          <w:rtl/>
        </w:rPr>
        <w:t>ובלבד</w:t>
      </w:r>
      <w:r w:rsidRPr="00B97E44">
        <w:rPr>
          <w:rFonts w:hint="cs"/>
          <w:rtl/>
        </w:rPr>
        <w:t xml:space="preserve"> שלא יהיה בכך כדי לפגוע בשיקום עצמו, בין של המשתקמים שיצטרפו להגשמת היעד הלאומי הנוסף ובין של אלה שיבחרו להימנע מכך</w:t>
      </w:r>
      <w:r>
        <w:rPr>
          <w:vertAlign w:val="superscript"/>
          <w:rtl/>
        </w:rPr>
        <w:footnoteReference w:id="89"/>
      </w:r>
      <w:r w:rsidRPr="00B97E44">
        <w:rPr>
          <w:rFonts w:hint="cs"/>
          <w:rtl/>
        </w:rPr>
        <w:t>.</w:t>
      </w:r>
      <w:r w:rsidRPr="00B97E44">
        <w:rPr>
          <w:rtl/>
        </w:rPr>
        <w:t xml:space="preserve"> </w:t>
      </w:r>
      <w:r w:rsidRPr="00B97E44">
        <w:rPr>
          <w:rFonts w:hint="cs"/>
          <w:rtl/>
        </w:rPr>
        <w:t>כמו כן,</w:t>
      </w:r>
      <w:r w:rsidRPr="00B97E44">
        <w:rPr>
          <w:rtl/>
        </w:rPr>
        <w:t xml:space="preserve"> בדוח שערך מבקר המדינה בנוגע לפינוי נקודות יישוב ישראליות באזור יהודה ושומרון והטיפול במפונים בשנת 2023 הומלץ כי הסיוע למפונים יכלול מנגנון להצמדה של כספי הפיצוי</w:t>
      </w:r>
      <w:r w:rsidRPr="00B97E44">
        <w:rPr>
          <w:rFonts w:hint="cs"/>
          <w:rtl/>
        </w:rPr>
        <w:t>,</w:t>
      </w:r>
      <w:r w:rsidRPr="00B97E44">
        <w:rPr>
          <w:rtl/>
        </w:rPr>
        <w:t xml:space="preserve"> למשל שהערכת השמאי תוצמד למדד תשומות הבנייה למגורים</w:t>
      </w:r>
      <w:r>
        <w:rPr>
          <w:vertAlign w:val="superscript"/>
          <w:rtl/>
        </w:rPr>
        <w:footnoteReference w:id="90"/>
      </w:r>
      <w:r w:rsidRPr="00B97E44">
        <w:rPr>
          <w:rtl/>
        </w:rPr>
        <w:t>. אי-החלת מנגנון הצמדה לכספי הסיוע עלול</w:t>
      </w:r>
      <w:r w:rsidRPr="00B97E44">
        <w:rPr>
          <w:rFonts w:hint="cs"/>
          <w:rtl/>
        </w:rPr>
        <w:t>ה</w:t>
      </w:r>
      <w:r w:rsidRPr="00B97E44">
        <w:rPr>
          <w:rtl/>
        </w:rPr>
        <w:t xml:space="preserve"> להביא לשחיקת כספי השיקום ולהקשות </w:t>
      </w:r>
      <w:r w:rsidRPr="00B97E44">
        <w:rPr>
          <w:rFonts w:hint="cs"/>
          <w:rtl/>
        </w:rPr>
        <w:t>ב</w:t>
      </w:r>
      <w:r w:rsidRPr="00B97E44">
        <w:rPr>
          <w:rtl/>
        </w:rPr>
        <w:t>השלמת שיקום היישובים.</w:t>
      </w:r>
    </w:p>
    <w:p w:rsidR="005B126E" w:rsidP="001916A9">
      <w:pPr>
        <w:spacing w:line="269" w:lineRule="auto"/>
        <w:rPr>
          <w:rtl/>
        </w:rPr>
      </w:pPr>
    </w:p>
    <w:p w:rsidR="005B126E" w:rsidRPr="00B97E44" w:rsidP="001916A9">
      <w:pPr>
        <w:spacing w:line="269" w:lineRule="auto"/>
        <w:rPr>
          <w:rtl/>
        </w:rPr>
      </w:pPr>
      <w:r w:rsidRPr="00B97E44">
        <w:rPr>
          <w:rFonts w:hint="cs"/>
          <w:rtl/>
        </w:rPr>
        <w:t>בסקר שערך פורום הביתה, המייצג את תושבי היישובים שנפגעו באופן הקשה ביותר במתקפת הטרור בשבעה באוקטובר, עלה כי רק 45% מהתושבים שעדיין לא שבו לביתם עד מאי 2025, השיבו כי יחזרו כשהדבר יתאפשר</w:t>
      </w:r>
      <w:r>
        <w:rPr>
          <w:vertAlign w:val="superscript"/>
          <w:rtl/>
        </w:rPr>
        <w:footnoteReference w:id="91"/>
      </w:r>
      <w:r w:rsidRPr="00B97E44">
        <w:rPr>
          <w:rFonts w:hint="cs"/>
          <w:rtl/>
        </w:rPr>
        <w:t>. סקר נוסף שערכה תנועת עתיד לעוטף במרץ 2025 בקרב 2,889 מתושבי חבל התקומה העלה כי 49% מקרב הנשאלים השיבו כי הם שוקלים לעזוב את חבל התקומה</w:t>
      </w:r>
      <w:r>
        <w:rPr>
          <w:vertAlign w:val="superscript"/>
          <w:rtl/>
        </w:rPr>
        <w:footnoteReference w:id="92"/>
      </w:r>
      <w:r w:rsidRPr="00B97E44">
        <w:rPr>
          <w:rFonts w:hint="cs"/>
          <w:rtl/>
        </w:rPr>
        <w:t>.</w:t>
      </w:r>
    </w:p>
    <w:p w:rsidR="005B126E" w:rsidP="001916A9">
      <w:pPr>
        <w:spacing w:line="269" w:lineRule="auto"/>
        <w:rPr>
          <w:rtl/>
        </w:rPr>
      </w:pPr>
    </w:p>
    <w:p w:rsidR="005B126E" w:rsidRPr="00B544FF" w:rsidP="001916A9">
      <w:pPr>
        <w:spacing w:line="269" w:lineRule="auto"/>
        <w:rPr>
          <w:b/>
          <w:bCs/>
          <w:rtl/>
        </w:rPr>
      </w:pPr>
      <w:r w:rsidRPr="00B97E44">
        <w:rPr>
          <w:rFonts w:hint="cs"/>
          <w:rtl/>
        </w:rPr>
        <w:t xml:space="preserve">בדיון שהתקיים בשדולה בכנסת למען עוטף עזה ב-23.1.24, שלושה חודשים לאחר </w:t>
      </w:r>
      <w:r>
        <w:rPr>
          <w:rFonts w:hint="cs"/>
          <w:rtl/>
        </w:rPr>
        <w:t>מתקפת הטרור</w:t>
      </w:r>
      <w:r w:rsidRPr="00B97E44">
        <w:rPr>
          <w:rFonts w:hint="cs"/>
          <w:rtl/>
        </w:rPr>
        <w:t xml:space="preserve">, ציין ראש מינהלת תקומה באותה העת </w:t>
      </w:r>
      <w:r w:rsidRPr="00830A29">
        <w:rPr>
          <w:rFonts w:hint="eastAsia"/>
          <w:rtl/>
        </w:rPr>
        <w:t>כי</w:t>
      </w:r>
      <w:r w:rsidRPr="00B544FF">
        <w:rPr>
          <w:b/>
          <w:bCs/>
          <w:rtl/>
        </w:rPr>
        <w:t xml:space="preserve"> </w:t>
      </w:r>
      <w:r w:rsidRPr="00713E16">
        <w:rPr>
          <w:b/>
          <w:bCs/>
          <w:rtl/>
        </w:rPr>
        <w:t>"</w:t>
      </w:r>
      <w:r w:rsidRPr="00713E16">
        <w:rPr>
          <w:rFonts w:hint="eastAsia"/>
          <w:b/>
          <w:bCs/>
          <w:rtl/>
        </w:rPr>
        <w:t>אף</w:t>
      </w:r>
      <w:r w:rsidRPr="00713E16">
        <w:rPr>
          <w:b/>
          <w:bCs/>
          <w:rtl/>
        </w:rPr>
        <w:t xml:space="preserve"> אחד לא יופקר, </w:t>
      </w:r>
      <w:r w:rsidRPr="00713E16">
        <w:rPr>
          <w:rFonts w:hint="cs"/>
          <w:b/>
          <w:bCs/>
          <w:rtl/>
        </w:rPr>
        <w:t xml:space="preserve">כולם יקבלו מענה, גילוי נאות אפשר להוציא תסקיר על המענים... אנחנו לא מוציאים כי אנחנו לא מרוצים. אנחנו נלחמים על המתווה... אנחנו רוצים שמי שלא יחזור </w:t>
      </w:r>
      <w:r w:rsidRPr="00713E16">
        <w:rPr>
          <w:rFonts w:hint="eastAsia"/>
          <w:b/>
          <w:bCs/>
          <w:rtl/>
        </w:rPr>
        <w:t>יחיה</w:t>
      </w:r>
      <w:r w:rsidRPr="00713E16">
        <w:rPr>
          <w:b/>
          <w:bCs/>
          <w:rtl/>
        </w:rPr>
        <w:t xml:space="preserve"> </w:t>
      </w:r>
      <w:r w:rsidRPr="00713E16">
        <w:rPr>
          <w:rFonts w:hint="eastAsia"/>
          <w:b/>
          <w:bCs/>
          <w:rtl/>
        </w:rPr>
        <w:t>בכבוד</w:t>
      </w:r>
      <w:r w:rsidRPr="00713E16">
        <w:rPr>
          <w:b/>
          <w:bCs/>
          <w:rtl/>
        </w:rPr>
        <w:t>"</w:t>
      </w:r>
      <w:r w:rsidRPr="00B544FF">
        <w:rPr>
          <w:b/>
          <w:bCs/>
          <w:rtl/>
        </w:rPr>
        <w:t>.</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במכתב ששלח קיבוץ ניר עוז באפריל 2025 לראש מינהלת תקומה ביקשו התושבים שתקום ועדת חריגים, כפי שהובטח להם בעבר, כדי לגבש את הסיוע והתמיכה האפשריים מצד המדינה לתושבים שאינם מעוניינים לשוב לחבל התקומה. עוד ציינו במכתבם כי הצורך במתן פתרונות ויצירת ודאות בנוגע לעתידם אינו רק בגדר חובתה של המדינה, אלא בעיקר נדבך חיוני ביכולתם של מי שעברו את מתקפת הטרור להחלים ולהשתקם. </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במאי 2025 פנה ראש מינהלת תקומה במכתב אל משרד ראש הממשלה וציין כי עם חזרת התושבים לבתיהם בחבל </w:t>
      </w:r>
      <w:r>
        <w:rPr>
          <w:rFonts w:hint="cs"/>
          <w:rtl/>
        </w:rPr>
        <w:t>ה</w:t>
      </w:r>
      <w:r w:rsidRPr="00B97E44">
        <w:rPr>
          <w:rFonts w:hint="cs"/>
          <w:rtl/>
        </w:rPr>
        <w:t xml:space="preserve">תקומה ביוני 2025 יש צורך </w:t>
      </w:r>
      <w:r w:rsidRPr="00B97E44">
        <w:rPr>
          <w:rtl/>
        </w:rPr>
        <w:t>בגיבוש מענה וטיפול באוכלוסיית התושבים שאין בכוונתם לשוב ולהתגורר בחב</w:t>
      </w:r>
      <w:r w:rsidRPr="00B97E44">
        <w:rPr>
          <w:rFonts w:hint="cs"/>
          <w:rtl/>
        </w:rPr>
        <w:t>ל. יחד עם זאת הוא הדגיש כי אף ש</w:t>
      </w:r>
      <w:r w:rsidRPr="00B97E44">
        <w:rPr>
          <w:rtl/>
        </w:rPr>
        <w:t xml:space="preserve">בתקופתו של ראש </w:t>
      </w:r>
      <w:r w:rsidRPr="00B97E44">
        <w:rPr>
          <w:rtl/>
        </w:rPr>
        <w:t>המ</w:t>
      </w:r>
      <w:r w:rsidRPr="00B97E44">
        <w:rPr>
          <w:rFonts w:hint="cs"/>
          <w:rtl/>
        </w:rPr>
        <w:t>י</w:t>
      </w:r>
      <w:r w:rsidRPr="00B97E44">
        <w:rPr>
          <w:rtl/>
        </w:rPr>
        <w:t>נהלת</w:t>
      </w:r>
      <w:r w:rsidRPr="00B97E44">
        <w:rPr>
          <w:rtl/>
        </w:rPr>
        <w:t xml:space="preserve"> </w:t>
      </w:r>
      <w:r w:rsidRPr="00B97E44">
        <w:rPr>
          <w:rFonts w:hint="cs"/>
          <w:rtl/>
        </w:rPr>
        <w:t xml:space="preserve">הקודם </w:t>
      </w:r>
      <w:r w:rsidRPr="00B97E44">
        <w:rPr>
          <w:rtl/>
        </w:rPr>
        <w:t>סוכם עם מנכ"ל משרד ר</w:t>
      </w:r>
      <w:r w:rsidRPr="00B97E44">
        <w:rPr>
          <w:rFonts w:hint="cs"/>
          <w:rtl/>
        </w:rPr>
        <w:t>אש הממשלה</w:t>
      </w:r>
      <w:r w:rsidRPr="00B97E44">
        <w:rPr>
          <w:rtl/>
        </w:rPr>
        <w:t xml:space="preserve"> על הקמת</w:t>
      </w:r>
      <w:r w:rsidRPr="00B97E44">
        <w:rPr>
          <w:rFonts w:hint="cs"/>
          <w:rtl/>
        </w:rPr>
        <w:t xml:space="preserve"> </w:t>
      </w:r>
      <w:r w:rsidRPr="00B97E44">
        <w:rPr>
          <w:rtl/>
        </w:rPr>
        <w:t>ועדה בראשות שופט בדימוס</w:t>
      </w:r>
      <w:r w:rsidRPr="00B97E44">
        <w:rPr>
          <w:rFonts w:hint="cs"/>
          <w:rtl/>
        </w:rPr>
        <w:t xml:space="preserve"> או ועדה בין-משרדית בהובלת משרד ראש הממשלה</w:t>
      </w:r>
      <w:r w:rsidRPr="00B97E44">
        <w:rPr>
          <w:rtl/>
        </w:rPr>
        <w:t xml:space="preserve"> </w:t>
      </w:r>
      <w:r w:rsidRPr="00B97E44">
        <w:rPr>
          <w:rFonts w:hint="cs"/>
          <w:rtl/>
        </w:rPr>
        <w:t>שתקבע</w:t>
      </w:r>
      <w:r w:rsidRPr="00B97E44">
        <w:rPr>
          <w:rtl/>
        </w:rPr>
        <w:t xml:space="preserve"> את מרכיבי </w:t>
      </w:r>
      <w:r w:rsidRPr="00B97E44">
        <w:rPr>
          <w:rFonts w:hint="cs"/>
          <w:rtl/>
        </w:rPr>
        <w:t xml:space="preserve">התמיכה </w:t>
      </w:r>
      <w:r w:rsidRPr="00B97E44">
        <w:rPr>
          <w:rtl/>
        </w:rPr>
        <w:t>והיקפ</w:t>
      </w:r>
      <w:r w:rsidRPr="00B97E44">
        <w:rPr>
          <w:rFonts w:hint="cs"/>
          <w:rtl/>
        </w:rPr>
        <w:t xml:space="preserve">ה, </w:t>
      </w:r>
      <w:r w:rsidRPr="00B97E44">
        <w:rPr>
          <w:rtl/>
        </w:rPr>
        <w:t>מדובר בסוגיה אשר</w:t>
      </w:r>
      <w:r w:rsidRPr="00B97E44">
        <w:rPr>
          <w:rFonts w:hint="cs"/>
          <w:rtl/>
        </w:rPr>
        <w:t xml:space="preserve"> א</w:t>
      </w:r>
      <w:r w:rsidRPr="00B97E44">
        <w:rPr>
          <w:rtl/>
        </w:rPr>
        <w:t xml:space="preserve">ינה מצויה בתחום טיפולה של </w:t>
      </w:r>
      <w:r w:rsidRPr="00B97E44">
        <w:rPr>
          <w:rtl/>
        </w:rPr>
        <w:t>המ</w:t>
      </w:r>
      <w:r w:rsidRPr="00B97E44">
        <w:rPr>
          <w:rFonts w:hint="cs"/>
          <w:rtl/>
        </w:rPr>
        <w:t>י</w:t>
      </w:r>
      <w:r w:rsidRPr="00B97E44">
        <w:rPr>
          <w:rtl/>
        </w:rPr>
        <w:t>נהלת</w:t>
      </w:r>
      <w:r w:rsidRPr="00B97E44">
        <w:rPr>
          <w:rFonts w:hint="cs"/>
          <w:rtl/>
        </w:rPr>
        <w:t xml:space="preserve">, שכן </w:t>
      </w:r>
      <w:r w:rsidRPr="00B97E44">
        <w:rPr>
          <w:rtl/>
        </w:rPr>
        <w:t xml:space="preserve">המנדט שהוקנה לה </w:t>
      </w:r>
      <w:r w:rsidRPr="00B97E44">
        <w:rPr>
          <w:rFonts w:hint="cs"/>
          <w:rtl/>
        </w:rPr>
        <w:t>הוא ל</w:t>
      </w:r>
      <w:r w:rsidRPr="00B97E44">
        <w:rPr>
          <w:rtl/>
        </w:rPr>
        <w:t>שיקום</w:t>
      </w:r>
      <w:r w:rsidRPr="00B97E44">
        <w:rPr>
          <w:rFonts w:hint="cs"/>
          <w:rtl/>
        </w:rPr>
        <w:t xml:space="preserve"> </w:t>
      </w:r>
      <w:r w:rsidRPr="00B97E44">
        <w:rPr>
          <w:rtl/>
        </w:rPr>
        <w:t>ופיתוח חבל התקומה</w:t>
      </w:r>
      <w:r w:rsidRPr="00B97E44">
        <w:rPr>
          <w:rFonts w:hint="cs"/>
          <w:rtl/>
        </w:rPr>
        <w:t xml:space="preserve"> ותושביו אך לא מי שאינו מתגורר בו עוד. </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ממכתב נוסף ששלח קיבוץ ניר עוז אל מ"מ מנכ"ל משרד ראש הממשלה ומנכ"ל משרד האוצר מספטמבר 2025 עלה כי מאז פניית הקיבוץ למשרדי הממשלה במאי 2025 נציגי הקיבוץ נפגשו עם </w:t>
      </w:r>
      <w:r w:rsidRPr="00B97E44">
        <w:rPr>
          <w:rtl/>
        </w:rPr>
        <w:t>מנכ"לית משרד ראש הממשלה</w:t>
      </w:r>
      <w:r w:rsidRPr="00B97E44">
        <w:rPr>
          <w:rFonts w:hint="cs"/>
          <w:rtl/>
        </w:rPr>
        <w:t>, והיא מסרה כי</w:t>
      </w:r>
      <w:r w:rsidRPr="00B97E44">
        <w:rPr>
          <w:rtl/>
        </w:rPr>
        <w:t xml:space="preserve"> מתקיימת עבודת מטה בתיאום עם המועצה </w:t>
      </w:r>
      <w:r w:rsidRPr="00B97E44">
        <w:rPr>
          <w:rFonts w:hint="cs"/>
          <w:rtl/>
        </w:rPr>
        <w:t xml:space="preserve">האזורית </w:t>
      </w:r>
      <w:r w:rsidRPr="00B97E44">
        <w:rPr>
          <w:rtl/>
        </w:rPr>
        <w:t xml:space="preserve">למיפוי </w:t>
      </w:r>
      <w:r w:rsidRPr="00B97E44">
        <w:rPr>
          <w:rFonts w:hint="cs"/>
          <w:rtl/>
        </w:rPr>
        <w:t>ה</w:t>
      </w:r>
      <w:r w:rsidRPr="00B97E44">
        <w:rPr>
          <w:rtl/>
        </w:rPr>
        <w:t>צרכים</w:t>
      </w:r>
      <w:r w:rsidRPr="00B97E44">
        <w:rPr>
          <w:rFonts w:hint="cs"/>
          <w:rtl/>
        </w:rPr>
        <w:t>. עם זאת, על פי המכתב טרם החלה</w:t>
      </w:r>
      <w:r w:rsidRPr="00B97E44">
        <w:rPr>
          <w:rtl/>
        </w:rPr>
        <w:t xml:space="preserve"> הקמת </w:t>
      </w:r>
      <w:r w:rsidRPr="00B97E44">
        <w:rPr>
          <w:rFonts w:hint="cs"/>
          <w:rtl/>
        </w:rPr>
        <w:t>ה</w:t>
      </w:r>
      <w:r w:rsidRPr="00B97E44">
        <w:rPr>
          <w:rtl/>
        </w:rPr>
        <w:t xml:space="preserve">מנגנון שיסייע לחברי קהילת ניר עוז שאינם </w:t>
      </w:r>
      <w:r w:rsidRPr="00B97E44">
        <w:rPr>
          <w:rFonts w:hint="cs"/>
          <w:rtl/>
        </w:rPr>
        <w:t>מסוגלים</w:t>
      </w:r>
      <w:r w:rsidRPr="00B97E44">
        <w:rPr>
          <w:rtl/>
        </w:rPr>
        <w:t xml:space="preserve"> לחזור לקיבוץ</w:t>
      </w:r>
      <w:r w:rsidRPr="00B97E44">
        <w:rPr>
          <w:rFonts w:hint="cs"/>
          <w:rtl/>
        </w:rPr>
        <w:t xml:space="preserve">. </w:t>
      </w:r>
    </w:p>
    <w:p w:rsidR="005B126E" w:rsidP="001916A9">
      <w:pPr>
        <w:spacing w:line="269" w:lineRule="auto"/>
        <w:rPr>
          <w:sz w:val="24"/>
          <w:rtl/>
        </w:rPr>
      </w:pPr>
    </w:p>
    <w:p w:rsidR="005B126E" w:rsidRPr="00B97E44" w:rsidP="001916A9">
      <w:pPr>
        <w:spacing w:line="269" w:lineRule="auto"/>
        <w:rPr>
          <w:sz w:val="24"/>
          <w:rtl/>
        </w:rPr>
      </w:pPr>
      <w:r w:rsidRPr="00B97E44">
        <w:rPr>
          <w:rFonts w:hint="cs"/>
          <w:sz w:val="24"/>
          <w:rtl/>
        </w:rPr>
        <w:t xml:space="preserve">יצוין כי המדינה באמצעות </w:t>
      </w:r>
      <w:r>
        <w:rPr>
          <w:rFonts w:hint="cs"/>
          <w:sz w:val="24"/>
          <w:rtl/>
        </w:rPr>
        <w:t>רמ</w:t>
      </w:r>
      <w:r>
        <w:rPr>
          <w:sz w:val="24"/>
          <w:rtl/>
        </w:rPr>
        <w:t>"</w:t>
      </w:r>
      <w:r>
        <w:rPr>
          <w:rFonts w:hint="cs"/>
          <w:sz w:val="24"/>
          <w:rtl/>
        </w:rPr>
        <w:t>י</w:t>
      </w:r>
      <w:r w:rsidRPr="00B97E44">
        <w:rPr>
          <w:rFonts w:hint="cs"/>
          <w:sz w:val="24"/>
          <w:rtl/>
        </w:rPr>
        <w:t xml:space="preserve"> קידמה מתווה נקודתי לקבוצת חברים מקיבוץ ניר עוז, שנתן להם הנחה</w:t>
      </w:r>
      <w:r w:rsidRPr="00B97E44">
        <w:rPr>
          <w:sz w:val="24"/>
          <w:rtl/>
        </w:rPr>
        <w:t xml:space="preserve"> </w:t>
      </w:r>
      <w:r w:rsidRPr="00B97E44">
        <w:rPr>
          <w:rFonts w:hint="eastAsia"/>
          <w:sz w:val="24"/>
          <w:rtl/>
        </w:rPr>
        <w:t>בשיעור</w:t>
      </w:r>
      <w:r w:rsidRPr="00B97E44">
        <w:rPr>
          <w:sz w:val="24"/>
          <w:rtl/>
        </w:rPr>
        <w:t xml:space="preserve"> </w:t>
      </w:r>
      <w:r w:rsidRPr="00B97E44">
        <w:rPr>
          <w:rFonts w:hint="eastAsia"/>
          <w:sz w:val="24"/>
          <w:rtl/>
        </w:rPr>
        <w:t>של</w:t>
      </w:r>
      <w:r w:rsidRPr="00B97E44">
        <w:rPr>
          <w:sz w:val="24"/>
          <w:rtl/>
        </w:rPr>
        <w:t xml:space="preserve"> 66% </w:t>
      </w:r>
      <w:r w:rsidRPr="00B97E44">
        <w:rPr>
          <w:rFonts w:hint="eastAsia"/>
          <w:sz w:val="24"/>
          <w:rtl/>
        </w:rPr>
        <w:t>לרכישת</w:t>
      </w:r>
      <w:r w:rsidRPr="00B97E44">
        <w:rPr>
          <w:sz w:val="24"/>
          <w:rtl/>
        </w:rPr>
        <w:t xml:space="preserve"> </w:t>
      </w:r>
      <w:r w:rsidRPr="00B97E44">
        <w:rPr>
          <w:rFonts w:hint="eastAsia"/>
          <w:sz w:val="24"/>
          <w:rtl/>
        </w:rPr>
        <w:t>מגרשים</w:t>
      </w:r>
      <w:r w:rsidRPr="00B97E44">
        <w:rPr>
          <w:sz w:val="24"/>
          <w:rtl/>
        </w:rPr>
        <w:t xml:space="preserve"> </w:t>
      </w:r>
      <w:r w:rsidRPr="00B97E44">
        <w:rPr>
          <w:rFonts w:hint="eastAsia"/>
          <w:sz w:val="24"/>
          <w:rtl/>
        </w:rPr>
        <w:t>בקיבוץ</w:t>
      </w:r>
      <w:r w:rsidRPr="00B97E44">
        <w:rPr>
          <w:sz w:val="24"/>
          <w:rtl/>
        </w:rPr>
        <w:t xml:space="preserve"> </w:t>
      </w:r>
      <w:r w:rsidRPr="00B97E44">
        <w:rPr>
          <w:rFonts w:hint="eastAsia"/>
          <w:sz w:val="24"/>
          <w:rtl/>
        </w:rPr>
        <w:t>אחר</w:t>
      </w:r>
      <w:r w:rsidRPr="00B97E44">
        <w:rPr>
          <w:rFonts w:hint="cs"/>
          <w:sz w:val="24"/>
          <w:rtl/>
        </w:rPr>
        <w:t xml:space="preserve"> שיש לו עתודת קרקע</w:t>
      </w:r>
      <w:r>
        <w:rPr>
          <w:sz w:val="24"/>
          <w:vertAlign w:val="superscript"/>
          <w:rtl/>
        </w:rPr>
        <w:footnoteReference w:id="93"/>
      </w:r>
      <w:r w:rsidRPr="00B97E44">
        <w:rPr>
          <w:rFonts w:hint="cs"/>
          <w:sz w:val="24"/>
          <w:rtl/>
        </w:rPr>
        <w:t xml:space="preserve">. </w:t>
      </w:r>
    </w:p>
    <w:p w:rsidR="005B126E" w:rsidP="001916A9">
      <w:pPr>
        <w:spacing w:line="269" w:lineRule="auto"/>
        <w:rPr>
          <w:b/>
          <w:bCs/>
          <w:rtl/>
        </w:rPr>
      </w:pPr>
      <w:bookmarkStart w:id="45" w:name="_Hlk207634093"/>
    </w:p>
    <w:p w:rsidR="005B126E" w:rsidRPr="00B97E44" w:rsidP="001916A9">
      <w:pPr>
        <w:spacing w:line="269" w:lineRule="auto"/>
        <w:rPr>
          <w:b/>
          <w:bCs/>
          <w:rtl/>
        </w:rPr>
      </w:pPr>
      <w:r w:rsidRPr="00B97E44">
        <w:rPr>
          <w:rFonts w:hint="cs"/>
          <w:b/>
          <w:bCs/>
          <w:rtl/>
        </w:rPr>
        <w:t>הביקורת העלתה כי על אף הבטחות שניתנו לקהילות לאורך חודשים ארוכים מטעם המדינה טרם ניתן מענה מקיף לתושבים שעברו את טראומת מתקפת הטרור בשבעה באוקטובר ואינם מ</w:t>
      </w:r>
      <w:r>
        <w:rPr>
          <w:rFonts w:hint="cs"/>
          <w:b/>
          <w:bCs/>
          <w:rtl/>
        </w:rPr>
        <w:t>עוניינים</w:t>
      </w:r>
      <w:r w:rsidRPr="00B97E44">
        <w:rPr>
          <w:rFonts w:hint="cs"/>
          <w:b/>
          <w:bCs/>
          <w:rtl/>
        </w:rPr>
        <w:t xml:space="preserve"> לשוב לביתם בחבל התקומה. הצורך במענה זה הפך דחוף במיוחד לאור ההכרזה כי ניתן לשוב להתגורר באזור החל מיולי 2025</w:t>
      </w:r>
      <w:r>
        <w:rPr>
          <w:b/>
          <w:bCs/>
          <w:vertAlign w:val="superscript"/>
          <w:rtl/>
        </w:rPr>
        <w:footnoteReference w:id="94"/>
      </w:r>
      <w:r w:rsidRPr="00B97E44">
        <w:rPr>
          <w:rFonts w:hint="cs"/>
          <w:b/>
          <w:bCs/>
          <w:rtl/>
        </w:rPr>
        <w:t>.</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המועצה האזורית </w:t>
      </w:r>
      <w:r w:rsidRPr="00B97E44">
        <w:rPr>
          <w:rFonts w:hint="eastAsia"/>
          <w:b/>
          <w:bCs/>
          <w:rtl/>
        </w:rPr>
        <w:t>אשכול</w:t>
      </w:r>
      <w:r w:rsidRPr="00B97E44">
        <w:rPr>
          <w:rFonts w:hint="cs"/>
          <w:rtl/>
        </w:rPr>
        <w:t xml:space="preserve"> מסרה בתשובתה כי לצד המטרה של חזר</w:t>
      </w:r>
      <w:r>
        <w:rPr>
          <w:rFonts w:hint="cs"/>
          <w:rtl/>
        </w:rPr>
        <w:t xml:space="preserve">ת </w:t>
      </w:r>
      <w:r w:rsidRPr="00B97E44">
        <w:rPr>
          <w:rFonts w:hint="cs"/>
          <w:rtl/>
        </w:rPr>
        <w:t>מרבית התושבים היא רואה חשיבות רבה במתן מענה למשפחות שאינן מסוגלות לשוב לביתן ולכן ממשיכה לקיים דיאלוג עם תושבים ועם השר במשרד האוצר בנוגע לפתרון ייעודי לאלו שאין ביכולתם לשוב לחבל.</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המועצה האזורית </w:t>
      </w:r>
      <w:r w:rsidRPr="00B97E44">
        <w:rPr>
          <w:rFonts w:hint="eastAsia"/>
          <w:b/>
          <w:bCs/>
          <w:rtl/>
        </w:rPr>
        <w:t>שדות</w:t>
      </w:r>
      <w:r w:rsidRPr="00B97E44">
        <w:rPr>
          <w:b/>
          <w:bCs/>
          <w:rtl/>
        </w:rPr>
        <w:t xml:space="preserve"> </w:t>
      </w:r>
      <w:r w:rsidRPr="00B97E44">
        <w:rPr>
          <w:rFonts w:hint="eastAsia"/>
          <w:b/>
          <w:bCs/>
          <w:rtl/>
        </w:rPr>
        <w:t>נגב</w:t>
      </w:r>
      <w:r w:rsidRPr="00B97E44">
        <w:rPr>
          <w:rFonts w:hint="cs"/>
          <w:rtl/>
        </w:rPr>
        <w:t xml:space="preserve"> מסרה בתשובתה כי על </w:t>
      </w:r>
      <w:r w:rsidRPr="00B97E44">
        <w:rPr>
          <w:rtl/>
        </w:rPr>
        <w:t xml:space="preserve">המדינה </w:t>
      </w:r>
      <w:r w:rsidRPr="00B97E44">
        <w:rPr>
          <w:rFonts w:hint="cs"/>
          <w:rtl/>
        </w:rPr>
        <w:t>למצוא</w:t>
      </w:r>
      <w:r w:rsidRPr="00B97E44">
        <w:rPr>
          <w:rtl/>
        </w:rPr>
        <w:t xml:space="preserve"> מענה לכלל המשפחות והיחידים אשר טרם הצליחו לשוב </w:t>
      </w:r>
      <w:r w:rsidRPr="00B97E44">
        <w:rPr>
          <w:rFonts w:hint="cs"/>
          <w:rtl/>
        </w:rPr>
        <w:t xml:space="preserve">לביתם </w:t>
      </w:r>
      <w:r w:rsidRPr="00B97E44">
        <w:rPr>
          <w:rtl/>
        </w:rPr>
        <w:t>ללא דיחוי נוסף</w:t>
      </w:r>
      <w:r w:rsidRPr="00B97E44">
        <w:rPr>
          <w:rFonts w:hint="cs"/>
          <w:rtl/>
        </w:rPr>
        <w:t xml:space="preserve"> ובשיתוף המועצה</w:t>
      </w:r>
      <w:r w:rsidRPr="00B97E44">
        <w:rPr>
          <w:rtl/>
        </w:rPr>
        <w:t>,</w:t>
      </w:r>
      <w:r w:rsidRPr="00B97E44">
        <w:rPr>
          <w:rFonts w:hint="cs"/>
          <w:rtl/>
        </w:rPr>
        <w:t xml:space="preserve"> </w:t>
      </w:r>
      <w:r w:rsidRPr="00B97E44">
        <w:rPr>
          <w:rtl/>
        </w:rPr>
        <w:t>תוך</w:t>
      </w:r>
      <w:r w:rsidRPr="00B97E44">
        <w:rPr>
          <w:rFonts w:hint="cs"/>
          <w:rtl/>
        </w:rPr>
        <w:t xml:space="preserve"> </w:t>
      </w:r>
      <w:r w:rsidRPr="00B97E44">
        <w:rPr>
          <w:rtl/>
        </w:rPr>
        <w:t>התחשבות במורכבות המצב ובהשפעותיו, כמו גם ברצון לעודד את חזרת כלל התושבים לחבל</w:t>
      </w:r>
      <w:r w:rsidRPr="00B97E44">
        <w:rPr>
          <w:rFonts w:hint="cs"/>
          <w:rtl/>
        </w:rPr>
        <w:t xml:space="preserve"> </w:t>
      </w:r>
      <w:r w:rsidRPr="00B97E44">
        <w:rPr>
          <w:rtl/>
        </w:rPr>
        <w:t>התקומה</w:t>
      </w:r>
      <w:r w:rsidRPr="00B97E44">
        <w:rPr>
          <w:rFonts w:hint="cs"/>
          <w:rtl/>
        </w:rPr>
        <w:t>.</w:t>
      </w:r>
    </w:p>
    <w:p w:rsidR="005B126E" w:rsidP="001916A9">
      <w:pPr>
        <w:autoSpaceDE w:val="0"/>
        <w:autoSpaceDN w:val="0"/>
        <w:adjustRightInd w:val="0"/>
        <w:spacing w:line="269" w:lineRule="auto"/>
        <w:rPr>
          <w:rtl/>
        </w:rPr>
      </w:pPr>
    </w:p>
    <w:p w:rsidR="005B126E" w:rsidRPr="00B97E44" w:rsidP="001916A9">
      <w:pPr>
        <w:autoSpaceDE w:val="0"/>
        <w:autoSpaceDN w:val="0"/>
        <w:adjustRightInd w:val="0"/>
        <w:spacing w:line="269" w:lineRule="auto"/>
        <w:rPr>
          <w:rFonts w:ascii="David" w:hAnsi="David"/>
          <w:sz w:val="24"/>
          <w:rtl/>
        </w:rPr>
      </w:pPr>
      <w:r w:rsidRPr="00B97E44">
        <w:rPr>
          <w:rFonts w:hint="cs"/>
          <w:rtl/>
        </w:rPr>
        <w:t xml:space="preserve">מינהלת תקומה מסרה בתשובתה כי </w:t>
      </w:r>
      <w:r w:rsidRPr="00B97E44">
        <w:rPr>
          <w:rFonts w:ascii="David" w:hAnsi="David"/>
          <w:sz w:val="24"/>
          <w:rtl/>
        </w:rPr>
        <w:t xml:space="preserve">ייעוד </w:t>
      </w:r>
      <w:r w:rsidRPr="00B97E44">
        <w:rPr>
          <w:rFonts w:ascii="David" w:hAnsi="David"/>
          <w:sz w:val="24"/>
          <w:rtl/>
        </w:rPr>
        <w:t>המ</w:t>
      </w:r>
      <w:r w:rsidRPr="00B97E44">
        <w:rPr>
          <w:rFonts w:ascii="David" w:hAnsi="David" w:hint="cs"/>
          <w:sz w:val="24"/>
          <w:rtl/>
        </w:rPr>
        <w:t>י</w:t>
      </w:r>
      <w:r w:rsidRPr="00B97E44">
        <w:rPr>
          <w:rFonts w:ascii="David" w:hAnsi="David"/>
          <w:sz w:val="24"/>
          <w:rtl/>
        </w:rPr>
        <w:t>נהלת</w:t>
      </w:r>
      <w:r w:rsidRPr="00B97E44">
        <w:rPr>
          <w:rFonts w:ascii="David" w:hAnsi="David"/>
          <w:sz w:val="24"/>
          <w:rtl/>
        </w:rPr>
        <w:t>, מטרותיה ועקרונות הפעולה שלה כפי שנקבעו בהחלטות הממשלה המייסדות</w:t>
      </w:r>
      <w:r w:rsidRPr="00B97E44">
        <w:rPr>
          <w:rFonts w:ascii="David" w:hAnsi="David" w:hint="cs"/>
          <w:sz w:val="24"/>
          <w:rtl/>
        </w:rPr>
        <w:t xml:space="preserve"> </w:t>
      </w:r>
      <w:r w:rsidRPr="00B97E44">
        <w:rPr>
          <w:rFonts w:ascii="David" w:hAnsi="David"/>
          <w:sz w:val="24"/>
          <w:rtl/>
        </w:rPr>
        <w:t>מכוונים לשיקום והצמחת החבל שנפגע</w:t>
      </w:r>
      <w:r w:rsidRPr="00B97E44">
        <w:rPr>
          <w:rFonts w:ascii="David" w:hAnsi="David" w:hint="cs"/>
          <w:sz w:val="24"/>
          <w:rtl/>
        </w:rPr>
        <w:t>,</w:t>
      </w:r>
      <w:r w:rsidRPr="00B97E44">
        <w:rPr>
          <w:rFonts w:ascii="David" w:hAnsi="David"/>
          <w:sz w:val="24"/>
          <w:rtl/>
        </w:rPr>
        <w:t xml:space="preserve"> </w:t>
      </w:r>
      <w:r w:rsidRPr="00B97E44">
        <w:rPr>
          <w:rFonts w:ascii="David" w:hAnsi="David" w:hint="cs"/>
          <w:sz w:val="24"/>
          <w:rtl/>
        </w:rPr>
        <w:t>ו</w:t>
      </w:r>
      <w:r w:rsidRPr="00B97E44">
        <w:rPr>
          <w:rFonts w:ascii="David" w:hAnsi="David"/>
          <w:sz w:val="24"/>
          <w:rtl/>
        </w:rPr>
        <w:t xml:space="preserve">אירוע הפינוי של התושבים בו הוא זמני ונקודתי ומיקוד הפעילות </w:t>
      </w:r>
      <w:r w:rsidRPr="00B97E44" w:rsidR="005E7B6F">
        <w:rPr>
          <w:rFonts w:ascii="David" w:hAnsi="David"/>
          <w:sz w:val="24"/>
          <w:rtl/>
        </w:rPr>
        <w:t>ה</w:t>
      </w:r>
      <w:r w:rsidR="005E7B6F">
        <w:rPr>
          <w:rFonts w:ascii="David" w:hAnsi="David" w:hint="cs"/>
          <w:sz w:val="24"/>
          <w:rtl/>
        </w:rPr>
        <w:t>ו</w:t>
      </w:r>
      <w:r w:rsidRPr="00B97E44" w:rsidR="005E7B6F">
        <w:rPr>
          <w:rFonts w:ascii="David" w:hAnsi="David"/>
          <w:sz w:val="24"/>
          <w:rtl/>
        </w:rPr>
        <w:t xml:space="preserve">א </w:t>
      </w:r>
      <w:r w:rsidRPr="00B97E44">
        <w:rPr>
          <w:rFonts w:ascii="David" w:hAnsi="David"/>
          <w:sz w:val="24"/>
          <w:rtl/>
        </w:rPr>
        <w:t xml:space="preserve">בחבל עצמו </w:t>
      </w:r>
      <w:r>
        <w:rPr>
          <w:rFonts w:ascii="David" w:hAnsi="David" w:hint="cs"/>
          <w:sz w:val="24"/>
          <w:rtl/>
        </w:rPr>
        <w:t>-</w:t>
      </w:r>
      <w:r w:rsidRPr="00B97E44">
        <w:rPr>
          <w:rFonts w:ascii="David" w:hAnsi="David"/>
          <w:sz w:val="24"/>
          <w:rtl/>
        </w:rPr>
        <w:t xml:space="preserve"> בשיקומו ובפיתוחו. לשם כך </w:t>
      </w:r>
      <w:r w:rsidRPr="00B97E44">
        <w:rPr>
          <w:rFonts w:ascii="David" w:hAnsi="David"/>
          <w:sz w:val="24"/>
          <w:rtl/>
        </w:rPr>
        <w:t>המ</w:t>
      </w:r>
      <w:r w:rsidRPr="00B97E44">
        <w:rPr>
          <w:rFonts w:ascii="David" w:hAnsi="David" w:hint="cs"/>
          <w:sz w:val="24"/>
          <w:rtl/>
        </w:rPr>
        <w:t>י</w:t>
      </w:r>
      <w:r w:rsidRPr="00B97E44">
        <w:rPr>
          <w:rFonts w:ascii="David" w:hAnsi="David"/>
          <w:sz w:val="24"/>
          <w:rtl/>
        </w:rPr>
        <w:t>נהלת</w:t>
      </w:r>
      <w:r w:rsidRPr="00B97E44">
        <w:rPr>
          <w:rFonts w:ascii="David" w:hAnsi="David"/>
          <w:sz w:val="24"/>
          <w:rtl/>
        </w:rPr>
        <w:t xml:space="preserve"> פועלת</w:t>
      </w:r>
      <w:r w:rsidRPr="00B97E44">
        <w:rPr>
          <w:rFonts w:ascii="David" w:hAnsi="David" w:hint="cs"/>
          <w:sz w:val="24"/>
          <w:rtl/>
        </w:rPr>
        <w:t xml:space="preserve"> עם </w:t>
      </w:r>
      <w:r w:rsidRPr="00B97E44">
        <w:rPr>
          <w:rFonts w:ascii="David" w:hAnsi="David"/>
          <w:sz w:val="24"/>
          <w:rtl/>
        </w:rPr>
        <w:t>היישובים והמועצות ואינה ערוכה מבחינת התשתיות והיקפי כוח האדם לתת מענה לפרט</w:t>
      </w:r>
      <w:r w:rsidRPr="00B97E44">
        <w:rPr>
          <w:rFonts w:ascii="David" w:hAnsi="David" w:hint="cs"/>
          <w:sz w:val="24"/>
          <w:rtl/>
        </w:rPr>
        <w:t>.</w:t>
      </w:r>
    </w:p>
    <w:p w:rsidR="005B126E" w:rsidP="001916A9">
      <w:pPr>
        <w:autoSpaceDE w:val="0"/>
        <w:autoSpaceDN w:val="0"/>
        <w:adjustRightInd w:val="0"/>
        <w:spacing w:line="269" w:lineRule="auto"/>
        <w:rPr>
          <w:rFonts w:ascii="David" w:hAnsi="David"/>
          <w:sz w:val="24"/>
          <w:rtl/>
        </w:rPr>
      </w:pPr>
    </w:p>
    <w:p w:rsidR="005B126E" w:rsidRPr="00B97E44" w:rsidP="001916A9">
      <w:pPr>
        <w:autoSpaceDE w:val="0"/>
        <w:autoSpaceDN w:val="0"/>
        <w:adjustRightInd w:val="0"/>
        <w:spacing w:line="269" w:lineRule="auto"/>
        <w:rPr>
          <w:rFonts w:ascii="David" w:hAnsi="David"/>
          <w:sz w:val="24"/>
        </w:rPr>
      </w:pPr>
      <w:r w:rsidRPr="00B97E44">
        <w:rPr>
          <w:rFonts w:ascii="David" w:hAnsi="David" w:hint="cs"/>
          <w:sz w:val="24"/>
          <w:rtl/>
        </w:rPr>
        <w:t>המינהלת</w:t>
      </w:r>
      <w:r w:rsidRPr="00B97E44">
        <w:rPr>
          <w:rFonts w:ascii="David" w:hAnsi="David" w:hint="cs"/>
          <w:sz w:val="24"/>
          <w:rtl/>
        </w:rPr>
        <w:t xml:space="preserve"> הוסיפה בתשובתה כי </w:t>
      </w:r>
      <w:r w:rsidRPr="00B97E44">
        <w:rPr>
          <w:rFonts w:ascii="David" w:hAnsi="David"/>
          <w:sz w:val="24"/>
          <w:rtl/>
        </w:rPr>
        <w:t>נושא</w:t>
      </w:r>
      <w:r w:rsidRPr="00B97E44">
        <w:rPr>
          <w:rFonts w:ascii="David" w:hAnsi="David" w:hint="cs"/>
          <w:sz w:val="24"/>
          <w:rtl/>
        </w:rPr>
        <w:t xml:space="preserve"> ה</w:t>
      </w:r>
      <w:r w:rsidRPr="00B97E44">
        <w:rPr>
          <w:rFonts w:ascii="David" w:hAnsi="David"/>
          <w:sz w:val="24"/>
          <w:rtl/>
        </w:rPr>
        <w:t xml:space="preserve">משפחות </w:t>
      </w:r>
      <w:r w:rsidRPr="00B97E44">
        <w:rPr>
          <w:rFonts w:ascii="David" w:hAnsi="David" w:hint="cs"/>
          <w:sz w:val="24"/>
          <w:rtl/>
        </w:rPr>
        <w:t>שאינן</w:t>
      </w:r>
      <w:r w:rsidRPr="00B97E44">
        <w:rPr>
          <w:rFonts w:ascii="David" w:hAnsi="David"/>
          <w:sz w:val="24"/>
          <w:rtl/>
        </w:rPr>
        <w:t xml:space="preserve"> מעוניינות לחזור לחבל התקומה הוא סוג</w:t>
      </w:r>
      <w:r w:rsidRPr="00B97E44">
        <w:rPr>
          <w:rFonts w:ascii="David" w:hAnsi="David" w:hint="cs"/>
          <w:sz w:val="24"/>
          <w:rtl/>
        </w:rPr>
        <w:t>י</w:t>
      </w:r>
      <w:r w:rsidRPr="00B97E44">
        <w:rPr>
          <w:rFonts w:ascii="David" w:hAnsi="David"/>
          <w:sz w:val="24"/>
          <w:rtl/>
        </w:rPr>
        <w:t>ה מורכבת שעניינה רחב יותר מפתרון דיור</w:t>
      </w:r>
      <w:r w:rsidRPr="00B97E44">
        <w:rPr>
          <w:rFonts w:ascii="David" w:hAnsi="David" w:hint="cs"/>
          <w:sz w:val="24"/>
          <w:rtl/>
        </w:rPr>
        <w:t xml:space="preserve"> </w:t>
      </w:r>
      <w:r w:rsidRPr="00B97E44">
        <w:rPr>
          <w:rFonts w:ascii="David" w:hAnsi="David"/>
          <w:sz w:val="24"/>
          <w:rtl/>
        </w:rPr>
        <w:t xml:space="preserve">ועל רקע </w:t>
      </w:r>
      <w:r w:rsidRPr="00B97E44">
        <w:rPr>
          <w:rFonts w:ascii="David" w:hAnsi="David" w:hint="cs"/>
          <w:sz w:val="24"/>
          <w:rtl/>
        </w:rPr>
        <w:t xml:space="preserve">מתקפת הטרור </w:t>
      </w:r>
      <w:r w:rsidRPr="00B97E44">
        <w:rPr>
          <w:rFonts w:ascii="David" w:hAnsi="David"/>
          <w:sz w:val="24"/>
          <w:rtl/>
        </w:rPr>
        <w:t>יש לדון בה ברגישות ובצורה</w:t>
      </w:r>
      <w:r w:rsidRPr="00B97E44">
        <w:rPr>
          <w:rFonts w:ascii="David" w:hAnsi="David" w:hint="cs"/>
          <w:sz w:val="24"/>
          <w:rtl/>
        </w:rPr>
        <w:t xml:space="preserve"> </w:t>
      </w:r>
      <w:r w:rsidRPr="00B97E44">
        <w:rPr>
          <w:rFonts w:ascii="David" w:hAnsi="David"/>
          <w:sz w:val="24"/>
          <w:rtl/>
        </w:rPr>
        <w:t xml:space="preserve">מערכתית, בהובלה של משרד </w:t>
      </w:r>
      <w:r w:rsidRPr="00B97E44">
        <w:rPr>
          <w:rFonts w:ascii="David" w:hAnsi="David" w:hint="cs"/>
          <w:sz w:val="24"/>
          <w:rtl/>
        </w:rPr>
        <w:t xml:space="preserve">ראש הממשלה, כפי שעלה ממכתבו של ראש </w:t>
      </w:r>
      <w:r w:rsidRPr="00B97E44">
        <w:rPr>
          <w:rFonts w:ascii="David" w:hAnsi="David" w:hint="cs"/>
          <w:sz w:val="24"/>
          <w:rtl/>
        </w:rPr>
        <w:t>המינהלת</w:t>
      </w:r>
      <w:r w:rsidRPr="00B97E44">
        <w:rPr>
          <w:rFonts w:ascii="David" w:hAnsi="David" w:hint="cs"/>
          <w:sz w:val="24"/>
          <w:rtl/>
        </w:rPr>
        <w:t xml:space="preserve"> אל משרד ראש הממשלה.</w:t>
      </w:r>
    </w:p>
    <w:p w:rsidR="005B126E" w:rsidP="001916A9">
      <w:pPr>
        <w:spacing w:line="269" w:lineRule="auto"/>
        <w:rPr>
          <w:b/>
          <w:bCs/>
          <w:rtl/>
        </w:rPr>
      </w:pPr>
    </w:p>
    <w:p w:rsidR="005B126E" w:rsidP="001916A9">
      <w:pPr>
        <w:spacing w:line="269" w:lineRule="auto"/>
        <w:rPr>
          <w:b/>
          <w:bCs/>
          <w:rtl/>
        </w:rPr>
      </w:pPr>
      <w:r w:rsidRPr="00B97E44">
        <w:rPr>
          <w:rFonts w:hint="eastAsia"/>
          <w:b/>
          <w:bCs/>
          <w:rtl/>
        </w:rPr>
        <w:t>משרד</w:t>
      </w:r>
      <w:r w:rsidRPr="00B97E44">
        <w:rPr>
          <w:b/>
          <w:bCs/>
          <w:rtl/>
        </w:rPr>
        <w:t xml:space="preserve"> מבקר המדינה ממליץ </w:t>
      </w:r>
      <w:r w:rsidRPr="00B97E44">
        <w:rPr>
          <w:rFonts w:hint="eastAsia"/>
          <w:b/>
          <w:bCs/>
          <w:rtl/>
        </w:rPr>
        <w:t>ל</w:t>
      </w:r>
      <w:r w:rsidRPr="00B97E44">
        <w:rPr>
          <w:rFonts w:hint="cs"/>
          <w:b/>
          <w:bCs/>
          <w:rtl/>
        </w:rPr>
        <w:t xml:space="preserve">משרד ראש הממשלה לפעול </w:t>
      </w:r>
      <w:r>
        <w:rPr>
          <w:rFonts w:hint="cs"/>
          <w:b/>
          <w:bCs/>
          <w:rtl/>
        </w:rPr>
        <w:t xml:space="preserve">ללא דיחוי </w:t>
      </w:r>
      <w:r w:rsidRPr="00B97E44">
        <w:rPr>
          <w:rFonts w:hint="cs"/>
          <w:b/>
          <w:bCs/>
          <w:rtl/>
        </w:rPr>
        <w:t xml:space="preserve">לקידום התמיכה בתושבים שאינם </w:t>
      </w:r>
      <w:r>
        <w:rPr>
          <w:rFonts w:hint="cs"/>
          <w:b/>
          <w:bCs/>
          <w:rtl/>
        </w:rPr>
        <w:t>מעוניינים</w:t>
      </w:r>
      <w:r w:rsidRPr="00B97E44">
        <w:rPr>
          <w:rFonts w:hint="cs"/>
          <w:b/>
          <w:bCs/>
          <w:rtl/>
        </w:rPr>
        <w:t xml:space="preserve"> לשוב לבית</w:t>
      </w:r>
      <w:r w:rsidR="007E1C6B">
        <w:rPr>
          <w:rFonts w:hint="cs"/>
          <w:b/>
          <w:bCs/>
          <w:rtl/>
        </w:rPr>
        <w:t>ם</w:t>
      </w:r>
      <w:r w:rsidRPr="00B97E44">
        <w:rPr>
          <w:rFonts w:hint="cs"/>
          <w:b/>
          <w:bCs/>
          <w:rtl/>
        </w:rPr>
        <w:t>. ברי כי יש לבחון את דרכי הפעולה באופן מושכל בשיתוף כל הגורמים הרל</w:t>
      </w:r>
      <w:r w:rsidRPr="00B97E44">
        <w:rPr>
          <w:rFonts w:hint="eastAsia"/>
          <w:b/>
          <w:bCs/>
          <w:rtl/>
        </w:rPr>
        <w:t>וו</w:t>
      </w:r>
      <w:r w:rsidRPr="00B97E44">
        <w:rPr>
          <w:rFonts w:hint="cs"/>
          <w:b/>
          <w:bCs/>
          <w:rtl/>
        </w:rPr>
        <w:t xml:space="preserve">נטיים נוכח המורכבות וההשפעות הנלוות כמו גם הרצון לעודד את חזרתם של התושבים לחבל התקומה. </w:t>
      </w:r>
    </w:p>
    <w:p w:rsidR="00CC39C2" w:rsidP="001916A9">
      <w:pPr>
        <w:spacing w:line="269" w:lineRule="auto"/>
        <w:rPr>
          <w:b/>
          <w:bCs/>
          <w:rtl/>
        </w:rPr>
      </w:pPr>
    </w:p>
    <w:p w:rsidR="00CC39C2" w:rsidRPr="00421028" w:rsidP="00CC39C2">
      <w:pPr>
        <w:spacing w:line="269" w:lineRule="auto"/>
        <w:rPr>
          <w:rtl/>
        </w:rPr>
      </w:pPr>
      <w:r w:rsidRPr="00421028">
        <w:rPr>
          <w:rFonts w:hint="cs"/>
          <w:rtl/>
        </w:rPr>
        <w:t>משרד ראש הממשלה מסר בתשובתו למשרד מבקר המדינה מ</w:t>
      </w:r>
      <w:r>
        <w:rPr>
          <w:rFonts w:hint="cs"/>
          <w:rtl/>
        </w:rPr>
        <w:t>פברואר 2026 כי הוא פועל לקדם מתווה עבור חברי היישובים שאינם מסוגלים לשוב לבתיהם, שי</w:t>
      </w:r>
      <w:r w:rsidR="009A30BE">
        <w:rPr>
          <w:rFonts w:hint="cs"/>
          <w:rtl/>
        </w:rPr>
        <w:t>י</w:t>
      </w:r>
      <w:r>
        <w:rPr>
          <w:rFonts w:hint="cs"/>
          <w:rtl/>
        </w:rPr>
        <w:t xml:space="preserve">קבע </w:t>
      </w:r>
      <w:r w:rsidRPr="00CC39C2">
        <w:rPr>
          <w:rtl/>
        </w:rPr>
        <w:t>ברגישות ותוך שיתוף פעולה עם כלל הגורמים הרלוונטיים</w:t>
      </w:r>
      <w:r>
        <w:rPr>
          <w:rFonts w:hint="cs"/>
          <w:rtl/>
        </w:rPr>
        <w:t xml:space="preserve"> במטרה להציע סל פתרונות אפשריים.</w:t>
      </w:r>
    </w:p>
    <w:p w:rsidR="005B126E" w:rsidRPr="00B97E44" w:rsidP="001916A9">
      <w:pPr>
        <w:spacing w:line="269" w:lineRule="auto"/>
        <w:rPr>
          <w:b/>
          <w:bCs/>
          <w:rtl/>
        </w:rPr>
      </w:pPr>
    </w:p>
    <w:bookmarkEnd w:id="26"/>
    <w:bookmarkEnd w:id="45"/>
    <w:p w:rsidR="005B126E" w:rsidRPr="00B97E44" w:rsidP="003474AA">
      <w:pPr>
        <w:pStyle w:val="Heading4"/>
        <w:rPr>
          <w:rtl/>
        </w:rPr>
      </w:pPr>
      <w:r w:rsidRPr="00B97E44">
        <w:rPr>
          <w:rFonts w:hint="cs"/>
          <w:rtl/>
        </w:rPr>
        <w:t>חיזוק השלטון המקומי בחבל התקומה</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במדינת </w:t>
      </w:r>
      <w:r w:rsidRPr="00B97E44">
        <w:rPr>
          <w:rtl/>
        </w:rPr>
        <w:t>ישראל</w:t>
      </w:r>
      <w:r w:rsidRPr="00B97E44">
        <w:rPr>
          <w:rFonts w:hint="cs"/>
          <w:rtl/>
        </w:rPr>
        <w:t xml:space="preserve"> </w:t>
      </w:r>
      <w:r w:rsidRPr="00B97E44">
        <w:rPr>
          <w:rtl/>
        </w:rPr>
        <w:t>קיימים שני רובדי שלטון</w:t>
      </w:r>
      <w:r w:rsidRPr="00B97E44">
        <w:rPr>
          <w:rFonts w:hint="cs"/>
          <w:rtl/>
        </w:rPr>
        <w:t xml:space="preserve"> </w:t>
      </w:r>
      <w:r w:rsidRPr="00B97E44">
        <w:t>-</w:t>
      </w:r>
      <w:r w:rsidRPr="00B97E44">
        <w:rPr>
          <w:rtl/>
        </w:rPr>
        <w:t xml:space="preserve"> מרכזי ומקומי</w:t>
      </w:r>
      <w:r w:rsidRPr="00B97E44">
        <w:rPr>
          <w:rFonts w:hint="cs"/>
          <w:rtl/>
        </w:rPr>
        <w:t>.</w:t>
      </w:r>
      <w:r w:rsidRPr="00B97E44">
        <w:rPr>
          <w:rtl/>
        </w:rPr>
        <w:t xml:space="preserve"> </w:t>
      </w:r>
      <w:r w:rsidRPr="00B97E44">
        <w:rPr>
          <w:rFonts w:hint="cs"/>
          <w:rtl/>
        </w:rPr>
        <w:t xml:space="preserve">הרשויות המקומיות בישראל </w:t>
      </w:r>
      <w:r w:rsidRPr="00B97E44">
        <w:rPr>
          <w:rtl/>
        </w:rPr>
        <w:t>מספקות שירותים</w:t>
      </w:r>
      <w:r w:rsidRPr="00B97E44">
        <w:rPr>
          <w:rFonts w:hint="cs"/>
          <w:rtl/>
        </w:rPr>
        <w:t xml:space="preserve"> במגוון תחומים </w:t>
      </w:r>
      <w:r w:rsidRPr="00B97E44">
        <w:rPr>
          <w:rtl/>
        </w:rPr>
        <w:t>- חינוך, רווחה, בריאות, תברואה, תכנון ובנייה, איכות הסביבה, תחבורה, תרבות ועוד</w:t>
      </w:r>
      <w:r w:rsidRPr="00B97E44">
        <w:rPr>
          <w:rFonts w:hint="cs"/>
          <w:rtl/>
        </w:rPr>
        <w:t>,</w:t>
      </w:r>
      <w:r w:rsidRPr="00B97E44">
        <w:rPr>
          <w:rtl/>
        </w:rPr>
        <w:t xml:space="preserve"> </w:t>
      </w:r>
      <w:r w:rsidRPr="00B97E44">
        <w:rPr>
          <w:rFonts w:hint="cs"/>
          <w:rtl/>
        </w:rPr>
        <w:t>והן אחראיות לאכיפה שלטונית בתחומים שונים מטעם המדינה. השירותים שהרשויות המקומיות מעניקות נחלקים לשני סוגים מרכזיים - שירותים ממלכתיים (בייחוד חינוך ורווחה) ושירותים מקומיים (לדוגמה ניקיון ותכנון).</w:t>
      </w:r>
    </w:p>
    <w:p w:rsidR="005B126E" w:rsidP="001916A9">
      <w:pPr>
        <w:spacing w:line="269" w:lineRule="auto"/>
        <w:rPr>
          <w:rtl/>
        </w:rPr>
      </w:pPr>
    </w:p>
    <w:p w:rsidR="005B126E" w:rsidRPr="00B97E44" w:rsidP="001916A9">
      <w:pPr>
        <w:spacing w:line="269" w:lineRule="auto"/>
        <w:rPr>
          <w:rtl/>
        </w:rPr>
      </w:pPr>
      <w:r w:rsidRPr="00B97E44">
        <w:rPr>
          <w:rFonts w:hint="cs"/>
          <w:rtl/>
        </w:rPr>
        <w:t>ההסכמה הרווחת היא שיחסית</w:t>
      </w:r>
      <w:r w:rsidRPr="00B97E44">
        <w:rPr>
          <w:rtl/>
        </w:rPr>
        <w:t xml:space="preserve"> למדינות</w:t>
      </w:r>
      <w:r w:rsidRPr="00B97E44">
        <w:rPr>
          <w:rFonts w:hint="cs"/>
          <w:rtl/>
        </w:rPr>
        <w:t xml:space="preserve"> מערביות</w:t>
      </w:r>
      <w:r w:rsidRPr="00B97E44">
        <w:rPr>
          <w:rtl/>
        </w:rPr>
        <w:t xml:space="preserve"> אחרות</w:t>
      </w:r>
      <w:r w:rsidRPr="00B97E44">
        <w:rPr>
          <w:rFonts w:hint="cs"/>
          <w:rtl/>
        </w:rPr>
        <w:t>,</w:t>
      </w:r>
      <w:r w:rsidRPr="00B97E44">
        <w:rPr>
          <w:rtl/>
        </w:rPr>
        <w:t xml:space="preserve"> מדינת ישראל היא אחת המדינות הריכוזיות ביותר</w:t>
      </w:r>
      <w:bookmarkStart w:id="46" w:name="_Ref87962387"/>
      <w:r>
        <w:rPr>
          <w:vertAlign w:val="superscript"/>
          <w:rtl/>
        </w:rPr>
        <w:footnoteReference w:id="95"/>
      </w:r>
      <w:bookmarkEnd w:id="46"/>
      <w:r w:rsidRPr="00B97E44">
        <w:rPr>
          <w:rFonts w:hint="cs"/>
          <w:rtl/>
        </w:rPr>
        <w:t>, אף שהשלטון המקומי אוצר מידע רב על התושבים והעדפותיהם ויש לו היכרות טובה עם הקהילה והמרחב ולכן הוא מסוגל לספק היטב את המוצרים הציבוריים המקומיים. הצורך להעצים את כוחו של השלטון המקומי התחדד בשנים האחרונות על רקע חוסר יציבות ממושך בשלטון המרכזי בעוד השלטון המקומי מתאפיין ביציבות. משבר הקורונה חשף את הפוטנציאל הגלום בשלטון המקומי במלוא עוצמתו</w:t>
      </w:r>
      <w:r>
        <w:rPr>
          <w:vertAlign w:val="superscript"/>
          <w:rtl/>
        </w:rPr>
        <w:footnoteReference w:id="96"/>
      </w:r>
      <w:r w:rsidRPr="00B97E44">
        <w:rPr>
          <w:rFonts w:hint="cs"/>
          <w:rtl/>
        </w:rPr>
        <w:t xml:space="preserve">. </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גם בסקר שערכה </w:t>
      </w:r>
      <w:r w:rsidRPr="00B97E44">
        <w:rPr>
          <w:rFonts w:hint="cs"/>
          <w:rtl/>
        </w:rPr>
        <w:t>הלמ"ס</w:t>
      </w:r>
      <w:r w:rsidRPr="00B97E44">
        <w:rPr>
          <w:rFonts w:hint="cs"/>
          <w:rtl/>
        </w:rPr>
        <w:t xml:space="preserve"> </w:t>
      </w:r>
      <w:r w:rsidRPr="00B97E44">
        <w:rPr>
          <w:rFonts w:hint="cs"/>
          <w:rtl/>
        </w:rPr>
        <w:t>למינהלת</w:t>
      </w:r>
      <w:r w:rsidRPr="00B97E44">
        <w:rPr>
          <w:rFonts w:hint="cs"/>
          <w:rtl/>
        </w:rPr>
        <w:t xml:space="preserve"> תקומה ומשרד ראש הממשלה בחודשים ינואר - פברואר 2025 בקרב 3,900 נשאלים מקרב תושבי חבל התקומה עלה כי 70% מהנשאלים נותנים אמון ברשות המקומית במידה רבה או במידה מסוימת לעומת 35% שהשיבו כי הם נותנים מידת אמון דומה בממשלה</w:t>
      </w:r>
      <w:r>
        <w:rPr>
          <w:vertAlign w:val="superscript"/>
          <w:rtl/>
        </w:rPr>
        <w:footnoteReference w:id="97"/>
      </w:r>
      <w:r w:rsidRPr="00B97E44">
        <w:rPr>
          <w:rFonts w:hint="cs"/>
          <w:rtl/>
        </w:rPr>
        <w:t>. סקר נוסף שערכה תנועת עתיד לעוטף במרץ 2025 בקרב 2,889 מתושבי חבל התקומה העלה כי 58.7% מקרב הנשאלים השיבו כי הם סומכים מאוד או במידה בינונית על הרשות המקומית בעוד 23.2% מקרב הנשאלים סומכים במידה דומה על ממשלת ישראל</w:t>
      </w:r>
      <w:r>
        <w:rPr>
          <w:vertAlign w:val="superscript"/>
          <w:rtl/>
        </w:rPr>
        <w:footnoteReference w:id="98"/>
      </w:r>
      <w:r w:rsidRPr="00B97E44">
        <w:rPr>
          <w:rFonts w:hint="cs"/>
          <w:rtl/>
        </w:rPr>
        <w:t xml:space="preserve">. </w:t>
      </w:r>
    </w:p>
    <w:p w:rsidR="005B126E" w:rsidP="001916A9">
      <w:pPr>
        <w:spacing w:line="269" w:lineRule="auto"/>
        <w:rPr>
          <w:rFonts w:ascii="David" w:hAnsi="David" w:hint="cs"/>
          <w:rtl/>
        </w:rPr>
      </w:pPr>
    </w:p>
    <w:p w:rsidR="005B126E" w:rsidRPr="00B97E44" w:rsidP="001916A9">
      <w:pPr>
        <w:spacing w:line="269" w:lineRule="auto"/>
        <w:rPr>
          <w:rFonts w:ascii="David" w:hAnsi="David"/>
          <w:rtl/>
        </w:rPr>
      </w:pPr>
      <w:r w:rsidRPr="00B97E44">
        <w:rPr>
          <w:rFonts w:ascii="David" w:hAnsi="David" w:hint="cs"/>
          <w:rtl/>
        </w:rPr>
        <w:t>הדברים מקבלים משנה תוקף בכל הנוגע לשיקום לאחר אסונות. המדיניות הבין-לאומית הנוגעת להפחתת סיכונים מאירועי אסון שנדונה במסגרת ועידת האו"ם השלישית בנושא מ-2015 ובאה לידי ביטוי ב-</w:t>
      </w:r>
      <w:r w:rsidRPr="00B97E44">
        <w:rPr>
          <w:bCs/>
        </w:rPr>
        <w:t>Sendai Framework for Disaster Risk Reduction (2015 - 2030)</w:t>
      </w:r>
      <w:r w:rsidRPr="00B97E44">
        <w:rPr>
          <w:rFonts w:ascii="David" w:hAnsi="David"/>
          <w:b/>
          <w:bCs/>
          <w:rtl/>
        </w:rPr>
        <w:t>,</w:t>
      </w:r>
      <w:r w:rsidRPr="00B97E44">
        <w:rPr>
          <w:rFonts w:ascii="David" w:hAnsi="David" w:hint="cs"/>
          <w:rtl/>
        </w:rPr>
        <w:t xml:space="preserve"> קובעת כי יש להעצים את הרשויות המקומיות ולהעביר אליהן סמכויות ומשאבים</w:t>
      </w:r>
      <w:r>
        <w:rPr>
          <w:rFonts w:ascii="David" w:hAnsi="David"/>
          <w:vertAlign w:val="superscript"/>
          <w:rtl/>
        </w:rPr>
        <w:footnoteReference w:id="99"/>
      </w:r>
      <w:r w:rsidRPr="00B97E44">
        <w:rPr>
          <w:rFonts w:ascii="David" w:hAnsi="David" w:hint="cs"/>
          <w:rtl/>
        </w:rPr>
        <w:t xml:space="preserve"> כדי להפחית סיכון לאירועי אסון עתידיים הן ברמה המקומית והן ברמה הלאומית.</w:t>
      </w:r>
    </w:p>
    <w:p w:rsidR="005B126E" w:rsidP="001916A9">
      <w:pPr>
        <w:spacing w:line="269" w:lineRule="auto"/>
        <w:rPr>
          <w:rFonts w:ascii="David" w:hAnsi="David"/>
          <w:rtl/>
        </w:rPr>
      </w:pPr>
    </w:p>
    <w:p w:rsidR="005B126E" w:rsidRPr="00B97E44" w:rsidP="001916A9">
      <w:pPr>
        <w:spacing w:line="269" w:lineRule="auto"/>
        <w:rPr>
          <w:rFonts w:ascii="David" w:hAnsi="David"/>
          <w:rtl/>
        </w:rPr>
      </w:pPr>
      <w:r w:rsidRPr="00B97E44">
        <w:rPr>
          <w:rFonts w:ascii="David" w:hAnsi="David" w:hint="cs"/>
          <w:rtl/>
        </w:rPr>
        <w:t>גם במסמך עקרונות ל"בנייה מחדש טוב יותר" (</w:t>
      </w:r>
      <w:r w:rsidRPr="00B97E44">
        <w:rPr>
          <w:rFonts w:ascii="David" w:hAnsi="David"/>
        </w:rPr>
        <w:t>Build Back Better</w:t>
      </w:r>
      <w:r w:rsidRPr="00B97E44">
        <w:rPr>
          <w:rFonts w:ascii="David" w:hAnsi="David" w:hint="cs"/>
          <w:rtl/>
        </w:rPr>
        <w:t>) שהתווה השליח המיוחד של מזכ"ל האו"ם לשיקום לאחר הצונאמי באוקיינוס ההודי, אחד העקרונות המובילים בשיקום הוא העצמת הרשויות המקומיות</w:t>
      </w:r>
      <w:r>
        <w:rPr>
          <w:rFonts w:ascii="David" w:hAnsi="David"/>
          <w:vertAlign w:val="superscript"/>
          <w:rtl/>
        </w:rPr>
        <w:footnoteReference w:id="100"/>
      </w:r>
      <w:r w:rsidRPr="00B97E44">
        <w:rPr>
          <w:rFonts w:ascii="David" w:hAnsi="David" w:hint="cs"/>
          <w:rtl/>
        </w:rPr>
        <w:t xml:space="preserve"> בנימוק שהן מכירות את הצרכים הייחודים של הקהילות שלהן ויכולות להבטיח שהסיוע יגיע למי שזקוק לו. מהמסמך עולה כי יש לספק סמכויות, תקציבים והכשרות לרשויות המקומיות כבר משלב התכנון כדי שהן יוכלו לנהל את הליך השיקום בעצמן ולא להיות תלויות בשלטון המרכזי.</w:t>
      </w:r>
    </w:p>
    <w:p w:rsidR="005B126E" w:rsidP="001916A9">
      <w:pPr>
        <w:spacing w:line="269" w:lineRule="auto"/>
        <w:rPr>
          <w:rtl/>
        </w:rPr>
      </w:pPr>
    </w:p>
    <w:p w:rsidR="005B126E" w:rsidRPr="00B97E44" w:rsidP="001916A9">
      <w:pPr>
        <w:spacing w:line="269" w:lineRule="auto"/>
        <w:rPr>
          <w:rtl/>
        </w:rPr>
      </w:pPr>
      <w:r w:rsidRPr="00B97E44">
        <w:rPr>
          <w:rFonts w:hint="cs"/>
          <w:rtl/>
        </w:rPr>
        <w:t>הרשויות המקומיות בחבל התקומה מתמודדות עם אתגרים רבים, המרכזי שבהם הוא מיקומן באזור עימות; עימות שהתחזק מאוד מאז שנת 2003 והגיע לשיאו במתקפת הטרור בשבעה באוקטובר. אתגרים נוספים נוגעים לעובדה כי מדובר באזור פריפריאלי המרוחק מ</w:t>
      </w:r>
      <w:r w:rsidRPr="00B97E44">
        <w:rPr>
          <w:rtl/>
        </w:rPr>
        <w:t>מרכזי אוכלוסייה ומפעילות כלכלית</w:t>
      </w:r>
      <w:r w:rsidRPr="00B97E44">
        <w:rPr>
          <w:rFonts w:hint="cs"/>
          <w:rtl/>
        </w:rPr>
        <w:t>.</w:t>
      </w:r>
      <w:r w:rsidRPr="00B97E44">
        <w:rPr>
          <w:rtl/>
        </w:rPr>
        <w:t xml:space="preserve"> </w:t>
      </w:r>
      <w:r w:rsidRPr="00B97E44">
        <w:rPr>
          <w:rFonts w:hint="cs"/>
          <w:rtl/>
        </w:rPr>
        <w:t>ביחס לאזורים אחרים, ה</w:t>
      </w:r>
      <w:r w:rsidRPr="00B97E44">
        <w:rPr>
          <w:rtl/>
        </w:rPr>
        <w:t xml:space="preserve">מתגוררים בו </w:t>
      </w:r>
      <w:r w:rsidRPr="00B97E44">
        <w:rPr>
          <w:rFonts w:hint="cs"/>
          <w:rtl/>
        </w:rPr>
        <w:t>זוכים למגוון שירותים דל יותר, בעלות גבוהה יותר</w:t>
      </w:r>
      <w:r w:rsidRPr="00B97E44">
        <w:rPr>
          <w:rtl/>
        </w:rPr>
        <w:t xml:space="preserve"> </w:t>
      </w:r>
      <w:r w:rsidRPr="00B97E44">
        <w:rPr>
          <w:rFonts w:hint="cs"/>
          <w:rtl/>
        </w:rPr>
        <w:t>ול</w:t>
      </w:r>
      <w:r w:rsidRPr="00B97E44">
        <w:rPr>
          <w:rtl/>
        </w:rPr>
        <w:t>הזדמנויות מצומצמות יותר</w:t>
      </w:r>
      <w:r w:rsidRPr="00B97E44">
        <w:rPr>
          <w:rFonts w:hint="cs"/>
          <w:rtl/>
        </w:rPr>
        <w:t xml:space="preserve"> בתחומים שונים כגון תעסוקה, בריאות, חינוך ותרבות. העובדה כי ארבע מחמש הרשויות המקומיות בחבל הן מועצות אזוריות מציבה גם היא אתגרים ייחודיים כפי שיוצג להלן.</w:t>
      </w:r>
    </w:p>
    <w:p w:rsidR="005B126E" w:rsidP="001916A9">
      <w:pPr>
        <w:spacing w:line="269" w:lineRule="auto"/>
        <w:rPr>
          <w:rFonts w:ascii="David" w:hAnsi="David"/>
          <w:rtl/>
        </w:rPr>
      </w:pPr>
    </w:p>
    <w:p w:rsidR="005B126E" w:rsidRPr="00B97E44" w:rsidP="001916A9">
      <w:pPr>
        <w:spacing w:line="269" w:lineRule="auto"/>
        <w:rPr>
          <w:rFonts w:ascii="David" w:hAnsi="David"/>
          <w:rtl/>
        </w:rPr>
      </w:pPr>
      <w:r w:rsidRPr="00B97E44">
        <w:rPr>
          <w:rFonts w:ascii="David" w:hAnsi="David" w:hint="cs"/>
          <w:rtl/>
        </w:rPr>
        <w:t>פרק "חיזוק ופיתוח הרשויות המקומיות" בתוכנית החומש שגובש בהובלת משרד הפנים ביקש לעסוק</w:t>
      </w:r>
      <w:r w:rsidRPr="00B97E44">
        <w:rPr>
          <w:rFonts w:ascii="David" w:hAnsi="David"/>
          <w:rtl/>
        </w:rPr>
        <w:t xml:space="preserve"> </w:t>
      </w:r>
      <w:r w:rsidRPr="00B97E44">
        <w:rPr>
          <w:rFonts w:ascii="David" w:hAnsi="David" w:hint="eastAsia"/>
          <w:rtl/>
        </w:rPr>
        <w:t>ביצירת</w:t>
      </w:r>
      <w:r w:rsidRPr="00B97E44">
        <w:rPr>
          <w:rFonts w:ascii="David" w:hAnsi="David"/>
          <w:rtl/>
        </w:rPr>
        <w:t xml:space="preserve"> </w:t>
      </w:r>
      <w:r w:rsidRPr="00B97E44">
        <w:rPr>
          <w:rFonts w:ascii="David" w:hAnsi="David" w:hint="eastAsia"/>
          <w:rtl/>
        </w:rPr>
        <w:t>תשתיות</w:t>
      </w:r>
      <w:r w:rsidRPr="00B97E44">
        <w:rPr>
          <w:rFonts w:ascii="David" w:hAnsi="David"/>
          <w:rtl/>
        </w:rPr>
        <w:t xml:space="preserve"> </w:t>
      </w:r>
      <w:r w:rsidRPr="00B97E44">
        <w:rPr>
          <w:rFonts w:ascii="David" w:hAnsi="David" w:hint="eastAsia"/>
          <w:rtl/>
        </w:rPr>
        <w:t>ארגוניות</w:t>
      </w:r>
      <w:r w:rsidRPr="00B97E44">
        <w:rPr>
          <w:rFonts w:ascii="David" w:hAnsi="David"/>
          <w:rtl/>
        </w:rPr>
        <w:t xml:space="preserve"> </w:t>
      </w:r>
      <w:r w:rsidRPr="00B97E44">
        <w:rPr>
          <w:rFonts w:ascii="David" w:hAnsi="David" w:hint="eastAsia"/>
          <w:rtl/>
        </w:rPr>
        <w:t>בנות</w:t>
      </w:r>
      <w:r w:rsidRPr="00B97E44">
        <w:rPr>
          <w:rFonts w:ascii="David" w:hAnsi="David" w:hint="cs"/>
          <w:rtl/>
        </w:rPr>
        <w:t xml:space="preserve"> </w:t>
      </w:r>
      <w:r w:rsidRPr="00B97E44">
        <w:rPr>
          <w:rFonts w:ascii="David" w:hAnsi="David" w:hint="eastAsia"/>
          <w:rtl/>
        </w:rPr>
        <w:t>קיימ</w:t>
      </w:r>
      <w:r w:rsidR="00DA6AD6">
        <w:rPr>
          <w:rFonts w:ascii="David" w:hAnsi="David" w:hint="cs"/>
          <w:rtl/>
        </w:rPr>
        <w:t>ה</w:t>
      </w:r>
      <w:r w:rsidRPr="00B97E44">
        <w:rPr>
          <w:rFonts w:ascii="David" w:hAnsi="David"/>
          <w:rtl/>
        </w:rPr>
        <w:t xml:space="preserve"> </w:t>
      </w:r>
      <w:r w:rsidRPr="00B97E44">
        <w:rPr>
          <w:rFonts w:ascii="David" w:hAnsi="David" w:hint="eastAsia"/>
          <w:rtl/>
        </w:rPr>
        <w:t>הנשענות</w:t>
      </w:r>
      <w:r w:rsidRPr="00B97E44">
        <w:rPr>
          <w:rFonts w:ascii="David" w:hAnsi="David"/>
          <w:rtl/>
        </w:rPr>
        <w:t xml:space="preserve"> </w:t>
      </w:r>
      <w:r w:rsidRPr="00B97E44">
        <w:rPr>
          <w:rFonts w:ascii="David" w:hAnsi="David" w:hint="eastAsia"/>
          <w:rtl/>
        </w:rPr>
        <w:t>על</w:t>
      </w:r>
      <w:r w:rsidRPr="00B97E44">
        <w:rPr>
          <w:rFonts w:ascii="David" w:hAnsi="David"/>
          <w:rtl/>
        </w:rPr>
        <w:t xml:space="preserve"> </w:t>
      </w:r>
      <w:r w:rsidRPr="00B97E44">
        <w:rPr>
          <w:rFonts w:ascii="David" w:hAnsi="David" w:hint="eastAsia"/>
          <w:rtl/>
        </w:rPr>
        <w:t>שלטון</w:t>
      </w:r>
      <w:r w:rsidRPr="00B97E44">
        <w:rPr>
          <w:rFonts w:ascii="David" w:hAnsi="David"/>
          <w:rtl/>
        </w:rPr>
        <w:t xml:space="preserve"> </w:t>
      </w:r>
      <w:r w:rsidRPr="00B97E44">
        <w:rPr>
          <w:rFonts w:ascii="David" w:hAnsi="David" w:hint="eastAsia"/>
          <w:rtl/>
        </w:rPr>
        <w:t>מקומי</w:t>
      </w:r>
      <w:r w:rsidRPr="00B97E44">
        <w:rPr>
          <w:rFonts w:ascii="David" w:hAnsi="David"/>
          <w:rtl/>
        </w:rPr>
        <w:t xml:space="preserve"> </w:t>
      </w:r>
      <w:r w:rsidRPr="00B97E44">
        <w:rPr>
          <w:rFonts w:ascii="David" w:hAnsi="David" w:hint="eastAsia"/>
          <w:rtl/>
        </w:rPr>
        <w:t>יציב</w:t>
      </w:r>
      <w:r w:rsidRPr="00B97E44">
        <w:rPr>
          <w:rFonts w:ascii="David" w:hAnsi="David"/>
          <w:rtl/>
        </w:rPr>
        <w:t xml:space="preserve"> </w:t>
      </w:r>
      <w:r w:rsidRPr="00B97E44">
        <w:rPr>
          <w:rFonts w:ascii="David" w:hAnsi="David" w:hint="cs"/>
          <w:rtl/>
        </w:rPr>
        <w:t>בעל</w:t>
      </w:r>
      <w:r w:rsidRPr="00B97E44">
        <w:rPr>
          <w:rFonts w:ascii="David" w:hAnsi="David"/>
          <w:rtl/>
        </w:rPr>
        <w:t xml:space="preserve"> </w:t>
      </w:r>
      <w:r w:rsidRPr="00B97E44">
        <w:rPr>
          <w:rFonts w:ascii="David" w:hAnsi="David" w:hint="eastAsia"/>
          <w:rtl/>
        </w:rPr>
        <w:t>מנגנוני</w:t>
      </w:r>
      <w:r w:rsidRPr="00B97E44">
        <w:rPr>
          <w:rFonts w:ascii="David" w:hAnsi="David"/>
          <w:rtl/>
        </w:rPr>
        <w:t xml:space="preserve"> </w:t>
      </w:r>
      <w:r w:rsidRPr="00B97E44">
        <w:rPr>
          <w:rFonts w:ascii="David" w:hAnsi="David" w:hint="eastAsia"/>
          <w:rtl/>
        </w:rPr>
        <w:t>עבודה</w:t>
      </w:r>
      <w:r w:rsidRPr="00B97E44">
        <w:rPr>
          <w:rFonts w:ascii="David" w:hAnsi="David" w:hint="cs"/>
          <w:rtl/>
        </w:rPr>
        <w:t xml:space="preserve"> </w:t>
      </w:r>
      <w:r w:rsidRPr="00B97E44">
        <w:rPr>
          <w:rFonts w:ascii="David" w:hAnsi="David" w:hint="eastAsia"/>
          <w:rtl/>
        </w:rPr>
        <w:t>ומערכות</w:t>
      </w:r>
      <w:r w:rsidRPr="00B97E44">
        <w:rPr>
          <w:rFonts w:ascii="David" w:hAnsi="David"/>
          <w:rtl/>
        </w:rPr>
        <w:t xml:space="preserve"> </w:t>
      </w:r>
      <w:r w:rsidRPr="00B97E44">
        <w:rPr>
          <w:rFonts w:ascii="David" w:hAnsi="David" w:hint="eastAsia"/>
          <w:rtl/>
        </w:rPr>
        <w:t>חזקות</w:t>
      </w:r>
      <w:r w:rsidRPr="00B97E44">
        <w:rPr>
          <w:rFonts w:ascii="David" w:hAnsi="David"/>
          <w:rtl/>
        </w:rPr>
        <w:t xml:space="preserve"> </w:t>
      </w:r>
      <w:r w:rsidRPr="00B97E44">
        <w:rPr>
          <w:rFonts w:ascii="David" w:hAnsi="David" w:hint="eastAsia"/>
          <w:rtl/>
        </w:rPr>
        <w:t>הנותנות</w:t>
      </w:r>
      <w:r w:rsidRPr="00B97E44">
        <w:rPr>
          <w:rFonts w:ascii="David" w:hAnsi="David"/>
          <w:rtl/>
        </w:rPr>
        <w:t xml:space="preserve"> </w:t>
      </w:r>
      <w:r w:rsidRPr="00B97E44">
        <w:rPr>
          <w:rFonts w:ascii="David" w:hAnsi="David" w:hint="eastAsia"/>
          <w:rtl/>
        </w:rPr>
        <w:t>לבעלי</w:t>
      </w:r>
      <w:r w:rsidRPr="00B97E44">
        <w:rPr>
          <w:rFonts w:ascii="David" w:hAnsi="David"/>
          <w:rtl/>
        </w:rPr>
        <w:t xml:space="preserve"> </w:t>
      </w:r>
      <w:r w:rsidRPr="00B97E44">
        <w:rPr>
          <w:rFonts w:ascii="David" w:hAnsi="David" w:hint="eastAsia"/>
          <w:rtl/>
        </w:rPr>
        <w:t>התפקידים</w:t>
      </w:r>
      <w:r w:rsidRPr="00B97E44">
        <w:rPr>
          <w:rFonts w:ascii="David" w:hAnsi="David"/>
          <w:rtl/>
        </w:rPr>
        <w:t xml:space="preserve"> </w:t>
      </w:r>
      <w:r w:rsidRPr="00B97E44">
        <w:rPr>
          <w:rFonts w:ascii="David" w:hAnsi="David" w:hint="eastAsia"/>
          <w:rtl/>
        </w:rPr>
        <w:t>השונים</w:t>
      </w:r>
      <w:r w:rsidRPr="00B97E44">
        <w:rPr>
          <w:rFonts w:ascii="David" w:hAnsi="David"/>
          <w:rtl/>
        </w:rPr>
        <w:t xml:space="preserve"> </w:t>
      </w:r>
      <w:r w:rsidRPr="00B97E44">
        <w:rPr>
          <w:rFonts w:ascii="David" w:hAnsi="David" w:hint="eastAsia"/>
          <w:rtl/>
        </w:rPr>
        <w:t>כלים</w:t>
      </w:r>
      <w:r w:rsidRPr="00B97E44">
        <w:rPr>
          <w:rFonts w:ascii="David" w:hAnsi="David"/>
          <w:rtl/>
        </w:rPr>
        <w:t xml:space="preserve"> </w:t>
      </w:r>
      <w:r w:rsidRPr="00B97E44">
        <w:rPr>
          <w:rFonts w:ascii="David" w:hAnsi="David" w:hint="eastAsia"/>
          <w:rtl/>
        </w:rPr>
        <w:t>ומיומנויות</w:t>
      </w:r>
      <w:r w:rsidRPr="00B97E44">
        <w:rPr>
          <w:rFonts w:ascii="David" w:hAnsi="David"/>
          <w:rtl/>
        </w:rPr>
        <w:t xml:space="preserve"> </w:t>
      </w:r>
      <w:r w:rsidRPr="00B97E44">
        <w:rPr>
          <w:rFonts w:ascii="David" w:hAnsi="David" w:hint="eastAsia"/>
          <w:rtl/>
        </w:rPr>
        <w:t>כדי</w:t>
      </w:r>
      <w:r w:rsidRPr="00B97E44">
        <w:rPr>
          <w:rFonts w:ascii="David" w:hAnsi="David"/>
          <w:rtl/>
        </w:rPr>
        <w:t xml:space="preserve"> </w:t>
      </w:r>
      <w:r w:rsidRPr="00B97E44">
        <w:rPr>
          <w:rFonts w:ascii="David" w:hAnsi="David" w:hint="eastAsia"/>
          <w:rtl/>
        </w:rPr>
        <w:t>להתמודד</w:t>
      </w:r>
      <w:r w:rsidRPr="00B97E44">
        <w:rPr>
          <w:rFonts w:ascii="David" w:hAnsi="David"/>
          <w:rtl/>
        </w:rPr>
        <w:t xml:space="preserve"> </w:t>
      </w:r>
      <w:r w:rsidRPr="00B97E44">
        <w:rPr>
          <w:rFonts w:ascii="David" w:hAnsi="David" w:hint="eastAsia"/>
          <w:rtl/>
        </w:rPr>
        <w:t>עם</w:t>
      </w:r>
      <w:r w:rsidRPr="00B97E44">
        <w:rPr>
          <w:rFonts w:ascii="David" w:hAnsi="David"/>
          <w:rtl/>
        </w:rPr>
        <w:t xml:space="preserve"> </w:t>
      </w:r>
      <w:r w:rsidRPr="00B97E44">
        <w:rPr>
          <w:rFonts w:ascii="David" w:hAnsi="David" w:hint="eastAsia"/>
          <w:rtl/>
        </w:rPr>
        <w:t>עומס</w:t>
      </w:r>
      <w:r w:rsidRPr="00B97E44">
        <w:rPr>
          <w:rFonts w:ascii="David" w:hAnsi="David"/>
          <w:rtl/>
        </w:rPr>
        <w:t xml:space="preserve"> </w:t>
      </w:r>
      <w:r w:rsidRPr="00B97E44">
        <w:rPr>
          <w:rFonts w:ascii="David" w:hAnsi="David" w:hint="eastAsia"/>
          <w:rtl/>
        </w:rPr>
        <w:t>המשימות</w:t>
      </w:r>
      <w:r w:rsidRPr="00B97E44">
        <w:rPr>
          <w:rFonts w:ascii="David" w:hAnsi="David" w:hint="cs"/>
          <w:rtl/>
        </w:rPr>
        <w:t xml:space="preserve"> </w:t>
      </w:r>
      <w:r w:rsidRPr="00B97E44">
        <w:rPr>
          <w:rFonts w:ascii="David" w:hAnsi="David" w:hint="eastAsia"/>
          <w:rtl/>
        </w:rPr>
        <w:t>הצפוי</w:t>
      </w:r>
      <w:r w:rsidRPr="00B97E44">
        <w:rPr>
          <w:rFonts w:ascii="David" w:hAnsi="David"/>
          <w:rtl/>
        </w:rPr>
        <w:t xml:space="preserve"> </w:t>
      </w:r>
      <w:r w:rsidRPr="00B97E44">
        <w:rPr>
          <w:rFonts w:ascii="David" w:hAnsi="David" w:hint="eastAsia"/>
          <w:rtl/>
        </w:rPr>
        <w:t>בשלב</w:t>
      </w:r>
      <w:r w:rsidRPr="00B97E44">
        <w:rPr>
          <w:rFonts w:ascii="David" w:hAnsi="David"/>
          <w:rtl/>
        </w:rPr>
        <w:t xml:space="preserve"> </w:t>
      </w:r>
      <w:r w:rsidRPr="00B97E44">
        <w:rPr>
          <w:rFonts w:ascii="David" w:hAnsi="David" w:hint="eastAsia"/>
          <w:rtl/>
        </w:rPr>
        <w:t>השיקום</w:t>
      </w:r>
      <w:r w:rsidRPr="00B97E44">
        <w:rPr>
          <w:rFonts w:ascii="David" w:hAnsi="David"/>
          <w:rtl/>
        </w:rPr>
        <w:t xml:space="preserve"> </w:t>
      </w:r>
      <w:r w:rsidRPr="00B97E44">
        <w:rPr>
          <w:rFonts w:ascii="David" w:hAnsi="David" w:hint="eastAsia"/>
          <w:rtl/>
        </w:rPr>
        <w:t>ולאחריו</w:t>
      </w:r>
      <w:r w:rsidRPr="00B97E44">
        <w:rPr>
          <w:rFonts w:ascii="David" w:hAnsi="David"/>
          <w:rtl/>
        </w:rPr>
        <w:t xml:space="preserve"> - </w:t>
      </w:r>
      <w:r w:rsidRPr="00B97E44">
        <w:rPr>
          <w:rFonts w:ascii="David" w:hAnsi="David" w:hint="eastAsia"/>
          <w:rtl/>
        </w:rPr>
        <w:t>שלב</w:t>
      </w:r>
      <w:r w:rsidRPr="00B97E44">
        <w:rPr>
          <w:rFonts w:ascii="David" w:hAnsi="David"/>
          <w:rtl/>
        </w:rPr>
        <w:t xml:space="preserve"> </w:t>
      </w:r>
      <w:r w:rsidRPr="00B97E44">
        <w:rPr>
          <w:rFonts w:ascii="David" w:hAnsi="David" w:hint="eastAsia"/>
          <w:rtl/>
        </w:rPr>
        <w:t>ההתחדשות</w:t>
      </w:r>
      <w:r w:rsidRPr="00B97E44">
        <w:rPr>
          <w:rFonts w:ascii="David" w:hAnsi="David"/>
          <w:rtl/>
        </w:rPr>
        <w:t xml:space="preserve"> </w:t>
      </w:r>
      <w:r w:rsidRPr="00B97E44">
        <w:rPr>
          <w:rFonts w:ascii="David" w:hAnsi="David" w:hint="eastAsia"/>
          <w:rtl/>
        </w:rPr>
        <w:t>והצמיחה</w:t>
      </w:r>
      <w:r w:rsidRPr="00B97E44">
        <w:rPr>
          <w:rFonts w:ascii="David" w:hAnsi="David"/>
          <w:rtl/>
        </w:rPr>
        <w:t xml:space="preserve">. </w:t>
      </w:r>
      <w:r w:rsidRPr="00B97E44">
        <w:rPr>
          <w:rFonts w:ascii="David" w:hAnsi="David" w:hint="cs"/>
          <w:rtl/>
        </w:rPr>
        <w:t>על פי התוכנית, כיוון ש</w:t>
      </w:r>
      <w:r w:rsidRPr="00B97E44">
        <w:rPr>
          <w:rFonts w:ascii="David" w:hAnsi="David" w:hint="eastAsia"/>
          <w:rtl/>
        </w:rPr>
        <w:t>על</w:t>
      </w:r>
      <w:r w:rsidRPr="00B97E44">
        <w:rPr>
          <w:rFonts w:ascii="David" w:hAnsi="David"/>
          <w:rtl/>
        </w:rPr>
        <w:t xml:space="preserve"> </w:t>
      </w:r>
      <w:r w:rsidRPr="00B97E44">
        <w:rPr>
          <w:rFonts w:ascii="David" w:hAnsi="David" w:hint="eastAsia"/>
          <w:rtl/>
        </w:rPr>
        <w:t>הרשויות</w:t>
      </w:r>
      <w:r w:rsidRPr="00B97E44">
        <w:rPr>
          <w:rFonts w:ascii="David" w:hAnsi="David" w:hint="cs"/>
          <w:rtl/>
        </w:rPr>
        <w:t xml:space="preserve"> לעמוד</w:t>
      </w:r>
      <w:r w:rsidRPr="00B97E44">
        <w:rPr>
          <w:rFonts w:ascii="David" w:hAnsi="David"/>
          <w:rtl/>
        </w:rPr>
        <w:t xml:space="preserve"> </w:t>
      </w:r>
      <w:r w:rsidRPr="00B97E44">
        <w:rPr>
          <w:rFonts w:ascii="David" w:hAnsi="David" w:hint="cs"/>
          <w:rtl/>
        </w:rPr>
        <w:t>ב</w:t>
      </w:r>
      <w:r w:rsidRPr="00B97E44">
        <w:rPr>
          <w:rFonts w:ascii="David" w:hAnsi="David" w:hint="eastAsia"/>
          <w:rtl/>
        </w:rPr>
        <w:t>אתגרים</w:t>
      </w:r>
      <w:r w:rsidRPr="00B97E44">
        <w:rPr>
          <w:rFonts w:ascii="David" w:hAnsi="David"/>
          <w:rtl/>
        </w:rPr>
        <w:t xml:space="preserve"> </w:t>
      </w:r>
      <w:r w:rsidRPr="00B97E44">
        <w:rPr>
          <w:rFonts w:ascii="David" w:hAnsi="David" w:hint="eastAsia"/>
          <w:rtl/>
        </w:rPr>
        <w:t>מורכבים</w:t>
      </w:r>
      <w:r w:rsidRPr="00B97E44">
        <w:rPr>
          <w:rFonts w:ascii="David" w:hAnsi="David"/>
          <w:rtl/>
        </w:rPr>
        <w:t xml:space="preserve"> </w:t>
      </w:r>
      <w:r w:rsidRPr="00B97E44">
        <w:rPr>
          <w:rFonts w:ascii="David" w:hAnsi="David" w:hint="eastAsia"/>
          <w:rtl/>
        </w:rPr>
        <w:t>ורבים</w:t>
      </w:r>
      <w:r w:rsidRPr="00B97E44">
        <w:rPr>
          <w:rFonts w:ascii="David" w:hAnsi="David"/>
          <w:rtl/>
        </w:rPr>
        <w:t xml:space="preserve"> </w:t>
      </w:r>
      <w:r w:rsidRPr="00B97E44">
        <w:rPr>
          <w:rFonts w:ascii="David" w:hAnsi="David" w:hint="eastAsia"/>
          <w:rtl/>
        </w:rPr>
        <w:t>של</w:t>
      </w:r>
      <w:r w:rsidRPr="00B97E44">
        <w:rPr>
          <w:rFonts w:ascii="David" w:hAnsi="David"/>
          <w:rtl/>
        </w:rPr>
        <w:t xml:space="preserve"> </w:t>
      </w:r>
      <w:r w:rsidRPr="00B97E44">
        <w:rPr>
          <w:rFonts w:ascii="David" w:hAnsi="David" w:hint="eastAsia"/>
          <w:rtl/>
        </w:rPr>
        <w:t>תכנון</w:t>
      </w:r>
      <w:r w:rsidRPr="00B97E44">
        <w:rPr>
          <w:rFonts w:ascii="David" w:hAnsi="David"/>
          <w:rtl/>
        </w:rPr>
        <w:t xml:space="preserve"> </w:t>
      </w:r>
      <w:r w:rsidRPr="00B97E44">
        <w:rPr>
          <w:rFonts w:ascii="David" w:hAnsi="David" w:hint="eastAsia"/>
          <w:rtl/>
        </w:rPr>
        <w:t>אסטרטגי</w:t>
      </w:r>
      <w:r w:rsidRPr="00B97E44">
        <w:rPr>
          <w:rFonts w:ascii="David" w:hAnsi="David"/>
          <w:rtl/>
        </w:rPr>
        <w:t xml:space="preserve"> </w:t>
      </w:r>
      <w:r w:rsidRPr="00B97E44">
        <w:rPr>
          <w:rFonts w:ascii="David" w:hAnsi="David" w:hint="eastAsia"/>
          <w:rtl/>
        </w:rPr>
        <w:t>ארוך</w:t>
      </w:r>
      <w:r w:rsidRPr="00B97E44">
        <w:rPr>
          <w:rFonts w:ascii="David" w:hAnsi="David"/>
          <w:rtl/>
        </w:rPr>
        <w:t xml:space="preserve"> </w:t>
      </w:r>
      <w:r w:rsidRPr="00B97E44">
        <w:rPr>
          <w:rFonts w:ascii="David" w:hAnsi="David" w:hint="eastAsia"/>
          <w:rtl/>
        </w:rPr>
        <w:t>טווח</w:t>
      </w:r>
      <w:r w:rsidRPr="00B97E44">
        <w:rPr>
          <w:rFonts w:ascii="David" w:hAnsi="David"/>
          <w:rtl/>
        </w:rPr>
        <w:t xml:space="preserve"> </w:t>
      </w:r>
      <w:r w:rsidRPr="00B97E44">
        <w:rPr>
          <w:rFonts w:ascii="David" w:hAnsi="David" w:hint="eastAsia"/>
          <w:rtl/>
        </w:rPr>
        <w:t>תוך</w:t>
      </w:r>
      <w:r w:rsidRPr="00B97E44">
        <w:rPr>
          <w:rFonts w:ascii="David" w:hAnsi="David"/>
          <w:rtl/>
        </w:rPr>
        <w:t xml:space="preserve"> </w:t>
      </w:r>
      <w:r w:rsidRPr="00B97E44">
        <w:rPr>
          <w:rFonts w:ascii="David" w:hAnsi="David" w:hint="eastAsia"/>
          <w:rtl/>
        </w:rPr>
        <w:t>ביצוע</w:t>
      </w:r>
      <w:r w:rsidRPr="00B97E44">
        <w:rPr>
          <w:rFonts w:ascii="David" w:hAnsi="David"/>
          <w:rtl/>
        </w:rPr>
        <w:t xml:space="preserve"> </w:t>
      </w:r>
      <w:r w:rsidRPr="00B97E44">
        <w:rPr>
          <w:rFonts w:ascii="David" w:hAnsi="David" w:hint="cs"/>
          <w:rtl/>
        </w:rPr>
        <w:t xml:space="preserve">בו בזמן </w:t>
      </w:r>
      <w:r w:rsidRPr="00B97E44">
        <w:rPr>
          <w:rFonts w:ascii="David" w:hAnsi="David" w:hint="eastAsia"/>
          <w:rtl/>
        </w:rPr>
        <w:t>של</w:t>
      </w:r>
      <w:r w:rsidRPr="00B97E44">
        <w:rPr>
          <w:rFonts w:ascii="David" w:hAnsi="David"/>
          <w:rtl/>
        </w:rPr>
        <w:t xml:space="preserve"> </w:t>
      </w:r>
      <w:r w:rsidRPr="00B97E44">
        <w:rPr>
          <w:rFonts w:ascii="David" w:hAnsi="David" w:hint="cs"/>
          <w:rtl/>
        </w:rPr>
        <w:t xml:space="preserve">מיזמים </w:t>
      </w:r>
      <w:r w:rsidRPr="00B97E44">
        <w:rPr>
          <w:rFonts w:ascii="David" w:hAnsi="David" w:hint="eastAsia"/>
          <w:rtl/>
        </w:rPr>
        <w:t>תשתיתיים</w:t>
      </w:r>
      <w:r w:rsidRPr="00B97E44">
        <w:rPr>
          <w:rFonts w:ascii="David" w:hAnsi="David"/>
          <w:rtl/>
        </w:rPr>
        <w:t xml:space="preserve"> </w:t>
      </w:r>
      <w:r w:rsidRPr="00B97E44">
        <w:rPr>
          <w:rFonts w:ascii="David" w:hAnsi="David" w:hint="eastAsia"/>
          <w:rtl/>
        </w:rPr>
        <w:t>ופיזיים</w:t>
      </w:r>
      <w:r w:rsidRPr="00B97E44">
        <w:rPr>
          <w:rFonts w:ascii="David" w:hAnsi="David" w:hint="cs"/>
          <w:rtl/>
        </w:rPr>
        <w:t xml:space="preserve"> ו</w:t>
      </w:r>
      <w:r w:rsidRPr="00B97E44">
        <w:rPr>
          <w:rFonts w:ascii="David" w:hAnsi="David" w:hint="eastAsia"/>
          <w:rtl/>
        </w:rPr>
        <w:t>מתן</w:t>
      </w:r>
      <w:r w:rsidRPr="00B97E44">
        <w:rPr>
          <w:rFonts w:ascii="David" w:hAnsi="David"/>
          <w:rtl/>
        </w:rPr>
        <w:t xml:space="preserve"> </w:t>
      </w:r>
      <w:r w:rsidRPr="00B97E44">
        <w:rPr>
          <w:rFonts w:ascii="David" w:hAnsi="David" w:hint="cs"/>
          <w:rtl/>
        </w:rPr>
        <w:t xml:space="preserve">סיוע </w:t>
      </w:r>
      <w:r w:rsidRPr="00B97E44">
        <w:rPr>
          <w:rFonts w:ascii="David" w:hAnsi="David" w:hint="eastAsia"/>
          <w:rtl/>
        </w:rPr>
        <w:t>ושירותים</w:t>
      </w:r>
      <w:r w:rsidRPr="00B97E44">
        <w:rPr>
          <w:rFonts w:ascii="David" w:hAnsi="David"/>
          <w:rtl/>
        </w:rPr>
        <w:t xml:space="preserve"> </w:t>
      </w:r>
      <w:r w:rsidRPr="00B97E44">
        <w:rPr>
          <w:rFonts w:ascii="David" w:hAnsi="David" w:hint="eastAsia"/>
          <w:rtl/>
        </w:rPr>
        <w:t>לתושבים</w:t>
      </w:r>
      <w:r w:rsidRPr="00B97E44">
        <w:rPr>
          <w:rFonts w:ascii="David" w:hAnsi="David"/>
          <w:rtl/>
        </w:rPr>
        <w:t xml:space="preserve"> </w:t>
      </w:r>
      <w:r w:rsidRPr="00B97E44">
        <w:rPr>
          <w:rFonts w:ascii="David" w:hAnsi="David" w:hint="eastAsia"/>
          <w:rtl/>
        </w:rPr>
        <w:t>לפי</w:t>
      </w:r>
      <w:r w:rsidRPr="00B97E44">
        <w:rPr>
          <w:rFonts w:ascii="David" w:hAnsi="David"/>
          <w:rtl/>
        </w:rPr>
        <w:t xml:space="preserve"> </w:t>
      </w:r>
      <w:r w:rsidRPr="00B97E44">
        <w:rPr>
          <w:rFonts w:ascii="David" w:hAnsi="David" w:hint="eastAsia"/>
          <w:rtl/>
        </w:rPr>
        <w:t>הצרכים</w:t>
      </w:r>
      <w:r w:rsidRPr="00B97E44">
        <w:rPr>
          <w:rFonts w:ascii="David" w:hAnsi="David"/>
          <w:rtl/>
        </w:rPr>
        <w:t xml:space="preserve"> </w:t>
      </w:r>
      <w:r w:rsidRPr="00B97E44">
        <w:rPr>
          <w:rFonts w:ascii="David" w:hAnsi="David" w:hint="eastAsia"/>
          <w:rtl/>
        </w:rPr>
        <w:t>המשתנים</w:t>
      </w:r>
      <w:r w:rsidRPr="00B97E44">
        <w:rPr>
          <w:rFonts w:ascii="David" w:hAnsi="David" w:hint="cs"/>
          <w:rtl/>
        </w:rPr>
        <w:t xml:space="preserve">, יש לחזקן - אך ראוי שכל רשות </w:t>
      </w:r>
      <w:r w:rsidRPr="00B97E44">
        <w:rPr>
          <w:rFonts w:ascii="David" w:hAnsi="David" w:hint="eastAsia"/>
          <w:rtl/>
        </w:rPr>
        <w:t>תשתקם</w:t>
      </w:r>
      <w:r w:rsidRPr="00B97E44">
        <w:rPr>
          <w:rFonts w:ascii="David" w:hAnsi="David"/>
          <w:rtl/>
        </w:rPr>
        <w:t xml:space="preserve"> </w:t>
      </w:r>
      <w:r w:rsidRPr="00B97E44">
        <w:rPr>
          <w:rFonts w:ascii="David" w:hAnsi="David" w:hint="eastAsia"/>
          <w:rtl/>
        </w:rPr>
        <w:t>ותתפתח</w:t>
      </w:r>
      <w:r w:rsidRPr="00B97E44">
        <w:rPr>
          <w:rFonts w:ascii="David" w:hAnsi="David"/>
          <w:rtl/>
        </w:rPr>
        <w:t xml:space="preserve"> </w:t>
      </w:r>
      <w:r w:rsidRPr="00B97E44">
        <w:rPr>
          <w:rFonts w:ascii="David" w:hAnsi="David" w:hint="eastAsia"/>
          <w:rtl/>
        </w:rPr>
        <w:t>בהתאם</w:t>
      </w:r>
      <w:r w:rsidRPr="00B97E44">
        <w:rPr>
          <w:rFonts w:ascii="David" w:hAnsi="David"/>
          <w:rtl/>
        </w:rPr>
        <w:t xml:space="preserve"> </w:t>
      </w:r>
      <w:r w:rsidRPr="00B97E44">
        <w:rPr>
          <w:rFonts w:ascii="David" w:hAnsi="David" w:hint="eastAsia"/>
          <w:rtl/>
        </w:rPr>
        <w:t>לייחודיות</w:t>
      </w:r>
      <w:r w:rsidRPr="00B97E44">
        <w:rPr>
          <w:rFonts w:ascii="David" w:hAnsi="David"/>
          <w:rtl/>
        </w:rPr>
        <w:t xml:space="preserve"> </w:t>
      </w:r>
      <w:r w:rsidRPr="00B97E44">
        <w:rPr>
          <w:rFonts w:ascii="David" w:hAnsi="David" w:hint="eastAsia"/>
          <w:rtl/>
        </w:rPr>
        <w:t>של</w:t>
      </w:r>
      <w:r w:rsidRPr="00B97E44">
        <w:rPr>
          <w:rFonts w:ascii="David" w:hAnsi="David" w:hint="cs"/>
          <w:rtl/>
        </w:rPr>
        <w:t xml:space="preserve">ה </w:t>
      </w:r>
      <w:r w:rsidRPr="00B97E44">
        <w:rPr>
          <w:rFonts w:ascii="David" w:hAnsi="David" w:hint="eastAsia"/>
          <w:rtl/>
        </w:rPr>
        <w:t>ולהעדפותיה</w:t>
      </w:r>
      <w:r w:rsidRPr="00B97E44">
        <w:rPr>
          <w:rFonts w:ascii="David" w:hAnsi="David"/>
        </w:rPr>
        <w:t>.</w:t>
      </w:r>
    </w:p>
    <w:p w:rsidR="005B126E" w:rsidP="001916A9">
      <w:pPr>
        <w:spacing w:line="269" w:lineRule="auto"/>
        <w:rPr>
          <w:rtl/>
        </w:rPr>
      </w:pPr>
    </w:p>
    <w:p w:rsidR="005B126E" w:rsidRPr="00B97E44" w:rsidP="001916A9">
      <w:pPr>
        <w:spacing w:line="269" w:lineRule="auto"/>
        <w:rPr>
          <w:rFonts w:ascii="David" w:hAnsi="David"/>
          <w:rtl/>
        </w:rPr>
      </w:pPr>
      <w:r w:rsidRPr="00B97E44">
        <w:rPr>
          <w:rFonts w:hint="cs"/>
          <w:rtl/>
        </w:rPr>
        <w:t>התוכנית הניחה</w:t>
      </w:r>
      <w:r w:rsidRPr="00B97E44">
        <w:rPr>
          <w:rtl/>
        </w:rPr>
        <w:t xml:space="preserve"> כי משאבי המדינה שיופנו לשיקום ופיתוח החבל צפויים להגדיל </w:t>
      </w:r>
      <w:r w:rsidRPr="00B97E44">
        <w:rPr>
          <w:rFonts w:hint="cs"/>
          <w:rtl/>
        </w:rPr>
        <w:t xml:space="preserve">עד מאוד </w:t>
      </w:r>
      <w:r w:rsidRPr="00B97E44">
        <w:rPr>
          <w:rtl/>
        </w:rPr>
        <w:t>את העומס</w:t>
      </w:r>
      <w:r w:rsidRPr="00B97E44">
        <w:rPr>
          <w:rFonts w:hint="cs"/>
          <w:rtl/>
        </w:rPr>
        <w:t xml:space="preserve"> המוטל</w:t>
      </w:r>
      <w:r w:rsidRPr="00B97E44">
        <w:rPr>
          <w:rtl/>
        </w:rPr>
        <w:t xml:space="preserve"> על הרשויות המקומיות ונדרש לחזק את יכולותיהן </w:t>
      </w:r>
      <w:r w:rsidRPr="00B97E44">
        <w:rPr>
          <w:rFonts w:hint="cs"/>
          <w:rtl/>
        </w:rPr>
        <w:t>כדי</w:t>
      </w:r>
      <w:r w:rsidRPr="00B97E44">
        <w:rPr>
          <w:rtl/>
        </w:rPr>
        <w:t xml:space="preserve"> שיוכלו להוציא לפועל את היקפי התקציב המתוכננים</w:t>
      </w:r>
      <w:r w:rsidRPr="00B97E44">
        <w:rPr>
          <w:rFonts w:hint="cs"/>
          <w:rtl/>
        </w:rPr>
        <w:t xml:space="preserve"> וכי</w:t>
      </w:r>
      <w:r w:rsidRPr="00B97E44">
        <w:rPr>
          <w:rtl/>
        </w:rPr>
        <w:t xml:space="preserve"> ללא יכולת מקצועית מתאימה בהיקפים וברמת המקצועיות הנדרשת, לא</w:t>
      </w:r>
      <w:r w:rsidRPr="00B97E44">
        <w:rPr>
          <w:rFonts w:hint="cs"/>
          <w:rtl/>
        </w:rPr>
        <w:t xml:space="preserve"> יתאפשר</w:t>
      </w:r>
      <w:r w:rsidRPr="00B97E44">
        <w:rPr>
          <w:rtl/>
        </w:rPr>
        <w:t xml:space="preserve"> לנצל בצורה מיטבית את הכספים שיוזרמו לאזור. </w:t>
      </w:r>
      <w:r w:rsidRPr="00B97E44">
        <w:rPr>
          <w:rFonts w:hint="cs"/>
          <w:rtl/>
        </w:rPr>
        <w:t>יתר על כן</w:t>
      </w:r>
      <w:r w:rsidRPr="00B97E44">
        <w:rPr>
          <w:rtl/>
        </w:rPr>
        <w:t>,</w:t>
      </w:r>
      <w:r w:rsidRPr="00B97E44">
        <w:rPr>
          <w:rFonts w:hint="cs"/>
          <w:rtl/>
        </w:rPr>
        <w:t xml:space="preserve"> על פי התוכנית</w:t>
      </w:r>
      <w:r w:rsidRPr="00B97E44">
        <w:rPr>
          <w:rtl/>
        </w:rPr>
        <w:t xml:space="preserve"> נדרשת גמישות שתאפשר לכל רשות מקומית לקבוע את מוקדי החיזוק הנדרשים בהתאם להבנת</w:t>
      </w:r>
      <w:r w:rsidRPr="00B97E44">
        <w:rPr>
          <w:rFonts w:hint="cs"/>
          <w:rtl/>
        </w:rPr>
        <w:t>ה</w:t>
      </w:r>
      <w:r w:rsidRPr="00B97E44">
        <w:rPr>
          <w:rtl/>
        </w:rPr>
        <w:t xml:space="preserve"> הניהולית</w:t>
      </w:r>
      <w:r w:rsidRPr="00B97E44">
        <w:rPr>
          <w:rFonts w:ascii="David" w:hAnsi="David" w:hint="cs"/>
          <w:rtl/>
        </w:rPr>
        <w:t>.</w:t>
      </w:r>
    </w:p>
    <w:p w:rsidR="005B126E" w:rsidP="001916A9">
      <w:pPr>
        <w:spacing w:line="269" w:lineRule="auto"/>
        <w:rPr>
          <w:b/>
          <w:bCs/>
          <w:rtl/>
        </w:rPr>
      </w:pPr>
      <w:bookmarkStart w:id="47" w:name="_Hlk207634998"/>
    </w:p>
    <w:p w:rsidR="005B126E" w:rsidRPr="00B97E44" w:rsidP="001916A9">
      <w:pPr>
        <w:spacing w:line="269" w:lineRule="auto"/>
        <w:rPr>
          <w:b/>
          <w:bCs/>
          <w:rtl/>
        </w:rPr>
      </w:pPr>
      <w:r w:rsidRPr="00B97E44">
        <w:rPr>
          <w:b/>
          <w:bCs/>
          <w:rtl/>
        </w:rPr>
        <w:t xml:space="preserve">נמצא כי </w:t>
      </w:r>
      <w:r w:rsidRPr="00B97E44">
        <w:rPr>
          <w:rFonts w:hint="eastAsia"/>
          <w:b/>
          <w:bCs/>
          <w:rtl/>
        </w:rPr>
        <w:t>בהחלטת</w:t>
      </w:r>
      <w:r w:rsidRPr="00B97E44">
        <w:rPr>
          <w:b/>
          <w:bCs/>
          <w:rtl/>
        </w:rPr>
        <w:t xml:space="preserve"> הממשלה שאישרה את </w:t>
      </w:r>
      <w:r w:rsidRPr="00B97E44">
        <w:rPr>
          <w:rFonts w:hint="eastAsia"/>
          <w:b/>
          <w:bCs/>
          <w:rtl/>
        </w:rPr>
        <w:t>תוכנית</w:t>
      </w:r>
      <w:r w:rsidRPr="00B97E44">
        <w:rPr>
          <w:b/>
          <w:bCs/>
          <w:rtl/>
        </w:rPr>
        <w:t xml:space="preserve"> החומש באפריל 2024, </w:t>
      </w:r>
      <w:r w:rsidRPr="00B97E44">
        <w:rPr>
          <w:rFonts w:hint="eastAsia"/>
          <w:b/>
          <w:bCs/>
          <w:rtl/>
        </w:rPr>
        <w:t>מינהלת</w:t>
      </w:r>
      <w:r w:rsidRPr="00B97E44">
        <w:rPr>
          <w:b/>
          <w:bCs/>
          <w:rtl/>
        </w:rPr>
        <w:t xml:space="preserve"> תקומה באמצעות משרד הפנים הייתה אמורה להעמ</w:t>
      </w:r>
      <w:r w:rsidRPr="00B97E44">
        <w:rPr>
          <w:rFonts w:hint="eastAsia"/>
          <w:b/>
          <w:bCs/>
          <w:rtl/>
        </w:rPr>
        <w:t>י</w:t>
      </w:r>
      <w:r w:rsidRPr="00B97E44">
        <w:rPr>
          <w:b/>
          <w:bCs/>
          <w:rtl/>
        </w:rPr>
        <w:t>ד יכולות ש</w:t>
      </w:r>
      <w:r w:rsidRPr="00B97E44">
        <w:rPr>
          <w:rFonts w:hint="eastAsia"/>
          <w:b/>
          <w:bCs/>
          <w:rtl/>
        </w:rPr>
        <w:t>יאפשרו</w:t>
      </w:r>
      <w:r w:rsidRPr="00B97E44">
        <w:rPr>
          <w:b/>
          <w:bCs/>
          <w:rtl/>
        </w:rPr>
        <w:t xml:space="preserve"> לרשויות המקומיות להתמודד עם אתגרי השיקום</w:t>
      </w:r>
      <w:bookmarkEnd w:id="47"/>
      <w:r w:rsidRPr="00B97E44">
        <w:rPr>
          <w:b/>
          <w:bCs/>
          <w:rtl/>
        </w:rPr>
        <w:t xml:space="preserve"> </w:t>
      </w:r>
      <w:bookmarkStart w:id="48" w:name="_Hlk207791200"/>
      <w:r w:rsidRPr="00B97E44">
        <w:rPr>
          <w:b/>
          <w:bCs/>
          <w:rtl/>
        </w:rPr>
        <w:t xml:space="preserve">באמצעות תהליכים ארגוניים </w:t>
      </w:r>
      <w:r w:rsidRPr="00B97E44">
        <w:rPr>
          <w:rFonts w:hint="eastAsia"/>
          <w:b/>
          <w:bCs/>
          <w:rtl/>
        </w:rPr>
        <w:t>כמו</w:t>
      </w:r>
      <w:r w:rsidRPr="00B97E44">
        <w:rPr>
          <w:b/>
          <w:bCs/>
          <w:rtl/>
        </w:rPr>
        <w:t xml:space="preserve"> התאמת המבנה הארגוני של הרשויות המקומיות; </w:t>
      </w:r>
      <w:r w:rsidRPr="00B97E44">
        <w:rPr>
          <w:rFonts w:hint="cs"/>
          <w:b/>
          <w:bCs/>
          <w:rtl/>
        </w:rPr>
        <w:t>איוש</w:t>
      </w:r>
      <w:r w:rsidRPr="00B97E44">
        <w:rPr>
          <w:b/>
          <w:bCs/>
          <w:rtl/>
        </w:rPr>
        <w:t xml:space="preserve"> משרות זמניות ורכישת שירותים; חיזוק ההון האנושי; שיפור תהליכי העבודה הארגוניים באמצעים דיגיטליים; </w:t>
      </w:r>
      <w:r w:rsidRPr="00B97E44">
        <w:rPr>
          <w:rFonts w:hint="eastAsia"/>
          <w:b/>
          <w:bCs/>
          <w:rtl/>
        </w:rPr>
        <w:t>ו</w:t>
      </w:r>
      <w:r w:rsidRPr="00B97E44">
        <w:rPr>
          <w:b/>
          <w:bCs/>
          <w:rtl/>
        </w:rPr>
        <w:t>מתן כלים לשימור ומשיכ</w:t>
      </w:r>
      <w:r w:rsidRPr="00B97E44">
        <w:rPr>
          <w:rFonts w:hint="eastAsia"/>
          <w:b/>
          <w:bCs/>
          <w:rtl/>
        </w:rPr>
        <w:t>ה</w:t>
      </w:r>
      <w:r w:rsidRPr="00B97E44">
        <w:rPr>
          <w:b/>
          <w:bCs/>
          <w:rtl/>
        </w:rPr>
        <w:t xml:space="preserve"> </w:t>
      </w:r>
      <w:r w:rsidRPr="00B97E44">
        <w:rPr>
          <w:rFonts w:hint="eastAsia"/>
          <w:b/>
          <w:bCs/>
          <w:rtl/>
        </w:rPr>
        <w:t>של</w:t>
      </w:r>
      <w:r w:rsidRPr="00B97E44">
        <w:rPr>
          <w:b/>
          <w:bCs/>
          <w:rtl/>
        </w:rPr>
        <w:t xml:space="preserve"> כוח </w:t>
      </w:r>
      <w:r w:rsidRPr="00B97E44">
        <w:rPr>
          <w:rFonts w:hint="eastAsia"/>
          <w:b/>
          <w:bCs/>
          <w:rtl/>
        </w:rPr>
        <w:t>ה</w:t>
      </w:r>
      <w:r w:rsidRPr="00B97E44">
        <w:rPr>
          <w:b/>
          <w:bCs/>
          <w:rtl/>
        </w:rPr>
        <w:t xml:space="preserve">אדם הנדרש. </w:t>
      </w:r>
      <w:r w:rsidRPr="00B97E44">
        <w:rPr>
          <w:rFonts w:hint="eastAsia"/>
          <w:b/>
          <w:bCs/>
          <w:rtl/>
        </w:rPr>
        <w:t>לצורך</w:t>
      </w:r>
      <w:r w:rsidRPr="00B97E44">
        <w:rPr>
          <w:b/>
          <w:bCs/>
          <w:rtl/>
        </w:rPr>
        <w:t xml:space="preserve"> כך הקצתה </w:t>
      </w:r>
      <w:r w:rsidRPr="00B97E44">
        <w:rPr>
          <w:rFonts w:hint="eastAsia"/>
          <w:b/>
          <w:bCs/>
          <w:rtl/>
        </w:rPr>
        <w:t>מינהלת</w:t>
      </w:r>
      <w:r w:rsidRPr="00B97E44">
        <w:rPr>
          <w:b/>
          <w:bCs/>
          <w:rtl/>
        </w:rPr>
        <w:t xml:space="preserve"> תקומה למשרד הפנים 190 מיליו</w:t>
      </w:r>
      <w:r>
        <w:rPr>
          <w:rFonts w:hint="cs"/>
          <w:b/>
          <w:bCs/>
          <w:rtl/>
        </w:rPr>
        <w:t>ני</w:t>
      </w:r>
      <w:r w:rsidRPr="00B97E44">
        <w:rPr>
          <w:b/>
          <w:bCs/>
          <w:rtl/>
        </w:rPr>
        <w:t xml:space="preserve"> ש"ח</w:t>
      </w:r>
      <w:bookmarkEnd w:id="48"/>
      <w:r w:rsidRPr="00B97E44">
        <w:rPr>
          <w:b/>
          <w:bCs/>
          <w:rtl/>
        </w:rPr>
        <w:t xml:space="preserve">. </w:t>
      </w:r>
    </w:p>
    <w:p w:rsidR="005B126E" w:rsidP="001916A9">
      <w:pPr>
        <w:spacing w:line="269" w:lineRule="auto"/>
        <w:rPr>
          <w:b/>
          <w:bCs/>
          <w:rtl/>
        </w:rPr>
      </w:pPr>
      <w:bookmarkStart w:id="49" w:name="_Hlk207635064"/>
    </w:p>
    <w:p w:rsidR="005B126E" w:rsidP="001916A9">
      <w:pPr>
        <w:spacing w:line="269" w:lineRule="auto"/>
        <w:rPr>
          <w:b/>
          <w:bCs/>
          <w:rtl/>
        </w:rPr>
      </w:pPr>
      <w:r w:rsidRPr="00B97E44">
        <w:rPr>
          <w:rFonts w:hint="cs"/>
          <w:b/>
          <w:bCs/>
          <w:rtl/>
        </w:rPr>
        <w:t xml:space="preserve">נמצא כי </w:t>
      </w:r>
      <w:r w:rsidRPr="00B97E44">
        <w:rPr>
          <w:b/>
          <w:bCs/>
          <w:rtl/>
        </w:rPr>
        <w:t>משרד הפנים</w:t>
      </w:r>
      <w:r w:rsidRPr="00B97E44">
        <w:rPr>
          <w:rFonts w:hint="cs"/>
          <w:b/>
          <w:bCs/>
          <w:rtl/>
        </w:rPr>
        <w:t xml:space="preserve"> לא פעל</w:t>
      </w:r>
      <w:r w:rsidRPr="00B97E44">
        <w:rPr>
          <w:b/>
          <w:bCs/>
          <w:rtl/>
        </w:rPr>
        <w:t xml:space="preserve"> להוציא לפועל את התוכנית </w:t>
      </w:r>
      <w:r w:rsidRPr="00B97E44">
        <w:rPr>
          <w:rFonts w:hint="cs"/>
          <w:b/>
          <w:bCs/>
          <w:rtl/>
        </w:rPr>
        <w:t xml:space="preserve">לחיזוק ופיתוח הרשויות המקומיות בחבל התקומה </w:t>
      </w:r>
      <w:r w:rsidRPr="00B97E44">
        <w:rPr>
          <w:b/>
          <w:bCs/>
          <w:rtl/>
        </w:rPr>
        <w:t>שהוא עצמו גיבש</w:t>
      </w:r>
      <w:bookmarkEnd w:id="49"/>
      <w:r w:rsidRPr="00B97E44">
        <w:rPr>
          <w:rFonts w:hint="cs"/>
          <w:b/>
          <w:bCs/>
          <w:rtl/>
        </w:rPr>
        <w:t xml:space="preserve">. </w:t>
      </w:r>
      <w:bookmarkStart w:id="50" w:name="_Hlk207635117"/>
      <w:r w:rsidRPr="00B97E44">
        <w:rPr>
          <w:rFonts w:hint="cs"/>
          <w:b/>
          <w:bCs/>
          <w:rtl/>
        </w:rPr>
        <w:t xml:space="preserve">משכך, </w:t>
      </w:r>
      <w:r w:rsidRPr="00B97E44">
        <w:rPr>
          <w:b/>
          <w:bCs/>
          <w:rtl/>
        </w:rPr>
        <w:t xml:space="preserve">כעבור חצי שנה ממועד אישור התוכנית קיבלה הממשלה החלטה לתקן את החלטה 1699 </w:t>
      </w:r>
      <w:r w:rsidRPr="00B97E44">
        <w:rPr>
          <w:rFonts w:hint="cs"/>
          <w:b/>
          <w:bCs/>
          <w:rtl/>
        </w:rPr>
        <w:t>ונקבע</w:t>
      </w:r>
      <w:r w:rsidRPr="00B97E44">
        <w:rPr>
          <w:b/>
          <w:bCs/>
          <w:rtl/>
        </w:rPr>
        <w:t xml:space="preserve"> שמעורבותו של משרד הפנים בחיזוק השלטון המקומי בחבל התקומה תצטמצם והובלת התהליכים והקצאת התקציב </w:t>
      </w:r>
      <w:r w:rsidRPr="00B97E44">
        <w:rPr>
          <w:rFonts w:hint="cs"/>
          <w:b/>
          <w:bCs/>
          <w:rtl/>
        </w:rPr>
        <w:t>י</w:t>
      </w:r>
      <w:r w:rsidRPr="00B97E44">
        <w:rPr>
          <w:b/>
          <w:bCs/>
          <w:rtl/>
        </w:rPr>
        <w:t>ועבר</w:t>
      </w:r>
      <w:r w:rsidRPr="00B97E44">
        <w:rPr>
          <w:rFonts w:hint="cs"/>
          <w:b/>
          <w:bCs/>
          <w:rtl/>
        </w:rPr>
        <w:t>ו</w:t>
      </w:r>
      <w:r w:rsidRPr="00B97E44">
        <w:rPr>
          <w:b/>
          <w:bCs/>
          <w:rtl/>
        </w:rPr>
        <w:t xml:space="preserve"> לאחריות</w:t>
      </w:r>
      <w:r w:rsidRPr="00B97E44">
        <w:rPr>
          <w:rFonts w:hint="cs"/>
          <w:b/>
          <w:bCs/>
          <w:rtl/>
        </w:rPr>
        <w:t>ה של</w:t>
      </w:r>
      <w:r w:rsidRPr="00B97E44">
        <w:rPr>
          <w:b/>
          <w:bCs/>
          <w:rtl/>
        </w:rPr>
        <w:t xml:space="preserve"> </w:t>
      </w:r>
      <w:r w:rsidRPr="00B97E44">
        <w:rPr>
          <w:rFonts w:hint="eastAsia"/>
          <w:b/>
          <w:bCs/>
          <w:rtl/>
        </w:rPr>
        <w:t>מינהלת</w:t>
      </w:r>
      <w:r w:rsidRPr="00B97E44">
        <w:rPr>
          <w:b/>
          <w:bCs/>
          <w:rtl/>
        </w:rPr>
        <w:t xml:space="preserve"> תקומה בשיתוף משרד הפנים</w:t>
      </w:r>
      <w:bookmarkEnd w:id="50"/>
      <w:r>
        <w:rPr>
          <w:b/>
          <w:bCs/>
          <w:vertAlign w:val="superscript"/>
          <w:rtl/>
        </w:rPr>
        <w:footnoteReference w:id="101"/>
      </w:r>
      <w:r w:rsidRPr="00B97E44">
        <w:rPr>
          <w:b/>
          <w:bCs/>
          <w:rtl/>
        </w:rPr>
        <w:t>.</w:t>
      </w:r>
    </w:p>
    <w:p w:rsidR="005B126E" w:rsidP="001916A9">
      <w:pPr>
        <w:spacing w:line="269" w:lineRule="auto"/>
        <w:rPr>
          <w:b/>
          <w:bCs/>
          <w:rtl/>
        </w:rPr>
      </w:pPr>
    </w:p>
    <w:p w:rsidR="005B126E" w:rsidRPr="00282A8B" w:rsidP="001916A9">
      <w:pPr>
        <w:spacing w:line="269" w:lineRule="auto"/>
        <w:rPr>
          <w:rtl/>
        </w:rPr>
      </w:pPr>
      <w:r w:rsidRPr="00282A8B">
        <w:rPr>
          <w:rtl/>
        </w:rPr>
        <w:t xml:space="preserve">משרד הפנים מסר בתשובתו מינואר 2026 כי גיבש בשיתוף מינהלת תקומה את הפרק העוסק בחיזוק ובפיתוח של הרשויות המקומיות בתוכנית החומש, וכי הממשלה החליטה להעביר את האחריות לניהול התקציב </w:t>
      </w:r>
      <w:r w:rsidRPr="00282A8B">
        <w:rPr>
          <w:rtl/>
        </w:rPr>
        <w:t>למינהלת</w:t>
      </w:r>
      <w:r w:rsidRPr="00282A8B">
        <w:rPr>
          <w:rtl/>
        </w:rPr>
        <w:t xml:space="preserve"> כדי לזרז את ביצוע התוכנית. משרד הפנים הוסיף כי הוקמה ועדת משנה מקצועית בראשות מנהל </w:t>
      </w:r>
      <w:r w:rsidRPr="00282A8B">
        <w:rPr>
          <w:rtl/>
        </w:rPr>
        <w:t>המינהל</w:t>
      </w:r>
      <w:r w:rsidRPr="00282A8B">
        <w:rPr>
          <w:rtl/>
        </w:rPr>
        <w:t xml:space="preserve"> לשלטון מקומי במשרד הפנים כדי לסייע באופן מקצועי לוועדת התמיכות של מינהלת תקומה, וכי הוא מעורב בכל היבט של התוכנית.</w:t>
      </w:r>
    </w:p>
    <w:p w:rsidR="005B126E" w:rsidP="001916A9">
      <w:pPr>
        <w:spacing w:line="269" w:lineRule="auto"/>
        <w:rPr>
          <w:rFonts w:ascii="David" w:eastAsia="Rubik" w:hAnsi="David"/>
          <w:sz w:val="24"/>
          <w:rtl/>
        </w:rPr>
      </w:pPr>
    </w:p>
    <w:p w:rsidR="005B126E" w:rsidP="001916A9">
      <w:pPr>
        <w:spacing w:line="269" w:lineRule="auto"/>
        <w:rPr>
          <w:szCs w:val="20"/>
          <w:rtl/>
        </w:rPr>
      </w:pPr>
      <w:r>
        <w:rPr>
          <w:rFonts w:ascii="David" w:eastAsia="Rubik" w:hAnsi="David" w:hint="cs"/>
          <w:sz w:val="24"/>
          <w:rtl/>
        </w:rPr>
        <w:t>בתשובתה הנוספת מסרה מינהלת תקומה כי משרד הפנים הוא שותף מלא ביישום התוכנית ועומד בראש ועדה המשנה המקצועית.</w:t>
      </w:r>
    </w:p>
    <w:p w:rsidR="005B126E" w:rsidP="001916A9">
      <w:pPr>
        <w:spacing w:line="269" w:lineRule="auto"/>
        <w:rPr>
          <w:b/>
          <w:bCs/>
          <w:rtl/>
        </w:rPr>
      </w:pPr>
    </w:p>
    <w:p w:rsidR="005B126E" w:rsidRPr="00E212C3" w:rsidP="001916A9">
      <w:pPr>
        <w:spacing w:line="269" w:lineRule="auto"/>
        <w:rPr>
          <w:b/>
          <w:bCs/>
          <w:rtl/>
        </w:rPr>
      </w:pPr>
      <w:r w:rsidRPr="00B97E44">
        <w:rPr>
          <w:rFonts w:hint="eastAsia"/>
          <w:b/>
          <w:bCs/>
          <w:rtl/>
        </w:rPr>
        <w:t>משרד</w:t>
      </w:r>
      <w:r w:rsidRPr="00B97E44">
        <w:rPr>
          <w:b/>
          <w:bCs/>
          <w:rtl/>
        </w:rPr>
        <w:t xml:space="preserve"> </w:t>
      </w:r>
      <w:r w:rsidRPr="00B97E44">
        <w:rPr>
          <w:rFonts w:hint="eastAsia"/>
          <w:b/>
          <w:bCs/>
          <w:rtl/>
        </w:rPr>
        <w:t>מבקר</w:t>
      </w:r>
      <w:r w:rsidRPr="00B97E44">
        <w:rPr>
          <w:b/>
          <w:bCs/>
          <w:rtl/>
        </w:rPr>
        <w:t xml:space="preserve"> </w:t>
      </w:r>
      <w:r w:rsidRPr="00B97E44">
        <w:rPr>
          <w:rFonts w:hint="eastAsia"/>
          <w:b/>
          <w:bCs/>
          <w:rtl/>
        </w:rPr>
        <w:t>המדינה</w:t>
      </w:r>
      <w:r w:rsidRPr="00B97E44">
        <w:rPr>
          <w:b/>
          <w:bCs/>
          <w:rtl/>
        </w:rPr>
        <w:t xml:space="preserve"> </w:t>
      </w:r>
      <w:r w:rsidRPr="00B97E44">
        <w:rPr>
          <w:rFonts w:hint="eastAsia"/>
          <w:b/>
          <w:bCs/>
          <w:rtl/>
        </w:rPr>
        <w:t>מ</w:t>
      </w:r>
      <w:r>
        <w:rPr>
          <w:rFonts w:hint="cs"/>
          <w:b/>
          <w:bCs/>
          <w:rtl/>
        </w:rPr>
        <w:t>מליץ</w:t>
      </w:r>
      <w:r w:rsidRPr="00B97E44">
        <w:rPr>
          <w:b/>
          <w:bCs/>
          <w:rtl/>
        </w:rPr>
        <w:t xml:space="preserve"> </w:t>
      </w:r>
      <w:r w:rsidRPr="00B97E44">
        <w:rPr>
          <w:rFonts w:hint="eastAsia"/>
          <w:b/>
          <w:bCs/>
          <w:rtl/>
        </w:rPr>
        <w:t>למשרד</w:t>
      </w:r>
      <w:r w:rsidRPr="00B97E44">
        <w:rPr>
          <w:b/>
          <w:bCs/>
          <w:rtl/>
        </w:rPr>
        <w:t xml:space="preserve"> </w:t>
      </w:r>
      <w:r w:rsidRPr="00B97E44">
        <w:rPr>
          <w:rFonts w:hint="eastAsia"/>
          <w:b/>
          <w:bCs/>
          <w:rtl/>
        </w:rPr>
        <w:t>הפנים</w:t>
      </w:r>
      <w:r w:rsidRPr="00B97E44">
        <w:rPr>
          <w:rFonts w:hint="cs"/>
          <w:b/>
          <w:bCs/>
          <w:rtl/>
        </w:rPr>
        <w:t>,</w:t>
      </w:r>
      <w:r w:rsidRPr="00B97E44">
        <w:rPr>
          <w:b/>
          <w:bCs/>
          <w:rtl/>
        </w:rPr>
        <w:t xml:space="preserve"> </w:t>
      </w:r>
      <w:r w:rsidRPr="00B97E44">
        <w:rPr>
          <w:rFonts w:hint="eastAsia"/>
          <w:b/>
          <w:bCs/>
          <w:rtl/>
        </w:rPr>
        <w:t>שתחום</w:t>
      </w:r>
      <w:r w:rsidRPr="00B97E44">
        <w:rPr>
          <w:b/>
          <w:bCs/>
          <w:rtl/>
        </w:rPr>
        <w:t xml:space="preserve"> </w:t>
      </w:r>
      <w:r w:rsidRPr="00B97E44">
        <w:rPr>
          <w:rFonts w:hint="eastAsia"/>
          <w:b/>
          <w:bCs/>
          <w:rtl/>
        </w:rPr>
        <w:t>השלטון</w:t>
      </w:r>
      <w:r w:rsidRPr="00B97E44">
        <w:rPr>
          <w:b/>
          <w:bCs/>
          <w:rtl/>
        </w:rPr>
        <w:t xml:space="preserve"> </w:t>
      </w:r>
      <w:r w:rsidRPr="00B97E44">
        <w:rPr>
          <w:rFonts w:hint="eastAsia"/>
          <w:b/>
          <w:bCs/>
          <w:rtl/>
        </w:rPr>
        <w:t>המקומי</w:t>
      </w:r>
      <w:r w:rsidRPr="00B97E44">
        <w:rPr>
          <w:b/>
          <w:bCs/>
          <w:rtl/>
        </w:rPr>
        <w:t xml:space="preserve"> הוא תחום מרכזי שבאחריותו, </w:t>
      </w:r>
      <w:r>
        <w:rPr>
          <w:rFonts w:hint="cs"/>
          <w:b/>
          <w:bCs/>
          <w:rtl/>
        </w:rPr>
        <w:t>להגביר מעורבותו במימוש תוכנית החומש</w:t>
      </w:r>
      <w:r w:rsidRPr="00B97E44">
        <w:rPr>
          <w:rFonts w:hint="cs"/>
          <w:b/>
          <w:bCs/>
          <w:rtl/>
        </w:rPr>
        <w:t xml:space="preserve"> </w:t>
      </w:r>
      <w:r>
        <w:rPr>
          <w:rFonts w:hint="cs"/>
          <w:b/>
          <w:bCs/>
          <w:rtl/>
        </w:rPr>
        <w:t>ולפעול ל</w:t>
      </w:r>
      <w:r w:rsidRPr="00B97E44">
        <w:rPr>
          <w:rFonts w:hint="cs"/>
          <w:b/>
          <w:bCs/>
          <w:rtl/>
        </w:rPr>
        <w:t>שיקום ו</w:t>
      </w:r>
      <w:r>
        <w:rPr>
          <w:rFonts w:hint="cs"/>
          <w:b/>
          <w:bCs/>
          <w:rtl/>
        </w:rPr>
        <w:t>ל</w:t>
      </w:r>
      <w:r w:rsidRPr="00B97E44">
        <w:rPr>
          <w:rFonts w:hint="cs"/>
          <w:b/>
          <w:bCs/>
          <w:rtl/>
        </w:rPr>
        <w:t>פיתוח</w:t>
      </w:r>
      <w:r w:rsidRPr="00B97E44">
        <w:rPr>
          <w:b/>
          <w:bCs/>
          <w:rtl/>
        </w:rPr>
        <w:t xml:space="preserve"> </w:t>
      </w:r>
      <w:r>
        <w:rPr>
          <w:rFonts w:hint="cs"/>
          <w:b/>
          <w:bCs/>
          <w:rtl/>
        </w:rPr>
        <w:t xml:space="preserve">של </w:t>
      </w:r>
      <w:r w:rsidRPr="00B97E44">
        <w:rPr>
          <w:b/>
          <w:bCs/>
          <w:rtl/>
        </w:rPr>
        <w:t>הרשויות המקומיות ב</w:t>
      </w:r>
      <w:r w:rsidRPr="00B97E44">
        <w:rPr>
          <w:rFonts w:hint="eastAsia"/>
          <w:b/>
          <w:bCs/>
          <w:rtl/>
        </w:rPr>
        <w:t>חבל</w:t>
      </w:r>
      <w:r w:rsidRPr="00B97E44">
        <w:rPr>
          <w:b/>
          <w:bCs/>
          <w:rtl/>
        </w:rPr>
        <w:t xml:space="preserve"> </w:t>
      </w:r>
      <w:r>
        <w:rPr>
          <w:rFonts w:hint="cs"/>
          <w:b/>
          <w:bCs/>
          <w:rtl/>
        </w:rPr>
        <w:t>ה</w:t>
      </w:r>
      <w:r w:rsidRPr="00B97E44">
        <w:rPr>
          <w:rFonts w:hint="eastAsia"/>
          <w:b/>
          <w:bCs/>
          <w:rtl/>
        </w:rPr>
        <w:t>תקומה</w:t>
      </w:r>
      <w:r w:rsidRPr="00B97E44">
        <w:rPr>
          <w:b/>
          <w:bCs/>
          <w:rtl/>
        </w:rPr>
        <w:t>.</w:t>
      </w:r>
    </w:p>
    <w:p w:rsidR="005B126E" w:rsidRPr="00B97E44" w:rsidP="001916A9">
      <w:pPr>
        <w:spacing w:line="269" w:lineRule="auto"/>
        <w:rPr>
          <w:rtl/>
        </w:rPr>
      </w:pPr>
    </w:p>
    <w:p w:rsidR="005B126E" w:rsidRPr="00B97E44" w:rsidP="001916A9">
      <w:pPr>
        <w:pStyle w:val="Heading5"/>
        <w:spacing w:line="269" w:lineRule="auto"/>
        <w:rPr>
          <w:rtl/>
        </w:rPr>
      </w:pPr>
      <w:bookmarkStart w:id="51" w:name="copyNevSelection"/>
      <w:r w:rsidRPr="00B97E44">
        <w:rPr>
          <w:rFonts w:hint="cs"/>
          <w:rtl/>
        </w:rPr>
        <w:t>בחינת רכיבי חיזוק הרשויות המקומיות בתוכנית החומש</w:t>
      </w:r>
    </w:p>
    <w:p w:rsidR="005B126E" w:rsidP="001916A9">
      <w:pPr>
        <w:spacing w:line="269" w:lineRule="auto"/>
        <w:rPr>
          <w:sz w:val="24"/>
          <w:rtl/>
        </w:rPr>
      </w:pPr>
    </w:p>
    <w:p w:rsidR="005B126E" w:rsidRPr="00B97E44" w:rsidP="001916A9">
      <w:pPr>
        <w:spacing w:line="269" w:lineRule="auto"/>
        <w:rPr>
          <w:sz w:val="24"/>
          <w:rtl/>
        </w:rPr>
      </w:pPr>
      <w:r w:rsidRPr="00B97E44">
        <w:rPr>
          <w:rFonts w:hint="cs"/>
          <w:sz w:val="24"/>
          <w:rtl/>
        </w:rPr>
        <w:t>בהחלטת ממשלה 1699 נקבעו ארבעה</w:t>
      </w:r>
      <w:r w:rsidRPr="00B97E44">
        <w:rPr>
          <w:rFonts w:hint="eastAsia"/>
          <w:sz w:val="24"/>
          <w:rtl/>
        </w:rPr>
        <w:t xml:space="preserve"> רכיבי</w:t>
      </w:r>
      <w:r w:rsidRPr="00B97E44">
        <w:rPr>
          <w:rFonts w:hint="cs"/>
          <w:sz w:val="24"/>
          <w:rtl/>
        </w:rPr>
        <w:t>ם נפרדים</w:t>
      </w:r>
      <w:r w:rsidRPr="00B97E44">
        <w:rPr>
          <w:sz w:val="24"/>
          <w:rtl/>
        </w:rPr>
        <w:t xml:space="preserve"> </w:t>
      </w:r>
      <w:r w:rsidRPr="00B97E44">
        <w:rPr>
          <w:rFonts w:hint="cs"/>
          <w:sz w:val="24"/>
          <w:rtl/>
        </w:rPr>
        <w:t>ב</w:t>
      </w:r>
      <w:r w:rsidRPr="00B97E44">
        <w:rPr>
          <w:rFonts w:hint="eastAsia"/>
          <w:sz w:val="24"/>
          <w:rtl/>
        </w:rPr>
        <w:t>תוכנית</w:t>
      </w:r>
      <w:r w:rsidRPr="00B97E44">
        <w:rPr>
          <w:rFonts w:hint="cs"/>
          <w:sz w:val="24"/>
          <w:rtl/>
        </w:rPr>
        <w:t xml:space="preserve"> לחיזוק הרשויות המקומיות שיועדו למימוש במסגרת תוכנית חומש, כמתואר בתרשים 6 להלן, בהיקף של כ-</w:t>
      </w:r>
      <w:r>
        <w:rPr>
          <w:rFonts w:hint="cs"/>
          <w:sz w:val="24"/>
          <w:rtl/>
        </w:rPr>
        <w:t xml:space="preserve">190 </w:t>
      </w:r>
      <w:r w:rsidRPr="00B97E44">
        <w:rPr>
          <w:rFonts w:hint="cs"/>
          <w:sz w:val="24"/>
          <w:rtl/>
        </w:rPr>
        <w:t>מיליו</w:t>
      </w:r>
      <w:r>
        <w:rPr>
          <w:rFonts w:hint="cs"/>
          <w:sz w:val="24"/>
          <w:rtl/>
        </w:rPr>
        <w:t xml:space="preserve">ני </w:t>
      </w:r>
      <w:r w:rsidRPr="00B97E44">
        <w:rPr>
          <w:rFonts w:hint="cs"/>
          <w:sz w:val="24"/>
          <w:rtl/>
        </w:rPr>
        <w:t xml:space="preserve">ש"ח, ולכל אחד מהם הוקצה תקציב ייעודי ומתווה הפעלה נפרד. </w:t>
      </w:r>
    </w:p>
    <w:p w:rsidR="005B126E" w:rsidP="001916A9">
      <w:pPr>
        <w:spacing w:line="269" w:lineRule="auto"/>
        <w:jc w:val="center"/>
        <w:rPr>
          <w:rFonts w:ascii="David" w:hAnsi="David"/>
          <w:rtl/>
        </w:rPr>
      </w:pPr>
    </w:p>
    <w:p w:rsidR="005B126E" w:rsidRPr="00B97E44" w:rsidP="001916A9">
      <w:pPr>
        <w:keepNext/>
        <w:keepLines/>
        <w:spacing w:line="269" w:lineRule="auto"/>
        <w:jc w:val="center"/>
        <w:rPr>
          <w:rtl/>
        </w:rPr>
      </w:pPr>
      <w:r w:rsidRPr="00B97E44">
        <w:rPr>
          <w:rFonts w:ascii="David" w:hAnsi="David" w:hint="eastAsia"/>
          <w:rtl/>
        </w:rPr>
        <w:t>תרשים</w:t>
      </w:r>
      <w:r w:rsidRPr="00B97E44">
        <w:rPr>
          <w:rFonts w:ascii="David" w:hAnsi="David"/>
          <w:rtl/>
        </w:rPr>
        <w:t xml:space="preserve"> </w:t>
      </w:r>
      <w:r w:rsidRPr="00B97E44">
        <w:rPr>
          <w:rFonts w:ascii="David" w:hAnsi="David" w:hint="cs"/>
          <w:rtl/>
        </w:rPr>
        <w:t>6</w:t>
      </w:r>
      <w:r w:rsidRPr="00B97E44">
        <w:rPr>
          <w:rFonts w:ascii="David" w:hAnsi="David"/>
          <w:rtl/>
        </w:rPr>
        <w:t>:</w:t>
      </w:r>
      <w:r w:rsidRPr="00B97E44">
        <w:rPr>
          <w:rFonts w:ascii="David" w:hAnsi="David" w:hint="cs"/>
          <w:b/>
          <w:bCs/>
          <w:rtl/>
        </w:rPr>
        <w:t xml:space="preserve"> מימוש פרק חיזוק השלטון המקומי בתוכנית החומש </w:t>
      </w:r>
    </w:p>
    <w:p w:rsidR="005B126E" w:rsidRPr="00B97E44" w:rsidP="001916A9">
      <w:pPr>
        <w:spacing w:line="269" w:lineRule="auto"/>
        <w:jc w:val="center"/>
        <w:rPr>
          <w:rtl/>
        </w:rPr>
      </w:pPr>
      <w:r w:rsidRPr="00B97E44">
        <w:rPr>
          <w:noProof/>
          <w:rtl/>
          <w:lang w:val="he-IL"/>
        </w:rPr>
        <w:drawing>
          <wp:inline distT="0" distB="0" distL="0" distR="0">
            <wp:extent cx="5220335" cy="1946275"/>
            <wp:effectExtent l="0" t="0" r="0" b="0"/>
            <wp:docPr id="43" name="תמונה 43" descr="תרשים אוירה המתאר את ארבעת הרכיבים בתוכנית לחיזוק השלטון המקומי ומפורטים בהמש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pture 2.JPG"/>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a:xfrm>
                      <a:off x="0" y="0"/>
                      <a:ext cx="5220335" cy="1946275"/>
                    </a:xfrm>
                    <a:prstGeom prst="rect">
                      <a:avLst/>
                    </a:prstGeom>
                  </pic:spPr>
                </pic:pic>
              </a:graphicData>
            </a:graphic>
          </wp:inline>
        </w:drawing>
      </w:r>
    </w:p>
    <w:p w:rsidR="005B126E" w:rsidRPr="00B97E44" w:rsidP="001916A9">
      <w:pPr>
        <w:spacing w:line="269" w:lineRule="auto"/>
        <w:rPr>
          <w:b/>
          <w:bCs/>
          <w:sz w:val="24"/>
          <w:rtl/>
        </w:rPr>
      </w:pPr>
      <w:r w:rsidRPr="00B544FF">
        <w:rPr>
          <w:rFonts w:hint="eastAsia"/>
          <w:bCs/>
          <w:sz w:val="24"/>
          <w:rtl/>
        </w:rPr>
        <w:t>הרכיב</w:t>
      </w:r>
      <w:r w:rsidRPr="00B544FF">
        <w:rPr>
          <w:bCs/>
          <w:sz w:val="24"/>
          <w:rtl/>
        </w:rPr>
        <w:t xml:space="preserve"> </w:t>
      </w:r>
      <w:r w:rsidRPr="00B544FF">
        <w:rPr>
          <w:rFonts w:hint="eastAsia"/>
          <w:bCs/>
          <w:sz w:val="24"/>
          <w:rtl/>
        </w:rPr>
        <w:t>הראשון</w:t>
      </w:r>
      <w:r w:rsidRPr="00B97E44">
        <w:rPr>
          <w:rFonts w:hint="cs"/>
          <w:sz w:val="24"/>
          <w:rtl/>
        </w:rPr>
        <w:t xml:space="preserve"> כלל מענה ארגוני לצרכים מוניציפליים מעודכנים שיינתן</w:t>
      </w:r>
      <w:r w:rsidRPr="00B97E44">
        <w:rPr>
          <w:sz w:val="24"/>
          <w:rtl/>
        </w:rPr>
        <w:t xml:space="preserve"> ב</w:t>
      </w:r>
      <w:r w:rsidRPr="00B97E44">
        <w:rPr>
          <w:rFonts w:hint="cs"/>
          <w:sz w:val="24"/>
          <w:rtl/>
        </w:rPr>
        <w:t xml:space="preserve">אמצעות </w:t>
      </w:r>
      <w:r w:rsidRPr="00B97E44">
        <w:rPr>
          <w:sz w:val="24"/>
          <w:rtl/>
        </w:rPr>
        <w:t xml:space="preserve">משרות תוספתיות זמניות לתקופה מוגבלת של עד </w:t>
      </w:r>
      <w:r w:rsidRPr="00B97E44">
        <w:rPr>
          <w:rFonts w:hint="cs"/>
          <w:sz w:val="24"/>
          <w:rtl/>
        </w:rPr>
        <w:t>חמש</w:t>
      </w:r>
      <w:r w:rsidRPr="00B97E44">
        <w:rPr>
          <w:sz w:val="24"/>
          <w:rtl/>
        </w:rPr>
        <w:t xml:space="preserve"> שנים על פי צורכי הרשויות המקומיות</w:t>
      </w:r>
      <w:r w:rsidRPr="00B97E44">
        <w:rPr>
          <w:rFonts w:hint="cs"/>
          <w:sz w:val="24"/>
          <w:rtl/>
        </w:rPr>
        <w:t>. בהתאם לתוכנית ניתנה לרשויות המקומיות מקדמה בסך 17 מיליו</w:t>
      </w:r>
      <w:r>
        <w:rPr>
          <w:rFonts w:hint="cs"/>
          <w:sz w:val="24"/>
          <w:rtl/>
        </w:rPr>
        <w:t>ני</w:t>
      </w:r>
      <w:r w:rsidRPr="00B97E44">
        <w:rPr>
          <w:rFonts w:hint="cs"/>
          <w:sz w:val="24"/>
          <w:rtl/>
        </w:rPr>
        <w:t xml:space="preserve"> ש"ח לשנת 2024.</w:t>
      </w:r>
    </w:p>
    <w:p w:rsidR="005B126E" w:rsidRPr="00B97E44" w:rsidP="001916A9">
      <w:pPr>
        <w:spacing w:line="269" w:lineRule="auto"/>
        <w:rPr>
          <w:b/>
          <w:bCs/>
          <w:sz w:val="24"/>
          <w:rtl/>
        </w:rPr>
      </w:pPr>
    </w:p>
    <w:p w:rsidR="005B126E" w:rsidRPr="00B97E44" w:rsidP="001916A9">
      <w:pPr>
        <w:spacing w:line="269" w:lineRule="auto"/>
        <w:rPr>
          <w:sz w:val="24"/>
          <w:rtl/>
        </w:rPr>
      </w:pPr>
      <w:r w:rsidRPr="00B97E44">
        <w:rPr>
          <w:rFonts w:hint="cs"/>
          <w:b/>
          <w:bCs/>
          <w:sz w:val="24"/>
          <w:rtl/>
        </w:rPr>
        <w:t>הרכיב השני</w:t>
      </w:r>
      <w:r w:rsidRPr="00B97E44">
        <w:rPr>
          <w:rFonts w:hint="cs"/>
          <w:sz w:val="24"/>
          <w:rtl/>
        </w:rPr>
        <w:t xml:space="preserve"> התייחס לפיתוח תשתית ההון האנושי באמצעות</w:t>
      </w:r>
      <w:r w:rsidRPr="00B97E44">
        <w:rPr>
          <w:sz w:val="24"/>
          <w:rtl/>
        </w:rPr>
        <w:t xml:space="preserve"> סל סיוע </w:t>
      </w:r>
      <w:r w:rsidRPr="00B97E44">
        <w:rPr>
          <w:rFonts w:hint="cs"/>
          <w:sz w:val="24"/>
          <w:rtl/>
        </w:rPr>
        <w:t>הכולל ל</w:t>
      </w:r>
      <w:r w:rsidRPr="00B97E44">
        <w:rPr>
          <w:sz w:val="24"/>
          <w:rtl/>
        </w:rPr>
        <w:t>יווי לתהליכים הארגוני</w:t>
      </w:r>
      <w:r w:rsidRPr="00B97E44">
        <w:rPr>
          <w:rFonts w:hint="cs"/>
          <w:sz w:val="24"/>
          <w:rtl/>
        </w:rPr>
        <w:t>י</w:t>
      </w:r>
      <w:r w:rsidRPr="00B97E44">
        <w:rPr>
          <w:sz w:val="24"/>
          <w:rtl/>
        </w:rPr>
        <w:t>ם</w:t>
      </w:r>
      <w:r w:rsidRPr="00B97E44">
        <w:rPr>
          <w:rFonts w:hint="cs"/>
          <w:sz w:val="24"/>
          <w:rtl/>
        </w:rPr>
        <w:t>, אפשרות</w:t>
      </w:r>
      <w:r w:rsidRPr="00B97E44">
        <w:rPr>
          <w:sz w:val="24"/>
          <w:rtl/>
        </w:rPr>
        <w:t xml:space="preserve"> להעס</w:t>
      </w:r>
      <w:r w:rsidRPr="00B97E44">
        <w:rPr>
          <w:rFonts w:hint="cs"/>
          <w:sz w:val="24"/>
          <w:rtl/>
        </w:rPr>
        <w:t>י</w:t>
      </w:r>
      <w:r w:rsidRPr="00B97E44">
        <w:rPr>
          <w:sz w:val="24"/>
          <w:rtl/>
        </w:rPr>
        <w:t xml:space="preserve">ק יועצים חיצוניים </w:t>
      </w:r>
      <w:r w:rsidRPr="00B97E44">
        <w:rPr>
          <w:sz w:val="24"/>
          <w:rtl/>
        </w:rPr>
        <w:t>ופרויקטורים</w:t>
      </w:r>
      <w:r w:rsidRPr="00B97E44">
        <w:rPr>
          <w:rFonts w:hint="cs"/>
          <w:sz w:val="24"/>
          <w:rtl/>
        </w:rPr>
        <w:t xml:space="preserve">, </w:t>
      </w:r>
      <w:r w:rsidRPr="00B97E44">
        <w:rPr>
          <w:sz w:val="24"/>
          <w:rtl/>
        </w:rPr>
        <w:t>הכשרות והדרכות מקצועיות</w:t>
      </w:r>
      <w:r w:rsidRPr="00B97E44">
        <w:rPr>
          <w:rFonts w:hint="cs"/>
          <w:sz w:val="24"/>
          <w:rtl/>
        </w:rPr>
        <w:t>, סביבת עבודה</w:t>
      </w:r>
      <w:r w:rsidRPr="00B97E44">
        <w:rPr>
          <w:sz w:val="24"/>
          <w:rtl/>
        </w:rPr>
        <w:t xml:space="preserve"> וכלים ארגוניים. למועצות האזוריות </w:t>
      </w:r>
      <w:r w:rsidRPr="00B97E44">
        <w:rPr>
          <w:rFonts w:hint="cs"/>
          <w:sz w:val="24"/>
          <w:rtl/>
        </w:rPr>
        <w:t>אמור היה לה</w:t>
      </w:r>
      <w:r w:rsidRPr="00B97E44">
        <w:rPr>
          <w:sz w:val="24"/>
          <w:rtl/>
        </w:rPr>
        <w:t xml:space="preserve">ינתן </w:t>
      </w:r>
      <w:r w:rsidRPr="00B97E44">
        <w:rPr>
          <w:rFonts w:hint="cs"/>
          <w:sz w:val="24"/>
          <w:rtl/>
        </w:rPr>
        <w:t xml:space="preserve">גם </w:t>
      </w:r>
      <w:r w:rsidRPr="00B97E44">
        <w:rPr>
          <w:sz w:val="24"/>
          <w:rtl/>
        </w:rPr>
        <w:t>ליווי בניהול קהילות וועדים מקומיים תוך מתן כלים לחיזוק הקשר בין הרשות המקומית ליישובים ולקהילות</w:t>
      </w:r>
      <w:r w:rsidRPr="00B97E44">
        <w:rPr>
          <w:rFonts w:hint="cs"/>
          <w:sz w:val="24"/>
          <w:rtl/>
        </w:rPr>
        <w:t>.</w:t>
      </w:r>
      <w:r>
        <w:rPr>
          <w:rFonts w:hint="cs"/>
          <w:sz w:val="24"/>
          <w:rtl/>
        </w:rPr>
        <w:t xml:space="preserve"> בנובמבר 2024 פרסמה </w:t>
      </w:r>
      <w:r>
        <w:rPr>
          <w:rFonts w:hint="cs"/>
          <w:sz w:val="24"/>
          <w:rtl/>
        </w:rPr>
        <w:t>המינהלת</w:t>
      </w:r>
      <w:r>
        <w:rPr>
          <w:rFonts w:hint="cs"/>
          <w:sz w:val="24"/>
          <w:rtl/>
        </w:rPr>
        <w:t xml:space="preserve"> קול קורא </w:t>
      </w:r>
      <w:r w:rsidRPr="002E068A">
        <w:rPr>
          <w:sz w:val="24"/>
          <w:rtl/>
        </w:rPr>
        <w:t xml:space="preserve">להקצאת תקציב בסך 20 </w:t>
      </w:r>
      <w:r>
        <w:rPr>
          <w:rFonts w:hint="cs"/>
          <w:sz w:val="24"/>
          <w:rtl/>
        </w:rPr>
        <w:t>מיליוני ש"ח, שיחולק שווה</w:t>
      </w:r>
      <w:r w:rsidRPr="002E068A">
        <w:rPr>
          <w:sz w:val="24"/>
          <w:rtl/>
        </w:rPr>
        <w:t xml:space="preserve"> </w:t>
      </w:r>
      <w:r>
        <w:rPr>
          <w:rFonts w:hint="cs"/>
          <w:sz w:val="24"/>
          <w:rtl/>
        </w:rPr>
        <w:t>ב</w:t>
      </w:r>
      <w:r w:rsidRPr="002E068A">
        <w:rPr>
          <w:sz w:val="24"/>
          <w:rtl/>
        </w:rPr>
        <w:t xml:space="preserve">שווה בין </w:t>
      </w:r>
      <w:r>
        <w:rPr>
          <w:rFonts w:hint="cs"/>
          <w:sz w:val="24"/>
          <w:rtl/>
        </w:rPr>
        <w:t>ה</w:t>
      </w:r>
      <w:r w:rsidRPr="002E068A">
        <w:rPr>
          <w:sz w:val="24"/>
          <w:rtl/>
        </w:rPr>
        <w:t xml:space="preserve">רשויות </w:t>
      </w:r>
      <w:r>
        <w:rPr>
          <w:rFonts w:hint="cs"/>
          <w:sz w:val="24"/>
          <w:rtl/>
        </w:rPr>
        <w:t>המקומיות ב</w:t>
      </w:r>
      <w:r w:rsidRPr="002E068A">
        <w:rPr>
          <w:sz w:val="24"/>
          <w:rtl/>
        </w:rPr>
        <w:t>חבל שיועד עבור התארגנות והיערכות לביצוע פרויקטים</w:t>
      </w:r>
      <w:r>
        <w:rPr>
          <w:rFonts w:hint="cs"/>
          <w:sz w:val="24"/>
          <w:rtl/>
        </w:rPr>
        <w:t xml:space="preserve"> </w:t>
      </w:r>
      <w:r w:rsidRPr="002E068A">
        <w:rPr>
          <w:sz w:val="24"/>
          <w:rtl/>
        </w:rPr>
        <w:t>ארגוניים לחיזוק הרשויות</w:t>
      </w:r>
      <w:r>
        <w:rPr>
          <w:rFonts w:hint="cs"/>
          <w:sz w:val="24"/>
          <w:rtl/>
        </w:rPr>
        <w:t>.</w:t>
      </w:r>
    </w:p>
    <w:p w:rsidR="005B126E" w:rsidP="001916A9">
      <w:pPr>
        <w:spacing w:line="269" w:lineRule="auto"/>
        <w:rPr>
          <w:b/>
          <w:bCs/>
          <w:sz w:val="24"/>
          <w:rtl/>
        </w:rPr>
      </w:pPr>
    </w:p>
    <w:p w:rsidR="005B126E" w:rsidRPr="00BE311A" w:rsidP="001916A9">
      <w:pPr>
        <w:spacing w:line="269" w:lineRule="auto"/>
        <w:rPr>
          <w:rFonts w:ascii="David" w:hAnsi="David"/>
          <w:sz w:val="24"/>
          <w:rtl/>
        </w:rPr>
      </w:pPr>
      <w:r w:rsidRPr="00B544FF">
        <w:rPr>
          <w:rFonts w:hint="eastAsia"/>
          <w:b/>
          <w:bCs/>
          <w:sz w:val="24"/>
          <w:rtl/>
        </w:rPr>
        <w:t>הרכיב</w:t>
      </w:r>
      <w:r w:rsidRPr="00B544FF">
        <w:rPr>
          <w:b/>
          <w:bCs/>
          <w:sz w:val="24"/>
          <w:rtl/>
        </w:rPr>
        <w:t xml:space="preserve"> </w:t>
      </w:r>
      <w:r w:rsidRPr="00B544FF">
        <w:rPr>
          <w:rFonts w:hint="eastAsia"/>
          <w:b/>
          <w:bCs/>
          <w:sz w:val="24"/>
          <w:rtl/>
        </w:rPr>
        <w:t>השלישי</w:t>
      </w:r>
      <w:r w:rsidRPr="00B544FF">
        <w:rPr>
          <w:sz w:val="24"/>
          <w:rtl/>
        </w:rPr>
        <w:t xml:space="preserve"> נגע למתן כלים לגיוס ולשימור כוח האדם הנדרש כדי לעמוד במשימות ובאתגרי השיקום והריפוי. </w:t>
      </w:r>
      <w:r w:rsidRPr="00BE311A">
        <w:rPr>
          <w:rFonts w:hint="eastAsia"/>
          <w:sz w:val="24"/>
          <w:rtl/>
        </w:rPr>
        <w:t>לשם</w:t>
      </w:r>
      <w:r w:rsidRPr="00BE311A">
        <w:rPr>
          <w:sz w:val="24"/>
          <w:rtl/>
        </w:rPr>
        <w:t xml:space="preserve"> </w:t>
      </w:r>
      <w:r w:rsidRPr="00BE311A">
        <w:rPr>
          <w:rFonts w:hint="eastAsia"/>
          <w:sz w:val="24"/>
          <w:rtl/>
        </w:rPr>
        <w:t>כך</w:t>
      </w:r>
      <w:r w:rsidRPr="00BE311A">
        <w:rPr>
          <w:sz w:val="24"/>
          <w:rtl/>
        </w:rPr>
        <w:t xml:space="preserve"> </w:t>
      </w:r>
      <w:r w:rsidRPr="00BE311A">
        <w:rPr>
          <w:rFonts w:hint="eastAsia"/>
          <w:sz w:val="24"/>
          <w:rtl/>
        </w:rPr>
        <w:t>כללה</w:t>
      </w:r>
      <w:r w:rsidRPr="00BE311A">
        <w:rPr>
          <w:sz w:val="24"/>
          <w:rtl/>
        </w:rPr>
        <w:t xml:space="preserve"> </w:t>
      </w:r>
      <w:r w:rsidRPr="00BE311A">
        <w:rPr>
          <w:rFonts w:hint="eastAsia"/>
          <w:sz w:val="24"/>
          <w:rtl/>
        </w:rPr>
        <w:t>תוכנית</w:t>
      </w:r>
      <w:r w:rsidRPr="00BE311A">
        <w:rPr>
          <w:sz w:val="24"/>
          <w:rtl/>
        </w:rPr>
        <w:t xml:space="preserve"> </w:t>
      </w:r>
      <w:r w:rsidRPr="00BE311A">
        <w:rPr>
          <w:rFonts w:hint="eastAsia"/>
          <w:sz w:val="24"/>
          <w:rtl/>
        </w:rPr>
        <w:t>החומש</w:t>
      </w:r>
      <w:r w:rsidRPr="00BE311A">
        <w:rPr>
          <w:sz w:val="24"/>
          <w:rtl/>
        </w:rPr>
        <w:t>: מענקי התמדה ומענקי עמידה ביעדים; סל כלים לרשות המקומית לעידוד גיוס עובדים מנוסים ואיכותיים לאורך התוכנית (כולל מענקי הצטרפות);</w:t>
      </w:r>
      <w:r w:rsidRPr="00BE311A">
        <w:rPr>
          <w:sz w:val="24"/>
        </w:rPr>
        <w:t xml:space="preserve"> </w:t>
      </w:r>
      <w:r w:rsidRPr="00BE311A">
        <w:rPr>
          <w:sz w:val="24"/>
          <w:rtl/>
        </w:rPr>
        <w:t>מיזם לשימור ולגיוס עובדים ביחידות מחוללות שינוי;</w:t>
      </w:r>
      <w:r w:rsidRPr="00BE311A">
        <w:rPr>
          <w:sz w:val="24"/>
        </w:rPr>
        <w:t xml:space="preserve"> </w:t>
      </w:r>
      <w:r w:rsidRPr="00BE311A">
        <w:rPr>
          <w:sz w:val="24"/>
          <w:rtl/>
        </w:rPr>
        <w:t>סל לשכירת יועצים מקצועיים לליווי הרשות המקומית בתהליך</w:t>
      </w:r>
      <w:r>
        <w:rPr>
          <w:rFonts w:ascii="David" w:hAnsi="David" w:hint="cs"/>
          <w:sz w:val="24"/>
          <w:rtl/>
        </w:rPr>
        <w:t>.</w:t>
      </w:r>
    </w:p>
    <w:p w:rsidR="005B126E" w:rsidP="001916A9">
      <w:pPr>
        <w:spacing w:line="269" w:lineRule="auto"/>
        <w:rPr>
          <w:b/>
          <w:bCs/>
          <w:rtl/>
        </w:rPr>
      </w:pPr>
    </w:p>
    <w:p w:rsidR="005B126E" w:rsidRPr="00B97E44" w:rsidP="001916A9">
      <w:pPr>
        <w:spacing w:line="269" w:lineRule="auto"/>
        <w:rPr>
          <w:rtl/>
        </w:rPr>
      </w:pPr>
      <w:r w:rsidRPr="00B97E44">
        <w:rPr>
          <w:rFonts w:hint="cs"/>
          <w:b/>
          <w:bCs/>
          <w:rtl/>
        </w:rPr>
        <w:t>הרכיב הרביעי</w:t>
      </w:r>
      <w:r w:rsidRPr="00B97E44">
        <w:rPr>
          <w:rFonts w:hint="cs"/>
          <w:rtl/>
        </w:rPr>
        <w:t xml:space="preserve"> </w:t>
      </w:r>
      <w:r w:rsidRPr="00B97E44">
        <w:rPr>
          <w:rFonts w:hint="eastAsia"/>
          <w:rtl/>
        </w:rPr>
        <w:t>בתוכנית</w:t>
      </w:r>
      <w:r w:rsidRPr="00B97E44">
        <w:rPr>
          <w:rtl/>
        </w:rPr>
        <w:t xml:space="preserve"> החומש </w:t>
      </w:r>
      <w:r w:rsidRPr="00B97E44">
        <w:rPr>
          <w:rFonts w:hint="eastAsia"/>
          <w:rtl/>
        </w:rPr>
        <w:t>נתן</w:t>
      </w:r>
      <w:r w:rsidRPr="00B97E44">
        <w:rPr>
          <w:rtl/>
        </w:rPr>
        <w:t xml:space="preserve"> </w:t>
      </w:r>
      <w:r w:rsidRPr="00B97E44">
        <w:rPr>
          <w:rFonts w:hint="eastAsia"/>
          <w:rtl/>
        </w:rPr>
        <w:t>דגש</w:t>
      </w:r>
      <w:r w:rsidRPr="00B97E44">
        <w:rPr>
          <w:rtl/>
        </w:rPr>
        <w:t xml:space="preserve"> </w:t>
      </w:r>
      <w:r w:rsidRPr="00B97E44">
        <w:rPr>
          <w:rFonts w:hint="eastAsia"/>
          <w:rtl/>
        </w:rPr>
        <w:t>מיוחד</w:t>
      </w:r>
      <w:r w:rsidRPr="00B97E44">
        <w:rPr>
          <w:rtl/>
        </w:rPr>
        <w:t xml:space="preserve"> </w:t>
      </w:r>
      <w:r w:rsidRPr="00B97E44">
        <w:rPr>
          <w:rFonts w:hint="eastAsia"/>
          <w:rtl/>
        </w:rPr>
        <w:t>לנושא</w:t>
      </w:r>
      <w:r w:rsidRPr="00B97E44">
        <w:rPr>
          <w:rtl/>
        </w:rPr>
        <w:t xml:space="preserve"> </w:t>
      </w:r>
      <w:r w:rsidRPr="00B97E44">
        <w:rPr>
          <w:rFonts w:hint="eastAsia"/>
          <w:rtl/>
        </w:rPr>
        <w:t>מיפוי</w:t>
      </w:r>
      <w:r w:rsidRPr="00B97E44">
        <w:rPr>
          <w:rtl/>
        </w:rPr>
        <w:t xml:space="preserve"> </w:t>
      </w:r>
      <w:r w:rsidRPr="00B97E44">
        <w:rPr>
          <w:rFonts w:hint="eastAsia"/>
          <w:rtl/>
        </w:rPr>
        <w:t>הצרכים</w:t>
      </w:r>
      <w:r w:rsidRPr="00B97E44">
        <w:rPr>
          <w:rtl/>
        </w:rPr>
        <w:t xml:space="preserve"> </w:t>
      </w:r>
      <w:r w:rsidRPr="00B97E44">
        <w:rPr>
          <w:rFonts w:hint="eastAsia"/>
          <w:rtl/>
        </w:rPr>
        <w:t>הדיגיטליים</w:t>
      </w:r>
      <w:r w:rsidRPr="00B97E44">
        <w:rPr>
          <w:rtl/>
        </w:rPr>
        <w:t xml:space="preserve"> של </w:t>
      </w:r>
      <w:r w:rsidRPr="00B97E44">
        <w:rPr>
          <w:rFonts w:hint="eastAsia"/>
          <w:rtl/>
        </w:rPr>
        <w:t>רשויות</w:t>
      </w:r>
      <w:r w:rsidRPr="00B97E44">
        <w:rPr>
          <w:rtl/>
        </w:rPr>
        <w:t xml:space="preserve"> </w:t>
      </w:r>
      <w:r w:rsidRPr="00B97E44">
        <w:rPr>
          <w:rFonts w:hint="eastAsia"/>
          <w:rtl/>
        </w:rPr>
        <w:t>החבל</w:t>
      </w:r>
      <w:r w:rsidRPr="00B97E44">
        <w:rPr>
          <w:rtl/>
        </w:rPr>
        <w:t xml:space="preserve"> </w:t>
      </w:r>
      <w:r w:rsidRPr="00B97E44">
        <w:rPr>
          <w:rFonts w:hint="eastAsia"/>
          <w:rtl/>
        </w:rPr>
        <w:t>כדי</w:t>
      </w:r>
      <w:r w:rsidRPr="00B97E44">
        <w:rPr>
          <w:rtl/>
        </w:rPr>
        <w:t xml:space="preserve"> לערוך </w:t>
      </w:r>
      <w:r w:rsidRPr="00B97E44">
        <w:rPr>
          <w:rFonts w:hint="eastAsia"/>
          <w:rtl/>
        </w:rPr>
        <w:t>התאמה</w:t>
      </w:r>
      <w:r w:rsidRPr="00B97E44">
        <w:rPr>
          <w:rtl/>
        </w:rPr>
        <w:t xml:space="preserve"> </w:t>
      </w:r>
      <w:r w:rsidRPr="00B97E44">
        <w:rPr>
          <w:rFonts w:hint="eastAsia"/>
          <w:rtl/>
        </w:rPr>
        <w:t>של</w:t>
      </w:r>
      <w:r w:rsidRPr="00B97E44">
        <w:rPr>
          <w:rtl/>
        </w:rPr>
        <w:t xml:space="preserve"> </w:t>
      </w:r>
      <w:r w:rsidRPr="00B97E44">
        <w:rPr>
          <w:rFonts w:hint="eastAsia"/>
          <w:rtl/>
        </w:rPr>
        <w:t>הכלים</w:t>
      </w:r>
      <w:r w:rsidRPr="00B97E44">
        <w:rPr>
          <w:rtl/>
        </w:rPr>
        <w:t xml:space="preserve"> </w:t>
      </w:r>
      <w:r w:rsidRPr="00B97E44">
        <w:rPr>
          <w:rFonts w:hint="eastAsia"/>
          <w:rtl/>
        </w:rPr>
        <w:t>הדיגיטליים</w:t>
      </w:r>
      <w:r w:rsidRPr="00B97E44">
        <w:rPr>
          <w:rtl/>
        </w:rPr>
        <w:t xml:space="preserve"> </w:t>
      </w:r>
      <w:r w:rsidRPr="00B97E44">
        <w:rPr>
          <w:rFonts w:hint="eastAsia"/>
          <w:rtl/>
        </w:rPr>
        <w:t>בכל</w:t>
      </w:r>
      <w:r w:rsidRPr="00B97E44">
        <w:rPr>
          <w:rtl/>
        </w:rPr>
        <w:t xml:space="preserve"> </w:t>
      </w:r>
      <w:r w:rsidRPr="00B97E44">
        <w:rPr>
          <w:rFonts w:hint="eastAsia"/>
          <w:rtl/>
        </w:rPr>
        <w:t>רשות</w:t>
      </w:r>
      <w:r w:rsidRPr="00B97E44">
        <w:rPr>
          <w:rtl/>
        </w:rPr>
        <w:t xml:space="preserve"> </w:t>
      </w:r>
      <w:r w:rsidRPr="00B97E44">
        <w:rPr>
          <w:rFonts w:hint="eastAsia"/>
          <w:rtl/>
        </w:rPr>
        <w:t>ורשות</w:t>
      </w:r>
      <w:r w:rsidRPr="00B97E44">
        <w:rPr>
          <w:rtl/>
        </w:rPr>
        <w:t xml:space="preserve"> </w:t>
      </w:r>
      <w:r w:rsidRPr="00B97E44">
        <w:rPr>
          <w:rFonts w:hint="eastAsia"/>
          <w:rtl/>
        </w:rPr>
        <w:t>ולשפר</w:t>
      </w:r>
      <w:r w:rsidRPr="00B97E44">
        <w:rPr>
          <w:rtl/>
        </w:rPr>
        <w:t xml:space="preserve"> את </w:t>
      </w:r>
      <w:r w:rsidRPr="00B97E44">
        <w:rPr>
          <w:rFonts w:hint="eastAsia"/>
          <w:rtl/>
        </w:rPr>
        <w:t>הנגשת</w:t>
      </w:r>
      <w:r w:rsidRPr="00B97E44">
        <w:rPr>
          <w:rtl/>
        </w:rPr>
        <w:t xml:space="preserve"> </w:t>
      </w:r>
      <w:r w:rsidRPr="00B97E44">
        <w:rPr>
          <w:rFonts w:hint="eastAsia"/>
          <w:rtl/>
        </w:rPr>
        <w:t>השירותים</w:t>
      </w:r>
      <w:r w:rsidRPr="00B97E44">
        <w:rPr>
          <w:rtl/>
        </w:rPr>
        <w:t xml:space="preserve"> </w:t>
      </w:r>
      <w:r w:rsidRPr="00B97E44">
        <w:rPr>
          <w:rFonts w:hint="eastAsia"/>
          <w:rtl/>
        </w:rPr>
        <w:t>מרחוק</w:t>
      </w:r>
      <w:r w:rsidRPr="00B97E44">
        <w:rPr>
          <w:rtl/>
        </w:rPr>
        <w:t xml:space="preserve"> </w:t>
      </w:r>
      <w:r w:rsidRPr="00B97E44">
        <w:rPr>
          <w:rFonts w:hint="eastAsia"/>
          <w:rtl/>
        </w:rPr>
        <w:t>לתושב</w:t>
      </w:r>
      <w:r w:rsidRPr="00B97E44">
        <w:rPr>
          <w:rtl/>
        </w:rPr>
        <w:t xml:space="preserve"> </w:t>
      </w:r>
      <w:r w:rsidRPr="00B97E44">
        <w:rPr>
          <w:rFonts w:hint="eastAsia"/>
          <w:rtl/>
        </w:rPr>
        <w:t>ואת</w:t>
      </w:r>
      <w:r w:rsidRPr="00B97E44">
        <w:rPr>
          <w:rtl/>
        </w:rPr>
        <w:t xml:space="preserve"> </w:t>
      </w:r>
      <w:r w:rsidRPr="00B97E44">
        <w:rPr>
          <w:rFonts w:hint="eastAsia"/>
          <w:rtl/>
        </w:rPr>
        <w:t>רמת</w:t>
      </w:r>
      <w:r w:rsidRPr="00B97E44">
        <w:rPr>
          <w:rtl/>
        </w:rPr>
        <w:t xml:space="preserve"> </w:t>
      </w:r>
      <w:r w:rsidRPr="00B97E44">
        <w:rPr>
          <w:rFonts w:hint="eastAsia"/>
          <w:rtl/>
        </w:rPr>
        <w:t>השירות</w:t>
      </w:r>
      <w:r w:rsidRPr="00B97E44">
        <w:rPr>
          <w:rtl/>
        </w:rPr>
        <w:t xml:space="preserve"> </w:t>
      </w:r>
      <w:r w:rsidRPr="00B97E44">
        <w:rPr>
          <w:rFonts w:hint="eastAsia"/>
          <w:rtl/>
        </w:rPr>
        <w:t>בתצורה</w:t>
      </w:r>
      <w:r w:rsidRPr="00B97E44">
        <w:rPr>
          <w:rtl/>
        </w:rPr>
        <w:t xml:space="preserve"> </w:t>
      </w:r>
      <w:r w:rsidRPr="00B97E44">
        <w:rPr>
          <w:rFonts w:hint="eastAsia"/>
          <w:rtl/>
        </w:rPr>
        <w:t>דיגיטלית</w:t>
      </w:r>
      <w:r w:rsidRPr="00B97E44">
        <w:rPr>
          <w:rtl/>
        </w:rPr>
        <w:t>.</w:t>
      </w:r>
      <w:r>
        <w:rPr>
          <w:rFonts w:hint="cs"/>
          <w:rtl/>
        </w:rPr>
        <w:t xml:space="preserve"> </w:t>
      </w:r>
    </w:p>
    <w:p w:rsidR="005B126E" w:rsidP="001916A9">
      <w:pPr>
        <w:spacing w:line="269" w:lineRule="auto"/>
        <w:rPr>
          <w:b/>
          <w:bCs/>
          <w:rtl/>
        </w:rPr>
      </w:pPr>
    </w:p>
    <w:p w:rsidR="005B126E" w:rsidRPr="00B97E44" w:rsidP="001916A9">
      <w:pPr>
        <w:spacing w:line="269" w:lineRule="auto"/>
        <w:rPr>
          <w:b/>
          <w:bCs/>
          <w:rtl/>
        </w:rPr>
      </w:pPr>
      <w:r w:rsidRPr="00B97E44">
        <w:rPr>
          <w:rFonts w:hint="eastAsia"/>
          <w:b/>
          <w:bCs/>
          <w:rtl/>
        </w:rPr>
        <w:t>בביקורת</w:t>
      </w:r>
      <w:r w:rsidRPr="00B97E44">
        <w:rPr>
          <w:b/>
          <w:bCs/>
          <w:rtl/>
        </w:rPr>
        <w:t xml:space="preserve"> </w:t>
      </w:r>
      <w:r w:rsidRPr="00B97E44">
        <w:rPr>
          <w:rFonts w:hint="eastAsia"/>
          <w:b/>
          <w:bCs/>
          <w:rtl/>
        </w:rPr>
        <w:t>עלה</w:t>
      </w:r>
      <w:r w:rsidRPr="00B97E44">
        <w:rPr>
          <w:b/>
          <w:bCs/>
          <w:rtl/>
        </w:rPr>
        <w:t xml:space="preserve"> </w:t>
      </w:r>
      <w:r w:rsidRPr="00B97E44">
        <w:rPr>
          <w:rFonts w:hint="eastAsia"/>
          <w:b/>
          <w:bCs/>
          <w:rtl/>
        </w:rPr>
        <w:t>כי</w:t>
      </w:r>
      <w:r w:rsidRPr="00B97E44">
        <w:rPr>
          <w:b/>
          <w:bCs/>
          <w:rtl/>
        </w:rPr>
        <w:t xml:space="preserve"> </w:t>
      </w:r>
      <w:r w:rsidRPr="00B97E44">
        <w:rPr>
          <w:rFonts w:hint="eastAsia"/>
          <w:b/>
          <w:bCs/>
          <w:rtl/>
        </w:rPr>
        <w:t>במשך</w:t>
      </w:r>
      <w:r w:rsidRPr="00B97E44">
        <w:rPr>
          <w:b/>
          <w:bCs/>
          <w:rtl/>
        </w:rPr>
        <w:t xml:space="preserve"> </w:t>
      </w:r>
      <w:r w:rsidRPr="00B97E44">
        <w:rPr>
          <w:rFonts w:hint="cs"/>
          <w:b/>
          <w:bCs/>
          <w:rtl/>
        </w:rPr>
        <w:t>יותר</w:t>
      </w:r>
      <w:r w:rsidRPr="00B97E44">
        <w:rPr>
          <w:b/>
          <w:bCs/>
          <w:rtl/>
        </w:rPr>
        <w:t xml:space="preserve"> משנה - מאז אוקטובר 2024</w:t>
      </w:r>
      <w:r w:rsidRPr="00B97E44">
        <w:rPr>
          <w:rFonts w:hint="cs"/>
          <w:b/>
          <w:bCs/>
          <w:rtl/>
        </w:rPr>
        <w:t>,</w:t>
      </w:r>
      <w:r w:rsidRPr="00B97E44">
        <w:rPr>
          <w:b/>
          <w:bCs/>
          <w:rtl/>
        </w:rPr>
        <w:t xml:space="preserve"> </w:t>
      </w:r>
      <w:r w:rsidRPr="00B97E44">
        <w:rPr>
          <w:rFonts w:hint="cs"/>
          <w:b/>
          <w:bCs/>
          <w:rtl/>
        </w:rPr>
        <w:t>עת הועברו</w:t>
      </w:r>
      <w:r w:rsidRPr="00B97E44">
        <w:rPr>
          <w:b/>
          <w:bCs/>
          <w:rtl/>
        </w:rPr>
        <w:t xml:space="preserve"> הקצאת התקציב והובלת נושא חיזוק הרשויות המקומיות ממשרד הפנים </w:t>
      </w:r>
      <w:r w:rsidRPr="00B97E44">
        <w:rPr>
          <w:rFonts w:hint="eastAsia"/>
          <w:b/>
          <w:bCs/>
          <w:rtl/>
        </w:rPr>
        <w:t>למינהלת</w:t>
      </w:r>
      <w:r w:rsidRPr="00B97E44">
        <w:rPr>
          <w:b/>
          <w:bCs/>
          <w:rtl/>
        </w:rPr>
        <w:t xml:space="preserve"> תקומה ועד סוף שנת 2025 - לא מומשו התקציבים שנועדו לחיזוק הרשויות המקומיות.</w:t>
      </w:r>
    </w:p>
    <w:p w:rsidR="005B126E" w:rsidP="001916A9">
      <w:pPr>
        <w:spacing w:line="269" w:lineRule="auto"/>
        <w:rPr>
          <w:b/>
          <w:bCs/>
          <w:rtl/>
        </w:rPr>
      </w:pPr>
    </w:p>
    <w:p w:rsidR="005B126E" w:rsidRPr="00B97E44" w:rsidP="001916A9">
      <w:pPr>
        <w:spacing w:line="269" w:lineRule="auto"/>
        <w:rPr>
          <w:rtl/>
        </w:rPr>
      </w:pPr>
      <w:r w:rsidRPr="00B97E44">
        <w:rPr>
          <w:b/>
          <w:bCs/>
          <w:rtl/>
        </w:rPr>
        <w:t xml:space="preserve">מינהלת תקומה </w:t>
      </w:r>
      <w:r w:rsidRPr="00B97E44">
        <w:rPr>
          <w:rFonts w:hint="cs"/>
          <w:b/>
          <w:bCs/>
          <w:rtl/>
        </w:rPr>
        <w:t xml:space="preserve">גיבשה מתווה תוכנית שונה מזה </w:t>
      </w:r>
      <w:r w:rsidRPr="00B97E44">
        <w:rPr>
          <w:rFonts w:hint="eastAsia"/>
          <w:b/>
          <w:bCs/>
          <w:rtl/>
        </w:rPr>
        <w:t>שג</w:t>
      </w:r>
      <w:r w:rsidRPr="00B97E44">
        <w:rPr>
          <w:rFonts w:hint="cs"/>
          <w:b/>
          <w:bCs/>
          <w:rtl/>
        </w:rPr>
        <w:t>י</w:t>
      </w:r>
      <w:r w:rsidRPr="00B97E44">
        <w:rPr>
          <w:rFonts w:hint="eastAsia"/>
          <w:b/>
          <w:bCs/>
          <w:rtl/>
        </w:rPr>
        <w:t>בש</w:t>
      </w:r>
      <w:r w:rsidRPr="00B97E44">
        <w:rPr>
          <w:b/>
          <w:bCs/>
          <w:rtl/>
        </w:rPr>
        <w:t xml:space="preserve"> </w:t>
      </w:r>
      <w:r w:rsidRPr="00B97E44">
        <w:rPr>
          <w:rFonts w:hint="eastAsia"/>
          <w:b/>
          <w:bCs/>
          <w:rtl/>
        </w:rPr>
        <w:t>משרד</w:t>
      </w:r>
      <w:r w:rsidRPr="00B97E44">
        <w:rPr>
          <w:b/>
          <w:bCs/>
          <w:rtl/>
        </w:rPr>
        <w:t xml:space="preserve"> </w:t>
      </w:r>
      <w:r w:rsidRPr="00B97E44">
        <w:rPr>
          <w:rFonts w:hint="eastAsia"/>
          <w:b/>
          <w:bCs/>
          <w:rtl/>
        </w:rPr>
        <w:t>הפנים</w:t>
      </w:r>
      <w:r w:rsidRPr="00B97E44">
        <w:rPr>
          <w:b/>
          <w:bCs/>
          <w:rtl/>
        </w:rPr>
        <w:t xml:space="preserve"> </w:t>
      </w:r>
      <w:r w:rsidRPr="00B97E44">
        <w:rPr>
          <w:rFonts w:hint="eastAsia"/>
          <w:b/>
          <w:bCs/>
          <w:rtl/>
        </w:rPr>
        <w:t>בתוכנית</w:t>
      </w:r>
      <w:r w:rsidRPr="00B97E44">
        <w:rPr>
          <w:b/>
          <w:bCs/>
          <w:rtl/>
        </w:rPr>
        <w:t xml:space="preserve"> </w:t>
      </w:r>
      <w:r w:rsidRPr="00B97E44">
        <w:rPr>
          <w:rFonts w:hint="eastAsia"/>
          <w:b/>
          <w:bCs/>
          <w:rtl/>
        </w:rPr>
        <w:t>החומש</w:t>
      </w:r>
      <w:r w:rsidRPr="00B97E44">
        <w:rPr>
          <w:rFonts w:hint="cs"/>
          <w:rtl/>
        </w:rPr>
        <w:t xml:space="preserve">, </w:t>
      </w:r>
      <w:r w:rsidRPr="00B97E44">
        <w:rPr>
          <w:rFonts w:hint="cs"/>
          <w:b/>
          <w:bCs/>
          <w:rtl/>
        </w:rPr>
        <w:t>ו</w:t>
      </w:r>
      <w:r w:rsidRPr="00B97E44">
        <w:rPr>
          <w:rFonts w:hint="eastAsia"/>
          <w:b/>
          <w:bCs/>
          <w:rtl/>
        </w:rPr>
        <w:t>בספטמבר</w:t>
      </w:r>
      <w:r w:rsidRPr="00B97E44">
        <w:rPr>
          <w:b/>
          <w:bCs/>
          <w:rtl/>
        </w:rPr>
        <w:t xml:space="preserve"> 2025 פרסמה קול קורא ל</w:t>
      </w:r>
      <w:r w:rsidRPr="00B97E44">
        <w:rPr>
          <w:rFonts w:hint="eastAsia"/>
          <w:b/>
          <w:bCs/>
          <w:rtl/>
        </w:rPr>
        <w:t>מימוש</w:t>
      </w:r>
      <w:r w:rsidRPr="00B97E44">
        <w:rPr>
          <w:b/>
          <w:bCs/>
          <w:rtl/>
        </w:rPr>
        <w:t xml:space="preserve"> </w:t>
      </w:r>
      <w:r w:rsidRPr="00B97E44">
        <w:rPr>
          <w:rFonts w:hint="eastAsia"/>
          <w:b/>
          <w:bCs/>
          <w:rtl/>
        </w:rPr>
        <w:t>התקציב</w:t>
      </w:r>
      <w:r w:rsidRPr="00B97E44">
        <w:rPr>
          <w:b/>
          <w:bCs/>
          <w:rtl/>
        </w:rPr>
        <w:t xml:space="preserve"> </w:t>
      </w:r>
      <w:r w:rsidRPr="00B97E44">
        <w:rPr>
          <w:rFonts w:hint="eastAsia"/>
          <w:b/>
          <w:bCs/>
          <w:rtl/>
        </w:rPr>
        <w:t>לחיזוק</w:t>
      </w:r>
      <w:r w:rsidRPr="00B97E44">
        <w:rPr>
          <w:b/>
          <w:bCs/>
          <w:rtl/>
        </w:rPr>
        <w:t xml:space="preserve"> </w:t>
      </w:r>
      <w:r w:rsidRPr="00B97E44">
        <w:rPr>
          <w:rFonts w:hint="eastAsia"/>
          <w:b/>
          <w:bCs/>
          <w:rtl/>
        </w:rPr>
        <w:t>הרשויות</w:t>
      </w:r>
      <w:r w:rsidRPr="00B97E44">
        <w:rPr>
          <w:b/>
          <w:bCs/>
          <w:rtl/>
        </w:rPr>
        <w:t xml:space="preserve"> </w:t>
      </w:r>
      <w:r w:rsidRPr="00B97E44">
        <w:rPr>
          <w:rFonts w:hint="eastAsia"/>
          <w:b/>
          <w:bCs/>
          <w:rtl/>
        </w:rPr>
        <w:t>המקומיות</w:t>
      </w:r>
      <w:r w:rsidRPr="00B97E44">
        <w:rPr>
          <w:b/>
          <w:bCs/>
          <w:rtl/>
        </w:rPr>
        <w:t xml:space="preserve"> </w:t>
      </w:r>
      <w:r w:rsidRPr="00B97E44">
        <w:rPr>
          <w:rFonts w:hint="eastAsia"/>
          <w:b/>
          <w:bCs/>
          <w:rtl/>
        </w:rPr>
        <w:t>בחבל</w:t>
      </w:r>
      <w:r w:rsidRPr="00B97E44">
        <w:rPr>
          <w:b/>
          <w:bCs/>
          <w:rtl/>
        </w:rPr>
        <w:t xml:space="preserve"> </w:t>
      </w:r>
      <w:r w:rsidRPr="00B97E44">
        <w:rPr>
          <w:rFonts w:hint="eastAsia"/>
          <w:b/>
          <w:bCs/>
          <w:rtl/>
        </w:rPr>
        <w:t>התקומה</w:t>
      </w:r>
      <w:r w:rsidRPr="00B97E44">
        <w:rPr>
          <w:rFonts w:hint="cs"/>
          <w:b/>
          <w:bCs/>
          <w:rtl/>
        </w:rPr>
        <w:t>.</w:t>
      </w:r>
      <w:r w:rsidRPr="00B97E44">
        <w:rPr>
          <w:b/>
          <w:bCs/>
          <w:rtl/>
        </w:rPr>
        <w:t xml:space="preserve"> </w:t>
      </w:r>
      <w:r w:rsidRPr="00B97E44">
        <w:rPr>
          <w:rFonts w:hint="cs"/>
          <w:b/>
          <w:bCs/>
          <w:rtl/>
        </w:rPr>
        <w:t>תקציב הקול הקורא עמד על</w:t>
      </w:r>
      <w:r w:rsidRPr="00B97E44">
        <w:rPr>
          <w:b/>
          <w:bCs/>
          <w:rtl/>
        </w:rPr>
        <w:t xml:space="preserve"> 138 </w:t>
      </w:r>
      <w:r w:rsidRPr="00B97E44">
        <w:rPr>
          <w:rFonts w:hint="eastAsia"/>
          <w:b/>
          <w:bCs/>
          <w:rtl/>
        </w:rPr>
        <w:t>מיליו</w:t>
      </w:r>
      <w:r>
        <w:rPr>
          <w:rFonts w:hint="cs"/>
          <w:b/>
          <w:bCs/>
          <w:rtl/>
        </w:rPr>
        <w:t>ני</w:t>
      </w:r>
      <w:r w:rsidRPr="00B97E44">
        <w:rPr>
          <w:b/>
          <w:bCs/>
          <w:rtl/>
        </w:rPr>
        <w:t xml:space="preserve"> </w:t>
      </w:r>
      <w:r w:rsidRPr="00B97E44">
        <w:rPr>
          <w:rFonts w:hint="eastAsia"/>
          <w:b/>
          <w:bCs/>
          <w:rtl/>
        </w:rPr>
        <w:t>ש</w:t>
      </w:r>
      <w:r w:rsidRPr="00B97E44">
        <w:rPr>
          <w:b/>
          <w:bCs/>
          <w:rtl/>
        </w:rPr>
        <w:t>"ח, שי</w:t>
      </w:r>
      <w:r w:rsidRPr="00B97E44">
        <w:rPr>
          <w:rFonts w:hint="eastAsia"/>
          <w:b/>
          <w:bCs/>
          <w:rtl/>
        </w:rPr>
        <w:t>וקצה</w:t>
      </w:r>
      <w:r w:rsidRPr="00B97E44">
        <w:rPr>
          <w:b/>
          <w:bCs/>
          <w:rtl/>
        </w:rPr>
        <w:t xml:space="preserve"> לפי קריטריונים של מספר תושבים, פריפריאליות, מרחק מהגדר, מצב</w:t>
      </w:r>
      <w:r w:rsidRPr="00B97E44">
        <w:rPr>
          <w:rFonts w:hint="cs"/>
          <w:b/>
          <w:bCs/>
          <w:rtl/>
        </w:rPr>
        <w:t xml:space="preserve"> חברתי-כלכלי </w:t>
      </w:r>
      <w:r w:rsidRPr="00B97E44">
        <w:rPr>
          <w:b/>
          <w:bCs/>
          <w:rtl/>
        </w:rPr>
        <w:t xml:space="preserve">ומידת הפגיעה במתווה </w:t>
      </w:r>
      <w:r w:rsidRPr="00B97E44">
        <w:rPr>
          <w:rFonts w:hint="cs"/>
          <w:b/>
          <w:bCs/>
          <w:rtl/>
        </w:rPr>
        <w:t>אחוד.</w:t>
      </w:r>
      <w:r w:rsidRPr="00B97E44">
        <w:rPr>
          <w:b/>
          <w:bCs/>
          <w:rtl/>
        </w:rPr>
        <w:t xml:space="preserve"> </w:t>
      </w:r>
    </w:p>
    <w:p w:rsidR="005B126E" w:rsidP="001916A9">
      <w:pPr>
        <w:spacing w:line="269" w:lineRule="auto"/>
        <w:rPr>
          <w:sz w:val="24"/>
          <w:rtl/>
        </w:rPr>
      </w:pPr>
    </w:p>
    <w:p w:rsidR="005B126E" w:rsidRPr="00B97E44" w:rsidP="001916A9">
      <w:pPr>
        <w:spacing w:line="269" w:lineRule="auto"/>
        <w:rPr>
          <w:szCs w:val="20"/>
          <w:rtl/>
        </w:rPr>
      </w:pPr>
      <w:r w:rsidRPr="00B97E44">
        <w:rPr>
          <w:rFonts w:hint="eastAsia"/>
          <w:sz w:val="24"/>
          <w:rtl/>
        </w:rPr>
        <w:t>הקול</w:t>
      </w:r>
      <w:r w:rsidRPr="00B97E44">
        <w:rPr>
          <w:sz w:val="24"/>
          <w:rtl/>
        </w:rPr>
        <w:t xml:space="preserve"> הקורא כלל את ארבעת הרכיבים האמורים לעיל</w:t>
      </w:r>
      <w:r w:rsidRPr="00B97E44">
        <w:rPr>
          <w:rFonts w:hint="cs"/>
          <w:sz w:val="24"/>
          <w:rtl/>
        </w:rPr>
        <w:t>,</w:t>
      </w:r>
      <w:r w:rsidRPr="00B97E44">
        <w:rPr>
          <w:sz w:val="24"/>
          <w:rtl/>
        </w:rPr>
        <w:t xml:space="preserve"> </w:t>
      </w:r>
      <w:r w:rsidRPr="00B97E44">
        <w:rPr>
          <w:rFonts w:hint="cs"/>
          <w:sz w:val="24"/>
          <w:rtl/>
        </w:rPr>
        <w:t>ו</w:t>
      </w:r>
      <w:r w:rsidRPr="00B97E44">
        <w:rPr>
          <w:rFonts w:hint="eastAsia"/>
          <w:sz w:val="24"/>
          <w:rtl/>
        </w:rPr>
        <w:t>בכפוף</w:t>
      </w:r>
      <w:r w:rsidRPr="00B97E44">
        <w:rPr>
          <w:sz w:val="24"/>
          <w:rtl/>
        </w:rPr>
        <w:t xml:space="preserve"> לתנאים שנקבעו במבחן התמיכה נתן לכל רשות מקומית את האפשרות לקבוע את סדרי העדיפויות ביישום התוכנית ולממש את התקציב הכולל בהתאם לצרכיה ומאפייניה. הרשויות נדרשו להשיב לקול הקורא עד תחילת נובמבר 2025 </w:t>
      </w:r>
      <w:r w:rsidRPr="00B97E44">
        <w:rPr>
          <w:rFonts w:hint="eastAsia"/>
          <w:sz w:val="24"/>
          <w:rtl/>
        </w:rPr>
        <w:t>והודגש</w:t>
      </w:r>
      <w:r w:rsidRPr="00B97E44">
        <w:rPr>
          <w:sz w:val="24"/>
          <w:rtl/>
        </w:rPr>
        <w:t xml:space="preserve"> כי נכון ליום פרסום המבחן</w:t>
      </w:r>
      <w:r>
        <w:rPr>
          <w:rFonts w:hint="cs"/>
          <w:sz w:val="24"/>
          <w:rtl/>
        </w:rPr>
        <w:t>,</w:t>
      </w:r>
      <w:r w:rsidRPr="00B97E44">
        <w:rPr>
          <w:sz w:val="24"/>
          <w:rtl/>
        </w:rPr>
        <w:t xml:space="preserve"> התקציב טרם התקבל לתקנה התקציבית וכי פתיחת הבקשות במבחן תמיכה זה מותנ</w:t>
      </w:r>
      <w:r w:rsidRPr="00B97E44">
        <w:rPr>
          <w:rFonts w:hint="cs"/>
          <w:sz w:val="24"/>
          <w:rtl/>
        </w:rPr>
        <w:t>י</w:t>
      </w:r>
      <w:r w:rsidRPr="00B97E44">
        <w:rPr>
          <w:sz w:val="24"/>
          <w:rtl/>
        </w:rPr>
        <w:t>ת בקיומו של התקציב בתקנה בפועל</w:t>
      </w:r>
      <w:r w:rsidRPr="00B97E44">
        <w:rPr>
          <w:sz w:val="24"/>
        </w:rPr>
        <w:t>.</w:t>
      </w:r>
      <w:r w:rsidRPr="00B97E44">
        <w:rPr>
          <w:rFonts w:hint="cs"/>
          <w:szCs w:val="20"/>
          <w:rtl/>
        </w:rPr>
        <w:t xml:space="preserve"> </w:t>
      </w:r>
    </w:p>
    <w:p w:rsidR="005B126E" w:rsidP="001916A9">
      <w:pPr>
        <w:spacing w:line="269" w:lineRule="auto"/>
        <w:rPr>
          <w:b/>
          <w:bCs/>
          <w:rtl/>
        </w:rPr>
      </w:pPr>
    </w:p>
    <w:p w:rsidR="005B126E" w:rsidRPr="00B97E44" w:rsidP="001916A9">
      <w:pPr>
        <w:spacing w:line="269" w:lineRule="auto"/>
        <w:rPr>
          <w:b/>
          <w:bCs/>
          <w:rtl/>
        </w:rPr>
      </w:pPr>
      <w:r w:rsidRPr="00B97E44">
        <w:rPr>
          <w:rFonts w:hint="eastAsia"/>
          <w:b/>
          <w:bCs/>
          <w:rtl/>
        </w:rPr>
        <w:t>לרשויות</w:t>
      </w:r>
      <w:r w:rsidRPr="00B97E44">
        <w:rPr>
          <w:b/>
          <w:bCs/>
          <w:rtl/>
        </w:rPr>
        <w:t xml:space="preserve"> המקומיות בחבל אתגרים </w:t>
      </w:r>
      <w:r w:rsidRPr="00B97E44">
        <w:rPr>
          <w:rFonts w:hint="cs"/>
          <w:b/>
          <w:bCs/>
          <w:rtl/>
        </w:rPr>
        <w:t xml:space="preserve">ניהוליים </w:t>
      </w:r>
      <w:r w:rsidRPr="00B97E44">
        <w:rPr>
          <w:rFonts w:hint="eastAsia"/>
          <w:b/>
          <w:bCs/>
          <w:rtl/>
        </w:rPr>
        <w:t>רבים</w:t>
      </w:r>
      <w:r w:rsidRPr="00B97E44">
        <w:rPr>
          <w:b/>
          <w:bCs/>
          <w:rtl/>
        </w:rPr>
        <w:t xml:space="preserve"> </w:t>
      </w:r>
      <w:r w:rsidRPr="00B97E44">
        <w:rPr>
          <w:rFonts w:hint="eastAsia"/>
          <w:b/>
          <w:bCs/>
          <w:rtl/>
        </w:rPr>
        <w:t>הנובעים</w:t>
      </w:r>
      <w:r w:rsidRPr="00B97E44">
        <w:rPr>
          <w:b/>
          <w:bCs/>
          <w:rtl/>
        </w:rPr>
        <w:t xml:space="preserve"> </w:t>
      </w:r>
      <w:r w:rsidRPr="00B97E44">
        <w:rPr>
          <w:rFonts w:hint="eastAsia"/>
          <w:b/>
          <w:bCs/>
          <w:rtl/>
        </w:rPr>
        <w:t>בין</w:t>
      </w:r>
      <w:r w:rsidRPr="00B97E44">
        <w:rPr>
          <w:b/>
          <w:bCs/>
          <w:rtl/>
        </w:rPr>
        <w:t xml:space="preserve"> </w:t>
      </w:r>
      <w:r w:rsidRPr="00B97E44">
        <w:rPr>
          <w:rFonts w:hint="eastAsia"/>
          <w:b/>
          <w:bCs/>
          <w:rtl/>
        </w:rPr>
        <w:t>השאר</w:t>
      </w:r>
      <w:r w:rsidRPr="00B97E44">
        <w:rPr>
          <w:b/>
          <w:bCs/>
          <w:rtl/>
        </w:rPr>
        <w:t xml:space="preserve"> </w:t>
      </w:r>
      <w:r w:rsidRPr="00B97E44">
        <w:rPr>
          <w:rFonts w:hint="eastAsia"/>
          <w:b/>
          <w:bCs/>
          <w:rtl/>
        </w:rPr>
        <w:t>ממיקומ</w:t>
      </w:r>
      <w:r w:rsidRPr="00B97E44">
        <w:rPr>
          <w:rFonts w:hint="cs"/>
          <w:b/>
          <w:bCs/>
          <w:rtl/>
        </w:rPr>
        <w:t>ן</w:t>
      </w:r>
      <w:r w:rsidRPr="00B97E44">
        <w:rPr>
          <w:b/>
          <w:bCs/>
          <w:rtl/>
        </w:rPr>
        <w:t xml:space="preserve"> </w:t>
      </w:r>
      <w:r w:rsidRPr="00B97E44">
        <w:rPr>
          <w:rFonts w:hint="eastAsia"/>
          <w:b/>
          <w:bCs/>
          <w:rtl/>
        </w:rPr>
        <w:t>הפריפריאלי</w:t>
      </w:r>
      <w:r w:rsidRPr="00B97E44">
        <w:rPr>
          <w:b/>
          <w:bCs/>
          <w:rtl/>
        </w:rPr>
        <w:t xml:space="preserve"> באזור עימות. </w:t>
      </w:r>
      <w:r w:rsidRPr="00B97E44">
        <w:rPr>
          <w:rFonts w:hint="cs"/>
          <w:b/>
          <w:bCs/>
          <w:rtl/>
        </w:rPr>
        <w:t>לארבע מחמש רשויות החבל</w:t>
      </w:r>
      <w:r w:rsidRPr="00B97E44">
        <w:rPr>
          <w:b/>
          <w:bCs/>
          <w:rtl/>
        </w:rPr>
        <w:t xml:space="preserve"> אתגרים </w:t>
      </w:r>
      <w:r w:rsidRPr="00B97E44">
        <w:rPr>
          <w:rFonts w:hint="cs"/>
          <w:b/>
          <w:bCs/>
          <w:rtl/>
        </w:rPr>
        <w:t xml:space="preserve">ניהוליים </w:t>
      </w:r>
      <w:r w:rsidRPr="00B97E44">
        <w:rPr>
          <w:rFonts w:hint="eastAsia"/>
          <w:b/>
          <w:bCs/>
          <w:rtl/>
        </w:rPr>
        <w:t>נוספים</w:t>
      </w:r>
      <w:r w:rsidRPr="00B97E44">
        <w:rPr>
          <w:b/>
          <w:bCs/>
          <w:rtl/>
        </w:rPr>
        <w:t xml:space="preserve"> </w:t>
      </w:r>
      <w:r w:rsidRPr="00B97E44">
        <w:rPr>
          <w:rFonts w:hint="eastAsia"/>
          <w:b/>
          <w:bCs/>
          <w:rtl/>
        </w:rPr>
        <w:t>ה</w:t>
      </w:r>
      <w:r w:rsidRPr="00B97E44">
        <w:rPr>
          <w:rFonts w:hint="cs"/>
          <w:b/>
          <w:bCs/>
          <w:rtl/>
        </w:rPr>
        <w:t xml:space="preserve">נובעים </w:t>
      </w:r>
      <w:r w:rsidRPr="00B97E44">
        <w:rPr>
          <w:rFonts w:hint="cs"/>
          <w:b/>
          <w:bCs/>
          <w:rtl/>
        </w:rPr>
        <w:t>מהיותן</w:t>
      </w:r>
      <w:r w:rsidRPr="00B97E44">
        <w:rPr>
          <w:rFonts w:hint="cs"/>
          <w:b/>
          <w:bCs/>
          <w:rtl/>
        </w:rPr>
        <w:t xml:space="preserve"> </w:t>
      </w:r>
      <w:r w:rsidRPr="00B97E44">
        <w:rPr>
          <w:rFonts w:hint="eastAsia"/>
          <w:b/>
          <w:bCs/>
          <w:rtl/>
        </w:rPr>
        <w:t>מועצות</w:t>
      </w:r>
      <w:r w:rsidRPr="00B97E44">
        <w:rPr>
          <w:b/>
          <w:bCs/>
          <w:rtl/>
        </w:rPr>
        <w:t xml:space="preserve"> </w:t>
      </w:r>
      <w:r w:rsidRPr="00B97E44">
        <w:rPr>
          <w:rFonts w:hint="eastAsia"/>
          <w:b/>
          <w:bCs/>
          <w:rtl/>
        </w:rPr>
        <w:t>אזוריות</w:t>
      </w:r>
      <w:r w:rsidRPr="00B97E44">
        <w:rPr>
          <w:b/>
          <w:bCs/>
          <w:rtl/>
        </w:rPr>
        <w:t>,</w:t>
      </w:r>
      <w:r w:rsidRPr="00B97E44">
        <w:rPr>
          <w:rFonts w:hint="cs"/>
          <w:b/>
          <w:bCs/>
          <w:rtl/>
        </w:rPr>
        <w:t xml:space="preserve"> ובכלל זה היחסים המורכבים עם </w:t>
      </w:r>
      <w:r w:rsidRPr="00B97E44">
        <w:rPr>
          <w:rFonts w:hint="eastAsia"/>
          <w:b/>
          <w:bCs/>
          <w:rtl/>
        </w:rPr>
        <w:t>הוועדים</w:t>
      </w:r>
      <w:r w:rsidRPr="00B97E44">
        <w:rPr>
          <w:b/>
          <w:bCs/>
          <w:rtl/>
        </w:rPr>
        <w:t xml:space="preserve"> המקומי</w:t>
      </w:r>
      <w:r w:rsidRPr="00B97E44">
        <w:rPr>
          <w:rFonts w:hint="eastAsia"/>
          <w:b/>
          <w:bCs/>
          <w:rtl/>
        </w:rPr>
        <w:t>ים</w:t>
      </w:r>
      <w:r w:rsidRPr="00B97E44">
        <w:rPr>
          <w:rFonts w:hint="cs"/>
          <w:b/>
          <w:bCs/>
          <w:rtl/>
        </w:rPr>
        <w:t xml:space="preserve"> (ראו להלן)</w:t>
      </w:r>
      <w:r w:rsidRPr="00B97E44">
        <w:rPr>
          <w:b/>
          <w:bCs/>
          <w:rtl/>
        </w:rPr>
        <w:t xml:space="preserve">; </w:t>
      </w:r>
      <w:r w:rsidRPr="00B97E44">
        <w:rPr>
          <w:rFonts w:hint="eastAsia"/>
          <w:b/>
          <w:bCs/>
          <w:rtl/>
        </w:rPr>
        <w:t>הפיזור</w:t>
      </w:r>
      <w:r w:rsidRPr="00B97E44">
        <w:rPr>
          <w:b/>
          <w:bCs/>
          <w:rtl/>
        </w:rPr>
        <w:t xml:space="preserve"> </w:t>
      </w:r>
      <w:r w:rsidRPr="00B97E44">
        <w:rPr>
          <w:rFonts w:hint="eastAsia"/>
          <w:b/>
          <w:bCs/>
          <w:rtl/>
        </w:rPr>
        <w:t>הגיאוגרפי</w:t>
      </w:r>
      <w:r w:rsidRPr="00B97E44">
        <w:rPr>
          <w:b/>
          <w:bCs/>
          <w:rtl/>
        </w:rPr>
        <w:t xml:space="preserve"> של </w:t>
      </w:r>
      <w:r w:rsidRPr="00B97E44">
        <w:rPr>
          <w:rFonts w:hint="eastAsia"/>
          <w:b/>
          <w:bCs/>
          <w:rtl/>
        </w:rPr>
        <w:t>היישובים</w:t>
      </w:r>
      <w:r w:rsidRPr="00B97E44">
        <w:rPr>
          <w:b/>
          <w:bCs/>
          <w:rtl/>
        </w:rPr>
        <w:t xml:space="preserve"> על פני שטחים נרחבים; שונות בסוגי היישובים </w:t>
      </w:r>
      <w:r w:rsidRPr="00B97E44">
        <w:rPr>
          <w:rFonts w:hint="cs"/>
          <w:b/>
          <w:bCs/>
          <w:rtl/>
        </w:rPr>
        <w:t>-</w:t>
      </w:r>
      <w:r w:rsidRPr="00B97E44">
        <w:rPr>
          <w:b/>
          <w:bCs/>
          <w:rtl/>
        </w:rPr>
        <w:t xml:space="preserve"> מושבים, קיבוצים ויישובים</w:t>
      </w:r>
      <w:r w:rsidRPr="00B97E44">
        <w:rPr>
          <w:b/>
          <w:bCs/>
        </w:rPr>
        <w:t xml:space="preserve"> </w:t>
      </w:r>
      <w:r w:rsidRPr="00B97E44">
        <w:rPr>
          <w:rFonts w:hint="eastAsia"/>
          <w:b/>
          <w:bCs/>
          <w:rtl/>
        </w:rPr>
        <w:t>על</w:t>
      </w:r>
      <w:r w:rsidRPr="00B97E44">
        <w:rPr>
          <w:b/>
          <w:bCs/>
          <w:rtl/>
        </w:rPr>
        <w:t xml:space="preserve"> </w:t>
      </w:r>
      <w:r w:rsidRPr="00B97E44">
        <w:rPr>
          <w:rFonts w:hint="eastAsia"/>
          <w:b/>
          <w:bCs/>
          <w:rtl/>
        </w:rPr>
        <w:t>מאפייניה</w:t>
      </w:r>
      <w:r w:rsidRPr="00B97E44">
        <w:rPr>
          <w:rFonts w:hint="cs"/>
          <w:b/>
          <w:bCs/>
          <w:rtl/>
        </w:rPr>
        <w:t>ם</w:t>
      </w:r>
      <w:r w:rsidRPr="00B97E44">
        <w:rPr>
          <w:b/>
          <w:bCs/>
          <w:rtl/>
        </w:rPr>
        <w:t xml:space="preserve"> </w:t>
      </w:r>
      <w:r w:rsidRPr="00B97E44">
        <w:rPr>
          <w:rFonts w:hint="eastAsia"/>
          <w:b/>
          <w:bCs/>
          <w:rtl/>
        </w:rPr>
        <w:t>השונים</w:t>
      </w:r>
      <w:r w:rsidRPr="00B97E44">
        <w:rPr>
          <w:b/>
          <w:bCs/>
          <w:rtl/>
        </w:rPr>
        <w:t xml:space="preserve"> ועוד.</w:t>
      </w:r>
    </w:p>
    <w:p w:rsidR="005B126E" w:rsidP="001916A9">
      <w:pPr>
        <w:spacing w:line="269" w:lineRule="auto"/>
        <w:rPr>
          <w:b/>
          <w:bCs/>
          <w:rtl/>
        </w:rPr>
      </w:pPr>
    </w:p>
    <w:p w:rsidR="005B126E" w:rsidRPr="00B97E44" w:rsidP="001916A9">
      <w:pPr>
        <w:spacing w:line="269" w:lineRule="auto"/>
        <w:rPr>
          <w:b/>
          <w:bCs/>
          <w:rtl/>
        </w:rPr>
      </w:pPr>
      <w:r w:rsidRPr="00B97E44">
        <w:rPr>
          <w:rFonts w:hint="eastAsia"/>
          <w:b/>
          <w:bCs/>
          <w:rtl/>
        </w:rPr>
        <w:t>על</w:t>
      </w:r>
      <w:r w:rsidRPr="00B97E44">
        <w:rPr>
          <w:b/>
          <w:bCs/>
          <w:rtl/>
        </w:rPr>
        <w:t xml:space="preserve"> אף האתגרים הרבים שעומדים בפני הרשויות המקומיות </w:t>
      </w:r>
      <w:r w:rsidRPr="00B97E44">
        <w:rPr>
          <w:rFonts w:hint="eastAsia"/>
          <w:b/>
          <w:bCs/>
          <w:rtl/>
        </w:rPr>
        <w:t>בחבל</w:t>
      </w:r>
      <w:r w:rsidRPr="00B97E44">
        <w:rPr>
          <w:b/>
          <w:bCs/>
          <w:rtl/>
        </w:rPr>
        <w:t xml:space="preserve"> התקומה בחרו </w:t>
      </w:r>
      <w:r w:rsidRPr="00B97E44">
        <w:rPr>
          <w:rFonts w:hint="eastAsia"/>
          <w:b/>
          <w:bCs/>
          <w:rtl/>
        </w:rPr>
        <w:t>משרד</w:t>
      </w:r>
      <w:r w:rsidRPr="00B97E44">
        <w:rPr>
          <w:b/>
          <w:bCs/>
          <w:rtl/>
        </w:rPr>
        <w:t xml:space="preserve"> </w:t>
      </w:r>
      <w:r w:rsidRPr="00B97E44">
        <w:rPr>
          <w:rFonts w:hint="eastAsia"/>
          <w:b/>
          <w:bCs/>
          <w:rtl/>
        </w:rPr>
        <w:t>הפנים</w:t>
      </w:r>
      <w:r w:rsidRPr="00B97E44">
        <w:rPr>
          <w:b/>
          <w:bCs/>
          <w:rtl/>
        </w:rPr>
        <w:t xml:space="preserve"> </w:t>
      </w:r>
      <w:r w:rsidRPr="00B97E44">
        <w:rPr>
          <w:rFonts w:hint="eastAsia"/>
          <w:b/>
          <w:bCs/>
          <w:rtl/>
        </w:rPr>
        <w:t>ומינהלת</w:t>
      </w:r>
      <w:r w:rsidRPr="00B97E44">
        <w:rPr>
          <w:rFonts w:hint="eastAsia"/>
          <w:b/>
          <w:bCs/>
          <w:rtl/>
        </w:rPr>
        <w:t xml:space="preserve"> תקומה</w:t>
      </w:r>
      <w:r w:rsidRPr="00B97E44">
        <w:rPr>
          <w:b/>
          <w:bCs/>
          <w:rtl/>
        </w:rPr>
        <w:t xml:space="preserve"> </w:t>
      </w:r>
      <w:r w:rsidRPr="00B97E44">
        <w:rPr>
          <w:rFonts w:hint="eastAsia"/>
          <w:b/>
          <w:bCs/>
          <w:rtl/>
        </w:rPr>
        <w:t>להתמקד</w:t>
      </w:r>
      <w:r w:rsidRPr="00B97E44">
        <w:rPr>
          <w:b/>
          <w:bCs/>
          <w:rtl/>
        </w:rPr>
        <w:t xml:space="preserve"> בשני נושאים בלבד </w:t>
      </w:r>
      <w:r w:rsidRPr="00B97E44">
        <w:rPr>
          <w:rFonts w:hint="eastAsia"/>
          <w:b/>
          <w:bCs/>
          <w:rtl/>
        </w:rPr>
        <w:t>בתוכניתם</w:t>
      </w:r>
      <w:r w:rsidRPr="00B97E44">
        <w:rPr>
          <w:b/>
          <w:bCs/>
          <w:rtl/>
        </w:rPr>
        <w:t xml:space="preserve"> לחיזוק הרשויות המקומיות בחבל</w:t>
      </w:r>
      <w:r w:rsidRPr="00B97E44">
        <w:rPr>
          <w:rFonts w:hint="cs"/>
          <w:b/>
          <w:bCs/>
          <w:rtl/>
        </w:rPr>
        <w:t xml:space="preserve"> </w:t>
      </w:r>
      <w:r>
        <w:rPr>
          <w:rFonts w:hint="cs"/>
          <w:b/>
          <w:bCs/>
          <w:rtl/>
        </w:rPr>
        <w:t>- הון אנושי ותשתיות דיגיטליות.</w:t>
      </w:r>
    </w:p>
    <w:bookmarkEnd w:id="51"/>
    <w:p w:rsidR="005B126E" w:rsidP="001916A9">
      <w:pPr>
        <w:spacing w:line="269" w:lineRule="auto"/>
        <w:rPr>
          <w:b/>
          <w:bCs/>
          <w:rtl/>
        </w:rPr>
      </w:pPr>
    </w:p>
    <w:p w:rsidR="005B126E" w:rsidRPr="00B97E44" w:rsidP="001916A9">
      <w:pPr>
        <w:spacing w:line="269" w:lineRule="auto"/>
        <w:rPr>
          <w:rtl/>
        </w:rPr>
      </w:pPr>
      <w:r w:rsidRPr="00B97E44">
        <w:rPr>
          <w:rFonts w:hint="cs"/>
          <w:b/>
          <w:bCs/>
          <w:rtl/>
        </w:rPr>
        <w:t xml:space="preserve">יוצא אפוא כי המתווה שגיבש משרד הפנים לא יצא אל הפועל גם אחרי שהממשלה העבירה את האחריות להובלתו </w:t>
      </w:r>
      <w:r w:rsidRPr="00B97E44">
        <w:rPr>
          <w:rFonts w:hint="cs"/>
          <w:b/>
          <w:bCs/>
          <w:rtl/>
        </w:rPr>
        <w:t>למינהלת</w:t>
      </w:r>
      <w:r w:rsidRPr="00B97E44">
        <w:rPr>
          <w:rFonts w:hint="cs"/>
          <w:b/>
          <w:bCs/>
          <w:rtl/>
        </w:rPr>
        <w:t xml:space="preserve"> תקומה. כך אף שעברו חודשים ארוכים מאז קבלת החלטות הממשלה </w:t>
      </w:r>
      <w:r>
        <w:rPr>
          <w:rFonts w:hint="cs"/>
          <w:b/>
          <w:bCs/>
          <w:rtl/>
        </w:rPr>
        <w:t>ופרסום</w:t>
      </w:r>
      <w:r w:rsidRPr="00B97E44">
        <w:rPr>
          <w:rFonts w:hint="cs"/>
          <w:b/>
          <w:bCs/>
          <w:rtl/>
        </w:rPr>
        <w:t xml:space="preserve"> הקול הקורא בספטמבר 2025, נכון לנובמבר 2025 טרם מומשו צעדי הממשלה לקידום ולחיזוק השלטון המקומי בחבל, אשר ספג טלטלה ניכרת במתקפת הטרור בשבעה באוקטובר ונדרש לחיזוק חיוני לצורך שיקום החבל ויישוביו.</w:t>
      </w:r>
    </w:p>
    <w:p w:rsidR="005B126E" w:rsidP="001916A9">
      <w:pPr>
        <w:spacing w:line="269" w:lineRule="auto"/>
        <w:rPr>
          <w:rtl/>
        </w:rPr>
      </w:pPr>
    </w:p>
    <w:p w:rsidR="005B126E" w:rsidP="001916A9">
      <w:pPr>
        <w:spacing w:line="269" w:lineRule="auto"/>
        <w:rPr>
          <w:rtl/>
        </w:rPr>
      </w:pPr>
      <w:r w:rsidRPr="00B97E44">
        <w:rPr>
          <w:rFonts w:hint="cs"/>
          <w:rtl/>
        </w:rPr>
        <w:t xml:space="preserve">המועצה האזורית </w:t>
      </w:r>
      <w:r w:rsidRPr="00B97E44">
        <w:rPr>
          <w:rFonts w:hint="cs"/>
          <w:b/>
          <w:bCs/>
          <w:rtl/>
        </w:rPr>
        <w:t>אשכול</w:t>
      </w:r>
      <w:r w:rsidRPr="00B97E44">
        <w:rPr>
          <w:rFonts w:hint="cs"/>
          <w:rtl/>
        </w:rPr>
        <w:t xml:space="preserve"> ציינה בתשובתה כי הקול הקורא לחיזוק הרשויות הועבר לרשויות המקומיות רק בסוף ספטמבר 2025, </w:t>
      </w:r>
      <w:r w:rsidRPr="00B97E44">
        <w:rPr>
          <w:rtl/>
        </w:rPr>
        <w:t xml:space="preserve">שנתיים לאחר </w:t>
      </w:r>
      <w:r w:rsidRPr="00B97E44">
        <w:rPr>
          <w:rFonts w:hint="cs"/>
          <w:rtl/>
        </w:rPr>
        <w:t>מתקפת הטרור בשבעה</w:t>
      </w:r>
      <w:r w:rsidRPr="00B97E44">
        <w:rPr>
          <w:rtl/>
        </w:rPr>
        <w:t xml:space="preserve"> באוקטובר</w:t>
      </w:r>
      <w:r w:rsidRPr="00B97E44">
        <w:rPr>
          <w:rFonts w:hint="cs"/>
          <w:rtl/>
        </w:rPr>
        <w:t xml:space="preserve">, כשלמעשה לא </w:t>
      </w:r>
      <w:r w:rsidRPr="00B97E44">
        <w:rPr>
          <w:rtl/>
        </w:rPr>
        <w:t>יכול</w:t>
      </w:r>
      <w:r w:rsidRPr="00B97E44">
        <w:rPr>
          <w:rFonts w:hint="cs"/>
          <w:rtl/>
        </w:rPr>
        <w:t xml:space="preserve"> היה </w:t>
      </w:r>
      <w:r w:rsidRPr="00B97E44">
        <w:rPr>
          <w:rtl/>
        </w:rPr>
        <w:t>להשפיע ולסייע לרשויות בתקופה הקריטית של תחילת ייצוב הרשויות והשיקום הראשוני</w:t>
      </w:r>
      <w:r w:rsidRPr="00B97E44">
        <w:rPr>
          <w:rFonts w:hint="cs"/>
          <w:rtl/>
        </w:rPr>
        <w:t>.</w:t>
      </w:r>
      <w:r w:rsidRPr="00B97E44">
        <w:rPr>
          <w:rtl/>
        </w:rPr>
        <w:t xml:space="preserve"> הרשויות נאלצו </w:t>
      </w:r>
      <w:r w:rsidRPr="00B97E44">
        <w:rPr>
          <w:rFonts w:hint="cs"/>
          <w:rtl/>
        </w:rPr>
        <w:t>לערוך</w:t>
      </w:r>
      <w:r w:rsidRPr="00B97E44">
        <w:rPr>
          <w:rtl/>
        </w:rPr>
        <w:t xml:space="preserve"> שינויים הכרחיים במבנה הארגוני, כך שי</w:t>
      </w:r>
      <w:r w:rsidRPr="00B97E44">
        <w:rPr>
          <w:rFonts w:hint="cs"/>
          <w:rtl/>
        </w:rPr>
        <w:t>י</w:t>
      </w:r>
      <w:r w:rsidRPr="00B97E44">
        <w:rPr>
          <w:rtl/>
        </w:rPr>
        <w:t>נתן מענה נקודתי</w:t>
      </w:r>
      <w:r w:rsidRPr="00B97E44">
        <w:rPr>
          <w:rFonts w:hint="cs"/>
          <w:rtl/>
        </w:rPr>
        <w:t xml:space="preserve"> </w:t>
      </w:r>
      <w:r w:rsidRPr="00B97E44">
        <w:rPr>
          <w:rtl/>
        </w:rPr>
        <w:t>לצרכים</w:t>
      </w:r>
      <w:r w:rsidRPr="00B97E44">
        <w:rPr>
          <w:rFonts w:hint="cs"/>
          <w:rtl/>
        </w:rPr>
        <w:t xml:space="preserve"> </w:t>
      </w:r>
      <w:r w:rsidRPr="00B97E44">
        <w:rPr>
          <w:rtl/>
        </w:rPr>
        <w:t>על פי יכולתן או מקורות חליפיים שהיו זמינים להן</w:t>
      </w:r>
      <w:r w:rsidRPr="00B97E44">
        <w:rPr>
          <w:rFonts w:hint="cs"/>
          <w:rtl/>
        </w:rPr>
        <w:t>. המועצה הדגישה כי ה</w:t>
      </w:r>
      <w:r w:rsidRPr="00B97E44">
        <w:rPr>
          <w:rtl/>
        </w:rPr>
        <w:t>ממשלה</w:t>
      </w:r>
      <w:r w:rsidRPr="00B97E44">
        <w:rPr>
          <w:rFonts w:hint="cs"/>
          <w:rtl/>
        </w:rPr>
        <w:t xml:space="preserve"> נדרשת</w:t>
      </w:r>
      <w:r w:rsidRPr="00B97E44">
        <w:rPr>
          <w:rtl/>
        </w:rPr>
        <w:t xml:space="preserve"> להעביר בצורה סדורה את כלל מקורות</w:t>
      </w:r>
      <w:r w:rsidRPr="00B97E44">
        <w:rPr>
          <w:rFonts w:hint="cs"/>
          <w:rtl/>
        </w:rPr>
        <w:t xml:space="preserve"> התקציב</w:t>
      </w:r>
      <w:r w:rsidRPr="00B97E44">
        <w:rPr>
          <w:rtl/>
        </w:rPr>
        <w:t xml:space="preserve"> שיעמדו לטובת הרשויות לאורך השנים</w:t>
      </w:r>
      <w:r w:rsidRPr="00B97E44">
        <w:rPr>
          <w:rFonts w:hint="cs"/>
          <w:rtl/>
        </w:rPr>
        <w:t xml:space="preserve"> וכי </w:t>
      </w:r>
      <w:r w:rsidRPr="00B97E44">
        <w:rPr>
          <w:rtl/>
        </w:rPr>
        <w:t>אופן ניהול</w:t>
      </w:r>
      <w:r w:rsidRPr="00B97E44">
        <w:rPr>
          <w:rFonts w:hint="cs"/>
          <w:rtl/>
        </w:rPr>
        <w:t xml:space="preserve">ם, </w:t>
      </w:r>
      <w:r w:rsidRPr="00B97E44">
        <w:rPr>
          <w:rtl/>
        </w:rPr>
        <w:t>שיטת הקולות קוראים ואי</w:t>
      </w:r>
      <w:r w:rsidRPr="00B97E44">
        <w:rPr>
          <w:rFonts w:hint="cs"/>
          <w:rtl/>
        </w:rPr>
        <w:t>-</w:t>
      </w:r>
      <w:r w:rsidRPr="00B97E44">
        <w:rPr>
          <w:rtl/>
        </w:rPr>
        <w:t>התאמת הנהלים לקליטת עובדים ברשויות ושכירת שירותים, אינ</w:t>
      </w:r>
      <w:r w:rsidRPr="00B97E44">
        <w:rPr>
          <w:rFonts w:hint="cs"/>
          <w:rtl/>
        </w:rPr>
        <w:t>ם</w:t>
      </w:r>
      <w:r w:rsidRPr="00B97E44">
        <w:rPr>
          <w:rtl/>
        </w:rPr>
        <w:t xml:space="preserve"> מאפשר</w:t>
      </w:r>
      <w:r w:rsidRPr="00B97E44">
        <w:rPr>
          <w:rFonts w:hint="cs"/>
          <w:rtl/>
        </w:rPr>
        <w:t>ים</w:t>
      </w:r>
      <w:r w:rsidRPr="00B97E44">
        <w:rPr>
          <w:rtl/>
        </w:rPr>
        <w:t xml:space="preserve"> </w:t>
      </w:r>
      <w:r w:rsidRPr="00B97E44">
        <w:rPr>
          <w:rFonts w:hint="cs"/>
          <w:rtl/>
        </w:rPr>
        <w:t xml:space="preserve">לשיטתה לנהל </w:t>
      </w:r>
      <w:r w:rsidRPr="00B97E44">
        <w:rPr>
          <w:rtl/>
        </w:rPr>
        <w:t>את ההליך באופן מיטבי.</w:t>
      </w:r>
    </w:p>
    <w:p w:rsidR="005B126E" w:rsidRPr="00B97E44" w:rsidP="001916A9">
      <w:pPr>
        <w:spacing w:line="269" w:lineRule="auto"/>
        <w:rPr>
          <w:rtl/>
        </w:rPr>
      </w:pPr>
    </w:p>
    <w:p w:rsidR="005B126E" w:rsidRPr="00B97E44" w:rsidP="001916A9">
      <w:pPr>
        <w:spacing w:line="269" w:lineRule="auto"/>
        <w:rPr>
          <w:rFonts w:ascii="David" w:eastAsia="Rubik" w:hAnsi="David"/>
          <w:sz w:val="24"/>
          <w:rtl/>
        </w:rPr>
      </w:pPr>
      <w:r>
        <w:rPr>
          <w:rFonts w:ascii="David" w:eastAsia="Rubik" w:hAnsi="David" w:hint="cs"/>
          <w:sz w:val="24"/>
          <w:rtl/>
        </w:rPr>
        <w:t>מ</w:t>
      </w:r>
      <w:r w:rsidRPr="00B97E44">
        <w:rPr>
          <w:rFonts w:ascii="David" w:eastAsia="Rubik" w:hAnsi="David" w:hint="eastAsia"/>
          <w:sz w:val="24"/>
          <w:rtl/>
        </w:rPr>
        <w:t>ערך</w:t>
      </w:r>
      <w:r w:rsidRPr="00B97E44">
        <w:rPr>
          <w:rFonts w:ascii="David" w:eastAsia="Rubik" w:hAnsi="David"/>
          <w:sz w:val="24"/>
          <w:rtl/>
        </w:rPr>
        <w:t xml:space="preserve"> </w:t>
      </w:r>
      <w:r w:rsidRPr="00B97E44">
        <w:rPr>
          <w:rFonts w:ascii="David" w:eastAsia="Rubik" w:hAnsi="David" w:hint="eastAsia"/>
          <w:sz w:val="24"/>
          <w:rtl/>
        </w:rPr>
        <w:t>הדיגיטל</w:t>
      </w:r>
      <w:r w:rsidRPr="00B97E44">
        <w:rPr>
          <w:rFonts w:ascii="David" w:eastAsia="Rubik" w:hAnsi="David"/>
          <w:sz w:val="24"/>
          <w:rtl/>
        </w:rPr>
        <w:t xml:space="preserve"> </w:t>
      </w:r>
      <w:r w:rsidRPr="00B97E44">
        <w:rPr>
          <w:rFonts w:ascii="David" w:eastAsia="Rubik" w:hAnsi="David" w:hint="cs"/>
          <w:sz w:val="24"/>
          <w:rtl/>
        </w:rPr>
        <w:t>הלאומי</w:t>
      </w:r>
      <w:r w:rsidRPr="00B97E44">
        <w:rPr>
          <w:rFonts w:ascii="David" w:eastAsia="Rubik" w:hAnsi="David"/>
          <w:sz w:val="24"/>
          <w:rtl/>
        </w:rPr>
        <w:t xml:space="preserve"> </w:t>
      </w:r>
      <w:r w:rsidRPr="00B97E44">
        <w:rPr>
          <w:rFonts w:ascii="David" w:eastAsia="Rubik" w:hAnsi="David" w:hint="eastAsia"/>
          <w:sz w:val="24"/>
          <w:rtl/>
        </w:rPr>
        <w:t>מסר</w:t>
      </w:r>
      <w:r w:rsidRPr="00B97E44">
        <w:rPr>
          <w:rFonts w:ascii="David" w:eastAsia="Rubik" w:hAnsi="David"/>
          <w:sz w:val="24"/>
          <w:rtl/>
        </w:rPr>
        <w:t xml:space="preserve"> בתשובתו למשרד מבקר המדינה מאוקטובר 2025 כי חל עיכוב </w:t>
      </w:r>
      <w:r w:rsidRPr="00B97E44">
        <w:rPr>
          <w:rFonts w:ascii="David" w:eastAsia="Rubik" w:hAnsi="David" w:hint="eastAsia"/>
          <w:sz w:val="24"/>
          <w:rtl/>
        </w:rPr>
        <w:t>אצל</w:t>
      </w:r>
      <w:r w:rsidRPr="00B97E44">
        <w:rPr>
          <w:rFonts w:ascii="David" w:eastAsia="Rubik" w:hAnsi="David"/>
          <w:sz w:val="24"/>
          <w:rtl/>
        </w:rPr>
        <w:t xml:space="preserve"> מינהלת תקומה ב</w:t>
      </w:r>
      <w:r w:rsidRPr="00B97E44">
        <w:rPr>
          <w:rFonts w:ascii="David" w:eastAsia="Rubik" w:hAnsi="David" w:hint="eastAsia"/>
          <w:sz w:val="24"/>
          <w:rtl/>
        </w:rPr>
        <w:t>פרסום</w:t>
      </w:r>
      <w:r w:rsidRPr="00B97E44">
        <w:rPr>
          <w:rFonts w:ascii="David" w:eastAsia="Rubik" w:hAnsi="David"/>
          <w:sz w:val="24"/>
          <w:rtl/>
        </w:rPr>
        <w:t xml:space="preserve"> </w:t>
      </w:r>
      <w:r w:rsidRPr="00B97E44">
        <w:rPr>
          <w:rFonts w:ascii="David" w:eastAsia="Rubik" w:hAnsi="David" w:hint="eastAsia"/>
          <w:sz w:val="24"/>
          <w:rtl/>
        </w:rPr>
        <w:t>ה</w:t>
      </w:r>
      <w:r w:rsidRPr="00B97E44">
        <w:rPr>
          <w:rFonts w:ascii="David" w:eastAsia="Rubik" w:hAnsi="David"/>
          <w:sz w:val="24"/>
          <w:rtl/>
        </w:rPr>
        <w:t xml:space="preserve">קול הקורא, </w:t>
      </w:r>
      <w:r w:rsidRPr="00B97E44">
        <w:rPr>
          <w:rFonts w:ascii="David" w:eastAsia="Rubik" w:hAnsi="David" w:hint="cs"/>
          <w:sz w:val="24"/>
          <w:rtl/>
        </w:rPr>
        <w:t xml:space="preserve">והוא </w:t>
      </w:r>
      <w:r w:rsidRPr="00B97E44">
        <w:rPr>
          <w:rFonts w:ascii="David" w:eastAsia="Rubik" w:hAnsi="David"/>
          <w:sz w:val="24"/>
          <w:rtl/>
        </w:rPr>
        <w:t xml:space="preserve">עיכב את </w:t>
      </w:r>
      <w:r w:rsidRPr="00B97E44">
        <w:rPr>
          <w:rFonts w:ascii="David" w:eastAsia="Rubik" w:hAnsi="David" w:hint="eastAsia"/>
          <w:sz w:val="24"/>
          <w:rtl/>
        </w:rPr>
        <w:t>קידום</w:t>
      </w:r>
      <w:r w:rsidRPr="00B97E44">
        <w:rPr>
          <w:rFonts w:ascii="David" w:eastAsia="Rubik" w:hAnsi="David"/>
          <w:sz w:val="24"/>
          <w:rtl/>
        </w:rPr>
        <w:t xml:space="preserve"> הת</w:t>
      </w:r>
      <w:r w:rsidRPr="00B97E44">
        <w:rPr>
          <w:rFonts w:ascii="David" w:eastAsia="Rubik" w:hAnsi="David" w:hint="cs"/>
          <w:sz w:val="24"/>
          <w:rtl/>
        </w:rPr>
        <w:t>ו</w:t>
      </w:r>
      <w:r w:rsidRPr="00B97E44">
        <w:rPr>
          <w:rFonts w:ascii="David" w:eastAsia="Rubik" w:hAnsi="David"/>
          <w:sz w:val="24"/>
          <w:rtl/>
        </w:rPr>
        <w:t>כניות הסופיות</w:t>
      </w:r>
      <w:r w:rsidRPr="00B97E44">
        <w:rPr>
          <w:rFonts w:ascii="David" w:eastAsia="Rubik" w:hAnsi="David" w:hint="cs"/>
          <w:sz w:val="24"/>
          <w:rtl/>
        </w:rPr>
        <w:t>. עוד הוסיף המערך</w:t>
      </w:r>
      <w:r w:rsidRPr="00B97E44">
        <w:rPr>
          <w:rFonts w:ascii="David" w:eastAsia="Rubik" w:hAnsi="David"/>
          <w:sz w:val="24"/>
          <w:rtl/>
        </w:rPr>
        <w:t xml:space="preserve"> כי תקציב</w:t>
      </w:r>
      <w:r w:rsidRPr="00B97E44">
        <w:rPr>
          <w:rFonts w:ascii="David" w:eastAsia="Rubik" w:hAnsi="David" w:hint="cs"/>
          <w:sz w:val="24"/>
          <w:rtl/>
        </w:rPr>
        <w:t>ה של</w:t>
      </w:r>
      <w:r w:rsidRPr="00B97E44">
        <w:rPr>
          <w:rFonts w:ascii="David" w:eastAsia="Rubik" w:hAnsi="David"/>
          <w:sz w:val="24"/>
          <w:rtl/>
        </w:rPr>
        <w:t xml:space="preserve"> מינהלת תקומה קוצץ ובהתאם גם הסכומים </w:t>
      </w:r>
      <w:r w:rsidRPr="00B97E44">
        <w:rPr>
          <w:rFonts w:ascii="David" w:eastAsia="Rubik" w:hAnsi="David" w:hint="cs"/>
          <w:sz w:val="24"/>
          <w:rtl/>
        </w:rPr>
        <w:t>שמינהלת</w:t>
      </w:r>
      <w:r w:rsidRPr="00B97E44">
        <w:rPr>
          <w:rFonts w:ascii="David" w:eastAsia="Rubik" w:hAnsi="David" w:hint="cs"/>
          <w:sz w:val="24"/>
          <w:rtl/>
        </w:rPr>
        <w:t xml:space="preserve"> תקומה הקצתה </w:t>
      </w:r>
      <w:r w:rsidRPr="00B97E44">
        <w:rPr>
          <w:rFonts w:ascii="David" w:eastAsia="Rubik" w:hAnsi="David"/>
          <w:sz w:val="24"/>
          <w:rtl/>
        </w:rPr>
        <w:t>בפועל ל</w:t>
      </w:r>
      <w:r w:rsidRPr="00B97E44">
        <w:rPr>
          <w:rFonts w:ascii="David" w:eastAsia="Rubik" w:hAnsi="David" w:hint="eastAsia"/>
          <w:sz w:val="24"/>
          <w:rtl/>
        </w:rPr>
        <w:t>תחום</w:t>
      </w:r>
      <w:r w:rsidRPr="00B97E44">
        <w:rPr>
          <w:rFonts w:ascii="David" w:eastAsia="Rubik" w:hAnsi="David"/>
          <w:sz w:val="24"/>
          <w:rtl/>
        </w:rPr>
        <w:t xml:space="preserve"> </w:t>
      </w:r>
      <w:r w:rsidRPr="00B97E44">
        <w:rPr>
          <w:rFonts w:ascii="David" w:eastAsia="Rubik" w:hAnsi="David" w:hint="eastAsia"/>
          <w:sz w:val="24"/>
          <w:rtl/>
        </w:rPr>
        <w:t>הדיגיטציה</w:t>
      </w:r>
      <w:r w:rsidRPr="00B97E44">
        <w:rPr>
          <w:rFonts w:ascii="David" w:eastAsia="Rubik" w:hAnsi="David"/>
          <w:sz w:val="24"/>
          <w:rtl/>
        </w:rPr>
        <w:t xml:space="preserve"> נמוכים יותר. </w:t>
      </w:r>
      <w:r w:rsidRPr="00B97E44">
        <w:rPr>
          <w:rFonts w:ascii="David" w:eastAsia="Rubik" w:hAnsi="David" w:hint="eastAsia"/>
          <w:sz w:val="24"/>
          <w:rtl/>
        </w:rPr>
        <w:t>עוד</w:t>
      </w:r>
      <w:r w:rsidRPr="00B97E44">
        <w:rPr>
          <w:rFonts w:ascii="David" w:eastAsia="Rubik" w:hAnsi="David"/>
          <w:sz w:val="24"/>
          <w:rtl/>
        </w:rPr>
        <w:t xml:space="preserve"> מסר כי </w:t>
      </w:r>
      <w:r w:rsidRPr="00B97E44">
        <w:rPr>
          <w:rFonts w:ascii="David" w:eastAsia="Rubik" w:hAnsi="David" w:hint="eastAsia"/>
          <w:sz w:val="24"/>
          <w:rtl/>
        </w:rPr>
        <w:t>הת</w:t>
      </w:r>
      <w:r w:rsidRPr="00B97E44">
        <w:rPr>
          <w:rFonts w:ascii="David" w:eastAsia="Rubik" w:hAnsi="David" w:hint="cs"/>
          <w:sz w:val="24"/>
          <w:rtl/>
        </w:rPr>
        <w:t>ו</w:t>
      </w:r>
      <w:r w:rsidRPr="00B97E44">
        <w:rPr>
          <w:rFonts w:ascii="David" w:eastAsia="Rubik" w:hAnsi="David" w:hint="eastAsia"/>
          <w:sz w:val="24"/>
          <w:rtl/>
        </w:rPr>
        <w:t>כנית</w:t>
      </w:r>
      <w:r w:rsidRPr="00B97E44">
        <w:rPr>
          <w:rFonts w:ascii="David" w:eastAsia="Rubik" w:hAnsi="David"/>
          <w:sz w:val="24"/>
          <w:rtl/>
        </w:rPr>
        <w:t xml:space="preserve"> הוגדרה במקור כתומכת ברכש חומרה, תוכנה, הטמעת תהליכים ומערכות ליבה</w:t>
      </w:r>
      <w:r w:rsidRPr="00B97E44">
        <w:rPr>
          <w:rFonts w:ascii="David" w:eastAsia="Rubik" w:hAnsi="David" w:hint="cs"/>
          <w:sz w:val="24"/>
          <w:rtl/>
        </w:rPr>
        <w:t>, אך</w:t>
      </w:r>
      <w:r w:rsidRPr="00B97E44">
        <w:rPr>
          <w:rFonts w:ascii="David" w:eastAsia="Rubik" w:hAnsi="David"/>
          <w:sz w:val="24"/>
          <w:rtl/>
        </w:rPr>
        <w:t xml:space="preserve"> בפועל, בהתאם לתפיסת ההפעלה שנקבעה </w:t>
      </w:r>
      <w:r w:rsidRPr="00B97E44">
        <w:rPr>
          <w:rFonts w:ascii="David" w:eastAsia="Rubik" w:hAnsi="David" w:hint="cs"/>
          <w:sz w:val="24"/>
          <w:rtl/>
        </w:rPr>
        <w:t>ב</w:t>
      </w:r>
      <w:r w:rsidRPr="00B97E44">
        <w:rPr>
          <w:rFonts w:ascii="David" w:eastAsia="Rubik" w:hAnsi="David"/>
          <w:sz w:val="24"/>
          <w:rtl/>
        </w:rPr>
        <w:t>קול הקורא שפרס</w:t>
      </w:r>
      <w:r w:rsidRPr="00B97E44">
        <w:rPr>
          <w:rFonts w:ascii="David" w:eastAsia="Rubik" w:hAnsi="David" w:hint="cs"/>
          <w:sz w:val="24"/>
          <w:rtl/>
        </w:rPr>
        <w:t xml:space="preserve">מה </w:t>
      </w:r>
      <w:r w:rsidRPr="00B97E44">
        <w:rPr>
          <w:rFonts w:ascii="David" w:eastAsia="Rubik" w:hAnsi="David" w:hint="eastAsia"/>
          <w:sz w:val="24"/>
          <w:rtl/>
        </w:rPr>
        <w:t>מינהלת</w:t>
      </w:r>
      <w:r w:rsidRPr="00B97E44">
        <w:rPr>
          <w:rFonts w:ascii="David" w:eastAsia="Rubik" w:hAnsi="David"/>
          <w:sz w:val="24"/>
          <w:rtl/>
        </w:rPr>
        <w:t xml:space="preserve"> תקומה, </w:t>
      </w:r>
      <w:r w:rsidRPr="00B97E44">
        <w:rPr>
          <w:rFonts w:ascii="David" w:eastAsia="Rubik" w:hAnsi="David" w:hint="cs"/>
          <w:sz w:val="24"/>
          <w:rtl/>
        </w:rPr>
        <w:t xml:space="preserve">חויבו </w:t>
      </w:r>
      <w:r w:rsidRPr="00B97E44">
        <w:rPr>
          <w:rFonts w:ascii="David" w:eastAsia="Rubik" w:hAnsi="David"/>
          <w:sz w:val="24"/>
          <w:rtl/>
        </w:rPr>
        <w:t xml:space="preserve">הרשויות המקומיות להשקיע מינימום של 5% מהתקציב שיועבר להן </w:t>
      </w:r>
      <w:r w:rsidRPr="00B97E44">
        <w:rPr>
          <w:rFonts w:ascii="David" w:eastAsia="Rubik" w:hAnsi="David" w:hint="eastAsia"/>
          <w:sz w:val="24"/>
          <w:rtl/>
        </w:rPr>
        <w:t>בתחום</w:t>
      </w:r>
      <w:r w:rsidRPr="00B97E44">
        <w:rPr>
          <w:rFonts w:ascii="David" w:eastAsia="Rubik" w:hAnsi="David"/>
          <w:sz w:val="24"/>
          <w:rtl/>
        </w:rPr>
        <w:t xml:space="preserve"> </w:t>
      </w:r>
      <w:r w:rsidRPr="00B97E44">
        <w:rPr>
          <w:rFonts w:ascii="David" w:eastAsia="Rubik" w:hAnsi="David" w:hint="eastAsia"/>
          <w:sz w:val="24"/>
          <w:rtl/>
        </w:rPr>
        <w:t>הדיגיטל</w:t>
      </w:r>
      <w:r w:rsidRPr="00B97E44">
        <w:rPr>
          <w:rFonts w:ascii="David" w:eastAsia="Rubik" w:hAnsi="David" w:hint="cs"/>
          <w:sz w:val="24"/>
          <w:rtl/>
        </w:rPr>
        <w:t>, ו</w:t>
      </w:r>
      <w:r w:rsidRPr="00B97E44">
        <w:rPr>
          <w:rFonts w:ascii="David" w:eastAsia="Rubik" w:hAnsi="David"/>
          <w:sz w:val="24"/>
          <w:rtl/>
        </w:rPr>
        <w:t xml:space="preserve">רק </w:t>
      </w:r>
      <w:r w:rsidRPr="00B97E44">
        <w:rPr>
          <w:rFonts w:ascii="David" w:eastAsia="Rubik" w:hAnsi="David" w:hint="cs"/>
          <w:sz w:val="24"/>
          <w:rtl/>
        </w:rPr>
        <w:t xml:space="preserve">אם </w:t>
      </w:r>
      <w:r w:rsidRPr="00B97E44">
        <w:rPr>
          <w:rFonts w:ascii="David" w:eastAsia="Rubik" w:hAnsi="David"/>
          <w:sz w:val="24"/>
          <w:rtl/>
        </w:rPr>
        <w:t>הרשות ערוכה ומסודרת בהיבטי התשתית, ניתן להפנות את התקציב לביצוע פרויקטים דיגיטליים נוספים</w:t>
      </w:r>
      <w:r w:rsidRPr="00B97E44">
        <w:rPr>
          <w:rFonts w:ascii="David" w:eastAsia="Rubik" w:hAnsi="David"/>
          <w:sz w:val="24"/>
        </w:rPr>
        <w:t>.</w:t>
      </w:r>
      <w:r w:rsidRPr="00B97E44">
        <w:rPr>
          <w:rFonts w:ascii="David" w:eastAsia="Rubik" w:hAnsi="David"/>
          <w:sz w:val="24"/>
          <w:rtl/>
        </w:rPr>
        <w:t xml:space="preserve"> </w:t>
      </w:r>
    </w:p>
    <w:p w:rsidR="005B126E" w:rsidRPr="00B97E44" w:rsidP="001916A9">
      <w:pPr>
        <w:spacing w:line="269" w:lineRule="auto"/>
        <w:ind w:left="-567"/>
        <w:rPr>
          <w:szCs w:val="20"/>
          <w:rtl/>
        </w:rPr>
      </w:pPr>
    </w:p>
    <w:p w:rsidR="005B126E" w:rsidP="001916A9">
      <w:pPr>
        <w:spacing w:line="269" w:lineRule="auto"/>
        <w:rPr>
          <w:rFonts w:ascii="David" w:eastAsia="Rubik" w:hAnsi="David"/>
          <w:sz w:val="24"/>
          <w:rtl/>
        </w:rPr>
      </w:pPr>
      <w:r w:rsidRPr="00B97E44">
        <w:rPr>
          <w:rFonts w:ascii="David" w:eastAsia="Rubik" w:hAnsi="David" w:hint="cs"/>
          <w:sz w:val="24"/>
          <w:rtl/>
        </w:rPr>
        <w:t xml:space="preserve">מינהלת תקומה מסרה בתשובתה כי בספטמבר 2025, </w:t>
      </w:r>
      <w:r w:rsidRPr="00B97E44">
        <w:rPr>
          <w:rFonts w:ascii="David" w:eastAsia="Rubik" w:hAnsi="David"/>
          <w:sz w:val="24"/>
          <w:rtl/>
        </w:rPr>
        <w:t>במהלך העבודה</w:t>
      </w:r>
      <w:r w:rsidRPr="00B97E44">
        <w:rPr>
          <w:rFonts w:ascii="David" w:eastAsia="Rubik" w:hAnsi="David" w:hint="cs"/>
          <w:sz w:val="24"/>
          <w:rtl/>
        </w:rPr>
        <w:t xml:space="preserve"> על התוכנית לחיזוק הרשויות,</w:t>
      </w:r>
      <w:r w:rsidRPr="00B97E44">
        <w:rPr>
          <w:rFonts w:ascii="David" w:eastAsia="Rubik" w:hAnsi="David"/>
          <w:sz w:val="24"/>
          <w:rtl/>
        </w:rPr>
        <w:t xml:space="preserve"> הוחלט כי אף שבתוכנית החומש הוצג בתחילה תקציב מסוים ייעודי לכל אחד</w:t>
      </w:r>
      <w:r w:rsidRPr="00B97E44">
        <w:rPr>
          <w:rFonts w:ascii="David" w:eastAsia="Rubik" w:hAnsi="David" w:hint="cs"/>
          <w:sz w:val="24"/>
          <w:rtl/>
        </w:rPr>
        <w:t xml:space="preserve"> </w:t>
      </w:r>
      <w:r w:rsidRPr="00B97E44">
        <w:rPr>
          <w:rFonts w:ascii="David" w:eastAsia="Rubik" w:hAnsi="David"/>
          <w:sz w:val="24"/>
          <w:rtl/>
        </w:rPr>
        <w:t>מרכיבי התוכנית, בסופו של דבר יהיה נכון יותר להציג לכל רשות את כלל התקציב העומד לרשותה</w:t>
      </w:r>
      <w:r w:rsidRPr="00B97E44">
        <w:rPr>
          <w:rFonts w:ascii="David" w:eastAsia="Rubik" w:hAnsi="David" w:hint="cs"/>
          <w:sz w:val="24"/>
          <w:rtl/>
        </w:rPr>
        <w:t xml:space="preserve"> כך </w:t>
      </w:r>
      <w:r w:rsidRPr="00B97E44">
        <w:rPr>
          <w:rFonts w:ascii="David" w:eastAsia="Rubik" w:hAnsi="David"/>
          <w:sz w:val="24"/>
          <w:rtl/>
        </w:rPr>
        <w:t>שלרשות תהיה גמישות בהחלטותיה כיצד לחלק את התקציב המיועד</w:t>
      </w:r>
      <w:r w:rsidRPr="00B97E44">
        <w:rPr>
          <w:rFonts w:ascii="David" w:eastAsia="Rubik" w:hAnsi="David" w:hint="cs"/>
          <w:sz w:val="24"/>
          <w:rtl/>
        </w:rPr>
        <w:t xml:space="preserve"> </w:t>
      </w:r>
      <w:r w:rsidRPr="00B97E44">
        <w:rPr>
          <w:rFonts w:ascii="David" w:eastAsia="Rubik" w:hAnsi="David"/>
          <w:sz w:val="24"/>
          <w:rtl/>
        </w:rPr>
        <w:t xml:space="preserve">לה לכל ארבעת רכיבי התוכנית בהתאם לצרכיה, </w:t>
      </w:r>
      <w:r w:rsidRPr="00B97E44">
        <w:rPr>
          <w:rFonts w:ascii="David" w:eastAsia="Rubik" w:hAnsi="David" w:hint="cs"/>
          <w:sz w:val="24"/>
          <w:rtl/>
        </w:rPr>
        <w:t>וזו</w:t>
      </w:r>
      <w:r w:rsidRPr="00B97E44">
        <w:rPr>
          <w:rFonts w:ascii="David" w:eastAsia="Rubik" w:hAnsi="David"/>
          <w:sz w:val="24"/>
          <w:rtl/>
        </w:rPr>
        <w:t xml:space="preserve"> תוגש ותאושר בהתאם לתנאי מבחן התמיכה</w:t>
      </w:r>
      <w:r w:rsidRPr="00B97E44">
        <w:rPr>
          <w:rFonts w:ascii="David" w:eastAsia="Rubik" w:hAnsi="David"/>
          <w:sz w:val="24"/>
        </w:rPr>
        <w:t>.</w:t>
      </w:r>
      <w:r w:rsidRPr="00B97E44">
        <w:rPr>
          <w:rFonts w:ascii="David" w:eastAsia="Rubik" w:hAnsi="David" w:hint="cs"/>
          <w:sz w:val="24"/>
          <w:rtl/>
        </w:rPr>
        <w:t xml:space="preserve"> </w:t>
      </w:r>
      <w:r w:rsidRPr="00B97E44">
        <w:rPr>
          <w:rFonts w:ascii="David" w:eastAsia="Rubik" w:hAnsi="David"/>
          <w:sz w:val="24"/>
          <w:rtl/>
        </w:rPr>
        <w:t xml:space="preserve">מבחן התמיכה האמור נערך והוסדר בשיתוף מלא עם משרד הפנים, מערך </w:t>
      </w:r>
      <w:r w:rsidRPr="00B97E44">
        <w:rPr>
          <w:rFonts w:ascii="David" w:eastAsia="Rubik" w:hAnsi="David"/>
          <w:sz w:val="24"/>
          <w:rtl/>
        </w:rPr>
        <w:t>הדיגיטל</w:t>
      </w:r>
      <w:r w:rsidRPr="00B97E44">
        <w:rPr>
          <w:rFonts w:ascii="David" w:eastAsia="Rubik" w:hAnsi="David"/>
          <w:sz w:val="24"/>
          <w:rtl/>
        </w:rPr>
        <w:t xml:space="preserve"> הלאומי</w:t>
      </w:r>
      <w:r w:rsidRPr="00B97E44">
        <w:rPr>
          <w:rFonts w:ascii="David" w:eastAsia="Rubik" w:hAnsi="David" w:hint="cs"/>
          <w:sz w:val="24"/>
          <w:rtl/>
        </w:rPr>
        <w:t xml:space="preserve"> </w:t>
      </w:r>
      <w:r w:rsidRPr="00B97E44">
        <w:rPr>
          <w:rFonts w:ascii="David" w:eastAsia="Rubik" w:hAnsi="David"/>
          <w:sz w:val="24"/>
          <w:rtl/>
        </w:rPr>
        <w:t xml:space="preserve">והממונה על השכר וכל זאת </w:t>
      </w:r>
      <w:r w:rsidRPr="00B97E44">
        <w:rPr>
          <w:rFonts w:ascii="David" w:eastAsia="Rubik" w:hAnsi="David" w:hint="cs"/>
          <w:sz w:val="24"/>
          <w:rtl/>
        </w:rPr>
        <w:t>כדי</w:t>
      </w:r>
      <w:r w:rsidRPr="00B97E44">
        <w:rPr>
          <w:rFonts w:ascii="David" w:eastAsia="Rubik" w:hAnsi="David"/>
          <w:sz w:val="24"/>
          <w:rtl/>
        </w:rPr>
        <w:t xml:space="preserve"> לוודא כי הכללים הנהוגים במדינה יתקיימו ברשות ויוטמעו</w:t>
      </w:r>
      <w:r w:rsidRPr="00B97E44">
        <w:rPr>
          <w:rFonts w:ascii="David" w:eastAsia="Rubik" w:hAnsi="David" w:hint="cs"/>
          <w:sz w:val="24"/>
          <w:rtl/>
        </w:rPr>
        <w:t xml:space="preserve"> </w:t>
      </w:r>
      <w:r w:rsidRPr="00B97E44">
        <w:rPr>
          <w:rFonts w:ascii="David" w:eastAsia="Rubik" w:hAnsi="David"/>
          <w:sz w:val="24"/>
          <w:rtl/>
        </w:rPr>
        <w:t>בתוכנית המוגשת, כך שהרשות תוכל להמשיך ולהתפתח גם לאחר סיום עבודתה של מ</w:t>
      </w:r>
      <w:r w:rsidRPr="00B97E44">
        <w:rPr>
          <w:rFonts w:ascii="David" w:eastAsia="Rubik" w:hAnsi="David" w:hint="cs"/>
          <w:sz w:val="24"/>
          <w:rtl/>
        </w:rPr>
        <w:t>י</w:t>
      </w:r>
      <w:r w:rsidRPr="00B97E44">
        <w:rPr>
          <w:rFonts w:ascii="David" w:eastAsia="Rubik" w:hAnsi="David"/>
          <w:sz w:val="24"/>
          <w:rtl/>
        </w:rPr>
        <w:t>נהלת</w:t>
      </w:r>
      <w:r w:rsidRPr="00B97E44">
        <w:rPr>
          <w:rFonts w:ascii="David" w:eastAsia="Rubik" w:hAnsi="David" w:hint="cs"/>
          <w:sz w:val="24"/>
          <w:rtl/>
        </w:rPr>
        <w:t xml:space="preserve"> תקומה.</w:t>
      </w:r>
      <w:r>
        <w:rPr>
          <w:rFonts w:ascii="David" w:eastAsia="Rubik" w:hAnsi="David" w:hint="cs"/>
          <w:sz w:val="24"/>
          <w:rtl/>
        </w:rPr>
        <w:t xml:space="preserve"> </w:t>
      </w:r>
    </w:p>
    <w:p w:rsidR="005B126E" w:rsidP="001916A9">
      <w:pPr>
        <w:spacing w:line="269" w:lineRule="auto"/>
        <w:rPr>
          <w:sz w:val="24"/>
          <w:rtl/>
        </w:rPr>
      </w:pPr>
    </w:p>
    <w:p w:rsidR="005B126E" w:rsidP="001916A9">
      <w:pPr>
        <w:spacing w:line="269" w:lineRule="auto"/>
        <w:rPr>
          <w:rtl/>
        </w:rPr>
      </w:pPr>
      <w:r w:rsidRPr="00B544FF">
        <w:rPr>
          <w:rFonts w:hint="eastAsia"/>
          <w:sz w:val="24"/>
          <w:rtl/>
        </w:rPr>
        <w:t>בתשובתה</w:t>
      </w:r>
      <w:r w:rsidRPr="00B544FF">
        <w:rPr>
          <w:sz w:val="24"/>
          <w:rtl/>
        </w:rPr>
        <w:t xml:space="preserve"> הנוספת ציינה </w:t>
      </w:r>
      <w:r w:rsidRPr="00B544FF">
        <w:rPr>
          <w:rFonts w:hint="eastAsia"/>
          <w:sz w:val="24"/>
          <w:rtl/>
        </w:rPr>
        <w:t>מינהלת</w:t>
      </w:r>
      <w:r w:rsidRPr="00B544FF">
        <w:rPr>
          <w:sz w:val="24"/>
          <w:rtl/>
        </w:rPr>
        <w:t xml:space="preserve"> תקומה כי בקשות התמיכה שהגישו הרשויות </w:t>
      </w:r>
      <w:r w:rsidRPr="00B544FF">
        <w:rPr>
          <w:rFonts w:hint="eastAsia"/>
          <w:sz w:val="24"/>
          <w:rtl/>
        </w:rPr>
        <w:t>בחבל</w:t>
      </w:r>
      <w:r w:rsidRPr="00B544FF">
        <w:rPr>
          <w:sz w:val="24"/>
          <w:rtl/>
        </w:rPr>
        <w:t xml:space="preserve"> התקומה אושרו בדצמבר 2025</w:t>
      </w:r>
      <w:r>
        <w:rPr>
          <w:rFonts w:hint="cs"/>
          <w:sz w:val="24"/>
          <w:rtl/>
        </w:rPr>
        <w:t xml:space="preserve">. </w:t>
      </w:r>
      <w:r>
        <w:rPr>
          <w:rFonts w:hint="cs"/>
          <w:sz w:val="24"/>
          <w:rtl/>
        </w:rPr>
        <w:t>המינהלת</w:t>
      </w:r>
      <w:r>
        <w:rPr>
          <w:rFonts w:hint="cs"/>
          <w:sz w:val="24"/>
          <w:rtl/>
        </w:rPr>
        <w:t xml:space="preserve"> הוסיפה כי נוסף על ה</w:t>
      </w:r>
      <w:r w:rsidRPr="00CA64A3">
        <w:rPr>
          <w:sz w:val="24"/>
          <w:rtl/>
        </w:rPr>
        <w:t>תמיכה שניתנת לרשויות המקומיות</w:t>
      </w:r>
      <w:r>
        <w:rPr>
          <w:rFonts w:hint="cs"/>
          <w:sz w:val="24"/>
          <w:rtl/>
        </w:rPr>
        <w:t xml:space="preserve"> בהיבט</w:t>
      </w:r>
      <w:r w:rsidRPr="00CA64A3">
        <w:rPr>
          <w:sz w:val="24"/>
          <w:rtl/>
        </w:rPr>
        <w:t xml:space="preserve"> של רכיבים דיגיטליים במסגרת הקול הקורא שפורסם, </w:t>
      </w:r>
      <w:r>
        <w:rPr>
          <w:rFonts w:hint="cs"/>
          <w:sz w:val="24"/>
          <w:rtl/>
        </w:rPr>
        <w:t xml:space="preserve">היא </w:t>
      </w:r>
      <w:r w:rsidRPr="00CA64A3">
        <w:rPr>
          <w:sz w:val="24"/>
          <w:rtl/>
        </w:rPr>
        <w:t>עתידה לתקצב</w:t>
      </w:r>
      <w:r>
        <w:rPr>
          <w:rFonts w:hint="cs"/>
          <w:sz w:val="24"/>
          <w:rtl/>
        </w:rPr>
        <w:t xml:space="preserve"> </w:t>
      </w:r>
      <w:r w:rsidRPr="00CA64A3">
        <w:rPr>
          <w:sz w:val="24"/>
          <w:rtl/>
        </w:rPr>
        <w:t xml:space="preserve">תוכניות לטרנספורמציה דיגיטלית שיבוצעו ברשויות באמצעות מערך </w:t>
      </w:r>
      <w:r w:rsidRPr="00CA64A3">
        <w:rPr>
          <w:sz w:val="24"/>
          <w:rtl/>
        </w:rPr>
        <w:t>הדיגיטל</w:t>
      </w:r>
      <w:r w:rsidRPr="00CA64A3">
        <w:rPr>
          <w:sz w:val="24"/>
          <w:rtl/>
        </w:rPr>
        <w:t xml:space="preserve"> הלאומי.</w:t>
      </w:r>
      <w:r>
        <w:rPr>
          <w:rFonts w:hint="cs"/>
          <w:sz w:val="24"/>
          <w:rtl/>
        </w:rPr>
        <w:t xml:space="preserve"> </w:t>
      </w:r>
      <w:r w:rsidRPr="00CA64A3">
        <w:rPr>
          <w:sz w:val="24"/>
          <w:rtl/>
        </w:rPr>
        <w:t xml:space="preserve">התקציב המיועד לכך </w:t>
      </w:r>
      <w:r>
        <w:rPr>
          <w:rFonts w:hint="cs"/>
          <w:sz w:val="24"/>
          <w:rtl/>
        </w:rPr>
        <w:t>מסתכם ב</w:t>
      </w:r>
      <w:r w:rsidRPr="00CA64A3">
        <w:rPr>
          <w:sz w:val="24"/>
          <w:rtl/>
        </w:rPr>
        <w:t>כ-6 מ</w:t>
      </w:r>
      <w:r>
        <w:rPr>
          <w:rFonts w:hint="cs"/>
          <w:sz w:val="24"/>
          <w:rtl/>
        </w:rPr>
        <w:t>י</w:t>
      </w:r>
      <w:r w:rsidRPr="00CA64A3">
        <w:rPr>
          <w:sz w:val="24"/>
          <w:rtl/>
        </w:rPr>
        <w:t>ל</w:t>
      </w:r>
      <w:r>
        <w:rPr>
          <w:rFonts w:hint="cs"/>
          <w:sz w:val="24"/>
          <w:rtl/>
        </w:rPr>
        <w:t xml:space="preserve">יוני ש"ח. כמו כן, </w:t>
      </w:r>
      <w:r>
        <w:rPr>
          <w:rFonts w:hint="cs"/>
          <w:sz w:val="24"/>
          <w:rtl/>
        </w:rPr>
        <w:t>המינהלת</w:t>
      </w:r>
      <w:r>
        <w:rPr>
          <w:rFonts w:hint="cs"/>
          <w:sz w:val="24"/>
          <w:rtl/>
        </w:rPr>
        <w:t xml:space="preserve"> התקשרה עם חברת ייעוץ ובקרה מלווה בתקציב של 4 מיליוני ש"ח. </w:t>
      </w:r>
      <w:r>
        <w:rPr>
          <w:rFonts w:hint="cs"/>
          <w:sz w:val="24"/>
          <w:rtl/>
        </w:rPr>
        <w:t>המינהלת</w:t>
      </w:r>
      <w:r>
        <w:rPr>
          <w:rFonts w:hint="cs"/>
          <w:sz w:val="24"/>
          <w:rtl/>
        </w:rPr>
        <w:t xml:space="preserve"> הדגישה כי</w:t>
      </w:r>
      <w:r w:rsidRPr="00B544FF">
        <w:rPr>
          <w:sz w:val="24"/>
          <w:rtl/>
        </w:rPr>
        <w:t xml:space="preserve"> התמיכות הישירות של</w:t>
      </w:r>
      <w:r>
        <w:rPr>
          <w:rFonts w:hint="cs"/>
          <w:sz w:val="24"/>
          <w:rtl/>
        </w:rPr>
        <w:t>ה</w:t>
      </w:r>
      <w:r w:rsidRPr="00B544FF">
        <w:rPr>
          <w:sz w:val="24"/>
          <w:rtl/>
        </w:rPr>
        <w:t xml:space="preserve"> בנושא </w:t>
      </w:r>
      <w:r>
        <w:rPr>
          <w:rFonts w:hint="cs"/>
          <w:sz w:val="24"/>
          <w:rtl/>
        </w:rPr>
        <w:t>חיזוק השלטון המקומי</w:t>
      </w:r>
      <w:r w:rsidRPr="00B544FF">
        <w:rPr>
          <w:sz w:val="24"/>
          <w:rtl/>
        </w:rPr>
        <w:t xml:space="preserve"> </w:t>
      </w:r>
      <w:r>
        <w:rPr>
          <w:rFonts w:hint="cs"/>
          <w:sz w:val="24"/>
          <w:rtl/>
        </w:rPr>
        <w:t>מסתכמות ב-</w:t>
      </w:r>
      <w:r w:rsidRPr="00B544FF">
        <w:rPr>
          <w:sz w:val="24"/>
          <w:rtl/>
        </w:rPr>
        <w:t>175 מיליוני ש"ח.</w:t>
      </w:r>
    </w:p>
    <w:p w:rsidR="005B126E" w:rsidP="001916A9">
      <w:pPr>
        <w:spacing w:line="269" w:lineRule="auto"/>
        <w:rPr>
          <w:rtl/>
        </w:rPr>
      </w:pPr>
    </w:p>
    <w:p w:rsidR="005B126E" w:rsidRPr="00353804" w:rsidP="001916A9">
      <w:pPr>
        <w:spacing w:line="269" w:lineRule="auto"/>
        <w:rPr>
          <w:rtl/>
        </w:rPr>
      </w:pPr>
      <w:r>
        <w:rPr>
          <w:rFonts w:hint="cs"/>
          <w:rtl/>
        </w:rPr>
        <w:t xml:space="preserve">משרד הפנים השיב כי </w:t>
      </w:r>
      <w:r w:rsidRPr="0049728B">
        <w:rPr>
          <w:rtl/>
        </w:rPr>
        <w:t>הת</w:t>
      </w:r>
      <w:r>
        <w:rPr>
          <w:rFonts w:hint="cs"/>
          <w:rtl/>
        </w:rPr>
        <w:t>ו</w:t>
      </w:r>
      <w:r w:rsidRPr="0049728B">
        <w:rPr>
          <w:rtl/>
        </w:rPr>
        <w:t>כנית שגובשה נועדה לסייע לרשויות</w:t>
      </w:r>
      <w:r>
        <w:rPr>
          <w:rFonts w:hint="cs"/>
          <w:rtl/>
        </w:rPr>
        <w:t xml:space="preserve"> </w:t>
      </w:r>
      <w:r w:rsidRPr="0049728B">
        <w:rPr>
          <w:rtl/>
        </w:rPr>
        <w:t>המקומיות במגוון כלים ונושאים הקשורים לארגון, הון אנושי ותשתיות דיגיטליות</w:t>
      </w:r>
      <w:r>
        <w:rPr>
          <w:rFonts w:hint="cs"/>
          <w:rtl/>
        </w:rPr>
        <w:t>, וכי היא</w:t>
      </w:r>
      <w:r w:rsidRPr="0049728B">
        <w:rPr>
          <w:rtl/>
        </w:rPr>
        <w:t xml:space="preserve"> נותנת</w:t>
      </w:r>
      <w:r>
        <w:rPr>
          <w:rFonts w:hint="cs"/>
          <w:rtl/>
        </w:rPr>
        <w:t xml:space="preserve"> </w:t>
      </w:r>
      <w:r w:rsidRPr="0049728B">
        <w:rPr>
          <w:rtl/>
        </w:rPr>
        <w:t>מענה גם לשונות בין הרשויות ולמאפייני</w:t>
      </w:r>
      <w:r>
        <w:rPr>
          <w:rFonts w:hint="cs"/>
          <w:rtl/>
        </w:rPr>
        <w:t>הן</w:t>
      </w:r>
      <w:r w:rsidRPr="0049728B">
        <w:rPr>
          <w:rtl/>
        </w:rPr>
        <w:t xml:space="preserve"> הייחודיי</w:t>
      </w:r>
      <w:r>
        <w:rPr>
          <w:rFonts w:hint="cs"/>
          <w:rtl/>
        </w:rPr>
        <w:t>ם</w:t>
      </w:r>
      <w:r w:rsidRPr="0049728B">
        <w:t>.</w:t>
      </w:r>
    </w:p>
    <w:p w:rsidR="005B126E" w:rsidP="001916A9">
      <w:pPr>
        <w:spacing w:line="269" w:lineRule="auto"/>
        <w:rPr>
          <w:rFonts w:ascii="David" w:hAnsi="David"/>
          <w:b/>
          <w:bCs/>
          <w:rtl/>
        </w:rPr>
      </w:pPr>
    </w:p>
    <w:p w:rsidR="005B126E" w:rsidRPr="00B97E44" w:rsidP="001916A9">
      <w:pPr>
        <w:spacing w:line="269" w:lineRule="auto"/>
        <w:rPr>
          <w:rtl/>
        </w:rPr>
      </w:pPr>
      <w:r w:rsidRPr="00B97E44">
        <w:rPr>
          <w:rFonts w:ascii="David" w:hAnsi="David" w:hint="cs"/>
          <w:b/>
          <w:bCs/>
          <w:rtl/>
        </w:rPr>
        <w:t xml:space="preserve">מינהלת תקומה הוקמה לתקופה קצובה ועל כן נדרשת לפעול בהקדם להבטחת קיומה של תשתית איתנה ברשויות המקומיות שתוכל </w:t>
      </w:r>
      <w:r w:rsidRPr="00B97E44">
        <w:rPr>
          <w:b/>
          <w:bCs/>
          <w:rtl/>
        </w:rPr>
        <w:t xml:space="preserve">להוביל </w:t>
      </w:r>
      <w:r w:rsidRPr="00B97E44">
        <w:rPr>
          <w:rFonts w:hint="cs"/>
          <w:b/>
          <w:bCs/>
          <w:rtl/>
        </w:rPr>
        <w:t xml:space="preserve">את </w:t>
      </w:r>
      <w:r w:rsidRPr="00B97E44">
        <w:rPr>
          <w:b/>
          <w:bCs/>
          <w:rtl/>
        </w:rPr>
        <w:t xml:space="preserve">הליכי </w:t>
      </w:r>
      <w:r w:rsidRPr="00B97E44">
        <w:rPr>
          <w:rFonts w:hint="cs"/>
          <w:b/>
          <w:bCs/>
          <w:rtl/>
        </w:rPr>
        <w:t>ה</w:t>
      </w:r>
      <w:r w:rsidRPr="00B97E44">
        <w:rPr>
          <w:b/>
          <w:bCs/>
          <w:rtl/>
        </w:rPr>
        <w:t xml:space="preserve">שיקום, </w:t>
      </w:r>
      <w:r w:rsidRPr="00B97E44">
        <w:rPr>
          <w:rFonts w:hint="cs"/>
          <w:b/>
          <w:bCs/>
          <w:rtl/>
        </w:rPr>
        <w:t>ה</w:t>
      </w:r>
      <w:r w:rsidRPr="00B97E44">
        <w:rPr>
          <w:b/>
          <w:bCs/>
          <w:rtl/>
        </w:rPr>
        <w:t>חידוש ו</w:t>
      </w:r>
      <w:r w:rsidRPr="00B97E44">
        <w:rPr>
          <w:rFonts w:hint="cs"/>
          <w:b/>
          <w:bCs/>
          <w:rtl/>
        </w:rPr>
        <w:t>ה</w:t>
      </w:r>
      <w:r w:rsidRPr="00B97E44">
        <w:rPr>
          <w:b/>
          <w:bCs/>
          <w:rtl/>
        </w:rPr>
        <w:t>צמיחה בת</w:t>
      </w:r>
      <w:r w:rsidRPr="00B97E44">
        <w:rPr>
          <w:rFonts w:hint="cs"/>
          <w:b/>
          <w:bCs/>
          <w:rtl/>
        </w:rPr>
        <w:t xml:space="preserve"> </w:t>
      </w:r>
      <w:r w:rsidRPr="00B97E44">
        <w:rPr>
          <w:rFonts w:hint="cs"/>
          <w:b/>
          <w:bCs/>
          <w:rtl/>
        </w:rPr>
        <w:t>ה</w:t>
      </w:r>
      <w:r w:rsidRPr="00B97E44">
        <w:rPr>
          <w:b/>
          <w:bCs/>
          <w:rtl/>
        </w:rPr>
        <w:t>קיימ</w:t>
      </w:r>
      <w:r>
        <w:rPr>
          <w:rFonts w:hint="cs"/>
          <w:b/>
          <w:bCs/>
          <w:rtl/>
        </w:rPr>
        <w:t>ה</w:t>
      </w:r>
      <w:r w:rsidRPr="00B97E44">
        <w:rPr>
          <w:b/>
          <w:bCs/>
          <w:rtl/>
        </w:rPr>
        <w:t xml:space="preserve"> של החבל</w:t>
      </w:r>
      <w:r w:rsidRPr="00B97E44">
        <w:rPr>
          <w:rFonts w:hint="cs"/>
          <w:b/>
          <w:bCs/>
          <w:rtl/>
        </w:rPr>
        <w:t xml:space="preserve"> גם לאחר הפסקת פעילותה. העיכוב בקידום התוכניות לחיזוק מנגנוני הביצוע ברשויות המקומיות עלול להקשות על הרשויות המקומיות להוביל את הליכי השיקום, החידוש והצמיחה בחבל ולבצע אותם באופן המיטבי.</w:t>
      </w:r>
    </w:p>
    <w:p w:rsidR="005B126E" w:rsidP="001916A9">
      <w:pPr>
        <w:spacing w:line="269" w:lineRule="auto"/>
        <w:rPr>
          <w:b/>
          <w:bCs/>
          <w:rtl/>
        </w:rPr>
      </w:pPr>
    </w:p>
    <w:p w:rsidR="005B126E" w:rsidP="001916A9">
      <w:pPr>
        <w:spacing w:line="269" w:lineRule="auto"/>
        <w:rPr>
          <w:b/>
          <w:bCs/>
          <w:rtl/>
        </w:rPr>
      </w:pPr>
      <w:r w:rsidRPr="00B97E44">
        <w:rPr>
          <w:rFonts w:hint="cs"/>
          <w:b/>
          <w:bCs/>
          <w:rtl/>
        </w:rPr>
        <w:t>זאת ועוד, נוכח העברת תקציבים לרשויות המקומיות בחבל התקומה בעשרות מיליוני שקלים למיזמים לשיקום ולפיתוח, הרשויות המקומיות נדרשות למשאבים ולכוח אדם כדי לממש את התקציבים ולהוציא לפועל את המיזמים השונים. המועצות האזוריות נאלצות להתמודד עם עומס רב בשיקום התושבים, ובמועצות האזוריות אשכול ושער הנגב יש יישובים שתושביהם עדיין מתגוררים במגורי ביניים מחוץ לתחומי החבל, ויש אף משפחות שבחרו שלא להתגורר במגורי הביניים אלא במקומות אחרים בארץ וגם הן נזקקות לשיקום - דבר המצריך משאבים ארגוניים מרובים ממועצות אלה.</w:t>
      </w:r>
    </w:p>
    <w:p w:rsidR="005B126E" w:rsidRPr="00B97E44" w:rsidP="001916A9">
      <w:pPr>
        <w:spacing w:line="269" w:lineRule="auto"/>
        <w:rPr>
          <w:b/>
          <w:bCs/>
          <w:rtl/>
        </w:rPr>
      </w:pPr>
    </w:p>
    <w:p w:rsidR="005B126E" w:rsidRPr="00B97E44" w:rsidP="001916A9">
      <w:pPr>
        <w:spacing w:line="269" w:lineRule="auto"/>
        <w:rPr>
          <w:b/>
          <w:bCs/>
          <w:rtl/>
        </w:rPr>
      </w:pPr>
      <w:r w:rsidRPr="00B97E44">
        <w:rPr>
          <w:rFonts w:hint="cs"/>
          <w:b/>
          <w:bCs/>
          <w:rtl/>
        </w:rPr>
        <w:t>ע</w:t>
      </w:r>
      <w:r w:rsidRPr="00B97E44">
        <w:rPr>
          <w:rFonts w:hint="eastAsia"/>
          <w:b/>
          <w:bCs/>
          <w:rtl/>
        </w:rPr>
        <w:t>ל</w:t>
      </w:r>
      <w:r w:rsidRPr="00B97E44">
        <w:rPr>
          <w:rFonts w:hint="cs"/>
          <w:b/>
          <w:bCs/>
          <w:rtl/>
        </w:rPr>
        <w:t xml:space="preserve"> </w:t>
      </w:r>
      <w:r w:rsidRPr="00B97E44">
        <w:rPr>
          <w:rFonts w:hint="eastAsia"/>
          <w:b/>
          <w:bCs/>
          <w:rtl/>
        </w:rPr>
        <w:t>מינהלת תקומה</w:t>
      </w:r>
      <w:r w:rsidRPr="00B97E44">
        <w:rPr>
          <w:b/>
          <w:bCs/>
          <w:rtl/>
        </w:rPr>
        <w:t xml:space="preserve"> </w:t>
      </w:r>
      <w:r w:rsidRPr="00B97E44">
        <w:rPr>
          <w:rFonts w:hint="eastAsia"/>
          <w:b/>
          <w:bCs/>
          <w:rtl/>
        </w:rPr>
        <w:t>ומשרד</w:t>
      </w:r>
      <w:r w:rsidRPr="00B97E44">
        <w:rPr>
          <w:b/>
          <w:bCs/>
          <w:rtl/>
        </w:rPr>
        <w:t xml:space="preserve"> </w:t>
      </w:r>
      <w:r w:rsidRPr="00B97E44">
        <w:rPr>
          <w:rFonts w:hint="eastAsia"/>
          <w:b/>
          <w:bCs/>
          <w:rtl/>
        </w:rPr>
        <w:t>הפנים</w:t>
      </w:r>
      <w:r w:rsidRPr="00B97E44">
        <w:rPr>
          <w:b/>
          <w:bCs/>
          <w:rtl/>
        </w:rPr>
        <w:t xml:space="preserve"> </w:t>
      </w:r>
      <w:r w:rsidRPr="00B97E44">
        <w:rPr>
          <w:rFonts w:hint="cs"/>
          <w:b/>
          <w:bCs/>
          <w:rtl/>
        </w:rPr>
        <w:t xml:space="preserve">- המופקד על תחום השלטון המקומי במדינת ישראל - </w:t>
      </w:r>
      <w:r w:rsidRPr="00B97E44">
        <w:rPr>
          <w:rFonts w:hint="eastAsia"/>
          <w:b/>
          <w:bCs/>
          <w:rtl/>
        </w:rPr>
        <w:t>לפעול</w:t>
      </w:r>
      <w:r w:rsidRPr="00B97E44">
        <w:rPr>
          <w:b/>
          <w:bCs/>
          <w:rtl/>
        </w:rPr>
        <w:t xml:space="preserve"> </w:t>
      </w:r>
      <w:r w:rsidRPr="00B97E44">
        <w:rPr>
          <w:rFonts w:hint="eastAsia"/>
          <w:b/>
          <w:bCs/>
          <w:rtl/>
        </w:rPr>
        <w:t>ביתר</w:t>
      </w:r>
      <w:r w:rsidRPr="00B97E44">
        <w:rPr>
          <w:b/>
          <w:bCs/>
          <w:rtl/>
        </w:rPr>
        <w:t xml:space="preserve"> </w:t>
      </w:r>
      <w:r w:rsidRPr="00B97E44">
        <w:rPr>
          <w:rFonts w:hint="eastAsia"/>
          <w:b/>
          <w:bCs/>
          <w:rtl/>
        </w:rPr>
        <w:t>שאת</w:t>
      </w:r>
      <w:r w:rsidRPr="00B97E44">
        <w:rPr>
          <w:b/>
          <w:bCs/>
          <w:rtl/>
        </w:rPr>
        <w:t xml:space="preserve"> </w:t>
      </w:r>
      <w:r w:rsidRPr="00B97E44">
        <w:rPr>
          <w:rFonts w:hint="cs"/>
          <w:b/>
          <w:bCs/>
          <w:rtl/>
        </w:rPr>
        <w:t>ל</w:t>
      </w:r>
      <w:r w:rsidRPr="00B97E44">
        <w:rPr>
          <w:b/>
          <w:bCs/>
          <w:rtl/>
        </w:rPr>
        <w:t>חיזוק הרשויות המקומיות בחבל התקומה</w:t>
      </w:r>
      <w:r w:rsidRPr="00B97E44">
        <w:rPr>
          <w:rFonts w:hint="cs"/>
          <w:b/>
          <w:bCs/>
          <w:rtl/>
        </w:rPr>
        <w:t>,</w:t>
      </w:r>
      <w:r w:rsidRPr="00B97E44">
        <w:rPr>
          <w:b/>
          <w:bCs/>
          <w:rtl/>
        </w:rPr>
        <w:t xml:space="preserve"> </w:t>
      </w:r>
      <w:r w:rsidRPr="00B97E44">
        <w:rPr>
          <w:rFonts w:hint="cs"/>
          <w:b/>
          <w:bCs/>
          <w:rtl/>
        </w:rPr>
        <w:t xml:space="preserve">כדי </w:t>
      </w:r>
      <w:r w:rsidRPr="00B97E44">
        <w:rPr>
          <w:b/>
          <w:bCs/>
          <w:rtl/>
        </w:rPr>
        <w:t>להבט</w:t>
      </w:r>
      <w:r w:rsidRPr="00B97E44">
        <w:rPr>
          <w:rFonts w:hint="cs"/>
          <w:b/>
          <w:bCs/>
          <w:rtl/>
        </w:rPr>
        <w:t>י</w:t>
      </w:r>
      <w:r w:rsidRPr="00B97E44">
        <w:rPr>
          <w:b/>
          <w:bCs/>
          <w:rtl/>
        </w:rPr>
        <w:t>ח</w:t>
      </w:r>
      <w:r w:rsidRPr="00B97E44">
        <w:rPr>
          <w:rFonts w:hint="cs"/>
          <w:b/>
          <w:bCs/>
          <w:rtl/>
        </w:rPr>
        <w:t xml:space="preserve"> את</w:t>
      </w:r>
      <w:r w:rsidRPr="00B97E44">
        <w:rPr>
          <w:b/>
          <w:bCs/>
          <w:rtl/>
        </w:rPr>
        <w:t xml:space="preserve"> </w:t>
      </w:r>
      <w:r w:rsidRPr="00B97E44">
        <w:rPr>
          <w:rFonts w:hint="cs"/>
          <w:b/>
          <w:bCs/>
          <w:rtl/>
        </w:rPr>
        <w:t>יכולתן</w:t>
      </w:r>
      <w:r w:rsidRPr="00B97E44">
        <w:rPr>
          <w:b/>
          <w:bCs/>
          <w:rtl/>
        </w:rPr>
        <w:t xml:space="preserve"> </w:t>
      </w:r>
      <w:r w:rsidRPr="00B97E44">
        <w:rPr>
          <w:rFonts w:hint="eastAsia"/>
          <w:b/>
          <w:bCs/>
          <w:rtl/>
        </w:rPr>
        <w:t>להוביל</w:t>
      </w:r>
      <w:r w:rsidRPr="00B97E44">
        <w:rPr>
          <w:b/>
          <w:bCs/>
          <w:rtl/>
        </w:rPr>
        <w:t xml:space="preserve"> </w:t>
      </w:r>
      <w:r w:rsidRPr="00B97E44">
        <w:rPr>
          <w:rFonts w:hint="eastAsia"/>
          <w:b/>
          <w:bCs/>
          <w:rtl/>
        </w:rPr>
        <w:t>את</w:t>
      </w:r>
      <w:r w:rsidRPr="00B97E44">
        <w:rPr>
          <w:b/>
          <w:bCs/>
          <w:rtl/>
        </w:rPr>
        <w:t xml:space="preserve"> </w:t>
      </w:r>
      <w:r w:rsidRPr="00B97E44">
        <w:rPr>
          <w:rFonts w:hint="cs"/>
          <w:b/>
          <w:bCs/>
          <w:rtl/>
        </w:rPr>
        <w:t>ה</w:t>
      </w:r>
      <w:r w:rsidRPr="00B97E44">
        <w:rPr>
          <w:rFonts w:hint="eastAsia"/>
          <w:b/>
          <w:bCs/>
          <w:rtl/>
        </w:rPr>
        <w:t>שיקום</w:t>
      </w:r>
      <w:r w:rsidRPr="00B97E44">
        <w:rPr>
          <w:b/>
          <w:bCs/>
          <w:rtl/>
        </w:rPr>
        <w:t xml:space="preserve">, </w:t>
      </w:r>
      <w:r w:rsidRPr="00B97E44">
        <w:rPr>
          <w:rFonts w:hint="cs"/>
          <w:b/>
          <w:bCs/>
          <w:rtl/>
        </w:rPr>
        <w:t>ה</w:t>
      </w:r>
      <w:r w:rsidRPr="00B97E44">
        <w:rPr>
          <w:b/>
          <w:bCs/>
          <w:rtl/>
        </w:rPr>
        <w:t>פיתוח ו</w:t>
      </w:r>
      <w:r w:rsidRPr="00B97E44">
        <w:rPr>
          <w:rFonts w:hint="cs"/>
          <w:b/>
          <w:bCs/>
          <w:rtl/>
        </w:rPr>
        <w:t>ה</w:t>
      </w:r>
      <w:r w:rsidRPr="00B97E44">
        <w:rPr>
          <w:b/>
          <w:bCs/>
          <w:rtl/>
        </w:rPr>
        <w:t>צמיח</w:t>
      </w:r>
      <w:r w:rsidRPr="00B97E44">
        <w:rPr>
          <w:rFonts w:hint="cs"/>
          <w:b/>
          <w:bCs/>
          <w:rtl/>
        </w:rPr>
        <w:t>ה של</w:t>
      </w:r>
      <w:r w:rsidRPr="00B97E44">
        <w:rPr>
          <w:b/>
          <w:bCs/>
          <w:rtl/>
        </w:rPr>
        <w:t xml:space="preserve"> חבל התקומה.</w:t>
      </w:r>
    </w:p>
    <w:p w:rsidR="005B126E" w:rsidP="001916A9">
      <w:pPr>
        <w:spacing w:line="269" w:lineRule="auto"/>
        <w:rPr>
          <w:b/>
          <w:bCs/>
          <w:rtl/>
        </w:rPr>
      </w:pPr>
    </w:p>
    <w:p w:rsidR="005B126E" w:rsidRPr="00B97E44" w:rsidP="001916A9">
      <w:pPr>
        <w:spacing w:line="269" w:lineRule="auto"/>
        <w:rPr>
          <w:b/>
          <w:bCs/>
          <w:rtl/>
        </w:rPr>
      </w:pPr>
      <w:r w:rsidRPr="00B97E44">
        <w:rPr>
          <w:rFonts w:hint="cs"/>
          <w:b/>
          <w:bCs/>
          <w:rtl/>
        </w:rPr>
        <w:t>משרד מבקר המדינה ממליץ למשרד הפנים, להגביר את מעורבותו בקידום תוכנית החומש בכלל ובחיזוקן והבטחת חוסנן הארגוני של הרשויות המקומיות בחבל התקומה שנדרשות לתמיכה מוגברת מטעם הממשלה אחרי מתקפת הטרור בשבעה באוקטובר לצורך הליכי השיקום והפיתוח העומדים לפתחן.</w:t>
      </w:r>
    </w:p>
    <w:p w:rsidR="005B126E" w:rsidRPr="00B97E44" w:rsidP="001916A9">
      <w:pPr>
        <w:spacing w:line="269" w:lineRule="auto"/>
        <w:ind w:left="-567"/>
        <w:rPr>
          <w:szCs w:val="20"/>
          <w:rtl/>
        </w:rPr>
      </w:pPr>
    </w:p>
    <w:p w:rsidR="005B126E" w:rsidRPr="00B97E44" w:rsidP="001916A9">
      <w:pPr>
        <w:pStyle w:val="Heading5"/>
        <w:spacing w:line="269" w:lineRule="auto"/>
        <w:rPr>
          <w:rtl/>
        </w:rPr>
      </w:pPr>
      <w:r w:rsidRPr="00B97E44">
        <w:rPr>
          <w:rFonts w:hint="cs"/>
          <w:rtl/>
        </w:rPr>
        <w:t>המבנה הדו-רובדי של המועצות האזוריות והשפעתו על פעולות השיקום והפיתוח</w:t>
      </w:r>
    </w:p>
    <w:p w:rsidR="005B126E" w:rsidP="001916A9">
      <w:pPr>
        <w:spacing w:line="269" w:lineRule="auto"/>
        <w:rPr>
          <w:sz w:val="24"/>
          <w:rtl/>
        </w:rPr>
      </w:pPr>
    </w:p>
    <w:p w:rsidR="005B126E" w:rsidP="001916A9">
      <w:pPr>
        <w:spacing w:line="269" w:lineRule="auto"/>
        <w:rPr>
          <w:sz w:val="24"/>
          <w:rtl/>
        </w:rPr>
      </w:pPr>
      <w:r w:rsidRPr="00B97E44">
        <w:rPr>
          <w:sz w:val="24"/>
          <w:rtl/>
        </w:rPr>
        <w:t xml:space="preserve">המעמד והתפקוד של מועצות אזוריות מוסדרים בעיקרם בפקודת המועצות המקומיות </w:t>
      </w:r>
      <w:r w:rsidRPr="00B97E44">
        <w:rPr>
          <w:rFonts w:hint="cs"/>
          <w:sz w:val="24"/>
          <w:rtl/>
        </w:rPr>
        <w:t xml:space="preserve">[נוסח חדש] </w:t>
      </w:r>
      <w:r w:rsidRPr="00B97E44">
        <w:rPr>
          <w:sz w:val="24"/>
          <w:rtl/>
        </w:rPr>
        <w:t xml:space="preserve">ובצו המועצות המקומיות (מועצות אזוריות), </w:t>
      </w:r>
      <w:r w:rsidRPr="00B97E44">
        <w:rPr>
          <w:rFonts w:hint="cs"/>
          <w:sz w:val="24"/>
          <w:rtl/>
        </w:rPr>
        <w:t>ה</w:t>
      </w:r>
      <w:r w:rsidRPr="00B97E44">
        <w:rPr>
          <w:sz w:val="24"/>
          <w:rtl/>
        </w:rPr>
        <w:t xml:space="preserve">תשי"ח-1958. חקיקה זו מעגנת מבנה שלטון דו-רובדי במרחב הכפרי: רובד עליון </w:t>
      </w:r>
      <w:r w:rsidRPr="00B97E44">
        <w:rPr>
          <w:rFonts w:hint="cs"/>
          <w:sz w:val="24"/>
          <w:rtl/>
        </w:rPr>
        <w:t>-</w:t>
      </w:r>
      <w:r w:rsidRPr="00B97E44">
        <w:rPr>
          <w:sz w:val="24"/>
          <w:rtl/>
        </w:rPr>
        <w:t xml:space="preserve"> המועצה האזורית </w:t>
      </w:r>
      <w:r w:rsidRPr="00B97E44">
        <w:rPr>
          <w:rFonts w:hint="cs"/>
          <w:sz w:val="24"/>
          <w:rtl/>
        </w:rPr>
        <w:t>ה</w:t>
      </w:r>
      <w:r w:rsidRPr="00B97E44">
        <w:rPr>
          <w:sz w:val="24"/>
          <w:rtl/>
        </w:rPr>
        <w:t xml:space="preserve">מורכבת מנציגי היישובים שבתחום המועצה ובראשה עומד ראש המועצה; ורובד תחתון </w:t>
      </w:r>
      <w:r w:rsidRPr="00B97E44">
        <w:rPr>
          <w:rFonts w:hint="cs"/>
          <w:sz w:val="24"/>
          <w:rtl/>
        </w:rPr>
        <w:t>-</w:t>
      </w:r>
      <w:r w:rsidRPr="00B97E44">
        <w:rPr>
          <w:sz w:val="24"/>
          <w:rtl/>
        </w:rPr>
        <w:t xml:space="preserve"> ועד מקומי</w:t>
      </w:r>
      <w:r w:rsidRPr="00B97E44">
        <w:rPr>
          <w:rFonts w:hint="cs"/>
          <w:sz w:val="24"/>
          <w:rtl/>
        </w:rPr>
        <w:t xml:space="preserve"> נבחר</w:t>
      </w:r>
      <w:r w:rsidRPr="00B97E44">
        <w:rPr>
          <w:sz w:val="24"/>
          <w:rtl/>
        </w:rPr>
        <w:t xml:space="preserve"> בכל יישוב</w:t>
      </w:r>
      <w:r w:rsidRPr="00B97E44">
        <w:rPr>
          <w:rFonts w:hint="cs"/>
          <w:sz w:val="24"/>
          <w:rtl/>
        </w:rPr>
        <w:t xml:space="preserve"> שלו מעמד מוניציפלי עצמאי מוגבל בנושאים פנימיים וסמכויות שהקנתה לו המועצה האזורית. עיקר היישובים מאוגדים באגודות שיתופיות כגון קיבוצים, מושבים שיתופיים ומושבי עובדים וכן יישובים קהילתיים שחלקם מאוגדים בעמותות. </w:t>
      </w:r>
      <w:r w:rsidRPr="00B97E44">
        <w:rPr>
          <w:sz w:val="24"/>
          <w:rtl/>
        </w:rPr>
        <w:t xml:space="preserve">ברובד העליון, </w:t>
      </w:r>
      <w:r w:rsidRPr="00B97E44">
        <w:rPr>
          <w:rFonts w:hint="cs"/>
          <w:sz w:val="24"/>
          <w:rtl/>
        </w:rPr>
        <w:t>ה</w:t>
      </w:r>
      <w:r w:rsidRPr="00B97E44">
        <w:rPr>
          <w:sz w:val="24"/>
          <w:rtl/>
        </w:rPr>
        <w:t>מועצה האזורית</w:t>
      </w:r>
      <w:r w:rsidRPr="00B97E44">
        <w:rPr>
          <w:rFonts w:hint="cs"/>
          <w:sz w:val="24"/>
          <w:rtl/>
        </w:rPr>
        <w:t xml:space="preserve"> היא </w:t>
      </w:r>
      <w:r w:rsidRPr="00B97E44">
        <w:rPr>
          <w:sz w:val="24"/>
          <w:rtl/>
        </w:rPr>
        <w:t xml:space="preserve">הרשות השלטונית העליונה בתחומה הפועלת כישות משפטית נפרדת המייצגת את כלל האזור כלפי מוסדות המדינה, ובידיה הסמכות </w:t>
      </w:r>
      <w:r w:rsidRPr="00B97E44">
        <w:rPr>
          <w:rFonts w:hint="cs"/>
          <w:sz w:val="24"/>
          <w:rtl/>
        </w:rPr>
        <w:t xml:space="preserve">לפעול </w:t>
      </w:r>
      <w:r w:rsidRPr="00B97E44">
        <w:rPr>
          <w:sz w:val="24"/>
          <w:rtl/>
        </w:rPr>
        <w:t>בכל עניין הנוגע לציבור בתחום המועצה</w:t>
      </w:r>
      <w:r w:rsidRPr="00B97E44">
        <w:rPr>
          <w:rFonts w:hint="cs"/>
          <w:sz w:val="24"/>
          <w:rtl/>
        </w:rPr>
        <w:t xml:space="preserve">. </w:t>
      </w:r>
      <w:r w:rsidRPr="00B97E44">
        <w:rPr>
          <w:sz w:val="24"/>
          <w:rtl/>
        </w:rPr>
        <w:t>סמכותה הכללית של המועצה האזורית משתרעת על כל תחומי השירותים המוניציפליים (חינוך, תשתיות, תברואה, הטלת מיסים מקומיים וכד')</w:t>
      </w:r>
      <w:r w:rsidRPr="00B97E44">
        <w:rPr>
          <w:rFonts w:hint="cs"/>
          <w:sz w:val="24"/>
          <w:rtl/>
        </w:rPr>
        <w:t>.</w:t>
      </w:r>
      <w:r w:rsidRPr="00B97E44">
        <w:rPr>
          <w:sz w:val="24"/>
        </w:rPr>
        <w:t xml:space="preserve"> </w:t>
      </w:r>
      <w:r w:rsidRPr="00B97E44">
        <w:rPr>
          <w:sz w:val="24"/>
          <w:rtl/>
        </w:rPr>
        <w:t xml:space="preserve">המועצה האזורית נבחרת בבחירות ישירות (ראש המועצה) ויחד עם נציגי היישובים במליאת המועצה היא מופקדת על ניהול ענייני כלל התושבים </w:t>
      </w:r>
      <w:r w:rsidRPr="00B97E44">
        <w:rPr>
          <w:rFonts w:hint="cs"/>
          <w:sz w:val="24"/>
          <w:rtl/>
        </w:rPr>
        <w:t>ש</w:t>
      </w:r>
      <w:r w:rsidRPr="00B97E44">
        <w:rPr>
          <w:sz w:val="24"/>
          <w:rtl/>
        </w:rPr>
        <w:t>בתחום שיפוט</w:t>
      </w:r>
      <w:r w:rsidRPr="00B97E44">
        <w:rPr>
          <w:rFonts w:hint="cs"/>
          <w:sz w:val="24"/>
          <w:rtl/>
        </w:rPr>
        <w:t>ה. המבנה הדו-רובדי של ארבע מחמש הרשויות בחבל התקומה כרוך במורכבות אינהרנטית בניהול השיקום</w:t>
      </w:r>
      <w:r>
        <w:rPr>
          <w:vertAlign w:val="superscript"/>
          <w:rtl/>
        </w:rPr>
        <w:footnoteReference w:id="102"/>
      </w:r>
      <w:r>
        <w:rPr>
          <w:rFonts w:hint="cs"/>
          <w:sz w:val="24"/>
          <w:rtl/>
        </w:rPr>
        <w:t>.</w:t>
      </w:r>
    </w:p>
    <w:p w:rsidR="005B126E" w:rsidRPr="00353804" w:rsidP="001916A9">
      <w:pPr>
        <w:spacing w:line="269" w:lineRule="auto"/>
        <w:rPr>
          <w:sz w:val="24"/>
          <w:rtl/>
        </w:rPr>
      </w:pPr>
      <w:r w:rsidRPr="00B97E44">
        <w:rPr>
          <w:rFonts w:hint="cs"/>
          <w:szCs w:val="20"/>
          <w:rtl/>
        </w:rPr>
        <w:t xml:space="preserve"> </w:t>
      </w:r>
    </w:p>
    <w:p w:rsidR="005B126E" w:rsidRPr="00B97E44" w:rsidP="001916A9">
      <w:pPr>
        <w:spacing w:line="269" w:lineRule="auto"/>
        <w:rPr>
          <w:rtl/>
        </w:rPr>
      </w:pPr>
      <w:r w:rsidRPr="00B97E44">
        <w:rPr>
          <w:rtl/>
        </w:rPr>
        <w:t xml:space="preserve">מטרת המבנה הדו-רובדי היא ליצור איזון בין ההיבט התפקודי של מתן </w:t>
      </w:r>
      <w:r w:rsidRPr="00A54879">
        <w:rPr>
          <w:rtl/>
        </w:rPr>
        <w:t>שירותים מוניציפליים</w:t>
      </w:r>
      <w:r>
        <w:rPr>
          <w:rFonts w:hint="cs"/>
          <w:rtl/>
        </w:rPr>
        <w:t xml:space="preserve"> </w:t>
      </w:r>
      <w:r w:rsidRPr="00B97E44">
        <w:rPr>
          <w:rtl/>
        </w:rPr>
        <w:t>לתושב ובין ההיבט הייצוגי-פוליטי</w:t>
      </w:r>
      <w:r w:rsidRPr="00B97E44">
        <w:rPr>
          <w:rFonts w:hint="cs"/>
          <w:rtl/>
        </w:rPr>
        <w:t xml:space="preserve"> וה</w:t>
      </w:r>
      <w:r w:rsidRPr="00B97E44">
        <w:rPr>
          <w:rtl/>
        </w:rPr>
        <w:t xml:space="preserve">ניהול </w:t>
      </w:r>
      <w:r w:rsidRPr="00B97E44">
        <w:rPr>
          <w:rFonts w:hint="cs"/>
          <w:rtl/>
        </w:rPr>
        <w:t>ה</w:t>
      </w:r>
      <w:r w:rsidRPr="00B97E44">
        <w:rPr>
          <w:rtl/>
        </w:rPr>
        <w:t>עצמי של היישוב לצורך ייצוג האינטרסים של תושבי המקום</w:t>
      </w:r>
      <w:r>
        <w:rPr>
          <w:vertAlign w:val="superscript"/>
          <w:rtl/>
        </w:rPr>
        <w:footnoteReference w:id="103"/>
      </w:r>
      <w:r w:rsidRPr="00B97E44">
        <w:rPr>
          <w:rtl/>
        </w:rPr>
        <w:t>.</w:t>
      </w:r>
      <w:r w:rsidRPr="00B97E44">
        <w:rPr>
          <w:rFonts w:hint="cs"/>
          <w:rtl/>
        </w:rPr>
        <w:t xml:space="preserve"> מבנה זה מציב בפני המועצות האזוריות אתגרים שונים, המרכזי שבהם נוגע לכך שהמועצות </w:t>
      </w:r>
      <w:r w:rsidRPr="00B97E44">
        <w:rPr>
          <w:rtl/>
        </w:rPr>
        <w:t>כוללות לעיתים י</w:t>
      </w:r>
      <w:r w:rsidRPr="00B97E44">
        <w:rPr>
          <w:rFonts w:hint="cs"/>
          <w:rtl/>
        </w:rPr>
        <w:t>י</w:t>
      </w:r>
      <w:r w:rsidRPr="00B97E44">
        <w:rPr>
          <w:rtl/>
        </w:rPr>
        <w:t xml:space="preserve">שובים עם אוכלוסיות מגוונות מאוד, כגון </w:t>
      </w:r>
      <w:r w:rsidRPr="00B97E44">
        <w:rPr>
          <w:rFonts w:hint="cs"/>
          <w:rtl/>
        </w:rPr>
        <w:t>י</w:t>
      </w:r>
      <w:r w:rsidRPr="00B97E44">
        <w:rPr>
          <w:rtl/>
        </w:rPr>
        <w:t>ישובים חקלאיים, י</w:t>
      </w:r>
      <w:r w:rsidRPr="00B97E44">
        <w:rPr>
          <w:rFonts w:hint="cs"/>
          <w:rtl/>
        </w:rPr>
        <w:t>י</w:t>
      </w:r>
      <w:r w:rsidRPr="00B97E44">
        <w:rPr>
          <w:rtl/>
        </w:rPr>
        <w:t>שובים עירוניים ו</w:t>
      </w:r>
      <w:r w:rsidRPr="00B97E44">
        <w:rPr>
          <w:rFonts w:hint="cs"/>
          <w:rtl/>
        </w:rPr>
        <w:t>י</w:t>
      </w:r>
      <w:r w:rsidRPr="00B97E44">
        <w:rPr>
          <w:rtl/>
        </w:rPr>
        <w:t xml:space="preserve">ישובים קהילתיים, </w:t>
      </w:r>
      <w:r w:rsidRPr="00B97E44">
        <w:rPr>
          <w:rFonts w:hint="cs"/>
          <w:rtl/>
        </w:rPr>
        <w:t xml:space="preserve">שלהם </w:t>
      </w:r>
      <w:r w:rsidRPr="00B97E44">
        <w:rPr>
          <w:rtl/>
        </w:rPr>
        <w:t>מאפיינים דמוגרפיים שונים. כל קבוצה</w:t>
      </w:r>
      <w:r w:rsidRPr="00B97E44">
        <w:rPr>
          <w:rFonts w:hint="cs"/>
          <w:rtl/>
        </w:rPr>
        <w:t xml:space="preserve"> יכולה להיות</w:t>
      </w:r>
      <w:r w:rsidRPr="00B97E44">
        <w:rPr>
          <w:rtl/>
        </w:rPr>
        <w:t xml:space="preserve"> בעלת צרכים ושאיפות שונ</w:t>
      </w:r>
      <w:r w:rsidRPr="00B97E44">
        <w:rPr>
          <w:rFonts w:hint="cs"/>
          <w:rtl/>
        </w:rPr>
        <w:t>ים ומאופיינת במשאבים ובחוסן כלכלי שונים שעלולים להוביל בנסיבות מסוימות לקונפליקטים בינם ובין עצמם ובינם ובין הרשות המקומית</w:t>
      </w:r>
      <w:r>
        <w:rPr>
          <w:vertAlign w:val="superscript"/>
          <w:rtl/>
        </w:rPr>
        <w:footnoteReference w:id="104"/>
      </w:r>
      <w:r w:rsidRPr="00B97E44">
        <w:rPr>
          <w:rFonts w:hint="cs"/>
          <w:rtl/>
        </w:rPr>
        <w:t xml:space="preserve">. </w:t>
      </w:r>
    </w:p>
    <w:p w:rsidR="005B126E" w:rsidP="001916A9">
      <w:pPr>
        <w:spacing w:line="269" w:lineRule="auto"/>
        <w:rPr>
          <w:sz w:val="24"/>
          <w:rtl/>
        </w:rPr>
      </w:pPr>
    </w:p>
    <w:p w:rsidR="005B126E" w:rsidP="001916A9">
      <w:pPr>
        <w:spacing w:line="269" w:lineRule="auto"/>
        <w:rPr>
          <w:sz w:val="24"/>
          <w:rtl/>
        </w:rPr>
      </w:pPr>
      <w:r w:rsidRPr="00B97E44">
        <w:rPr>
          <w:sz w:val="24"/>
          <w:rtl/>
        </w:rPr>
        <w:t xml:space="preserve">יחסי הגומלין מציבים אתגר ניהולי למועצה האזורית: </w:t>
      </w:r>
      <w:r w:rsidRPr="00B97E44">
        <w:rPr>
          <w:rFonts w:hint="cs"/>
          <w:sz w:val="24"/>
          <w:rtl/>
        </w:rPr>
        <w:t xml:space="preserve">עליה </w:t>
      </w:r>
      <w:r w:rsidRPr="00B97E44">
        <w:rPr>
          <w:sz w:val="24"/>
          <w:rtl/>
        </w:rPr>
        <w:t>לנווט בין אוטונומיה מקומית לבין אחריות אזורית.</w:t>
      </w:r>
      <w:r w:rsidRPr="00B97E44">
        <w:rPr>
          <w:rFonts w:hint="cs"/>
          <w:sz w:val="24"/>
          <w:rtl/>
        </w:rPr>
        <w:t xml:space="preserve"> </w:t>
      </w:r>
      <w:r w:rsidRPr="00B97E44">
        <w:rPr>
          <w:sz w:val="24"/>
          <w:rtl/>
        </w:rPr>
        <w:t xml:space="preserve">יחסי הגומלין עשויים להשפיע על רמת השירותים לתושב, על הקצאת המשאבים ועל </w:t>
      </w:r>
      <w:r w:rsidRPr="00B97E44">
        <w:rPr>
          <w:sz w:val="24"/>
          <w:rtl/>
        </w:rPr>
        <w:t>המינהל</w:t>
      </w:r>
      <w:r w:rsidRPr="00B97E44">
        <w:rPr>
          <w:sz w:val="24"/>
          <w:rtl/>
        </w:rPr>
        <w:t xml:space="preserve"> התקין</w:t>
      </w:r>
      <w:r w:rsidRPr="00B97E44">
        <w:rPr>
          <w:rFonts w:hint="cs"/>
          <w:sz w:val="24"/>
          <w:rtl/>
        </w:rPr>
        <w:t xml:space="preserve"> וכן</w:t>
      </w:r>
      <w:r w:rsidRPr="00B97E44">
        <w:rPr>
          <w:sz w:val="24"/>
          <w:rtl/>
        </w:rPr>
        <w:t xml:space="preserve"> על החוסן הקהילתי, בשל השפעתם על הייצוגיות ותחושת השוויון</w:t>
      </w:r>
      <w:r>
        <w:rPr>
          <w:sz w:val="24"/>
          <w:vertAlign w:val="superscript"/>
          <w:rtl/>
        </w:rPr>
        <w:footnoteReference w:id="105"/>
      </w:r>
      <w:r w:rsidRPr="00B97E44">
        <w:rPr>
          <w:sz w:val="24"/>
          <w:rtl/>
        </w:rPr>
        <w:t>.</w:t>
      </w:r>
      <w:r w:rsidRPr="00B97E44">
        <w:rPr>
          <w:rFonts w:hint="cs"/>
          <w:sz w:val="24"/>
          <w:rtl/>
        </w:rPr>
        <w:t xml:space="preserve"> </w:t>
      </w:r>
    </w:p>
    <w:p w:rsidR="005B126E" w:rsidRPr="00B97E44" w:rsidP="001916A9">
      <w:pPr>
        <w:spacing w:line="269" w:lineRule="auto"/>
        <w:rPr>
          <w:sz w:val="24"/>
          <w:rtl/>
        </w:rPr>
      </w:pPr>
    </w:p>
    <w:p w:rsidR="005B126E" w:rsidRPr="00B97E44" w:rsidP="001916A9">
      <w:pPr>
        <w:spacing w:line="269" w:lineRule="auto"/>
        <w:rPr>
          <w:sz w:val="24"/>
          <w:rtl/>
        </w:rPr>
      </w:pPr>
      <w:r w:rsidRPr="00B97E44">
        <w:rPr>
          <w:rFonts w:hint="cs"/>
          <w:sz w:val="24"/>
          <w:rtl/>
        </w:rPr>
        <w:t xml:space="preserve">מתקפת הטרור בשבעה באוקטובר הציבה אתגר גדול ליחסים המורכבים ממילא בין היישובים למועצה </w:t>
      </w:r>
      <w:r w:rsidRPr="00B97E44">
        <w:rPr>
          <w:rFonts w:hint="cs"/>
          <w:rtl/>
        </w:rPr>
        <w:t xml:space="preserve">ופגעה </w:t>
      </w:r>
      <w:r w:rsidRPr="00B97E44">
        <w:rPr>
          <w:rFonts w:hint="eastAsia"/>
          <w:rtl/>
        </w:rPr>
        <w:t>באמון</w:t>
      </w:r>
      <w:r w:rsidRPr="00B97E44">
        <w:rPr>
          <w:rtl/>
        </w:rPr>
        <w:t xml:space="preserve"> </w:t>
      </w:r>
      <w:r w:rsidRPr="00B97E44">
        <w:rPr>
          <w:rFonts w:hint="cs"/>
          <w:rtl/>
        </w:rPr>
        <w:t>ש</w:t>
      </w:r>
      <w:r w:rsidRPr="00B97E44">
        <w:rPr>
          <w:rFonts w:hint="eastAsia"/>
          <w:rtl/>
        </w:rPr>
        <w:t>בין</w:t>
      </w:r>
      <w:r w:rsidRPr="00B97E44">
        <w:rPr>
          <w:rtl/>
        </w:rPr>
        <w:t xml:space="preserve"> </w:t>
      </w:r>
      <w:r w:rsidRPr="00B97E44">
        <w:rPr>
          <w:rFonts w:hint="eastAsia"/>
          <w:rtl/>
        </w:rPr>
        <w:t>המועצות</w:t>
      </w:r>
      <w:r w:rsidRPr="00B97E44">
        <w:rPr>
          <w:rtl/>
        </w:rPr>
        <w:t xml:space="preserve"> </w:t>
      </w:r>
      <w:r w:rsidRPr="00B97E44">
        <w:rPr>
          <w:rFonts w:hint="eastAsia"/>
          <w:rtl/>
        </w:rPr>
        <w:t>לתושבים</w:t>
      </w:r>
      <w:r w:rsidRPr="00B97E44">
        <w:rPr>
          <w:rFonts w:hint="cs"/>
          <w:rtl/>
        </w:rPr>
        <w:t xml:space="preserve"> הרגיש ממילא. </w:t>
      </w:r>
      <w:r w:rsidRPr="00B97E44">
        <w:rPr>
          <w:rFonts w:hint="cs"/>
          <w:sz w:val="24"/>
          <w:rtl/>
        </w:rPr>
        <w:t xml:space="preserve">כך </w:t>
      </w:r>
      <w:r w:rsidRPr="00B97E44">
        <w:rPr>
          <w:rFonts w:hint="cs"/>
          <w:rtl/>
        </w:rPr>
        <w:t xml:space="preserve">בתוכנית החומש שהכינה המועצה האזורית </w:t>
      </w:r>
      <w:r w:rsidRPr="00B97E44">
        <w:rPr>
          <w:rFonts w:hint="cs"/>
          <w:b/>
          <w:bCs/>
          <w:rtl/>
        </w:rPr>
        <w:t>אשכול</w:t>
      </w:r>
      <w:r w:rsidRPr="00B97E44">
        <w:rPr>
          <w:rFonts w:hint="cs"/>
          <w:rtl/>
        </w:rPr>
        <w:t xml:space="preserve"> בשיתוף מינהלת תקומה </w:t>
      </w:r>
      <w:r w:rsidRPr="00B97E44">
        <w:rPr>
          <w:rFonts w:hint="cs"/>
          <w:sz w:val="24"/>
          <w:rtl/>
        </w:rPr>
        <w:t xml:space="preserve">הוצג </w:t>
      </w:r>
      <w:r w:rsidRPr="00B97E44">
        <w:rPr>
          <w:sz w:val="24"/>
          <w:rtl/>
        </w:rPr>
        <w:t xml:space="preserve">אתגר בניית האמון וממשקי עבודה בין </w:t>
      </w:r>
      <w:r w:rsidRPr="00B97E44">
        <w:rPr>
          <w:rFonts w:hint="cs"/>
          <w:sz w:val="24"/>
          <w:rtl/>
        </w:rPr>
        <w:t>ה</w:t>
      </w:r>
      <w:r w:rsidRPr="00B97E44">
        <w:rPr>
          <w:sz w:val="24"/>
          <w:rtl/>
        </w:rPr>
        <w:t>רשות ליישובים, ובין הקהילה להנהגה הפנימית של</w:t>
      </w:r>
      <w:r w:rsidRPr="00B97E44">
        <w:rPr>
          <w:rFonts w:hint="cs"/>
          <w:sz w:val="24"/>
          <w:rtl/>
        </w:rPr>
        <w:t>ה</w:t>
      </w:r>
      <w:r w:rsidRPr="00B97E44">
        <w:rPr>
          <w:sz w:val="24"/>
          <w:rtl/>
        </w:rPr>
        <w:t xml:space="preserve"> </w:t>
      </w:r>
      <w:r w:rsidRPr="00B97E44">
        <w:rPr>
          <w:rFonts w:hint="cs"/>
          <w:sz w:val="24"/>
          <w:rtl/>
        </w:rPr>
        <w:t>-</w:t>
      </w:r>
      <w:r w:rsidRPr="00B97E44">
        <w:rPr>
          <w:sz w:val="24"/>
          <w:rtl/>
        </w:rPr>
        <w:t xml:space="preserve"> במסגרת שיקום ובניית האמון שנפגע </w:t>
      </w:r>
      <w:r w:rsidRPr="00B97E44">
        <w:rPr>
          <w:rFonts w:hint="cs"/>
          <w:sz w:val="24"/>
          <w:rtl/>
        </w:rPr>
        <w:t>במתקפה בשבעה באוקטובר - כאתגר מרכזי שעומד בפני המועצה</w:t>
      </w:r>
      <w:r>
        <w:rPr>
          <w:vertAlign w:val="superscript"/>
          <w:rtl/>
        </w:rPr>
        <w:footnoteReference w:id="106"/>
      </w:r>
      <w:r w:rsidRPr="00B97E44">
        <w:rPr>
          <w:rFonts w:hint="cs"/>
          <w:rtl/>
        </w:rPr>
        <w:t xml:space="preserve">. </w:t>
      </w:r>
    </w:p>
    <w:p w:rsidR="005B126E" w:rsidP="001916A9">
      <w:pPr>
        <w:spacing w:line="269" w:lineRule="auto"/>
        <w:rPr>
          <w:b/>
          <w:bCs/>
          <w:rtl/>
        </w:rPr>
      </w:pPr>
    </w:p>
    <w:p w:rsidR="005B126E" w:rsidRPr="00B97E44" w:rsidP="001916A9">
      <w:pPr>
        <w:spacing w:line="269" w:lineRule="auto"/>
        <w:rPr>
          <w:b/>
          <w:bCs/>
          <w:rtl/>
        </w:rPr>
      </w:pPr>
      <w:r w:rsidRPr="00B97E44">
        <w:rPr>
          <w:b/>
          <w:bCs/>
          <w:rtl/>
        </w:rPr>
        <w:t>החלטת ממשלה 1699</w:t>
      </w:r>
      <w:r w:rsidRPr="00B97E44">
        <w:rPr>
          <w:rFonts w:hint="cs"/>
          <w:b/>
          <w:bCs/>
          <w:rtl/>
        </w:rPr>
        <w:t>,</w:t>
      </w:r>
      <w:r w:rsidRPr="00B97E44">
        <w:rPr>
          <w:b/>
          <w:bCs/>
          <w:rtl/>
        </w:rPr>
        <w:t xml:space="preserve"> </w:t>
      </w:r>
      <w:r w:rsidRPr="00B97E44">
        <w:rPr>
          <w:rFonts w:hint="eastAsia"/>
          <w:b/>
          <w:bCs/>
          <w:rtl/>
        </w:rPr>
        <w:t>שאימצה</w:t>
      </w:r>
      <w:r w:rsidRPr="00B97E44">
        <w:rPr>
          <w:b/>
          <w:bCs/>
          <w:rtl/>
        </w:rPr>
        <w:t xml:space="preserve"> את תוכנית החומש</w:t>
      </w:r>
      <w:r w:rsidRPr="00B97E44">
        <w:rPr>
          <w:rFonts w:hint="cs"/>
          <w:b/>
          <w:bCs/>
          <w:rtl/>
        </w:rPr>
        <w:t>,</w:t>
      </w:r>
      <w:r w:rsidRPr="00B97E44">
        <w:rPr>
          <w:b/>
          <w:bCs/>
          <w:rtl/>
        </w:rPr>
        <w:t xml:space="preserve"> הנחתה את מינהלת תקומה לגבש וליישם, בתיאום עם משרד האוצר, "מתווה לשיקום היישובים, בתי המגורים, התשתיות הציבוריות, מבני הציבור וסביבת המגורים ביישובים שנפגעו, כך שהיישובים ייקחו חלק בתוכנית שיקום היישובים ובביצועה. כך שהשיקום ייעשה בצורה מיטיבה, בשים לב להיקף הנזק בכל יישוב וכדי לתת מענה בין היתר להשלכות התכנוניות, ההנדסיות והקהילתיות". לשם כך הקצתה </w:t>
      </w:r>
      <w:r w:rsidRPr="00B97E44">
        <w:rPr>
          <w:rFonts w:hint="eastAsia"/>
          <w:b/>
          <w:bCs/>
          <w:rtl/>
        </w:rPr>
        <w:t>מינהלת</w:t>
      </w:r>
      <w:r w:rsidRPr="00B97E44">
        <w:rPr>
          <w:b/>
          <w:bCs/>
          <w:rtl/>
        </w:rPr>
        <w:t xml:space="preserve"> תקומה 1.465 </w:t>
      </w:r>
      <w:r w:rsidRPr="00B97E44">
        <w:rPr>
          <w:rFonts w:hint="eastAsia"/>
          <w:b/>
          <w:bCs/>
          <w:rtl/>
        </w:rPr>
        <w:t>מיליארד</w:t>
      </w:r>
      <w:r w:rsidRPr="00B97E44">
        <w:rPr>
          <w:b/>
          <w:bCs/>
          <w:rtl/>
        </w:rPr>
        <w:t xml:space="preserve"> </w:t>
      </w:r>
      <w:r w:rsidRPr="00B97E44">
        <w:rPr>
          <w:rFonts w:hint="eastAsia"/>
          <w:b/>
          <w:bCs/>
          <w:rtl/>
        </w:rPr>
        <w:t>ש</w:t>
      </w:r>
      <w:r w:rsidRPr="00B97E44">
        <w:rPr>
          <w:b/>
          <w:bCs/>
          <w:rtl/>
        </w:rPr>
        <w:t>"ח</w:t>
      </w:r>
      <w:r>
        <w:rPr>
          <w:b/>
          <w:bCs/>
          <w:vertAlign w:val="superscript"/>
          <w:rtl/>
        </w:rPr>
        <w:footnoteReference w:id="107"/>
      </w:r>
      <w:r w:rsidRPr="00B97E44">
        <w:rPr>
          <w:b/>
          <w:bCs/>
          <w:rtl/>
        </w:rPr>
        <w:t>.</w:t>
      </w:r>
    </w:p>
    <w:p w:rsidR="005B126E" w:rsidP="001916A9">
      <w:pPr>
        <w:spacing w:line="269" w:lineRule="auto"/>
        <w:rPr>
          <w:b/>
          <w:bCs/>
          <w:rtl/>
        </w:rPr>
      </w:pPr>
    </w:p>
    <w:p w:rsidR="005B126E" w:rsidRPr="00B97E44" w:rsidP="001916A9">
      <w:pPr>
        <w:spacing w:line="269" w:lineRule="auto"/>
        <w:rPr>
          <w:b/>
          <w:bCs/>
          <w:rtl/>
        </w:rPr>
      </w:pPr>
      <w:r w:rsidRPr="00B97E44">
        <w:rPr>
          <w:rFonts w:hint="eastAsia"/>
          <w:b/>
          <w:bCs/>
          <w:rtl/>
        </w:rPr>
        <w:t>מדברי</w:t>
      </w:r>
      <w:r w:rsidRPr="00B97E44">
        <w:rPr>
          <w:b/>
          <w:bCs/>
          <w:rtl/>
        </w:rPr>
        <w:t xml:space="preserve"> </w:t>
      </w:r>
      <w:r w:rsidRPr="00B97E44">
        <w:rPr>
          <w:rFonts w:hint="eastAsia"/>
          <w:b/>
          <w:bCs/>
          <w:rtl/>
        </w:rPr>
        <w:t>ההסבר</w:t>
      </w:r>
      <w:r w:rsidRPr="00B97E44">
        <w:rPr>
          <w:b/>
          <w:bCs/>
          <w:rtl/>
        </w:rPr>
        <w:t xml:space="preserve"> </w:t>
      </w:r>
      <w:r w:rsidRPr="00B97E44">
        <w:rPr>
          <w:rFonts w:hint="eastAsia"/>
          <w:b/>
          <w:bCs/>
          <w:rtl/>
        </w:rPr>
        <w:t>להחלטה</w:t>
      </w:r>
      <w:r w:rsidRPr="00B97E44">
        <w:rPr>
          <w:b/>
          <w:bCs/>
          <w:rtl/>
        </w:rPr>
        <w:t xml:space="preserve"> </w:t>
      </w:r>
      <w:r w:rsidRPr="00B97E44">
        <w:rPr>
          <w:rFonts w:hint="eastAsia"/>
          <w:b/>
          <w:bCs/>
          <w:rtl/>
        </w:rPr>
        <w:t>עלה</w:t>
      </w:r>
      <w:r w:rsidRPr="00B97E44">
        <w:rPr>
          <w:b/>
          <w:bCs/>
          <w:rtl/>
        </w:rPr>
        <w:t xml:space="preserve"> </w:t>
      </w:r>
      <w:r w:rsidRPr="00B97E44">
        <w:rPr>
          <w:rFonts w:hint="eastAsia"/>
          <w:b/>
          <w:bCs/>
          <w:rtl/>
        </w:rPr>
        <w:t>כי</w:t>
      </w:r>
      <w:r w:rsidRPr="00B97E44">
        <w:rPr>
          <w:b/>
          <w:bCs/>
          <w:rtl/>
        </w:rPr>
        <w:t xml:space="preserve"> "כדי לאפשר מעורבות משמעותית של היישובים בעיצוב מרחב החיים בהם מתגוררים התושבים, המתווה מתבסס על תכנון וביצוע בידי היישובים לצד סיוע, הכוונה ופיקוח של מינהלת תקומה. בכך מבוקש ליצור איזון בין אחריות המדינה בשיקום הבתים בצורה נרחבת לבין מתן ביטוי לעיצוב סביבת המגורים על ידי היישובים ותושביהם".</w:t>
      </w:r>
    </w:p>
    <w:p w:rsidR="005B126E" w:rsidP="001916A9">
      <w:pPr>
        <w:spacing w:line="269" w:lineRule="auto"/>
        <w:rPr>
          <w:b/>
          <w:bCs/>
          <w:rtl/>
        </w:rPr>
      </w:pPr>
    </w:p>
    <w:p w:rsidR="005B126E" w:rsidRPr="00B97E44" w:rsidP="001916A9">
      <w:pPr>
        <w:spacing w:line="269" w:lineRule="auto"/>
        <w:rPr>
          <w:b/>
          <w:bCs/>
          <w:rtl/>
        </w:rPr>
      </w:pPr>
      <w:r w:rsidRPr="00B97E44">
        <w:rPr>
          <w:rFonts w:hint="cs"/>
          <w:b/>
          <w:bCs/>
          <w:rtl/>
        </w:rPr>
        <w:t xml:space="preserve">משמעות הדברים היא כי לצורך השיקום הפיזי של היישובים נקבע </w:t>
      </w:r>
      <w:r w:rsidRPr="00B97E44">
        <w:rPr>
          <w:rFonts w:hint="cs"/>
          <w:b/>
          <w:bCs/>
          <w:rtl/>
        </w:rPr>
        <w:t>שמינהלת</w:t>
      </w:r>
      <w:r w:rsidRPr="00B97E44">
        <w:rPr>
          <w:rFonts w:hint="cs"/>
          <w:b/>
          <w:bCs/>
          <w:rtl/>
        </w:rPr>
        <w:t xml:space="preserve"> תקומה תפעל באופן ישיר עם היישובים ולא באמצעות המועצות האזוריות.</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לדברי מינהלת תקומה, </w:t>
      </w:r>
      <w:r w:rsidRPr="00B97E44">
        <w:rPr>
          <w:rtl/>
        </w:rPr>
        <w:t xml:space="preserve">לצורך יישום המתווה הוסמכו </w:t>
      </w:r>
      <w:r w:rsidRPr="00B97E44">
        <w:rPr>
          <w:rFonts w:hint="cs"/>
          <w:rtl/>
        </w:rPr>
        <w:t>ה</w:t>
      </w:r>
      <w:r w:rsidRPr="00B97E44">
        <w:rPr>
          <w:rtl/>
        </w:rPr>
        <w:t xml:space="preserve">יישובים (האגודות השיתופיות) בהתאם להחלטות ממשלה </w:t>
      </w:r>
      <w:r w:rsidRPr="00B97E44">
        <w:rPr>
          <w:rFonts w:hint="cs"/>
          <w:rtl/>
        </w:rPr>
        <w:t>ש</w:t>
      </w:r>
      <w:r w:rsidRPr="00B97E44">
        <w:rPr>
          <w:rtl/>
        </w:rPr>
        <w:t>התקבלו מעת לעת לפי סעיף 266ו(א)(3) לחוק התכנון והבנייה, התשכ"ה-1965</w:t>
      </w:r>
      <w:r w:rsidRPr="00B97E44">
        <w:rPr>
          <w:rFonts w:hint="cs"/>
          <w:rtl/>
        </w:rPr>
        <w:t>,</w:t>
      </w:r>
      <w:r w:rsidRPr="00B97E44">
        <w:rPr>
          <w:rtl/>
        </w:rPr>
        <w:t xml:space="preserve"> לפעול מטעם המדינה לביצוע עבודות </w:t>
      </w:r>
      <w:r w:rsidRPr="00B97E44">
        <w:rPr>
          <w:rFonts w:hint="cs"/>
          <w:rtl/>
        </w:rPr>
        <w:t>השיקום</w:t>
      </w:r>
      <w:r>
        <w:rPr>
          <w:vertAlign w:val="superscript"/>
          <w:rtl/>
        </w:rPr>
        <w:footnoteReference w:id="108"/>
      </w:r>
      <w:r w:rsidRPr="00B97E44">
        <w:rPr>
          <w:rtl/>
        </w:rPr>
        <w:t>. </w:t>
      </w:r>
      <w:r w:rsidRPr="00B97E44">
        <w:rPr>
          <w:rFonts w:hint="cs"/>
          <w:rtl/>
        </w:rPr>
        <w:t xml:space="preserve">עוד היא הוסיפה כי </w:t>
      </w:r>
      <w:r w:rsidRPr="00B97E44">
        <w:rPr>
          <w:rtl/>
        </w:rPr>
        <w:t>המתווה יושם בדרך של תמיכה, בהתאם ל</w:t>
      </w:r>
      <w:bookmarkStart w:id="52" w:name="_Hlk219640858"/>
      <w:r w:rsidRPr="00B97E44">
        <w:rPr>
          <w:rtl/>
        </w:rPr>
        <w:t xml:space="preserve">הוראת </w:t>
      </w:r>
      <w:r w:rsidRPr="00B97E44">
        <w:rPr>
          <w:rtl/>
        </w:rPr>
        <w:t>תכ"מ</w:t>
      </w:r>
      <w:r w:rsidRPr="00B97E44">
        <w:rPr>
          <w:rtl/>
        </w:rPr>
        <w:t xml:space="preserve"> 6.2.1 </w:t>
      </w:r>
      <w:bookmarkEnd w:id="52"/>
      <w:r w:rsidRPr="00B97E44">
        <w:rPr>
          <w:rtl/>
        </w:rPr>
        <w:t>שעניינה "תמיכה בגופים אחרים"</w:t>
      </w:r>
      <w:r>
        <w:rPr>
          <w:vertAlign w:val="superscript"/>
          <w:rtl/>
        </w:rPr>
        <w:footnoteReference w:id="109"/>
      </w:r>
      <w:r w:rsidRPr="00B97E44">
        <w:rPr>
          <w:rtl/>
        </w:rPr>
        <w:t xml:space="preserve">. </w:t>
      </w:r>
    </w:p>
    <w:p w:rsidR="005B126E" w:rsidP="001916A9">
      <w:pPr>
        <w:spacing w:line="269" w:lineRule="auto"/>
        <w:rPr>
          <w:b/>
          <w:bCs/>
          <w:rtl/>
        </w:rPr>
      </w:pPr>
    </w:p>
    <w:p w:rsidR="005B126E" w:rsidRPr="00B97E44" w:rsidP="001916A9">
      <w:pPr>
        <w:spacing w:line="269" w:lineRule="auto"/>
        <w:rPr>
          <w:b/>
          <w:bCs/>
          <w:rtl/>
        </w:rPr>
      </w:pPr>
      <w:r w:rsidRPr="00B97E44">
        <w:rPr>
          <w:rFonts w:hint="eastAsia"/>
          <w:b/>
          <w:bCs/>
          <w:rtl/>
        </w:rPr>
        <w:t>מינהלת</w:t>
      </w:r>
      <w:r w:rsidRPr="00B97E44">
        <w:rPr>
          <w:b/>
          <w:bCs/>
          <w:rtl/>
        </w:rPr>
        <w:t xml:space="preserve"> תקומה פרסמה קול קורא שלפיו כל אחד מ-47 היישובים ב</w:t>
      </w:r>
      <w:r w:rsidRPr="00B97E44">
        <w:rPr>
          <w:rFonts w:hint="eastAsia"/>
          <w:b/>
          <w:bCs/>
          <w:rtl/>
        </w:rPr>
        <w:t>חבל</w:t>
      </w:r>
      <w:r w:rsidRPr="00B97E44">
        <w:rPr>
          <w:b/>
          <w:bCs/>
          <w:rtl/>
        </w:rPr>
        <w:t xml:space="preserve"> התקומה </w:t>
      </w:r>
      <w:r w:rsidRPr="00B97E44">
        <w:rPr>
          <w:rFonts w:hint="eastAsia"/>
          <w:b/>
          <w:bCs/>
          <w:rtl/>
        </w:rPr>
        <w:t>רשאי</w:t>
      </w:r>
      <w:r w:rsidRPr="00B97E44">
        <w:rPr>
          <w:b/>
          <w:bCs/>
          <w:rtl/>
        </w:rPr>
        <w:t xml:space="preserve"> להגיש בקשה לקבלת מענק תקומה יישובי</w:t>
      </w:r>
      <w:r w:rsidRPr="00B97E44">
        <w:rPr>
          <w:rFonts w:hint="cs"/>
          <w:b/>
          <w:bCs/>
          <w:rtl/>
        </w:rPr>
        <w:t>,</w:t>
      </w:r>
      <w:r w:rsidRPr="00B97E44">
        <w:rPr>
          <w:b/>
          <w:bCs/>
          <w:rtl/>
        </w:rPr>
        <w:t xml:space="preserve"> שהוא בגדר תמיכה למטרת ביצוע עבודות לשיקום פיזי של מבני המגורים ומבני הציבור ביישוב</w:t>
      </w:r>
      <w:r w:rsidRPr="00B97E44">
        <w:rPr>
          <w:rFonts w:hint="cs"/>
          <w:b/>
          <w:bCs/>
          <w:rtl/>
        </w:rPr>
        <w:t>,</w:t>
      </w:r>
      <w:r w:rsidRPr="00B97E44">
        <w:rPr>
          <w:b/>
          <w:bCs/>
          <w:rtl/>
        </w:rPr>
        <w:t xml:space="preserve"> ולבחור מנהל פרויקט מקצועי בליווי צמוד של מינהלת תקומה, </w:t>
      </w:r>
      <w:r w:rsidRPr="00B97E44">
        <w:rPr>
          <w:rFonts w:hint="eastAsia"/>
          <w:b/>
          <w:bCs/>
          <w:rtl/>
        </w:rPr>
        <w:t>ויחד</w:t>
      </w:r>
      <w:r w:rsidRPr="00B97E44">
        <w:rPr>
          <w:b/>
          <w:bCs/>
          <w:rtl/>
        </w:rPr>
        <w:t xml:space="preserve"> </w:t>
      </w:r>
      <w:r w:rsidRPr="00B97E44">
        <w:rPr>
          <w:rFonts w:hint="eastAsia"/>
          <w:b/>
          <w:bCs/>
          <w:rtl/>
        </w:rPr>
        <w:t>לגבש</w:t>
      </w:r>
      <w:r w:rsidRPr="00B97E44">
        <w:rPr>
          <w:b/>
          <w:bCs/>
          <w:rtl/>
        </w:rPr>
        <w:t xml:space="preserve"> תוכניות שיקום יישוביות פרטניות. </w:t>
      </w:r>
      <w:r w:rsidRPr="00B97E44">
        <w:rPr>
          <w:rFonts w:hint="eastAsia"/>
          <w:b/>
          <w:bCs/>
          <w:rtl/>
        </w:rPr>
        <w:t>הכספים</w:t>
      </w:r>
      <w:r w:rsidRPr="00B97E44">
        <w:rPr>
          <w:b/>
          <w:bCs/>
          <w:rtl/>
        </w:rPr>
        <w:t xml:space="preserve"> </w:t>
      </w:r>
      <w:r w:rsidRPr="00B97E44">
        <w:rPr>
          <w:rFonts w:hint="eastAsia"/>
          <w:b/>
          <w:bCs/>
          <w:rtl/>
        </w:rPr>
        <w:t>למימון</w:t>
      </w:r>
      <w:r w:rsidRPr="00B97E44">
        <w:rPr>
          <w:b/>
          <w:bCs/>
          <w:rtl/>
        </w:rPr>
        <w:t xml:space="preserve"> </w:t>
      </w:r>
      <w:r w:rsidRPr="00B97E44">
        <w:rPr>
          <w:rFonts w:hint="eastAsia"/>
          <w:b/>
          <w:bCs/>
          <w:rtl/>
        </w:rPr>
        <w:t>העבודות</w:t>
      </w:r>
      <w:r w:rsidRPr="00B97E44">
        <w:rPr>
          <w:b/>
          <w:bCs/>
          <w:rtl/>
        </w:rPr>
        <w:t xml:space="preserve"> </w:t>
      </w:r>
      <w:r w:rsidRPr="00B97E44">
        <w:rPr>
          <w:rFonts w:hint="eastAsia"/>
          <w:b/>
          <w:bCs/>
          <w:rtl/>
        </w:rPr>
        <w:t>יועברו</w:t>
      </w:r>
      <w:r w:rsidRPr="00B97E44">
        <w:rPr>
          <w:b/>
          <w:bCs/>
          <w:rtl/>
        </w:rPr>
        <w:t xml:space="preserve"> </w:t>
      </w:r>
      <w:r w:rsidRPr="00B97E44">
        <w:rPr>
          <w:rFonts w:hint="eastAsia"/>
          <w:b/>
          <w:bCs/>
          <w:rtl/>
        </w:rPr>
        <w:t>לחשבון</w:t>
      </w:r>
      <w:r w:rsidRPr="00B97E44">
        <w:rPr>
          <w:b/>
          <w:bCs/>
          <w:rtl/>
        </w:rPr>
        <w:t xml:space="preserve"> </w:t>
      </w:r>
      <w:r w:rsidRPr="00B97E44">
        <w:rPr>
          <w:rFonts w:hint="eastAsia"/>
          <w:b/>
          <w:bCs/>
          <w:rtl/>
        </w:rPr>
        <w:t>הייעודי</w:t>
      </w:r>
      <w:r w:rsidRPr="00B97E44">
        <w:rPr>
          <w:b/>
          <w:bCs/>
          <w:rtl/>
        </w:rPr>
        <w:t xml:space="preserve"> </w:t>
      </w:r>
      <w:r w:rsidRPr="00B97E44">
        <w:rPr>
          <w:rFonts w:hint="eastAsia"/>
          <w:b/>
          <w:bCs/>
          <w:rtl/>
        </w:rPr>
        <w:t>של</w:t>
      </w:r>
      <w:r w:rsidRPr="00B97E44">
        <w:rPr>
          <w:b/>
          <w:bCs/>
          <w:rtl/>
        </w:rPr>
        <w:t xml:space="preserve"> </w:t>
      </w:r>
      <w:r w:rsidRPr="00B97E44">
        <w:rPr>
          <w:rFonts w:hint="eastAsia"/>
          <w:b/>
          <w:bCs/>
          <w:rtl/>
        </w:rPr>
        <w:t>היישוב</w:t>
      </w:r>
      <w:r>
        <w:rPr>
          <w:b/>
          <w:bCs/>
          <w:vertAlign w:val="superscript"/>
          <w:rtl/>
        </w:rPr>
        <w:footnoteReference w:id="110"/>
      </w:r>
      <w:r w:rsidRPr="00B97E44">
        <w:rPr>
          <w:b/>
          <w:bCs/>
          <w:rtl/>
        </w:rPr>
        <w:t>.</w:t>
      </w:r>
    </w:p>
    <w:p w:rsidR="005B126E" w:rsidP="001916A9">
      <w:pPr>
        <w:spacing w:line="269" w:lineRule="auto"/>
        <w:rPr>
          <w:b/>
          <w:bCs/>
          <w:rtl/>
        </w:rPr>
      </w:pPr>
    </w:p>
    <w:p w:rsidR="005B126E" w:rsidRPr="00B97E44" w:rsidP="001916A9">
      <w:pPr>
        <w:spacing w:line="269" w:lineRule="auto"/>
        <w:rPr>
          <w:b/>
          <w:bCs/>
          <w:rtl/>
        </w:rPr>
      </w:pPr>
      <w:r w:rsidRPr="00B97E44">
        <w:rPr>
          <w:rFonts w:hint="cs"/>
          <w:b/>
          <w:bCs/>
          <w:rtl/>
        </w:rPr>
        <w:t xml:space="preserve">עם זאת שאר התחומים, ובכללם הסל היישובי שנועד בהחלטת הממשלה </w:t>
      </w:r>
      <w:r w:rsidRPr="00B97E44">
        <w:rPr>
          <w:b/>
          <w:bCs/>
          <w:rtl/>
        </w:rPr>
        <w:t>לקידום תכנון, התאמה והשלמ</w:t>
      </w:r>
      <w:r w:rsidRPr="00B97E44">
        <w:rPr>
          <w:rFonts w:hint="cs"/>
          <w:b/>
          <w:bCs/>
          <w:rtl/>
        </w:rPr>
        <w:t>ה של</w:t>
      </w:r>
      <w:r w:rsidRPr="00B97E44">
        <w:rPr>
          <w:b/>
          <w:bCs/>
          <w:rtl/>
        </w:rPr>
        <w:t xml:space="preserve"> תשתיות ומבני ציבור, להשלמות מיגון נדרשות</w:t>
      </w:r>
      <w:r w:rsidRPr="00B97E44">
        <w:rPr>
          <w:rFonts w:hint="cs"/>
          <w:b/>
          <w:bCs/>
          <w:rtl/>
        </w:rPr>
        <w:t xml:space="preserve"> ולה</w:t>
      </w:r>
      <w:r w:rsidRPr="00B97E44">
        <w:rPr>
          <w:b/>
          <w:bCs/>
          <w:rtl/>
        </w:rPr>
        <w:t>נגשה של המרחב הציבורי ומבני הציבור שבתחום יישובי החבל</w:t>
      </w:r>
      <w:r w:rsidRPr="00B97E44">
        <w:rPr>
          <w:rFonts w:hint="cs"/>
          <w:b/>
          <w:bCs/>
          <w:rtl/>
        </w:rPr>
        <w:t>, מטופלים באמצעות המועצות האזוריות.</w:t>
      </w:r>
    </w:p>
    <w:p w:rsidR="005B126E" w:rsidP="001916A9">
      <w:pPr>
        <w:spacing w:line="269" w:lineRule="auto"/>
        <w:rPr>
          <w:b/>
          <w:bCs/>
          <w:rtl/>
        </w:rPr>
      </w:pPr>
    </w:p>
    <w:p w:rsidR="005B126E" w:rsidRPr="00B97E44" w:rsidP="001916A9">
      <w:pPr>
        <w:spacing w:line="269" w:lineRule="auto"/>
        <w:rPr>
          <w:b/>
          <w:bCs/>
          <w:rtl/>
        </w:rPr>
      </w:pPr>
      <w:r w:rsidRPr="00B97E44">
        <w:rPr>
          <w:rFonts w:hint="eastAsia"/>
          <w:b/>
          <w:bCs/>
          <w:rtl/>
        </w:rPr>
        <w:t>התנהלות</w:t>
      </w:r>
      <w:r w:rsidRPr="00B97E44">
        <w:rPr>
          <w:rFonts w:hint="cs"/>
          <w:b/>
          <w:bCs/>
          <w:rtl/>
        </w:rPr>
        <w:t>ה של</w:t>
      </w:r>
      <w:r w:rsidRPr="00B97E44">
        <w:rPr>
          <w:b/>
          <w:bCs/>
          <w:rtl/>
        </w:rPr>
        <w:t xml:space="preserve"> </w:t>
      </w:r>
      <w:r w:rsidRPr="00B97E44">
        <w:rPr>
          <w:rFonts w:hint="eastAsia"/>
          <w:b/>
          <w:bCs/>
          <w:rtl/>
        </w:rPr>
        <w:t>מינהלת תקומה</w:t>
      </w:r>
      <w:r w:rsidRPr="00B97E44">
        <w:rPr>
          <w:b/>
          <w:bCs/>
          <w:rtl/>
        </w:rPr>
        <w:t xml:space="preserve"> </w:t>
      </w:r>
      <w:r w:rsidRPr="00B97E44">
        <w:rPr>
          <w:rFonts w:hint="eastAsia"/>
          <w:b/>
          <w:bCs/>
          <w:rtl/>
        </w:rPr>
        <w:t>בשני</w:t>
      </w:r>
      <w:r w:rsidRPr="00B97E44">
        <w:rPr>
          <w:b/>
          <w:bCs/>
          <w:rtl/>
        </w:rPr>
        <w:t xml:space="preserve"> </w:t>
      </w:r>
      <w:r w:rsidRPr="00B97E44">
        <w:rPr>
          <w:rFonts w:hint="eastAsia"/>
          <w:b/>
          <w:bCs/>
          <w:rtl/>
        </w:rPr>
        <w:t>ערוצים</w:t>
      </w:r>
      <w:r w:rsidRPr="00B97E44">
        <w:rPr>
          <w:b/>
          <w:bCs/>
          <w:rtl/>
        </w:rPr>
        <w:t xml:space="preserve"> </w:t>
      </w:r>
      <w:r w:rsidRPr="00B97E44">
        <w:rPr>
          <w:rFonts w:hint="eastAsia"/>
          <w:b/>
          <w:bCs/>
          <w:rtl/>
        </w:rPr>
        <w:t>מקבילים</w:t>
      </w:r>
      <w:r w:rsidRPr="00B97E44">
        <w:rPr>
          <w:b/>
          <w:bCs/>
          <w:rtl/>
        </w:rPr>
        <w:t xml:space="preserve"> </w:t>
      </w:r>
      <w:r w:rsidRPr="00B97E44">
        <w:rPr>
          <w:rFonts w:hint="eastAsia"/>
          <w:b/>
          <w:bCs/>
          <w:rtl/>
        </w:rPr>
        <w:t>לשיקום</w:t>
      </w:r>
      <w:r w:rsidRPr="00B97E44">
        <w:rPr>
          <w:b/>
          <w:bCs/>
          <w:rtl/>
        </w:rPr>
        <w:t xml:space="preserve"> </w:t>
      </w:r>
      <w:r w:rsidRPr="00B97E44">
        <w:rPr>
          <w:rFonts w:hint="eastAsia"/>
          <w:b/>
          <w:bCs/>
          <w:rtl/>
        </w:rPr>
        <w:t>ופיתוח</w:t>
      </w:r>
      <w:r w:rsidRPr="00B97E44">
        <w:rPr>
          <w:b/>
          <w:bCs/>
          <w:rtl/>
        </w:rPr>
        <w:t xml:space="preserve"> </w:t>
      </w:r>
      <w:r w:rsidRPr="00B97E44">
        <w:rPr>
          <w:rFonts w:hint="eastAsia"/>
          <w:b/>
          <w:bCs/>
          <w:rtl/>
        </w:rPr>
        <w:t>חבל</w:t>
      </w:r>
      <w:r w:rsidRPr="00B97E44">
        <w:rPr>
          <w:b/>
          <w:bCs/>
          <w:rtl/>
        </w:rPr>
        <w:t xml:space="preserve"> </w:t>
      </w:r>
      <w:r w:rsidRPr="00B97E44">
        <w:rPr>
          <w:rFonts w:hint="eastAsia"/>
          <w:b/>
          <w:bCs/>
          <w:rtl/>
        </w:rPr>
        <w:t>התקומה</w:t>
      </w:r>
      <w:r w:rsidRPr="00B97E44">
        <w:rPr>
          <w:b/>
          <w:bCs/>
          <w:rtl/>
        </w:rPr>
        <w:t xml:space="preserve"> - </w:t>
      </w:r>
      <w:r w:rsidRPr="00B97E44">
        <w:rPr>
          <w:rFonts w:hint="eastAsia"/>
          <w:b/>
          <w:bCs/>
          <w:rtl/>
        </w:rPr>
        <w:t>הן</w:t>
      </w:r>
      <w:r w:rsidRPr="00B97E44">
        <w:rPr>
          <w:b/>
          <w:bCs/>
          <w:rtl/>
        </w:rPr>
        <w:t xml:space="preserve"> </w:t>
      </w:r>
      <w:r w:rsidRPr="00B97E44">
        <w:rPr>
          <w:rFonts w:hint="eastAsia"/>
          <w:b/>
          <w:bCs/>
          <w:rtl/>
        </w:rPr>
        <w:t>ב</w:t>
      </w:r>
      <w:r w:rsidRPr="00B97E44">
        <w:rPr>
          <w:b/>
          <w:bCs/>
          <w:rtl/>
        </w:rPr>
        <w:t xml:space="preserve">"דרך </w:t>
      </w:r>
      <w:r w:rsidRPr="00B97E44">
        <w:rPr>
          <w:rFonts w:hint="eastAsia"/>
          <w:b/>
          <w:bCs/>
          <w:rtl/>
        </w:rPr>
        <w:t>המלך</w:t>
      </w:r>
      <w:r w:rsidRPr="00B97E44">
        <w:rPr>
          <w:b/>
          <w:bCs/>
          <w:rtl/>
        </w:rPr>
        <w:t xml:space="preserve">" </w:t>
      </w:r>
      <w:r w:rsidRPr="00B97E44">
        <w:rPr>
          <w:rFonts w:hint="eastAsia"/>
          <w:b/>
          <w:bCs/>
          <w:rtl/>
        </w:rPr>
        <w:t>באמצעות</w:t>
      </w:r>
      <w:r w:rsidRPr="00B97E44">
        <w:rPr>
          <w:b/>
          <w:bCs/>
          <w:rtl/>
        </w:rPr>
        <w:t xml:space="preserve"> </w:t>
      </w:r>
      <w:r w:rsidRPr="00B97E44">
        <w:rPr>
          <w:rFonts w:hint="eastAsia"/>
          <w:b/>
          <w:bCs/>
          <w:rtl/>
        </w:rPr>
        <w:t>המועצות</w:t>
      </w:r>
      <w:r w:rsidRPr="00B97E44">
        <w:rPr>
          <w:b/>
          <w:bCs/>
          <w:rtl/>
        </w:rPr>
        <w:t xml:space="preserve"> </w:t>
      </w:r>
      <w:r w:rsidRPr="00B97E44">
        <w:rPr>
          <w:rFonts w:hint="eastAsia"/>
          <w:b/>
          <w:bCs/>
          <w:rtl/>
        </w:rPr>
        <w:t>האזוריות</w:t>
      </w:r>
      <w:r w:rsidRPr="00B97E44">
        <w:rPr>
          <w:b/>
          <w:bCs/>
          <w:rtl/>
        </w:rPr>
        <w:t xml:space="preserve"> </w:t>
      </w:r>
      <w:r w:rsidRPr="00B97E44">
        <w:rPr>
          <w:rFonts w:hint="eastAsia"/>
          <w:b/>
          <w:bCs/>
          <w:rtl/>
        </w:rPr>
        <w:t>והן</w:t>
      </w:r>
      <w:r w:rsidRPr="00B97E44">
        <w:rPr>
          <w:b/>
          <w:bCs/>
          <w:rtl/>
        </w:rPr>
        <w:t xml:space="preserve"> </w:t>
      </w:r>
      <w:r w:rsidRPr="00B97E44">
        <w:rPr>
          <w:rFonts w:hint="eastAsia"/>
          <w:b/>
          <w:bCs/>
          <w:rtl/>
        </w:rPr>
        <w:t>בדרך</w:t>
      </w:r>
      <w:r w:rsidRPr="00B97E44">
        <w:rPr>
          <w:b/>
          <w:bCs/>
          <w:rtl/>
        </w:rPr>
        <w:t xml:space="preserve"> </w:t>
      </w:r>
      <w:r w:rsidRPr="00B97E44">
        <w:rPr>
          <w:rFonts w:hint="eastAsia"/>
          <w:b/>
          <w:bCs/>
          <w:rtl/>
        </w:rPr>
        <w:t>החריגה</w:t>
      </w:r>
      <w:r w:rsidRPr="00B97E44">
        <w:rPr>
          <w:b/>
          <w:bCs/>
          <w:rtl/>
        </w:rPr>
        <w:t xml:space="preserve"> </w:t>
      </w:r>
      <w:r w:rsidRPr="00B97E44">
        <w:rPr>
          <w:rFonts w:hint="cs"/>
          <w:b/>
          <w:bCs/>
          <w:rtl/>
        </w:rPr>
        <w:t>עם</w:t>
      </w:r>
      <w:r w:rsidRPr="00B97E44">
        <w:rPr>
          <w:b/>
          <w:bCs/>
          <w:rtl/>
        </w:rPr>
        <w:t xml:space="preserve"> </w:t>
      </w:r>
      <w:r w:rsidRPr="00B97E44">
        <w:rPr>
          <w:rFonts w:hint="eastAsia"/>
          <w:b/>
          <w:bCs/>
          <w:rtl/>
        </w:rPr>
        <w:t>היישובים</w:t>
      </w:r>
      <w:r w:rsidRPr="00B97E44">
        <w:rPr>
          <w:b/>
          <w:bCs/>
          <w:rtl/>
        </w:rPr>
        <w:t xml:space="preserve"> </w:t>
      </w:r>
      <w:r w:rsidRPr="00B97E44">
        <w:rPr>
          <w:rFonts w:hint="eastAsia"/>
          <w:b/>
          <w:bCs/>
          <w:rtl/>
        </w:rPr>
        <w:t>עצמם</w:t>
      </w:r>
      <w:r w:rsidRPr="00B97E44">
        <w:rPr>
          <w:rFonts w:hint="cs"/>
          <w:b/>
          <w:bCs/>
          <w:rtl/>
        </w:rPr>
        <w:t xml:space="preserve"> -</w:t>
      </w:r>
      <w:r w:rsidRPr="00B97E44">
        <w:rPr>
          <w:b/>
          <w:bCs/>
          <w:rtl/>
        </w:rPr>
        <w:t xml:space="preserve"> </w:t>
      </w:r>
      <w:r w:rsidRPr="00B97E44">
        <w:rPr>
          <w:rFonts w:hint="eastAsia"/>
          <w:b/>
          <w:bCs/>
          <w:rtl/>
        </w:rPr>
        <w:t>העצימה</w:t>
      </w:r>
      <w:r w:rsidRPr="00B97E44">
        <w:rPr>
          <w:b/>
          <w:bCs/>
          <w:rtl/>
        </w:rPr>
        <w:t xml:space="preserve"> </w:t>
      </w:r>
      <w:r w:rsidRPr="00B97E44">
        <w:rPr>
          <w:rFonts w:hint="eastAsia"/>
          <w:b/>
          <w:bCs/>
          <w:rtl/>
        </w:rPr>
        <w:t>את</w:t>
      </w:r>
      <w:r w:rsidRPr="00B97E44">
        <w:rPr>
          <w:b/>
          <w:bCs/>
          <w:rtl/>
        </w:rPr>
        <w:t xml:space="preserve"> </w:t>
      </w:r>
      <w:r w:rsidRPr="00B97E44">
        <w:rPr>
          <w:rFonts w:hint="eastAsia"/>
          <w:b/>
          <w:bCs/>
          <w:rtl/>
        </w:rPr>
        <w:t>הקשיים</w:t>
      </w:r>
      <w:r w:rsidRPr="00B97E44">
        <w:rPr>
          <w:b/>
          <w:bCs/>
          <w:rtl/>
        </w:rPr>
        <w:t xml:space="preserve"> </w:t>
      </w:r>
      <w:r w:rsidRPr="00B97E44">
        <w:rPr>
          <w:rFonts w:hint="eastAsia"/>
          <w:b/>
          <w:bCs/>
          <w:rtl/>
        </w:rPr>
        <w:t>ביחסים</w:t>
      </w:r>
      <w:r w:rsidRPr="00B97E44">
        <w:rPr>
          <w:b/>
          <w:bCs/>
          <w:rtl/>
        </w:rPr>
        <w:t xml:space="preserve"> </w:t>
      </w:r>
      <w:r w:rsidRPr="00B97E44">
        <w:rPr>
          <w:rFonts w:hint="eastAsia"/>
          <w:b/>
          <w:bCs/>
          <w:rtl/>
        </w:rPr>
        <w:t>המורכבים</w:t>
      </w:r>
      <w:r w:rsidRPr="00B97E44">
        <w:rPr>
          <w:b/>
          <w:bCs/>
          <w:rtl/>
        </w:rPr>
        <w:t xml:space="preserve"> </w:t>
      </w:r>
      <w:r w:rsidRPr="00B97E44">
        <w:rPr>
          <w:rFonts w:hint="eastAsia"/>
          <w:b/>
          <w:bCs/>
          <w:rtl/>
        </w:rPr>
        <w:t>ממילא</w:t>
      </w:r>
      <w:r w:rsidRPr="00B97E44">
        <w:rPr>
          <w:b/>
          <w:bCs/>
          <w:rtl/>
        </w:rPr>
        <w:t xml:space="preserve">: </w:t>
      </w:r>
    </w:p>
    <w:p w:rsidR="005B126E" w:rsidP="001916A9">
      <w:pPr>
        <w:spacing w:line="269" w:lineRule="auto"/>
        <w:ind w:left="720"/>
        <w:contextualSpacing/>
        <w:rPr>
          <w:sz w:val="24"/>
        </w:rPr>
      </w:pPr>
    </w:p>
    <w:p w:rsidR="005B126E" w:rsidRPr="00647723" w:rsidP="001916A9">
      <w:pPr>
        <w:pStyle w:val="ListParagraph"/>
        <w:numPr>
          <w:ilvl w:val="0"/>
          <w:numId w:val="29"/>
        </w:numPr>
        <w:spacing w:line="269" w:lineRule="auto"/>
        <w:rPr>
          <w:sz w:val="24"/>
        </w:rPr>
      </w:pPr>
      <w:r w:rsidRPr="00647723">
        <w:rPr>
          <w:sz w:val="24"/>
          <w:rtl/>
        </w:rPr>
        <w:t xml:space="preserve">בביקורת נמצא כי המועצה האזורית </w:t>
      </w:r>
      <w:r w:rsidRPr="00647723">
        <w:rPr>
          <w:b/>
          <w:bCs/>
          <w:sz w:val="24"/>
          <w:rtl/>
        </w:rPr>
        <w:t>אשכול</w:t>
      </w:r>
      <w:r w:rsidRPr="00647723">
        <w:rPr>
          <w:sz w:val="24"/>
          <w:rtl/>
        </w:rPr>
        <w:t>, שיישובים רבים בתחומה מצויים בחבל התקומה וחלק</w:t>
      </w:r>
      <w:r w:rsidRPr="00647723">
        <w:rPr>
          <w:rFonts w:hint="cs"/>
          <w:sz w:val="24"/>
          <w:rtl/>
        </w:rPr>
        <w:t xml:space="preserve"> מקהילותיה</w:t>
      </w:r>
      <w:r w:rsidRPr="00647723">
        <w:rPr>
          <w:sz w:val="24"/>
          <w:rtl/>
        </w:rPr>
        <w:t>ם שוה</w:t>
      </w:r>
      <w:r w:rsidRPr="00647723">
        <w:rPr>
          <w:rFonts w:hint="cs"/>
          <w:sz w:val="24"/>
          <w:rtl/>
        </w:rPr>
        <w:t>ות</w:t>
      </w:r>
      <w:r w:rsidRPr="00647723">
        <w:rPr>
          <w:sz w:val="24"/>
          <w:rtl/>
        </w:rPr>
        <w:t xml:space="preserve"> במגורים זמניים מחוץ לתחומי המועצה, ניכתה </w:t>
      </w:r>
      <w:r w:rsidRPr="00647723">
        <w:rPr>
          <w:rFonts w:hint="cs"/>
          <w:sz w:val="24"/>
          <w:rtl/>
        </w:rPr>
        <w:t xml:space="preserve">15% </w:t>
      </w:r>
      <w:r w:rsidRPr="00647723">
        <w:rPr>
          <w:sz w:val="24"/>
          <w:rtl/>
        </w:rPr>
        <w:t xml:space="preserve">מכספי סל תקומה </w:t>
      </w:r>
      <w:r w:rsidRPr="00647723">
        <w:rPr>
          <w:rFonts w:hint="cs"/>
          <w:sz w:val="24"/>
          <w:rtl/>
        </w:rPr>
        <w:t xml:space="preserve">לחינוך </w:t>
      </w:r>
      <w:r w:rsidRPr="00647723">
        <w:rPr>
          <w:sz w:val="24"/>
          <w:rtl/>
        </w:rPr>
        <w:t>שהעבירה לרשו</w:t>
      </w:r>
      <w:r w:rsidRPr="00647723">
        <w:rPr>
          <w:rFonts w:hint="cs"/>
          <w:sz w:val="24"/>
          <w:rtl/>
        </w:rPr>
        <w:t>יו</w:t>
      </w:r>
      <w:r w:rsidRPr="00647723">
        <w:rPr>
          <w:sz w:val="24"/>
          <w:rtl/>
        </w:rPr>
        <w:t>ת ה</w:t>
      </w:r>
      <w:r w:rsidRPr="00647723">
        <w:rPr>
          <w:rFonts w:hint="cs"/>
          <w:sz w:val="24"/>
          <w:rtl/>
        </w:rPr>
        <w:t>מקומיות שקלטו את ילדי המועצה</w:t>
      </w:r>
      <w:r w:rsidRPr="00647723">
        <w:rPr>
          <w:sz w:val="24"/>
          <w:rtl/>
        </w:rPr>
        <w:t>. אף שפעולה זו תואמת את הנוהל שקבעה מינהלת תקומה</w:t>
      </w:r>
      <w:r w:rsidRPr="00647723">
        <w:rPr>
          <w:rFonts w:hint="cs"/>
          <w:sz w:val="24"/>
          <w:rtl/>
        </w:rPr>
        <w:t>,</w:t>
      </w:r>
      <w:r w:rsidRPr="00647723">
        <w:rPr>
          <w:sz w:val="24"/>
          <w:rtl/>
        </w:rPr>
        <w:t xml:space="preserve"> הדבר עורר התנגדות בקרב קיבוץ ניר עוז</w:t>
      </w:r>
      <w:r w:rsidRPr="00647723">
        <w:rPr>
          <w:rFonts w:hint="cs"/>
          <w:sz w:val="24"/>
          <w:rtl/>
        </w:rPr>
        <w:t>,</w:t>
      </w:r>
      <w:r w:rsidRPr="00647723">
        <w:rPr>
          <w:sz w:val="24"/>
          <w:rtl/>
        </w:rPr>
        <w:t xml:space="preserve"> לדוגמה</w:t>
      </w:r>
      <w:r w:rsidRPr="00647723">
        <w:rPr>
          <w:rFonts w:hint="cs"/>
          <w:sz w:val="24"/>
          <w:rtl/>
        </w:rPr>
        <w:t>, שמופקד על החינוך לילדי הקיבוץ עד גיל שש</w:t>
      </w:r>
      <w:r w:rsidRPr="00647723">
        <w:rPr>
          <w:sz w:val="24"/>
          <w:rtl/>
        </w:rPr>
        <w:t xml:space="preserve">. בהמשך החליטה </w:t>
      </w:r>
      <w:r w:rsidRPr="00647723">
        <w:rPr>
          <w:rFonts w:hint="cs"/>
          <w:sz w:val="24"/>
          <w:rtl/>
        </w:rPr>
        <w:t xml:space="preserve">המועצה האזורית </w:t>
      </w:r>
      <w:r w:rsidRPr="00647723">
        <w:rPr>
          <w:sz w:val="24"/>
          <w:rtl/>
        </w:rPr>
        <w:t xml:space="preserve">אשכול להעביר לרשויות הקולטות את </w:t>
      </w:r>
      <w:r w:rsidRPr="00647723">
        <w:rPr>
          <w:rFonts w:hint="cs"/>
          <w:sz w:val="24"/>
          <w:rtl/>
        </w:rPr>
        <w:t>חלקה של הרשות המקומית ב</w:t>
      </w:r>
      <w:r w:rsidRPr="00647723">
        <w:rPr>
          <w:sz w:val="24"/>
          <w:rtl/>
        </w:rPr>
        <w:t xml:space="preserve">סל תקומה בשלמותו. מנגד המועצה האזורית </w:t>
      </w:r>
      <w:r w:rsidRPr="00647723">
        <w:rPr>
          <w:b/>
          <w:bCs/>
          <w:sz w:val="24"/>
          <w:rtl/>
        </w:rPr>
        <w:t>חוף אשקלון</w:t>
      </w:r>
      <w:r w:rsidRPr="00647723">
        <w:rPr>
          <w:sz w:val="24"/>
          <w:rtl/>
        </w:rPr>
        <w:t>, שלה כמה יישובים בחבל התקומה, מסרה כי אינה גובה "תקורה" מיישוביה.</w:t>
      </w:r>
    </w:p>
    <w:p w:rsidR="005B126E" w:rsidP="001916A9">
      <w:pPr>
        <w:spacing w:line="269" w:lineRule="auto"/>
        <w:ind w:left="720"/>
        <w:contextualSpacing/>
        <w:rPr>
          <w:rtl/>
        </w:rPr>
      </w:pPr>
    </w:p>
    <w:p w:rsidR="005B126E" w:rsidRPr="00B97E44" w:rsidP="001916A9">
      <w:pPr>
        <w:spacing w:line="269" w:lineRule="auto"/>
        <w:ind w:left="360"/>
        <w:contextualSpacing/>
        <w:rPr>
          <w:rtl/>
        </w:rPr>
      </w:pPr>
      <w:r w:rsidRPr="00B97E44">
        <w:rPr>
          <w:rFonts w:hint="cs"/>
          <w:rtl/>
        </w:rPr>
        <w:t xml:space="preserve">המועצה האזורית </w:t>
      </w:r>
      <w:r w:rsidRPr="00B97E44">
        <w:rPr>
          <w:rFonts w:hint="eastAsia"/>
          <w:b/>
          <w:bCs/>
          <w:rtl/>
        </w:rPr>
        <w:t>אשכול</w:t>
      </w:r>
      <w:r w:rsidRPr="00B97E44">
        <w:rPr>
          <w:b/>
          <w:bCs/>
          <w:rtl/>
        </w:rPr>
        <w:t xml:space="preserve"> </w:t>
      </w:r>
      <w:r w:rsidRPr="00B97E44">
        <w:rPr>
          <w:rFonts w:hint="cs"/>
          <w:rtl/>
        </w:rPr>
        <w:t xml:space="preserve">מסרה כי </w:t>
      </w:r>
      <w:r w:rsidRPr="00B97E44">
        <w:rPr>
          <w:rtl/>
        </w:rPr>
        <w:t xml:space="preserve">הניכוי בוצע </w:t>
      </w:r>
      <w:r w:rsidRPr="00B97E44">
        <w:rPr>
          <w:rFonts w:hint="cs"/>
          <w:rtl/>
        </w:rPr>
        <w:t>כדי</w:t>
      </w:r>
      <w:r w:rsidRPr="00B97E44">
        <w:rPr>
          <w:rtl/>
        </w:rPr>
        <w:t xml:space="preserve"> להעמיד תשומות </w:t>
      </w:r>
      <w:r w:rsidRPr="00B97E44">
        <w:rPr>
          <w:rFonts w:hint="cs"/>
          <w:rtl/>
        </w:rPr>
        <w:t>ל</w:t>
      </w:r>
      <w:r w:rsidRPr="00B97E44">
        <w:rPr>
          <w:rtl/>
        </w:rPr>
        <w:t xml:space="preserve">ניהול </w:t>
      </w:r>
      <w:r w:rsidRPr="00B97E44">
        <w:rPr>
          <w:rFonts w:hint="cs"/>
          <w:rtl/>
        </w:rPr>
        <w:t>ה</w:t>
      </w:r>
      <w:r w:rsidRPr="00B97E44">
        <w:rPr>
          <w:rtl/>
        </w:rPr>
        <w:t xml:space="preserve">קשר ולעבודה </w:t>
      </w:r>
      <w:r w:rsidRPr="00B97E44">
        <w:rPr>
          <w:rFonts w:hint="cs"/>
          <w:rtl/>
        </w:rPr>
        <w:t>עם</w:t>
      </w:r>
      <w:r w:rsidRPr="00B97E44">
        <w:rPr>
          <w:rtl/>
        </w:rPr>
        <w:t xml:space="preserve"> הרשויות הקולטות</w:t>
      </w:r>
      <w:r w:rsidRPr="00B97E44">
        <w:rPr>
          <w:rFonts w:hint="cs"/>
          <w:rtl/>
        </w:rPr>
        <w:t>.</w:t>
      </w:r>
    </w:p>
    <w:p w:rsidR="005B126E" w:rsidP="001916A9">
      <w:pPr>
        <w:spacing w:line="269" w:lineRule="auto"/>
        <w:ind w:left="720"/>
        <w:contextualSpacing/>
        <w:rPr>
          <w:rtl/>
        </w:rPr>
      </w:pPr>
    </w:p>
    <w:p w:rsidR="005B126E" w:rsidP="001916A9">
      <w:pPr>
        <w:spacing w:line="269" w:lineRule="auto"/>
        <w:ind w:left="360"/>
        <w:contextualSpacing/>
        <w:rPr>
          <w:rtl/>
        </w:rPr>
      </w:pPr>
      <w:r w:rsidRPr="00B97E44">
        <w:rPr>
          <w:rFonts w:hint="cs"/>
          <w:rtl/>
        </w:rPr>
        <w:t>מינהלת תקומה מסרה כי</w:t>
      </w:r>
      <w:r w:rsidRPr="00B97E44">
        <w:rPr>
          <w:rtl/>
        </w:rPr>
        <w:t xml:space="preserve"> המענים</w:t>
      </w:r>
      <w:r w:rsidRPr="00B97E44">
        <w:rPr>
          <w:rFonts w:hint="cs"/>
          <w:rtl/>
        </w:rPr>
        <w:t xml:space="preserve"> </w:t>
      </w:r>
      <w:r w:rsidRPr="00B97E44">
        <w:rPr>
          <w:rtl/>
        </w:rPr>
        <w:t xml:space="preserve">החינוכיים אינם </w:t>
      </w:r>
      <w:r w:rsidRPr="00B97E44">
        <w:rPr>
          <w:rFonts w:hint="cs"/>
          <w:rtl/>
        </w:rPr>
        <w:t>ניתנים רק באופן ישיר</w:t>
      </w:r>
      <w:r w:rsidRPr="00B97E44">
        <w:rPr>
          <w:rtl/>
        </w:rPr>
        <w:t xml:space="preserve"> לכל ילד אלא</w:t>
      </w:r>
      <w:r w:rsidRPr="00B97E44">
        <w:rPr>
          <w:rFonts w:hint="cs"/>
          <w:rtl/>
        </w:rPr>
        <w:t xml:space="preserve"> כוללים גם</w:t>
      </w:r>
      <w:r w:rsidRPr="00B97E44">
        <w:rPr>
          <w:rtl/>
        </w:rPr>
        <w:t xml:space="preserve"> מענים בית </w:t>
      </w:r>
      <w:r w:rsidRPr="00B97E44">
        <w:rPr>
          <w:rtl/>
        </w:rPr>
        <w:t>ספריים</w:t>
      </w:r>
      <w:r w:rsidRPr="00B97E44">
        <w:rPr>
          <w:rtl/>
        </w:rPr>
        <w:t xml:space="preserve">, מענים תשתיתיים </w:t>
      </w:r>
      <w:r w:rsidRPr="00B97E44">
        <w:rPr>
          <w:rFonts w:hint="cs"/>
          <w:rtl/>
        </w:rPr>
        <w:t>ו</w:t>
      </w:r>
      <w:r w:rsidRPr="00B97E44">
        <w:rPr>
          <w:rtl/>
        </w:rPr>
        <w:t>מענים</w:t>
      </w:r>
      <w:r w:rsidRPr="00B97E44">
        <w:rPr>
          <w:rFonts w:hint="cs"/>
          <w:rtl/>
        </w:rPr>
        <w:t xml:space="preserve"> </w:t>
      </w:r>
      <w:r w:rsidRPr="00B97E44">
        <w:rPr>
          <w:rtl/>
        </w:rPr>
        <w:t>קבוצתיים. בכל רשות</w:t>
      </w:r>
      <w:r w:rsidRPr="00B97E44">
        <w:rPr>
          <w:rFonts w:hint="cs"/>
          <w:rtl/>
        </w:rPr>
        <w:t xml:space="preserve"> מקומית</w:t>
      </w:r>
      <w:r w:rsidRPr="00B97E44">
        <w:rPr>
          <w:rtl/>
        </w:rPr>
        <w:t xml:space="preserve"> הפרשנות לכך אחרת ומותאמת לאופי הרשות, לאופי</w:t>
      </w:r>
      <w:r w:rsidRPr="00B97E44">
        <w:rPr>
          <w:rFonts w:hint="cs"/>
          <w:rtl/>
        </w:rPr>
        <w:t xml:space="preserve"> </w:t>
      </w:r>
      <w:r w:rsidRPr="00B97E44">
        <w:rPr>
          <w:rtl/>
        </w:rPr>
        <w:t>האוכלוסייה</w:t>
      </w:r>
      <w:r w:rsidRPr="00B97E44">
        <w:rPr>
          <w:rFonts w:hint="cs"/>
          <w:rtl/>
        </w:rPr>
        <w:t xml:space="preserve"> ו</w:t>
      </w:r>
      <w:r w:rsidRPr="00B97E44">
        <w:rPr>
          <w:rtl/>
        </w:rPr>
        <w:t>לאתגרים השונים שהביא</w:t>
      </w:r>
      <w:r>
        <w:rPr>
          <w:rFonts w:hint="cs"/>
          <w:rtl/>
        </w:rPr>
        <w:t>ה</w:t>
      </w:r>
      <w:r w:rsidRPr="00B97E44">
        <w:rPr>
          <w:rtl/>
        </w:rPr>
        <w:t xml:space="preserve"> </w:t>
      </w:r>
      <w:r w:rsidRPr="00B97E44">
        <w:rPr>
          <w:rtl/>
        </w:rPr>
        <w:t>עימ</w:t>
      </w:r>
      <w:r>
        <w:rPr>
          <w:rFonts w:hint="cs"/>
          <w:rtl/>
        </w:rPr>
        <w:t>ה</w:t>
      </w:r>
      <w:r w:rsidRPr="00B97E44">
        <w:rPr>
          <w:rtl/>
        </w:rPr>
        <w:t xml:space="preserve"> </w:t>
      </w:r>
      <w:r>
        <w:rPr>
          <w:rFonts w:hint="cs"/>
          <w:rtl/>
        </w:rPr>
        <w:t>מתקפת</w:t>
      </w:r>
      <w:r w:rsidRPr="00B97E44">
        <w:rPr>
          <w:rFonts w:hint="cs"/>
          <w:rtl/>
        </w:rPr>
        <w:t xml:space="preserve"> שבעה באוקטובר. עוד ציינה </w:t>
      </w:r>
      <w:r w:rsidRPr="00B97E44">
        <w:rPr>
          <w:rFonts w:hint="cs"/>
          <w:rtl/>
        </w:rPr>
        <w:t>המינהלת</w:t>
      </w:r>
      <w:r w:rsidRPr="00B97E44">
        <w:rPr>
          <w:rFonts w:hint="cs"/>
          <w:rtl/>
        </w:rPr>
        <w:t xml:space="preserve"> בתשובתה כי כאשר המועצה האזורית </w:t>
      </w:r>
      <w:r w:rsidRPr="00B97E44">
        <w:rPr>
          <w:rFonts w:hint="eastAsia"/>
          <w:b/>
          <w:bCs/>
          <w:rtl/>
        </w:rPr>
        <w:t>אשכול</w:t>
      </w:r>
      <w:r w:rsidRPr="00B97E44">
        <w:rPr>
          <w:rFonts w:hint="cs"/>
          <w:rtl/>
        </w:rPr>
        <w:t xml:space="preserve"> השאירה ברשות חלק מהתקציב הוא שימש להכשרות לאנשי החינוך במועצה, לפעילות אזורית של כל היישובים ולמתן פתרונות ביניים ומענים תשתיתיים נוספים לחינוך.</w:t>
      </w:r>
    </w:p>
    <w:p w:rsidR="005B126E" w:rsidRPr="00B97E44" w:rsidP="001916A9">
      <w:pPr>
        <w:spacing w:line="269" w:lineRule="auto"/>
        <w:ind w:left="720"/>
        <w:contextualSpacing/>
        <w:rPr>
          <w:rtl/>
        </w:rPr>
      </w:pPr>
    </w:p>
    <w:p w:rsidR="005B126E" w:rsidRPr="00B97E44" w:rsidP="001916A9">
      <w:pPr>
        <w:pStyle w:val="ListParagraph"/>
        <w:numPr>
          <w:ilvl w:val="0"/>
          <w:numId w:val="29"/>
        </w:numPr>
        <w:spacing w:line="269" w:lineRule="auto"/>
      </w:pPr>
      <w:r w:rsidRPr="00B97E44">
        <w:rPr>
          <w:rFonts w:hint="eastAsia"/>
          <w:rtl/>
        </w:rPr>
        <w:t>לצורך</w:t>
      </w:r>
      <w:r w:rsidRPr="00B97E44">
        <w:rPr>
          <w:rtl/>
        </w:rPr>
        <w:t xml:space="preserve"> </w:t>
      </w:r>
      <w:r w:rsidRPr="00B97E44">
        <w:rPr>
          <w:rFonts w:hint="cs"/>
          <w:rtl/>
        </w:rPr>
        <w:t>העבודה עם היישובים,</w:t>
      </w:r>
      <w:r w:rsidRPr="00B97E44">
        <w:rPr>
          <w:rtl/>
        </w:rPr>
        <w:t xml:space="preserve"> </w:t>
      </w:r>
      <w:r w:rsidRPr="00B97E44">
        <w:rPr>
          <w:rFonts w:hint="eastAsia"/>
          <w:rtl/>
        </w:rPr>
        <w:t>גייסה</w:t>
      </w:r>
      <w:r w:rsidRPr="00B97E44">
        <w:rPr>
          <w:rtl/>
        </w:rPr>
        <w:t xml:space="preserve"> </w:t>
      </w:r>
      <w:r w:rsidRPr="00B97E44">
        <w:rPr>
          <w:rFonts w:hint="eastAsia"/>
          <w:rtl/>
        </w:rPr>
        <w:t>מינהלת תקומה</w:t>
      </w:r>
      <w:r w:rsidRPr="00B97E44">
        <w:rPr>
          <w:rtl/>
        </w:rPr>
        <w:t xml:space="preserve"> "רכזי </w:t>
      </w:r>
      <w:r w:rsidRPr="00B97E44">
        <w:rPr>
          <w:rFonts w:hint="eastAsia"/>
          <w:rtl/>
        </w:rPr>
        <w:t>תקומה</w:t>
      </w:r>
      <w:r w:rsidRPr="00B97E44">
        <w:rPr>
          <w:rtl/>
        </w:rPr>
        <w:t xml:space="preserve">" </w:t>
      </w:r>
      <w:r w:rsidRPr="00B97E44">
        <w:rPr>
          <w:rFonts w:hint="eastAsia"/>
          <w:rtl/>
        </w:rPr>
        <w:t>המשמש</w:t>
      </w:r>
      <w:r w:rsidRPr="00B97E44">
        <w:rPr>
          <w:rFonts w:hint="cs"/>
          <w:rtl/>
        </w:rPr>
        <w:t>ים</w:t>
      </w:r>
      <w:r w:rsidRPr="00B97E44">
        <w:rPr>
          <w:rtl/>
        </w:rPr>
        <w:t xml:space="preserve"> </w:t>
      </w:r>
      <w:r w:rsidRPr="00B97E44">
        <w:rPr>
          <w:rFonts w:hint="eastAsia"/>
          <w:rtl/>
        </w:rPr>
        <w:t>חוליה</w:t>
      </w:r>
      <w:r w:rsidRPr="00B97E44">
        <w:rPr>
          <w:rtl/>
        </w:rPr>
        <w:t xml:space="preserve"> </w:t>
      </w:r>
      <w:r w:rsidRPr="00B97E44">
        <w:rPr>
          <w:rFonts w:hint="eastAsia"/>
          <w:rtl/>
        </w:rPr>
        <w:t>מקשרת</w:t>
      </w:r>
      <w:r w:rsidRPr="00B97E44">
        <w:rPr>
          <w:rtl/>
        </w:rPr>
        <w:t xml:space="preserve"> </w:t>
      </w:r>
      <w:r w:rsidRPr="00B97E44">
        <w:rPr>
          <w:rFonts w:hint="eastAsia"/>
          <w:rtl/>
        </w:rPr>
        <w:t>בי</w:t>
      </w:r>
      <w:r w:rsidRPr="00B97E44">
        <w:rPr>
          <w:rFonts w:hint="cs"/>
          <w:rtl/>
        </w:rPr>
        <w:t>נה ובין כל אחד מה</w:t>
      </w:r>
      <w:r w:rsidRPr="00B97E44">
        <w:rPr>
          <w:rFonts w:hint="eastAsia"/>
          <w:rtl/>
        </w:rPr>
        <w:t>יישוב</w:t>
      </w:r>
      <w:r w:rsidRPr="00B97E44">
        <w:rPr>
          <w:rFonts w:hint="cs"/>
          <w:rtl/>
        </w:rPr>
        <w:t>ים</w:t>
      </w:r>
      <w:r w:rsidRPr="00B97E44">
        <w:rPr>
          <w:rtl/>
        </w:rPr>
        <w:t xml:space="preserve">. </w:t>
      </w:r>
    </w:p>
    <w:p w:rsidR="005B126E" w:rsidP="001916A9">
      <w:pPr>
        <w:spacing w:line="269" w:lineRule="auto"/>
        <w:ind w:left="680"/>
        <w:contextualSpacing/>
        <w:rPr>
          <w:rtl/>
        </w:rPr>
      </w:pPr>
    </w:p>
    <w:p w:rsidR="005B126E" w:rsidRPr="00B97E44" w:rsidP="001916A9">
      <w:pPr>
        <w:spacing w:line="269" w:lineRule="auto"/>
        <w:ind w:left="360"/>
        <w:contextualSpacing/>
        <w:rPr>
          <w:rtl/>
        </w:rPr>
      </w:pPr>
      <w:r w:rsidRPr="00B97E44">
        <w:rPr>
          <w:rFonts w:hint="cs"/>
          <w:rtl/>
        </w:rPr>
        <w:t xml:space="preserve">בביקורת עלה כי מינהלת תקומה ויישובי המועצה האזורית </w:t>
      </w:r>
      <w:r w:rsidRPr="00B97E44">
        <w:rPr>
          <w:rFonts w:hint="eastAsia"/>
          <w:b/>
          <w:bCs/>
          <w:rtl/>
        </w:rPr>
        <w:t>אשכול</w:t>
      </w:r>
      <w:r w:rsidRPr="00B97E44">
        <w:rPr>
          <w:b/>
          <w:bCs/>
          <w:rtl/>
        </w:rPr>
        <w:t xml:space="preserve"> </w:t>
      </w:r>
      <w:r w:rsidRPr="00B97E44">
        <w:rPr>
          <w:rFonts w:hint="cs"/>
          <w:rtl/>
        </w:rPr>
        <w:t xml:space="preserve">גייסו את רכזי תקומה ליישובים, ללא מעורבותה של המועצה. ככלל אין לרכזים ממשק ישיר עם המועצה, אך המועצה היא שנדרשה לשלם את שכרם ולאשר את דיווחי הנוכחות שלהם. כך למעשה מינהלת תקומה </w:t>
      </w:r>
      <w:r w:rsidRPr="00B97E44">
        <w:rPr>
          <w:rtl/>
        </w:rPr>
        <w:t xml:space="preserve">מערבת את המועצה </w:t>
      </w:r>
      <w:r w:rsidRPr="00B97E44">
        <w:rPr>
          <w:rFonts w:hint="cs"/>
          <w:rtl/>
        </w:rPr>
        <w:t xml:space="preserve">האזורית </w:t>
      </w:r>
      <w:r w:rsidRPr="00B97E44">
        <w:rPr>
          <w:rtl/>
        </w:rPr>
        <w:t xml:space="preserve">כאשר </w:t>
      </w:r>
      <w:r w:rsidRPr="00B97E44">
        <w:rPr>
          <w:rFonts w:hint="cs"/>
          <w:rtl/>
        </w:rPr>
        <w:t xml:space="preserve">היא נזקקת לה </w:t>
      </w:r>
      <w:r w:rsidRPr="00B97E44">
        <w:rPr>
          <w:rtl/>
        </w:rPr>
        <w:t>מבחינה פורמלית</w:t>
      </w:r>
      <w:r w:rsidRPr="00B97E44">
        <w:rPr>
          <w:rFonts w:hint="cs"/>
          <w:rtl/>
        </w:rPr>
        <w:t>, אך ללא שותפות מלאה.</w:t>
      </w:r>
    </w:p>
    <w:p w:rsidR="005B126E" w:rsidP="001916A9">
      <w:pPr>
        <w:spacing w:line="269" w:lineRule="auto"/>
        <w:ind w:left="720"/>
        <w:rPr>
          <w:rtl/>
        </w:rPr>
      </w:pPr>
    </w:p>
    <w:p w:rsidR="005B126E" w:rsidRPr="00B97E44" w:rsidP="001916A9">
      <w:pPr>
        <w:spacing w:line="269" w:lineRule="auto"/>
        <w:ind w:left="360"/>
        <w:rPr>
          <w:rtl/>
        </w:rPr>
      </w:pPr>
      <w:r w:rsidRPr="00B97E44">
        <w:rPr>
          <w:rtl/>
        </w:rPr>
        <w:t xml:space="preserve">מינהלת תקומה מסרה כי לאחר מעשה היא מסכימה שייתכן </w:t>
      </w:r>
      <w:r w:rsidRPr="00B97E44">
        <w:rPr>
          <w:rFonts w:hint="cs"/>
          <w:rtl/>
        </w:rPr>
        <w:t>ש</w:t>
      </w:r>
      <w:r w:rsidRPr="00B97E44">
        <w:rPr>
          <w:rtl/>
        </w:rPr>
        <w:t xml:space="preserve">היה </w:t>
      </w:r>
      <w:r w:rsidRPr="00B97E44">
        <w:rPr>
          <w:rFonts w:hint="cs"/>
          <w:rtl/>
        </w:rPr>
        <w:t xml:space="preserve">אפשר </w:t>
      </w:r>
      <w:r w:rsidRPr="00B97E44">
        <w:rPr>
          <w:rtl/>
        </w:rPr>
        <w:t xml:space="preserve">לקבוע מנגנון אחר להעסקת רכזי תקומה. אולם בתחילת המלחמה הייתה דחיפות לגייס נציגים של </w:t>
      </w:r>
      <w:r w:rsidRPr="00B97E44">
        <w:rPr>
          <w:rtl/>
        </w:rPr>
        <w:t>המינהלת</w:t>
      </w:r>
      <w:r w:rsidRPr="00B97E44">
        <w:rPr>
          <w:rtl/>
        </w:rPr>
        <w:t xml:space="preserve"> ביישובים וה</w:t>
      </w:r>
      <w:r w:rsidRPr="00B97E44">
        <w:rPr>
          <w:rFonts w:hint="cs"/>
          <w:rtl/>
        </w:rPr>
        <w:t>יא</w:t>
      </w:r>
      <w:r w:rsidRPr="00B97E44">
        <w:rPr>
          <w:rtl/>
        </w:rPr>
        <w:t xml:space="preserve"> סברה שראוי שלמועצות האזוריות תהיה תמונה מלאה ביחס לפעילות הרכזים. עם זאת, בסופו של דבר מרבית המועצות לא היו מעורבות באופן מלא בנושא. עוד ציינה </w:t>
      </w:r>
      <w:r w:rsidRPr="00B97E44">
        <w:rPr>
          <w:rtl/>
        </w:rPr>
        <w:t>המינהלת</w:t>
      </w:r>
      <w:r w:rsidRPr="00B97E44">
        <w:rPr>
          <w:rtl/>
        </w:rPr>
        <w:t xml:space="preserve"> כי </w:t>
      </w:r>
      <w:r>
        <w:rPr>
          <w:rFonts w:hint="cs"/>
          <w:rtl/>
        </w:rPr>
        <w:t xml:space="preserve">נכון למועד התשובה, </w:t>
      </w:r>
      <w:r w:rsidRPr="00B97E44">
        <w:rPr>
          <w:rtl/>
        </w:rPr>
        <w:t xml:space="preserve">אישור דיווחי הנוכחות של הרכזים ביישובי המועצה האזורית </w:t>
      </w:r>
      <w:r w:rsidRPr="00B97E44">
        <w:rPr>
          <w:b/>
          <w:bCs/>
          <w:rtl/>
        </w:rPr>
        <w:t>אשכול</w:t>
      </w:r>
      <w:r w:rsidRPr="00B97E44">
        <w:rPr>
          <w:rtl/>
        </w:rPr>
        <w:t xml:space="preserve"> נעשה </w:t>
      </w:r>
      <w:r w:rsidRPr="00B97E44">
        <w:rPr>
          <w:rFonts w:hint="cs"/>
          <w:rtl/>
        </w:rPr>
        <w:t>ב</w:t>
      </w:r>
      <w:r w:rsidRPr="00B97E44">
        <w:rPr>
          <w:rtl/>
        </w:rPr>
        <w:t xml:space="preserve">ידי מערך קישור להתיישבות </w:t>
      </w:r>
      <w:r w:rsidRPr="00B97E44">
        <w:rPr>
          <w:rtl/>
        </w:rPr>
        <w:t>במינהלת</w:t>
      </w:r>
      <w:r w:rsidRPr="00B97E44">
        <w:rPr>
          <w:rFonts w:hint="cs"/>
          <w:rtl/>
        </w:rPr>
        <w:t>.</w:t>
      </w:r>
    </w:p>
    <w:p w:rsidR="005B126E" w:rsidP="001916A9">
      <w:pPr>
        <w:spacing w:line="269" w:lineRule="auto"/>
        <w:ind w:left="720"/>
        <w:contextualSpacing/>
      </w:pPr>
    </w:p>
    <w:p w:rsidR="005B126E" w:rsidRPr="00B97E44" w:rsidP="001916A9">
      <w:pPr>
        <w:pStyle w:val="ListParagraph"/>
        <w:numPr>
          <w:ilvl w:val="0"/>
          <w:numId w:val="29"/>
        </w:numPr>
        <w:spacing w:line="269" w:lineRule="auto"/>
      </w:pPr>
      <w:r w:rsidRPr="00B97E44">
        <w:rPr>
          <w:rFonts w:hint="cs"/>
          <w:rtl/>
        </w:rPr>
        <w:t>דוגמה נוספת עלתה באוקטובר 2024, אז פרסמה מינהלת תקומה בשיתוף משרד התרבות והספורט קול קורא להקמה ולשיפוץ של מתקני ספורט בחבל התקומה. הקול הקורא התפרסם בהמשך לתוכנית החומש, שהקצתה 224 מיליו</w:t>
      </w:r>
      <w:r>
        <w:rPr>
          <w:rFonts w:hint="cs"/>
          <w:rtl/>
        </w:rPr>
        <w:t>ני</w:t>
      </w:r>
      <w:r w:rsidRPr="00B97E44">
        <w:rPr>
          <w:rFonts w:hint="cs"/>
          <w:rtl/>
        </w:rPr>
        <w:t xml:space="preserve"> ש"ח לאורך כל התוכנית להקמה ולשדרוג מתקני ספורט למימוש הפוטנציאל של ילדי החבל בתחומי הספורט </w:t>
      </w:r>
      <w:r w:rsidRPr="00B97E44">
        <w:rPr>
          <w:rFonts w:hint="cs"/>
          <w:rtl/>
        </w:rPr>
        <w:t>ובהנגשת</w:t>
      </w:r>
      <w:r w:rsidRPr="00B97E44">
        <w:rPr>
          <w:rFonts w:hint="cs"/>
          <w:rtl/>
        </w:rPr>
        <w:t xml:space="preserve"> מתקני ספורט לעידוד ספורט קהילתי, הישגי ותחרותי. במסגרת הקול הקורא אושרו הצעות להקמת מתקני ספורט ברשויות החבל בסך 49 מיליוני ש"ח.</w:t>
      </w:r>
    </w:p>
    <w:p w:rsidR="005B126E" w:rsidP="001916A9">
      <w:pPr>
        <w:spacing w:line="269" w:lineRule="auto"/>
        <w:ind w:left="720"/>
        <w:rPr>
          <w:rtl/>
        </w:rPr>
      </w:pPr>
    </w:p>
    <w:p w:rsidR="005B126E" w:rsidRPr="00B97E44" w:rsidP="001916A9">
      <w:pPr>
        <w:spacing w:line="269" w:lineRule="auto"/>
        <w:ind w:left="360"/>
        <w:rPr>
          <w:rFonts w:ascii="David" w:hAnsi="David"/>
          <w:sz w:val="24"/>
          <w:rtl/>
        </w:rPr>
      </w:pPr>
      <w:r w:rsidRPr="00B97E44">
        <w:rPr>
          <w:rFonts w:hint="cs"/>
          <w:rtl/>
        </w:rPr>
        <w:t>בביקורת עלה</w:t>
      </w:r>
      <w:r w:rsidRPr="00B97E44">
        <w:rPr>
          <w:rFonts w:hint="cs"/>
          <w:sz w:val="24"/>
          <w:rtl/>
        </w:rPr>
        <w:t xml:space="preserve"> כי בעוד המועצה האזורית </w:t>
      </w:r>
      <w:r w:rsidRPr="00B97E44">
        <w:rPr>
          <w:rFonts w:hint="eastAsia"/>
          <w:b/>
          <w:bCs/>
          <w:sz w:val="24"/>
          <w:rtl/>
        </w:rPr>
        <w:t>אשכול</w:t>
      </w:r>
      <w:r w:rsidRPr="00B97E44">
        <w:rPr>
          <w:rFonts w:hint="cs"/>
          <w:sz w:val="24"/>
          <w:rtl/>
        </w:rPr>
        <w:t xml:space="preserve"> ביקשה להקים מתחם אזורי שישרת את כל יישובי המועצה, החליטו מינהלת תקומה ומשרד התרבות והספורט על מתווה אחר, שלפיו יוקמו מתקני ספורט מקומיים בחלק מהיישובים. לצורך כך ערכה מינהלת תקומה מפגש מקוון והזמינה את כלל היישובים במועצה להשתתף בו. במפגש הציגה מינהלת תקומה ליישובים את המבחנים לחלוקת כספי התמיכה והזמינה אותם להגיש הצעות. בעקבות המפגש גיבשו חלק מהיישובים תוכניות למתקני ספורט בשטחם. כיוון שמספר המתקנים שניתן להקים בסכום שהוקצה היה </w:t>
      </w:r>
      <w:r w:rsidRPr="00B97E44">
        <w:rPr>
          <w:rFonts w:hint="eastAsia"/>
          <w:sz w:val="24"/>
          <w:rtl/>
        </w:rPr>
        <w:t>מוגבל</w:t>
      </w:r>
      <w:r w:rsidRPr="00B97E44">
        <w:rPr>
          <w:rFonts w:hint="cs"/>
          <w:sz w:val="24"/>
          <w:rtl/>
        </w:rPr>
        <w:t xml:space="preserve"> </w:t>
      </w:r>
      <w:r w:rsidRPr="00B97E44">
        <w:rPr>
          <w:sz w:val="24"/>
          <w:rtl/>
        </w:rPr>
        <w:t xml:space="preserve">ולפי הקול הקורא שפורסם המועצה האזורית היא הגורם שזכאי להגיש בקשה לכספי התמיכה </w:t>
      </w:r>
      <w:r w:rsidRPr="00B97E44">
        <w:rPr>
          <w:rFonts w:hint="cs"/>
          <w:sz w:val="24"/>
          <w:rtl/>
        </w:rPr>
        <w:t>ב</w:t>
      </w:r>
      <w:r w:rsidRPr="00B97E44">
        <w:rPr>
          <w:sz w:val="24"/>
          <w:rtl/>
        </w:rPr>
        <w:t>עבור מתקנים לספורט קהילתי</w:t>
      </w:r>
      <w:r w:rsidRPr="00B97E44">
        <w:rPr>
          <w:rFonts w:hint="cs"/>
          <w:sz w:val="24"/>
          <w:rtl/>
        </w:rPr>
        <w:t xml:space="preserve">, דרשה מינהלת תקומה מהמועצה </w:t>
      </w:r>
      <w:r w:rsidRPr="00B97E44">
        <w:rPr>
          <w:rFonts w:hint="cs"/>
          <w:sz w:val="24"/>
          <w:rtl/>
        </w:rPr>
        <w:t>לתעדף</w:t>
      </w:r>
      <w:r w:rsidRPr="00B97E44">
        <w:rPr>
          <w:rFonts w:hint="cs"/>
          <w:sz w:val="24"/>
          <w:rtl/>
        </w:rPr>
        <w:t xml:space="preserve"> בעצמה את הבקשות ולהכריע אילו יישובים מבין כלל המציעים יזכו למתקן ספורט בשטחם ואילו לא, ולהתמודד עם מחלוקות עם היישובים ככל שיעלו ביחס </w:t>
      </w:r>
      <w:r w:rsidRPr="00B97E44">
        <w:rPr>
          <w:rFonts w:hint="cs"/>
          <w:sz w:val="24"/>
          <w:rtl/>
        </w:rPr>
        <w:t>לתעדוף</w:t>
      </w:r>
      <w:r w:rsidRPr="00B97E44">
        <w:rPr>
          <w:rFonts w:hint="cs"/>
          <w:sz w:val="24"/>
          <w:rtl/>
        </w:rPr>
        <w:t xml:space="preserve"> האמור.</w:t>
      </w:r>
    </w:p>
    <w:p w:rsidR="005B126E" w:rsidP="001916A9">
      <w:pPr>
        <w:spacing w:line="269" w:lineRule="auto"/>
        <w:ind w:left="720"/>
        <w:rPr>
          <w:rFonts w:ascii="David" w:hAnsi="David"/>
          <w:sz w:val="24"/>
          <w:rtl/>
        </w:rPr>
      </w:pPr>
    </w:p>
    <w:p w:rsidR="005B126E" w:rsidRPr="00B97E44" w:rsidP="001916A9">
      <w:pPr>
        <w:spacing w:line="269" w:lineRule="auto"/>
        <w:ind w:left="360"/>
        <w:rPr>
          <w:sz w:val="24"/>
          <w:rtl/>
        </w:rPr>
      </w:pPr>
      <w:r w:rsidRPr="00B97E44">
        <w:rPr>
          <w:rFonts w:ascii="David" w:hAnsi="David" w:hint="eastAsia"/>
          <w:sz w:val="24"/>
          <w:rtl/>
        </w:rPr>
        <w:t>המתווה</w:t>
      </w:r>
      <w:r w:rsidRPr="00B97E44">
        <w:rPr>
          <w:rFonts w:ascii="David" w:hAnsi="David"/>
          <w:sz w:val="24"/>
          <w:rtl/>
        </w:rPr>
        <w:t xml:space="preserve"> </w:t>
      </w:r>
      <w:r w:rsidRPr="00B97E44">
        <w:rPr>
          <w:rFonts w:ascii="David" w:hAnsi="David" w:hint="eastAsia"/>
          <w:sz w:val="24"/>
          <w:rtl/>
        </w:rPr>
        <w:t>שגובש</w:t>
      </w:r>
      <w:r w:rsidRPr="00B97E44">
        <w:rPr>
          <w:rFonts w:ascii="David" w:hAnsi="David"/>
          <w:sz w:val="24"/>
          <w:rtl/>
        </w:rPr>
        <w:t xml:space="preserve"> </w:t>
      </w:r>
      <w:r w:rsidRPr="00B97E44">
        <w:rPr>
          <w:rFonts w:ascii="David" w:hAnsi="David" w:hint="eastAsia"/>
          <w:sz w:val="24"/>
          <w:rtl/>
        </w:rPr>
        <w:t>בסופו</w:t>
      </w:r>
      <w:r w:rsidRPr="00B97E44">
        <w:rPr>
          <w:rFonts w:ascii="David" w:hAnsi="David"/>
          <w:sz w:val="24"/>
          <w:rtl/>
        </w:rPr>
        <w:t xml:space="preserve"> </w:t>
      </w:r>
      <w:r w:rsidRPr="00B97E44">
        <w:rPr>
          <w:rFonts w:ascii="David" w:hAnsi="David" w:hint="eastAsia"/>
          <w:sz w:val="24"/>
          <w:rtl/>
        </w:rPr>
        <w:t>של</w:t>
      </w:r>
      <w:r w:rsidRPr="00B97E44">
        <w:rPr>
          <w:rFonts w:ascii="David" w:hAnsi="David"/>
          <w:sz w:val="24"/>
          <w:rtl/>
        </w:rPr>
        <w:t xml:space="preserve"> </w:t>
      </w:r>
      <w:r w:rsidRPr="00B97E44">
        <w:rPr>
          <w:rFonts w:ascii="David" w:hAnsi="David" w:hint="eastAsia"/>
          <w:sz w:val="24"/>
          <w:rtl/>
        </w:rPr>
        <w:t>דבר</w:t>
      </w:r>
      <w:r w:rsidRPr="00B97E44">
        <w:rPr>
          <w:rFonts w:ascii="David" w:hAnsi="David"/>
          <w:sz w:val="24"/>
          <w:rtl/>
        </w:rPr>
        <w:t xml:space="preserve"> </w:t>
      </w:r>
      <w:r w:rsidRPr="00B97E44">
        <w:rPr>
          <w:rFonts w:ascii="David" w:hAnsi="David" w:hint="eastAsia"/>
          <w:sz w:val="24"/>
          <w:rtl/>
        </w:rPr>
        <w:t>היה</w:t>
      </w:r>
      <w:r w:rsidRPr="00B97E44">
        <w:rPr>
          <w:rFonts w:ascii="David" w:hAnsi="David"/>
          <w:sz w:val="24"/>
          <w:rtl/>
        </w:rPr>
        <w:t xml:space="preserve"> </w:t>
      </w:r>
      <w:r w:rsidRPr="00B97E44">
        <w:rPr>
          <w:rFonts w:ascii="David" w:hAnsi="David" w:hint="eastAsia"/>
          <w:sz w:val="24"/>
          <w:rtl/>
        </w:rPr>
        <w:t>חלוקה</w:t>
      </w:r>
      <w:r w:rsidRPr="00B97E44">
        <w:rPr>
          <w:rFonts w:ascii="David" w:hAnsi="David"/>
          <w:sz w:val="24"/>
          <w:rtl/>
        </w:rPr>
        <w:t xml:space="preserve"> </w:t>
      </w:r>
      <w:r w:rsidRPr="00B97E44">
        <w:rPr>
          <w:rFonts w:ascii="David" w:hAnsi="David" w:hint="eastAsia"/>
          <w:sz w:val="24"/>
          <w:rtl/>
        </w:rPr>
        <w:t>של</w:t>
      </w:r>
      <w:r w:rsidRPr="00B97E44">
        <w:rPr>
          <w:rFonts w:ascii="David" w:hAnsi="David"/>
          <w:sz w:val="24"/>
          <w:rtl/>
        </w:rPr>
        <w:t xml:space="preserve"> </w:t>
      </w:r>
      <w:r w:rsidRPr="00B97E44">
        <w:rPr>
          <w:rFonts w:ascii="David" w:hAnsi="David" w:hint="eastAsia"/>
          <w:sz w:val="24"/>
          <w:rtl/>
        </w:rPr>
        <w:t>כ</w:t>
      </w:r>
      <w:r w:rsidRPr="00B97E44">
        <w:rPr>
          <w:rFonts w:ascii="David" w:hAnsi="David"/>
          <w:sz w:val="24"/>
          <w:rtl/>
        </w:rPr>
        <w:t xml:space="preserve">-650,000 </w:t>
      </w:r>
      <w:r w:rsidRPr="00B97E44">
        <w:rPr>
          <w:rFonts w:ascii="David" w:hAnsi="David" w:hint="eastAsia"/>
          <w:sz w:val="24"/>
          <w:rtl/>
        </w:rPr>
        <w:t>ש</w:t>
      </w:r>
      <w:r w:rsidRPr="00B97E44">
        <w:rPr>
          <w:rFonts w:ascii="David" w:hAnsi="David"/>
          <w:sz w:val="24"/>
          <w:rtl/>
        </w:rPr>
        <w:t xml:space="preserve">"ח </w:t>
      </w:r>
      <w:r w:rsidRPr="00B97E44">
        <w:rPr>
          <w:rFonts w:ascii="David" w:hAnsi="David" w:hint="eastAsia"/>
          <w:sz w:val="24"/>
          <w:rtl/>
        </w:rPr>
        <w:t>לכל</w:t>
      </w:r>
      <w:r w:rsidRPr="00B97E44">
        <w:rPr>
          <w:rFonts w:ascii="David" w:hAnsi="David"/>
          <w:sz w:val="24"/>
          <w:rtl/>
        </w:rPr>
        <w:t xml:space="preserve"> </w:t>
      </w:r>
      <w:r w:rsidRPr="00B97E44">
        <w:rPr>
          <w:rFonts w:ascii="David" w:hAnsi="David" w:hint="eastAsia"/>
          <w:sz w:val="24"/>
          <w:rtl/>
        </w:rPr>
        <w:t>יישוב</w:t>
      </w:r>
      <w:r w:rsidRPr="00B97E44">
        <w:rPr>
          <w:rFonts w:ascii="David" w:hAnsi="David"/>
          <w:sz w:val="24"/>
          <w:rtl/>
        </w:rPr>
        <w:t xml:space="preserve"> </w:t>
      </w:r>
      <w:r w:rsidRPr="00B97E44">
        <w:rPr>
          <w:rFonts w:ascii="David" w:hAnsi="David" w:hint="eastAsia"/>
          <w:sz w:val="24"/>
          <w:rtl/>
        </w:rPr>
        <w:t>מהמועצה</w:t>
      </w:r>
      <w:r w:rsidRPr="00B97E44">
        <w:rPr>
          <w:rFonts w:ascii="David" w:hAnsi="David"/>
          <w:sz w:val="24"/>
          <w:rtl/>
        </w:rPr>
        <w:t xml:space="preserve"> </w:t>
      </w:r>
      <w:r w:rsidRPr="00B97E44">
        <w:rPr>
          <w:rFonts w:ascii="David" w:hAnsi="David" w:hint="eastAsia"/>
          <w:sz w:val="24"/>
          <w:rtl/>
        </w:rPr>
        <w:t>האזורית</w:t>
      </w:r>
      <w:r w:rsidRPr="00B97E44">
        <w:rPr>
          <w:rFonts w:ascii="David" w:hAnsi="David"/>
          <w:sz w:val="24"/>
          <w:rtl/>
        </w:rPr>
        <w:t xml:space="preserve"> </w:t>
      </w:r>
      <w:r w:rsidRPr="00B97E44">
        <w:rPr>
          <w:rFonts w:ascii="David" w:hAnsi="David" w:hint="eastAsia"/>
          <w:b/>
          <w:bCs/>
          <w:sz w:val="24"/>
          <w:rtl/>
        </w:rPr>
        <w:t>אשכול</w:t>
      </w:r>
      <w:r w:rsidRPr="00B97E44">
        <w:rPr>
          <w:rFonts w:ascii="David" w:hAnsi="David"/>
          <w:sz w:val="24"/>
          <w:rtl/>
        </w:rPr>
        <w:t xml:space="preserve"> </w:t>
      </w:r>
      <w:r w:rsidRPr="00B97E44">
        <w:rPr>
          <w:rFonts w:ascii="David" w:hAnsi="David" w:hint="eastAsia"/>
          <w:sz w:val="24"/>
          <w:rtl/>
        </w:rPr>
        <w:t>שבתחומי</w:t>
      </w:r>
      <w:r w:rsidRPr="00B97E44">
        <w:rPr>
          <w:rFonts w:ascii="David" w:hAnsi="David"/>
          <w:sz w:val="24"/>
          <w:rtl/>
        </w:rPr>
        <w:t xml:space="preserve"> </w:t>
      </w:r>
      <w:r w:rsidRPr="00B97E44">
        <w:rPr>
          <w:rFonts w:ascii="David" w:hAnsi="David" w:hint="eastAsia"/>
          <w:sz w:val="24"/>
          <w:rtl/>
        </w:rPr>
        <w:t>החבל</w:t>
      </w:r>
      <w:r w:rsidRPr="00B97E44">
        <w:rPr>
          <w:rFonts w:ascii="David" w:hAnsi="David"/>
          <w:sz w:val="24"/>
          <w:rtl/>
        </w:rPr>
        <w:t xml:space="preserve"> </w:t>
      </w:r>
      <w:r w:rsidRPr="00B97E44">
        <w:rPr>
          <w:rFonts w:ascii="David" w:hAnsi="David" w:hint="eastAsia"/>
          <w:sz w:val="24"/>
          <w:rtl/>
        </w:rPr>
        <w:t>לצורך</w:t>
      </w:r>
      <w:r w:rsidRPr="00B97E44">
        <w:rPr>
          <w:rFonts w:ascii="David" w:hAnsi="David"/>
          <w:sz w:val="24"/>
          <w:rtl/>
        </w:rPr>
        <w:t xml:space="preserve"> </w:t>
      </w:r>
      <w:r w:rsidRPr="00B97E44">
        <w:rPr>
          <w:rFonts w:ascii="David" w:hAnsi="David" w:hint="eastAsia"/>
          <w:sz w:val="24"/>
          <w:rtl/>
        </w:rPr>
        <w:t>הקמה</w:t>
      </w:r>
      <w:r w:rsidRPr="00B97E44">
        <w:rPr>
          <w:rFonts w:ascii="David" w:hAnsi="David"/>
          <w:sz w:val="24"/>
          <w:rtl/>
        </w:rPr>
        <w:t xml:space="preserve"> </w:t>
      </w:r>
      <w:r w:rsidRPr="00B97E44">
        <w:rPr>
          <w:rFonts w:ascii="David" w:hAnsi="David" w:hint="eastAsia"/>
          <w:sz w:val="24"/>
          <w:rtl/>
        </w:rPr>
        <w:t>או</w:t>
      </w:r>
      <w:r w:rsidRPr="00B97E44">
        <w:rPr>
          <w:rFonts w:ascii="David" w:hAnsi="David"/>
          <w:sz w:val="24"/>
          <w:rtl/>
        </w:rPr>
        <w:t xml:space="preserve"> </w:t>
      </w:r>
      <w:r w:rsidRPr="00B97E44">
        <w:rPr>
          <w:rFonts w:ascii="David" w:hAnsi="David" w:hint="eastAsia"/>
          <w:sz w:val="24"/>
          <w:rtl/>
        </w:rPr>
        <w:t>שדרוג</w:t>
      </w:r>
      <w:r w:rsidRPr="00B97E44">
        <w:rPr>
          <w:rFonts w:ascii="David" w:hAnsi="David"/>
          <w:sz w:val="24"/>
          <w:rtl/>
        </w:rPr>
        <w:t xml:space="preserve"> </w:t>
      </w:r>
      <w:r w:rsidRPr="00B97E44">
        <w:rPr>
          <w:rFonts w:ascii="David" w:hAnsi="David" w:hint="eastAsia"/>
          <w:sz w:val="24"/>
          <w:rtl/>
        </w:rPr>
        <w:t>מתקני</w:t>
      </w:r>
      <w:r w:rsidRPr="00B97E44">
        <w:rPr>
          <w:rFonts w:ascii="David" w:hAnsi="David"/>
          <w:sz w:val="24"/>
          <w:rtl/>
        </w:rPr>
        <w:t xml:space="preserve"> </w:t>
      </w:r>
      <w:r w:rsidRPr="00B97E44">
        <w:rPr>
          <w:rFonts w:ascii="David" w:hAnsi="David" w:hint="eastAsia"/>
          <w:sz w:val="24"/>
          <w:rtl/>
        </w:rPr>
        <w:t>ספורט</w:t>
      </w:r>
      <w:r w:rsidRPr="00B97E44">
        <w:rPr>
          <w:rFonts w:ascii="David" w:hAnsi="David"/>
          <w:sz w:val="24"/>
          <w:rtl/>
        </w:rPr>
        <w:t xml:space="preserve"> בתחומיו</w:t>
      </w:r>
      <w:r>
        <w:rPr>
          <w:rFonts w:ascii="David" w:hAnsi="David"/>
          <w:sz w:val="24"/>
          <w:vertAlign w:val="superscript"/>
          <w:rtl/>
        </w:rPr>
        <w:footnoteReference w:id="111"/>
      </w:r>
      <w:r w:rsidRPr="00B97E44">
        <w:rPr>
          <w:rFonts w:ascii="David" w:hAnsi="David"/>
          <w:sz w:val="24"/>
          <w:rtl/>
        </w:rPr>
        <w:t xml:space="preserve">. </w:t>
      </w:r>
      <w:r w:rsidRPr="00B97E44">
        <w:rPr>
          <w:rFonts w:ascii="David" w:hAnsi="David" w:hint="eastAsia"/>
          <w:sz w:val="24"/>
          <w:rtl/>
        </w:rPr>
        <w:t>בשל</w:t>
      </w:r>
      <w:r w:rsidRPr="00B97E44">
        <w:rPr>
          <w:rFonts w:ascii="David" w:hAnsi="David"/>
          <w:sz w:val="24"/>
          <w:rtl/>
        </w:rPr>
        <w:t xml:space="preserve"> הצורך לחלק את התקציב בין כל היישובים</w:t>
      </w:r>
      <w:r w:rsidRPr="00B97E44">
        <w:rPr>
          <w:rFonts w:ascii="David" w:hAnsi="David" w:hint="cs"/>
          <w:sz w:val="24"/>
          <w:rtl/>
        </w:rPr>
        <w:t>,</w:t>
      </w:r>
      <w:r w:rsidRPr="00B97E44">
        <w:rPr>
          <w:rFonts w:ascii="David" w:hAnsi="David"/>
          <w:sz w:val="24"/>
          <w:rtl/>
        </w:rPr>
        <w:t xml:space="preserve"> </w:t>
      </w:r>
      <w:r w:rsidRPr="00B97E44">
        <w:rPr>
          <w:rFonts w:ascii="David" w:hAnsi="David" w:hint="eastAsia"/>
          <w:sz w:val="24"/>
          <w:rtl/>
        </w:rPr>
        <w:t>בחלק</w:t>
      </w:r>
      <w:r w:rsidRPr="00B97E44">
        <w:rPr>
          <w:rFonts w:ascii="David" w:hAnsi="David"/>
          <w:sz w:val="24"/>
          <w:rtl/>
        </w:rPr>
        <w:t xml:space="preserve"> </w:t>
      </w:r>
      <w:r w:rsidRPr="00B97E44">
        <w:rPr>
          <w:rFonts w:ascii="David" w:hAnsi="David" w:hint="eastAsia"/>
          <w:sz w:val="24"/>
          <w:rtl/>
        </w:rPr>
        <w:t>מהמקרים</w:t>
      </w:r>
      <w:r w:rsidRPr="00B97E44">
        <w:rPr>
          <w:rFonts w:ascii="David" w:hAnsi="David"/>
          <w:sz w:val="24"/>
          <w:rtl/>
        </w:rPr>
        <w:t xml:space="preserve"> </w:t>
      </w:r>
      <w:r w:rsidRPr="00B97E44">
        <w:rPr>
          <w:rFonts w:ascii="David" w:hAnsi="David" w:hint="eastAsia"/>
          <w:sz w:val="24"/>
          <w:rtl/>
        </w:rPr>
        <w:t>היישובים</w:t>
      </w:r>
      <w:r w:rsidRPr="00B97E44">
        <w:rPr>
          <w:rFonts w:ascii="David" w:hAnsi="David"/>
          <w:sz w:val="24"/>
          <w:rtl/>
        </w:rPr>
        <w:t xml:space="preserve"> </w:t>
      </w:r>
      <w:r w:rsidRPr="00B97E44">
        <w:rPr>
          <w:rFonts w:ascii="David" w:hAnsi="David" w:hint="eastAsia"/>
          <w:sz w:val="24"/>
          <w:rtl/>
        </w:rPr>
        <w:t>יצטרכו</w:t>
      </w:r>
      <w:r w:rsidRPr="00B97E44">
        <w:rPr>
          <w:rFonts w:ascii="David" w:hAnsi="David"/>
          <w:sz w:val="24"/>
          <w:rtl/>
        </w:rPr>
        <w:t xml:space="preserve"> </w:t>
      </w:r>
      <w:r w:rsidRPr="00B97E44">
        <w:rPr>
          <w:rFonts w:ascii="David" w:hAnsi="David" w:hint="eastAsia"/>
          <w:sz w:val="24"/>
          <w:rtl/>
        </w:rPr>
        <w:t>לממן</w:t>
      </w:r>
      <w:r w:rsidRPr="00B97E44">
        <w:rPr>
          <w:rFonts w:ascii="David" w:hAnsi="David"/>
          <w:sz w:val="24"/>
          <w:rtl/>
        </w:rPr>
        <w:t xml:space="preserve"> </w:t>
      </w:r>
      <w:r w:rsidRPr="00B97E44">
        <w:rPr>
          <w:rFonts w:ascii="David" w:hAnsi="David" w:hint="cs"/>
          <w:sz w:val="24"/>
          <w:rtl/>
        </w:rPr>
        <w:t xml:space="preserve">בעצמם </w:t>
      </w:r>
      <w:r w:rsidRPr="00B97E44">
        <w:rPr>
          <w:rFonts w:ascii="David" w:hAnsi="David" w:hint="eastAsia"/>
          <w:sz w:val="24"/>
          <w:rtl/>
        </w:rPr>
        <w:t>חלק</w:t>
      </w:r>
      <w:r w:rsidRPr="00B97E44">
        <w:rPr>
          <w:rFonts w:ascii="David" w:hAnsi="David"/>
          <w:sz w:val="24"/>
          <w:rtl/>
        </w:rPr>
        <w:t xml:space="preserve"> </w:t>
      </w:r>
      <w:r w:rsidRPr="00B97E44">
        <w:rPr>
          <w:rFonts w:ascii="David" w:hAnsi="David" w:hint="eastAsia"/>
          <w:sz w:val="24"/>
          <w:rtl/>
        </w:rPr>
        <w:t>מהעלות</w:t>
      </w:r>
      <w:r w:rsidRPr="00B97E44">
        <w:rPr>
          <w:rFonts w:ascii="David" w:hAnsi="David"/>
          <w:sz w:val="24"/>
          <w:rtl/>
        </w:rPr>
        <w:t xml:space="preserve"> </w:t>
      </w:r>
      <w:r w:rsidRPr="00B97E44">
        <w:rPr>
          <w:rFonts w:ascii="David" w:hAnsi="David" w:hint="eastAsia"/>
          <w:sz w:val="24"/>
          <w:rtl/>
        </w:rPr>
        <w:t>של</w:t>
      </w:r>
      <w:r w:rsidRPr="00B97E44">
        <w:rPr>
          <w:rFonts w:ascii="David" w:hAnsi="David"/>
          <w:sz w:val="24"/>
          <w:rtl/>
        </w:rPr>
        <w:t xml:space="preserve"> </w:t>
      </w:r>
      <w:r w:rsidRPr="00B97E44">
        <w:rPr>
          <w:rFonts w:ascii="David" w:hAnsi="David" w:hint="eastAsia"/>
          <w:sz w:val="24"/>
          <w:rtl/>
        </w:rPr>
        <w:t>ההקמה</w:t>
      </w:r>
      <w:r w:rsidRPr="00B97E44">
        <w:rPr>
          <w:rFonts w:ascii="David" w:hAnsi="David"/>
          <w:sz w:val="24"/>
          <w:rtl/>
        </w:rPr>
        <w:t xml:space="preserve"> </w:t>
      </w:r>
      <w:r w:rsidRPr="00B97E44">
        <w:rPr>
          <w:rFonts w:ascii="David" w:hAnsi="David" w:hint="eastAsia"/>
          <w:sz w:val="24"/>
          <w:rtl/>
        </w:rPr>
        <w:t>או</w:t>
      </w:r>
      <w:r w:rsidRPr="00B97E44">
        <w:rPr>
          <w:rFonts w:ascii="David" w:hAnsi="David"/>
          <w:sz w:val="24"/>
          <w:rtl/>
        </w:rPr>
        <w:t xml:space="preserve"> </w:t>
      </w:r>
      <w:r w:rsidRPr="00B97E44">
        <w:rPr>
          <w:rFonts w:ascii="David" w:hAnsi="David" w:hint="eastAsia"/>
          <w:sz w:val="24"/>
          <w:rtl/>
        </w:rPr>
        <w:t>השיפוץ</w:t>
      </w:r>
      <w:r w:rsidRPr="00B97E44">
        <w:rPr>
          <w:rFonts w:ascii="David" w:hAnsi="David"/>
          <w:sz w:val="24"/>
          <w:rtl/>
        </w:rPr>
        <w:t xml:space="preserve"> </w:t>
      </w:r>
      <w:r w:rsidRPr="00B97E44">
        <w:rPr>
          <w:rFonts w:ascii="David" w:hAnsi="David" w:hint="eastAsia"/>
          <w:sz w:val="24"/>
          <w:rtl/>
        </w:rPr>
        <w:t>של</w:t>
      </w:r>
      <w:r w:rsidRPr="00B97E44">
        <w:rPr>
          <w:rFonts w:ascii="David" w:hAnsi="David"/>
          <w:sz w:val="24"/>
          <w:rtl/>
        </w:rPr>
        <w:t xml:space="preserve"> מתקן הספורט. </w:t>
      </w:r>
      <w:r w:rsidRPr="00B97E44">
        <w:rPr>
          <w:rFonts w:ascii="David" w:hAnsi="David" w:hint="eastAsia"/>
          <w:sz w:val="24"/>
          <w:rtl/>
        </w:rPr>
        <w:t>יודגש</w:t>
      </w:r>
      <w:r w:rsidRPr="00B97E44">
        <w:rPr>
          <w:rFonts w:ascii="David" w:hAnsi="David"/>
          <w:sz w:val="24"/>
          <w:rtl/>
        </w:rPr>
        <w:t xml:space="preserve"> </w:t>
      </w:r>
      <w:r w:rsidRPr="00B97E44">
        <w:rPr>
          <w:rFonts w:ascii="David" w:hAnsi="David" w:hint="eastAsia"/>
          <w:sz w:val="24"/>
          <w:rtl/>
        </w:rPr>
        <w:t>כי</w:t>
      </w:r>
      <w:r w:rsidRPr="00B97E44">
        <w:rPr>
          <w:rFonts w:ascii="David" w:hAnsi="David"/>
          <w:sz w:val="24"/>
          <w:rtl/>
        </w:rPr>
        <w:t xml:space="preserve"> </w:t>
      </w:r>
      <w:r w:rsidRPr="00B97E44">
        <w:rPr>
          <w:rFonts w:ascii="David" w:hAnsi="David" w:hint="eastAsia"/>
          <w:sz w:val="24"/>
          <w:rtl/>
        </w:rPr>
        <w:t>היישובים</w:t>
      </w:r>
      <w:r w:rsidRPr="00B97E44">
        <w:rPr>
          <w:rFonts w:ascii="David" w:hAnsi="David"/>
          <w:sz w:val="24"/>
          <w:rtl/>
        </w:rPr>
        <w:t xml:space="preserve"> </w:t>
      </w:r>
      <w:r w:rsidRPr="00B97E44">
        <w:rPr>
          <w:rFonts w:ascii="David" w:hAnsi="David" w:hint="eastAsia"/>
          <w:sz w:val="24"/>
          <w:rtl/>
        </w:rPr>
        <w:t>אינם</w:t>
      </w:r>
      <w:r w:rsidRPr="00B97E44">
        <w:rPr>
          <w:rFonts w:ascii="David" w:hAnsi="David"/>
          <w:sz w:val="24"/>
          <w:rtl/>
        </w:rPr>
        <w:t xml:space="preserve"> </w:t>
      </w:r>
      <w:r w:rsidRPr="00B97E44">
        <w:rPr>
          <w:rFonts w:ascii="David" w:hAnsi="David" w:hint="eastAsia"/>
          <w:sz w:val="24"/>
          <w:rtl/>
        </w:rPr>
        <w:t>עוסקים</w:t>
      </w:r>
      <w:r w:rsidRPr="00B97E44">
        <w:rPr>
          <w:rFonts w:ascii="David" w:hAnsi="David"/>
          <w:sz w:val="24"/>
          <w:rtl/>
        </w:rPr>
        <w:t xml:space="preserve"> </w:t>
      </w:r>
      <w:r w:rsidRPr="00B97E44">
        <w:rPr>
          <w:rFonts w:ascii="David" w:hAnsi="David" w:hint="eastAsia"/>
          <w:sz w:val="24"/>
          <w:rtl/>
        </w:rPr>
        <w:t>דרך</w:t>
      </w:r>
      <w:r w:rsidRPr="00B97E44">
        <w:rPr>
          <w:rFonts w:ascii="David" w:hAnsi="David"/>
          <w:sz w:val="24"/>
          <w:rtl/>
        </w:rPr>
        <w:t xml:space="preserve"> </w:t>
      </w:r>
      <w:r w:rsidRPr="00B97E44">
        <w:rPr>
          <w:rFonts w:ascii="David" w:hAnsi="David" w:hint="eastAsia"/>
          <w:sz w:val="24"/>
          <w:rtl/>
        </w:rPr>
        <w:t>שגרה</w:t>
      </w:r>
      <w:r w:rsidRPr="00B97E44">
        <w:rPr>
          <w:rFonts w:ascii="David" w:hAnsi="David"/>
          <w:sz w:val="24"/>
          <w:rtl/>
        </w:rPr>
        <w:t xml:space="preserve"> </w:t>
      </w:r>
      <w:r w:rsidRPr="00B97E44">
        <w:rPr>
          <w:rFonts w:ascii="David" w:hAnsi="David" w:hint="eastAsia"/>
          <w:sz w:val="24"/>
          <w:rtl/>
        </w:rPr>
        <w:t>בגיבוש</w:t>
      </w:r>
      <w:r w:rsidRPr="00B97E44">
        <w:rPr>
          <w:rFonts w:ascii="David" w:hAnsi="David"/>
          <w:sz w:val="24"/>
          <w:rtl/>
        </w:rPr>
        <w:t xml:space="preserve"> </w:t>
      </w:r>
      <w:r w:rsidRPr="00B97E44">
        <w:rPr>
          <w:rFonts w:ascii="David" w:hAnsi="David" w:hint="eastAsia"/>
          <w:sz w:val="24"/>
          <w:rtl/>
        </w:rPr>
        <w:t>תוכני</w:t>
      </w:r>
      <w:r w:rsidRPr="00B97E44">
        <w:rPr>
          <w:rFonts w:ascii="David" w:hAnsi="David" w:hint="cs"/>
          <w:sz w:val="24"/>
          <w:rtl/>
        </w:rPr>
        <w:t>ו</w:t>
      </w:r>
      <w:r w:rsidRPr="00B97E44">
        <w:rPr>
          <w:rFonts w:ascii="David" w:hAnsi="David" w:hint="eastAsia"/>
          <w:sz w:val="24"/>
          <w:rtl/>
        </w:rPr>
        <w:t>ת</w:t>
      </w:r>
      <w:r w:rsidRPr="00B97E44">
        <w:rPr>
          <w:rFonts w:ascii="David" w:hAnsi="David"/>
          <w:sz w:val="24"/>
          <w:rtl/>
        </w:rPr>
        <w:t xml:space="preserve"> </w:t>
      </w:r>
      <w:r w:rsidRPr="00B97E44">
        <w:rPr>
          <w:rFonts w:ascii="David" w:hAnsi="David" w:hint="eastAsia"/>
          <w:sz w:val="24"/>
          <w:rtl/>
        </w:rPr>
        <w:t>פיתוח</w:t>
      </w:r>
      <w:r w:rsidRPr="00B97E44">
        <w:rPr>
          <w:rFonts w:ascii="David" w:hAnsi="David"/>
          <w:sz w:val="24"/>
          <w:rtl/>
        </w:rPr>
        <w:t xml:space="preserve"> </w:t>
      </w:r>
      <w:r w:rsidRPr="00B97E44">
        <w:rPr>
          <w:rFonts w:ascii="David" w:hAnsi="David" w:hint="eastAsia"/>
          <w:sz w:val="24"/>
          <w:rtl/>
        </w:rPr>
        <w:t>מורכבות</w:t>
      </w:r>
      <w:r w:rsidRPr="00B97E44">
        <w:rPr>
          <w:rFonts w:ascii="David" w:hAnsi="David"/>
          <w:sz w:val="24"/>
          <w:rtl/>
        </w:rPr>
        <w:t xml:space="preserve"> </w:t>
      </w:r>
      <w:r w:rsidRPr="00B97E44">
        <w:rPr>
          <w:rFonts w:ascii="David" w:hAnsi="David" w:hint="eastAsia"/>
          <w:sz w:val="24"/>
          <w:rtl/>
        </w:rPr>
        <w:t>בהיקף</w:t>
      </w:r>
      <w:r w:rsidRPr="00B97E44">
        <w:rPr>
          <w:rFonts w:ascii="David" w:hAnsi="David"/>
          <w:sz w:val="24"/>
          <w:rtl/>
        </w:rPr>
        <w:t xml:space="preserve"> </w:t>
      </w:r>
      <w:r w:rsidRPr="00B97E44">
        <w:rPr>
          <w:rFonts w:ascii="David" w:hAnsi="David" w:hint="eastAsia"/>
          <w:sz w:val="24"/>
          <w:rtl/>
        </w:rPr>
        <w:t>נרחב</w:t>
      </w:r>
      <w:r w:rsidRPr="00B97E44">
        <w:rPr>
          <w:rFonts w:ascii="David" w:hAnsi="David"/>
          <w:sz w:val="24"/>
          <w:rtl/>
        </w:rPr>
        <w:t xml:space="preserve"> </w:t>
      </w:r>
      <w:r w:rsidRPr="00B97E44">
        <w:rPr>
          <w:rFonts w:ascii="David" w:hAnsi="David" w:hint="eastAsia"/>
          <w:sz w:val="24"/>
          <w:rtl/>
        </w:rPr>
        <w:t>כפי</w:t>
      </w:r>
      <w:r w:rsidRPr="00B97E44">
        <w:rPr>
          <w:rFonts w:ascii="David" w:hAnsi="David"/>
          <w:sz w:val="24"/>
          <w:rtl/>
        </w:rPr>
        <w:t xml:space="preserve"> </w:t>
      </w:r>
      <w:r w:rsidRPr="00B97E44">
        <w:rPr>
          <w:rFonts w:ascii="David" w:hAnsi="David" w:hint="eastAsia"/>
          <w:sz w:val="24"/>
          <w:rtl/>
        </w:rPr>
        <w:t>שמתבקש</w:t>
      </w:r>
      <w:r w:rsidRPr="00B97E44">
        <w:rPr>
          <w:rFonts w:ascii="David" w:hAnsi="David"/>
          <w:sz w:val="24"/>
          <w:rtl/>
        </w:rPr>
        <w:t xml:space="preserve"> </w:t>
      </w:r>
      <w:r w:rsidRPr="00B97E44">
        <w:rPr>
          <w:rFonts w:ascii="David" w:hAnsi="David" w:hint="eastAsia"/>
          <w:sz w:val="24"/>
          <w:rtl/>
        </w:rPr>
        <w:t>מהם</w:t>
      </w:r>
      <w:r w:rsidRPr="00B97E44">
        <w:rPr>
          <w:rFonts w:ascii="David" w:hAnsi="David"/>
          <w:sz w:val="24"/>
          <w:rtl/>
        </w:rPr>
        <w:t xml:space="preserve"> </w:t>
      </w:r>
      <w:r w:rsidRPr="00B97E44">
        <w:rPr>
          <w:rFonts w:ascii="David" w:hAnsi="David" w:hint="eastAsia"/>
          <w:sz w:val="24"/>
          <w:rtl/>
        </w:rPr>
        <w:t>במסגרת</w:t>
      </w:r>
      <w:r w:rsidRPr="00B97E44">
        <w:rPr>
          <w:rFonts w:ascii="David" w:hAnsi="David"/>
          <w:sz w:val="24"/>
          <w:rtl/>
        </w:rPr>
        <w:t xml:space="preserve"> </w:t>
      </w:r>
      <w:r w:rsidRPr="00B97E44">
        <w:rPr>
          <w:rFonts w:ascii="David" w:hAnsi="David" w:hint="cs"/>
          <w:sz w:val="24"/>
          <w:rtl/>
        </w:rPr>
        <w:t>הקול הקורא האמור וב</w:t>
      </w:r>
      <w:r w:rsidRPr="00B97E44">
        <w:rPr>
          <w:rFonts w:ascii="David" w:hAnsi="David" w:hint="eastAsia"/>
          <w:sz w:val="24"/>
          <w:rtl/>
        </w:rPr>
        <w:t>תוכנית</w:t>
      </w:r>
      <w:r w:rsidRPr="00B97E44">
        <w:rPr>
          <w:rFonts w:ascii="David" w:hAnsi="David"/>
          <w:sz w:val="24"/>
          <w:rtl/>
        </w:rPr>
        <w:t xml:space="preserve"> </w:t>
      </w:r>
      <w:r w:rsidRPr="00B97E44">
        <w:rPr>
          <w:rFonts w:ascii="David" w:hAnsi="David" w:hint="eastAsia"/>
          <w:sz w:val="24"/>
          <w:rtl/>
        </w:rPr>
        <w:t>החומש</w:t>
      </w:r>
      <w:r w:rsidRPr="00B97E44">
        <w:rPr>
          <w:rFonts w:ascii="David" w:hAnsi="David"/>
          <w:sz w:val="24"/>
          <w:rtl/>
        </w:rPr>
        <w:t xml:space="preserve"> </w:t>
      </w:r>
      <w:r w:rsidRPr="00B97E44">
        <w:rPr>
          <w:rFonts w:ascii="David" w:hAnsi="David" w:hint="cs"/>
          <w:sz w:val="24"/>
          <w:rtl/>
        </w:rPr>
        <w:t xml:space="preserve">בכללה </w:t>
      </w:r>
      <w:r w:rsidRPr="00B97E44">
        <w:rPr>
          <w:rFonts w:ascii="David" w:hAnsi="David" w:hint="eastAsia"/>
          <w:sz w:val="24"/>
          <w:rtl/>
        </w:rPr>
        <w:t>והם</w:t>
      </w:r>
      <w:r w:rsidRPr="00B97E44">
        <w:rPr>
          <w:rFonts w:ascii="David" w:hAnsi="David"/>
          <w:sz w:val="24"/>
          <w:rtl/>
        </w:rPr>
        <w:t xml:space="preserve"> </w:t>
      </w:r>
      <w:r w:rsidRPr="00B97E44">
        <w:rPr>
          <w:rFonts w:ascii="David" w:hAnsi="David" w:hint="eastAsia"/>
          <w:sz w:val="24"/>
          <w:rtl/>
        </w:rPr>
        <w:t>נעדרים</w:t>
      </w:r>
      <w:r w:rsidRPr="00B97E44">
        <w:rPr>
          <w:rFonts w:ascii="David" w:hAnsi="David"/>
          <w:sz w:val="24"/>
          <w:rtl/>
        </w:rPr>
        <w:t xml:space="preserve"> </w:t>
      </w:r>
      <w:r w:rsidRPr="00B97E44">
        <w:rPr>
          <w:rFonts w:ascii="David" w:hAnsi="David" w:hint="eastAsia"/>
          <w:sz w:val="24"/>
          <w:rtl/>
        </w:rPr>
        <w:t>משאבי</w:t>
      </w:r>
      <w:r w:rsidRPr="00B97E44">
        <w:rPr>
          <w:rFonts w:ascii="David" w:hAnsi="David"/>
          <w:sz w:val="24"/>
          <w:rtl/>
        </w:rPr>
        <w:t xml:space="preserve"> </w:t>
      </w:r>
      <w:r w:rsidRPr="00B97E44">
        <w:rPr>
          <w:rFonts w:ascii="David" w:hAnsi="David" w:hint="eastAsia"/>
          <w:sz w:val="24"/>
          <w:rtl/>
        </w:rPr>
        <w:t>הון</w:t>
      </w:r>
      <w:r w:rsidRPr="00B97E44">
        <w:rPr>
          <w:rFonts w:ascii="David" w:hAnsi="David"/>
          <w:sz w:val="24"/>
          <w:rtl/>
        </w:rPr>
        <w:t xml:space="preserve"> </w:t>
      </w:r>
      <w:r w:rsidRPr="00B97E44">
        <w:rPr>
          <w:rFonts w:ascii="David" w:hAnsi="David" w:hint="eastAsia"/>
          <w:sz w:val="24"/>
          <w:rtl/>
        </w:rPr>
        <w:t>אנושי</w:t>
      </w:r>
      <w:r w:rsidRPr="00B97E44">
        <w:rPr>
          <w:rFonts w:ascii="David" w:hAnsi="David"/>
          <w:sz w:val="24"/>
          <w:rtl/>
        </w:rPr>
        <w:t xml:space="preserve"> </w:t>
      </w:r>
      <w:r w:rsidRPr="00B97E44">
        <w:rPr>
          <w:rFonts w:ascii="David" w:hAnsi="David" w:hint="eastAsia"/>
          <w:sz w:val="24"/>
          <w:rtl/>
        </w:rPr>
        <w:t>המתאימים</w:t>
      </w:r>
      <w:r w:rsidRPr="00B97E44">
        <w:rPr>
          <w:rFonts w:ascii="David" w:hAnsi="David"/>
          <w:sz w:val="24"/>
          <w:rtl/>
        </w:rPr>
        <w:t xml:space="preserve"> </w:t>
      </w:r>
      <w:r w:rsidRPr="00B97E44">
        <w:rPr>
          <w:rFonts w:ascii="David" w:hAnsi="David" w:hint="eastAsia"/>
          <w:sz w:val="24"/>
          <w:rtl/>
        </w:rPr>
        <w:t>לכך</w:t>
      </w:r>
      <w:r w:rsidRPr="00B97E44">
        <w:rPr>
          <w:rFonts w:ascii="David" w:hAnsi="David"/>
          <w:sz w:val="24"/>
          <w:rtl/>
        </w:rPr>
        <w:t xml:space="preserve">. </w:t>
      </w:r>
      <w:r w:rsidRPr="00B97E44">
        <w:rPr>
          <w:rFonts w:ascii="David" w:hAnsi="David" w:hint="eastAsia"/>
          <w:sz w:val="24"/>
          <w:rtl/>
        </w:rPr>
        <w:t>כך</w:t>
      </w:r>
      <w:r w:rsidRPr="00B97E44">
        <w:rPr>
          <w:rFonts w:ascii="David" w:hAnsi="David"/>
          <w:sz w:val="24"/>
          <w:rtl/>
        </w:rPr>
        <w:t xml:space="preserve"> </w:t>
      </w:r>
      <w:r w:rsidRPr="00B97E44">
        <w:rPr>
          <w:rFonts w:ascii="David" w:hAnsi="David" w:hint="eastAsia"/>
          <w:sz w:val="24"/>
          <w:rtl/>
        </w:rPr>
        <w:t>היישובים</w:t>
      </w:r>
      <w:r w:rsidRPr="00B97E44">
        <w:rPr>
          <w:rFonts w:ascii="David" w:hAnsi="David"/>
          <w:sz w:val="24"/>
          <w:rtl/>
        </w:rPr>
        <w:t xml:space="preserve"> </w:t>
      </w:r>
      <w:r w:rsidRPr="00B97E44">
        <w:rPr>
          <w:rFonts w:ascii="David" w:hAnsi="David" w:hint="eastAsia"/>
          <w:sz w:val="24"/>
          <w:rtl/>
        </w:rPr>
        <w:t>עלולים</w:t>
      </w:r>
      <w:r w:rsidRPr="00B97E44">
        <w:rPr>
          <w:rFonts w:ascii="David" w:hAnsi="David"/>
          <w:sz w:val="24"/>
          <w:rtl/>
        </w:rPr>
        <w:t xml:space="preserve"> </w:t>
      </w:r>
      <w:r w:rsidRPr="00B97E44">
        <w:rPr>
          <w:rFonts w:ascii="David" w:hAnsi="David" w:hint="eastAsia"/>
          <w:sz w:val="24"/>
          <w:rtl/>
        </w:rPr>
        <w:t>להתקשות</w:t>
      </w:r>
      <w:r w:rsidRPr="00B97E44">
        <w:rPr>
          <w:rFonts w:ascii="David" w:hAnsi="David"/>
          <w:sz w:val="24"/>
          <w:rtl/>
        </w:rPr>
        <w:t xml:space="preserve"> </w:t>
      </w:r>
      <w:r w:rsidRPr="00B97E44">
        <w:rPr>
          <w:rFonts w:ascii="David" w:hAnsi="David" w:hint="eastAsia"/>
          <w:sz w:val="24"/>
          <w:rtl/>
        </w:rPr>
        <w:t>במימוש</w:t>
      </w:r>
      <w:r w:rsidRPr="00B97E44">
        <w:rPr>
          <w:rFonts w:ascii="David" w:hAnsi="David"/>
          <w:sz w:val="24"/>
          <w:rtl/>
        </w:rPr>
        <w:t xml:space="preserve"> </w:t>
      </w:r>
      <w:r w:rsidRPr="00B97E44">
        <w:rPr>
          <w:rFonts w:ascii="David" w:hAnsi="David" w:hint="eastAsia"/>
          <w:sz w:val="24"/>
          <w:rtl/>
        </w:rPr>
        <w:t>תקציבים</w:t>
      </w:r>
      <w:r w:rsidRPr="00B97E44">
        <w:rPr>
          <w:rFonts w:ascii="David" w:hAnsi="David"/>
          <w:sz w:val="24"/>
          <w:rtl/>
        </w:rPr>
        <w:t xml:space="preserve"> </w:t>
      </w:r>
      <w:r w:rsidRPr="00B97E44">
        <w:rPr>
          <w:rFonts w:ascii="David" w:hAnsi="David" w:hint="eastAsia"/>
          <w:sz w:val="24"/>
          <w:rtl/>
        </w:rPr>
        <w:t>ויישום</w:t>
      </w:r>
      <w:r w:rsidRPr="00B97E44">
        <w:rPr>
          <w:rFonts w:ascii="David" w:hAnsi="David"/>
          <w:sz w:val="24"/>
          <w:rtl/>
        </w:rPr>
        <w:t xml:space="preserve"> </w:t>
      </w:r>
      <w:r w:rsidRPr="00B97E44">
        <w:rPr>
          <w:rFonts w:ascii="David" w:hAnsi="David" w:hint="eastAsia"/>
          <w:sz w:val="24"/>
          <w:rtl/>
        </w:rPr>
        <w:t>הפרויקטים</w:t>
      </w:r>
      <w:r w:rsidRPr="00B97E44">
        <w:rPr>
          <w:rFonts w:ascii="David" w:hAnsi="David"/>
          <w:sz w:val="24"/>
          <w:rtl/>
        </w:rPr>
        <w:t xml:space="preserve"> </w:t>
      </w:r>
      <w:r w:rsidRPr="00B97E44">
        <w:rPr>
          <w:rFonts w:ascii="David" w:hAnsi="David" w:hint="eastAsia"/>
          <w:sz w:val="24"/>
          <w:rtl/>
        </w:rPr>
        <w:t>השונים</w:t>
      </w:r>
      <w:r w:rsidRPr="00B97E44">
        <w:rPr>
          <w:rFonts w:ascii="David" w:hAnsi="David"/>
          <w:sz w:val="24"/>
          <w:szCs w:val="20"/>
          <w:rtl/>
        </w:rPr>
        <w:t xml:space="preserve">. </w:t>
      </w:r>
    </w:p>
    <w:p w:rsidR="005B126E" w:rsidP="001916A9">
      <w:pPr>
        <w:spacing w:line="269" w:lineRule="auto"/>
        <w:ind w:left="709"/>
        <w:rPr>
          <w:rtl/>
        </w:rPr>
      </w:pPr>
    </w:p>
    <w:p w:rsidR="005B126E" w:rsidRPr="00B97E44" w:rsidP="001916A9">
      <w:pPr>
        <w:spacing w:line="269" w:lineRule="auto"/>
        <w:ind w:left="360"/>
        <w:rPr>
          <w:rtl/>
        </w:rPr>
      </w:pPr>
      <w:r w:rsidRPr="00B97E44">
        <w:rPr>
          <w:rFonts w:hint="cs"/>
          <w:rtl/>
        </w:rPr>
        <w:t>משרד התרבות והספורט מסר בתשובתו למשרד מבקר המדינה מאוקטובר 2025 כי מינהלת תקומה הנחתה את משרדי הממשלה לקיים שיח ושיתוף עם היישובים בחבל בתהליכי קבלת ההחלטות נוכח תלונות של היישובים שלפיהן המועצות האזוריות אינן משתפות אותם בתהליכי קבלת ההחלטות. בהתאם לכך תנאי סף למבחן התמיכה היה היוועצות של המועצה האזורית עם היישובים בתחומה.</w:t>
      </w:r>
    </w:p>
    <w:p w:rsidR="005B126E" w:rsidP="001916A9">
      <w:pPr>
        <w:autoSpaceDE w:val="0"/>
        <w:autoSpaceDN w:val="0"/>
        <w:adjustRightInd w:val="0"/>
        <w:spacing w:line="269" w:lineRule="auto"/>
        <w:ind w:left="720"/>
        <w:rPr>
          <w:rtl/>
        </w:rPr>
      </w:pPr>
    </w:p>
    <w:p w:rsidR="005B126E" w:rsidRPr="00B97E44" w:rsidP="001916A9">
      <w:pPr>
        <w:autoSpaceDE w:val="0"/>
        <w:autoSpaceDN w:val="0"/>
        <w:adjustRightInd w:val="0"/>
        <w:spacing w:line="269" w:lineRule="auto"/>
        <w:ind w:left="360"/>
        <w:rPr>
          <w:rtl/>
        </w:rPr>
      </w:pPr>
      <w:r w:rsidRPr="00B97E44">
        <w:rPr>
          <w:rFonts w:hint="cs"/>
          <w:rtl/>
        </w:rPr>
        <w:t xml:space="preserve">מינהלת תקומה מסרה בתשובתה כי </w:t>
      </w:r>
      <w:r w:rsidRPr="00B97E44">
        <w:rPr>
          <w:rFonts w:ascii="David" w:hAnsi="David" w:hint="cs"/>
          <w:sz w:val="24"/>
          <w:rtl/>
        </w:rPr>
        <w:t>מבחן התמיכה בקול הקורא</w:t>
      </w:r>
      <w:r w:rsidRPr="00B97E44">
        <w:rPr>
          <w:rFonts w:ascii="David" w:hAnsi="David"/>
          <w:sz w:val="24"/>
          <w:rtl/>
        </w:rPr>
        <w:t xml:space="preserve"> היה גמיש</w:t>
      </w:r>
      <w:r w:rsidRPr="00B97E44">
        <w:rPr>
          <w:rFonts w:ascii="David" w:hAnsi="David" w:hint="cs"/>
          <w:sz w:val="24"/>
          <w:rtl/>
        </w:rPr>
        <w:t xml:space="preserve">, </w:t>
      </w:r>
      <w:r w:rsidRPr="00B97E44">
        <w:rPr>
          <w:rFonts w:ascii="David" w:hAnsi="David"/>
          <w:sz w:val="24"/>
          <w:rtl/>
        </w:rPr>
        <w:t xml:space="preserve">כנדרש </w:t>
      </w:r>
      <w:r w:rsidRPr="00B97E44">
        <w:rPr>
          <w:rFonts w:ascii="David" w:hAnsi="David"/>
          <w:sz w:val="24"/>
          <w:rtl/>
        </w:rPr>
        <w:t>בע</w:t>
      </w:r>
      <w:r w:rsidRPr="00B97E44">
        <w:rPr>
          <w:rFonts w:ascii="David" w:hAnsi="David" w:hint="cs"/>
          <w:sz w:val="24"/>
          <w:rtl/>
        </w:rPr>
        <w:t>י</w:t>
      </w:r>
      <w:r w:rsidRPr="00B97E44">
        <w:rPr>
          <w:rFonts w:ascii="David" w:hAnsi="David"/>
          <w:sz w:val="24"/>
          <w:rtl/>
        </w:rPr>
        <w:t>תות</w:t>
      </w:r>
      <w:r w:rsidRPr="00B97E44">
        <w:rPr>
          <w:rFonts w:ascii="David" w:hAnsi="David"/>
          <w:sz w:val="24"/>
          <w:rtl/>
        </w:rPr>
        <w:t xml:space="preserve"> חירום</w:t>
      </w:r>
      <w:r w:rsidRPr="00B97E44">
        <w:rPr>
          <w:rFonts w:ascii="David" w:hAnsi="David" w:hint="cs"/>
          <w:sz w:val="24"/>
          <w:rtl/>
        </w:rPr>
        <w:t xml:space="preserve">, </w:t>
      </w:r>
      <w:r w:rsidRPr="00B97E44">
        <w:rPr>
          <w:rFonts w:ascii="David" w:hAnsi="David"/>
          <w:sz w:val="24"/>
          <w:rtl/>
        </w:rPr>
        <w:t>וא</w:t>
      </w:r>
      <w:r w:rsidRPr="00B97E44">
        <w:rPr>
          <w:rFonts w:ascii="David" w:hAnsi="David" w:hint="cs"/>
          <w:sz w:val="24"/>
          <w:rtl/>
        </w:rPr>
        <w:t>י</w:t>
      </w:r>
      <w:r w:rsidRPr="00B97E44">
        <w:rPr>
          <w:rFonts w:ascii="David" w:hAnsi="David"/>
          <w:sz w:val="24"/>
          <w:rtl/>
        </w:rPr>
        <w:t>פשר</w:t>
      </w:r>
      <w:r w:rsidRPr="00B97E44">
        <w:rPr>
          <w:rFonts w:ascii="David" w:hAnsi="David"/>
          <w:sz w:val="24"/>
          <w:rtl/>
        </w:rPr>
        <w:t xml:space="preserve"> לכל רשות לנתב אותו באופן הנכון עבור</w:t>
      </w:r>
      <w:r w:rsidRPr="00B97E44">
        <w:rPr>
          <w:rFonts w:hint="cs"/>
          <w:rtl/>
        </w:rPr>
        <w:t>ה ו</w:t>
      </w:r>
      <w:r w:rsidRPr="00B97E44">
        <w:rPr>
          <w:rtl/>
        </w:rPr>
        <w:t>מטבע הדברים כלל שלב</w:t>
      </w:r>
      <w:r w:rsidRPr="00B97E44">
        <w:rPr>
          <w:rFonts w:hint="cs"/>
          <w:rtl/>
        </w:rPr>
        <w:t xml:space="preserve"> של קבלת </w:t>
      </w:r>
      <w:r w:rsidRPr="00B97E44">
        <w:rPr>
          <w:rtl/>
        </w:rPr>
        <w:t>הערות הציבור</w:t>
      </w:r>
      <w:r w:rsidRPr="00B97E44">
        <w:rPr>
          <w:rFonts w:hint="cs"/>
          <w:rtl/>
        </w:rPr>
        <w:t>.</w:t>
      </w:r>
      <w:r w:rsidRPr="00B97E44">
        <w:rPr>
          <w:rtl/>
        </w:rPr>
        <w:t xml:space="preserve"> עוד </w:t>
      </w:r>
      <w:r w:rsidRPr="00B97E44">
        <w:rPr>
          <w:rFonts w:hint="cs"/>
          <w:rtl/>
        </w:rPr>
        <w:t xml:space="preserve">הוסיפה </w:t>
      </w:r>
      <w:r w:rsidRPr="00B97E44">
        <w:rPr>
          <w:rFonts w:hint="cs"/>
          <w:rtl/>
        </w:rPr>
        <w:t>המינהלת</w:t>
      </w:r>
      <w:r w:rsidRPr="00B97E44">
        <w:rPr>
          <w:rFonts w:hint="cs"/>
          <w:rtl/>
        </w:rPr>
        <w:t xml:space="preserve"> כי </w:t>
      </w:r>
      <w:r w:rsidRPr="00B97E44">
        <w:rPr>
          <w:rtl/>
        </w:rPr>
        <w:t>מתקנים קה</w:t>
      </w:r>
      <w:r w:rsidRPr="00B97E44">
        <w:rPr>
          <w:rFonts w:hint="cs"/>
          <w:rtl/>
        </w:rPr>
        <w:t>י</w:t>
      </w:r>
      <w:r w:rsidRPr="00B97E44">
        <w:rPr>
          <w:rtl/>
        </w:rPr>
        <w:t xml:space="preserve">לתיים </w:t>
      </w:r>
      <w:r w:rsidRPr="00B97E44">
        <w:rPr>
          <w:rFonts w:hint="cs"/>
          <w:rtl/>
        </w:rPr>
        <w:t>הם</w:t>
      </w:r>
      <w:r w:rsidRPr="00B97E44">
        <w:rPr>
          <w:rtl/>
        </w:rPr>
        <w:t xml:space="preserve"> </w:t>
      </w:r>
      <w:r w:rsidRPr="00B97E44">
        <w:rPr>
          <w:rFonts w:hint="cs"/>
          <w:rtl/>
        </w:rPr>
        <w:t>מטבעם</w:t>
      </w:r>
      <w:r w:rsidRPr="00B97E44">
        <w:rPr>
          <w:rtl/>
        </w:rPr>
        <w:t xml:space="preserve"> זולים </w:t>
      </w:r>
      <w:r w:rsidRPr="00B97E44">
        <w:rPr>
          <w:rFonts w:hint="cs"/>
          <w:rtl/>
        </w:rPr>
        <w:t>יחסית</w:t>
      </w:r>
      <w:r w:rsidRPr="00B97E44">
        <w:rPr>
          <w:rtl/>
        </w:rPr>
        <w:t xml:space="preserve"> </w:t>
      </w:r>
      <w:r w:rsidRPr="00B97E44">
        <w:rPr>
          <w:rFonts w:hint="cs"/>
          <w:rtl/>
        </w:rPr>
        <w:t>וכי באוקטובר 2025 פרסמה יחד עם משרד התרבות והספורט מבחן תמיכה למתקני ספורט תחרותי, שהם מתקנים יקרים יותר ולכן יהיו אזוריים.</w:t>
      </w:r>
    </w:p>
    <w:p w:rsidR="005B126E" w:rsidP="001916A9">
      <w:pPr>
        <w:spacing w:line="269" w:lineRule="auto"/>
        <w:rPr>
          <w:rtl/>
        </w:rPr>
      </w:pPr>
    </w:p>
    <w:p w:rsidR="005B126E" w:rsidP="001916A9">
      <w:pPr>
        <w:spacing w:line="269" w:lineRule="auto"/>
        <w:rPr>
          <w:rtl/>
        </w:rPr>
      </w:pPr>
      <w:r w:rsidRPr="00A665F8">
        <w:rPr>
          <w:rtl/>
        </w:rPr>
        <w:t xml:space="preserve">מינהלת תקומה מסרה בתשובותיה כי מודל השיקום המעוגן במתווה גובש לאחר למידה מקיפה מאזורי אסון בעולם, וכי עלה ממנה כי השיקום והריפוי של קהילות בוצעו באופן המיטבי באותן קהילות שקידמו באופן עצמאי ואקטיבי את השיקום הפיזי באזור מגוריהן. בהתאם לכך נקבע כי היישובים הם שיובילו את העבודות בנכסיהם ובשטחם, נוכח האירועים הקשים שעברו ובשים לב לשאיפות המשותפות של תושבי היישוב לעתיד חייהם ביישובם, וכי לכל אזרח נשמרה זכותו לפנות למס רכוש ולבצע באופן עצמי את תיקון הנזקים בביתו על פי כל דין. תפיסת עבודתה היא שיש לחזק את המערכות הקיימות ולא להחליף אותן או חלילה לפגוע במסוגלות שלהן. </w:t>
      </w:r>
      <w:r w:rsidRPr="00A665F8">
        <w:rPr>
          <w:rtl/>
        </w:rPr>
        <w:t>המינהלת</w:t>
      </w:r>
      <w:r w:rsidRPr="00A665F8">
        <w:rPr>
          <w:rtl/>
        </w:rPr>
        <w:t xml:space="preserve"> ציינה כי הנהגות הרשויות המקומיות הן המובילות במענים ותפקידה הוא לתקצב ולחזק אותן מתוך הבנה שהיא פועלת למשך זמן קצוב ובסיום תפקידה הרשויות המקומיות יצטרכו להתמודד עם האתגרים והניהול בעצמן.</w:t>
      </w:r>
    </w:p>
    <w:p w:rsidR="005B126E" w:rsidRPr="00A665F8" w:rsidP="001916A9">
      <w:pPr>
        <w:spacing w:line="269" w:lineRule="auto"/>
        <w:rPr>
          <w:rtl/>
        </w:rPr>
      </w:pPr>
    </w:p>
    <w:p w:rsidR="005B126E" w:rsidRPr="00B544FF" w:rsidP="001916A9">
      <w:pPr>
        <w:spacing w:line="269" w:lineRule="auto"/>
        <w:ind w:left="3"/>
        <w:rPr>
          <w:sz w:val="24"/>
          <w:rtl/>
        </w:rPr>
      </w:pPr>
      <w:r w:rsidRPr="00353804">
        <w:rPr>
          <w:rFonts w:hint="eastAsia"/>
          <w:sz w:val="24"/>
          <w:rtl/>
        </w:rPr>
        <w:t>מינהלת</w:t>
      </w:r>
      <w:r w:rsidRPr="00353804">
        <w:rPr>
          <w:sz w:val="24"/>
          <w:rtl/>
        </w:rPr>
        <w:t xml:space="preserve"> תקומה הוסיפה בתשובתה כי ב</w:t>
      </w:r>
      <w:r w:rsidRPr="00353804">
        <w:rPr>
          <w:rFonts w:hint="eastAsia"/>
          <w:sz w:val="24"/>
          <w:rtl/>
        </w:rPr>
        <w:t>כל</w:t>
      </w:r>
      <w:r w:rsidRPr="00353804">
        <w:rPr>
          <w:sz w:val="24"/>
          <w:rtl/>
        </w:rPr>
        <w:t xml:space="preserve"> </w:t>
      </w:r>
      <w:r w:rsidRPr="00353804">
        <w:rPr>
          <w:rFonts w:hint="eastAsia"/>
          <w:sz w:val="24"/>
          <w:rtl/>
        </w:rPr>
        <w:t>הנוגע</w:t>
      </w:r>
      <w:r w:rsidRPr="00353804">
        <w:rPr>
          <w:sz w:val="24"/>
          <w:rtl/>
        </w:rPr>
        <w:t xml:space="preserve"> </w:t>
      </w:r>
      <w:r w:rsidRPr="00353804">
        <w:rPr>
          <w:rFonts w:hint="eastAsia"/>
          <w:sz w:val="24"/>
          <w:rtl/>
        </w:rPr>
        <w:t>לסל</w:t>
      </w:r>
      <w:r w:rsidRPr="00353804">
        <w:rPr>
          <w:sz w:val="24"/>
          <w:rtl/>
        </w:rPr>
        <w:t xml:space="preserve"> </w:t>
      </w:r>
      <w:r w:rsidRPr="00353804">
        <w:rPr>
          <w:rFonts w:hint="eastAsia"/>
          <w:sz w:val="24"/>
          <w:rtl/>
        </w:rPr>
        <w:t>היישובי</w:t>
      </w:r>
      <w:r w:rsidRPr="00353804">
        <w:rPr>
          <w:sz w:val="24"/>
          <w:rtl/>
        </w:rPr>
        <w:t xml:space="preserve"> </w:t>
      </w:r>
      <w:r w:rsidRPr="00353804">
        <w:rPr>
          <w:rFonts w:hint="eastAsia"/>
          <w:sz w:val="24"/>
          <w:rtl/>
        </w:rPr>
        <w:t>ברירת</w:t>
      </w:r>
      <w:r w:rsidRPr="00353804">
        <w:rPr>
          <w:sz w:val="24"/>
          <w:rtl/>
        </w:rPr>
        <w:t xml:space="preserve"> </w:t>
      </w:r>
      <w:r w:rsidRPr="00353804">
        <w:rPr>
          <w:rFonts w:hint="eastAsia"/>
          <w:sz w:val="24"/>
          <w:rtl/>
        </w:rPr>
        <w:t>המחדל</w:t>
      </w:r>
      <w:r w:rsidRPr="00353804">
        <w:rPr>
          <w:sz w:val="24"/>
          <w:rtl/>
        </w:rPr>
        <w:t xml:space="preserve"> </w:t>
      </w:r>
      <w:r w:rsidRPr="00353804">
        <w:rPr>
          <w:rFonts w:hint="eastAsia"/>
          <w:sz w:val="24"/>
          <w:rtl/>
        </w:rPr>
        <w:t>במבחן</w:t>
      </w:r>
      <w:r w:rsidRPr="00353804">
        <w:rPr>
          <w:sz w:val="24"/>
          <w:rtl/>
        </w:rPr>
        <w:t xml:space="preserve"> </w:t>
      </w:r>
      <w:r w:rsidRPr="00353804">
        <w:rPr>
          <w:rFonts w:hint="eastAsia"/>
          <w:sz w:val="24"/>
          <w:rtl/>
        </w:rPr>
        <w:t>התמיכה</w:t>
      </w:r>
      <w:r w:rsidRPr="00353804">
        <w:rPr>
          <w:sz w:val="24"/>
          <w:rtl/>
        </w:rPr>
        <w:t xml:space="preserve"> </w:t>
      </w:r>
      <w:r w:rsidRPr="00353804">
        <w:rPr>
          <w:rFonts w:hint="eastAsia"/>
          <w:sz w:val="24"/>
          <w:rtl/>
        </w:rPr>
        <w:t>שפורסם</w:t>
      </w:r>
      <w:r w:rsidRPr="00353804">
        <w:rPr>
          <w:sz w:val="24"/>
          <w:rtl/>
        </w:rPr>
        <w:t xml:space="preserve"> </w:t>
      </w:r>
      <w:r w:rsidRPr="00353804">
        <w:rPr>
          <w:rFonts w:hint="eastAsia"/>
          <w:sz w:val="24"/>
          <w:rtl/>
        </w:rPr>
        <w:t>הייתה</w:t>
      </w:r>
      <w:r w:rsidRPr="00353804">
        <w:rPr>
          <w:sz w:val="24"/>
          <w:rtl/>
        </w:rPr>
        <w:t xml:space="preserve"> </w:t>
      </w:r>
      <w:r>
        <w:rPr>
          <w:rFonts w:hint="cs"/>
          <w:sz w:val="24"/>
          <w:rtl/>
        </w:rPr>
        <w:t>מימוש הסל באמצעות</w:t>
      </w:r>
      <w:r w:rsidRPr="00353804">
        <w:rPr>
          <w:sz w:val="24"/>
          <w:rtl/>
        </w:rPr>
        <w:t xml:space="preserve"> </w:t>
      </w:r>
      <w:r w:rsidRPr="00353804">
        <w:rPr>
          <w:rFonts w:hint="eastAsia"/>
          <w:sz w:val="24"/>
          <w:rtl/>
        </w:rPr>
        <w:t>המועצות</w:t>
      </w:r>
      <w:r>
        <w:rPr>
          <w:rFonts w:hint="cs"/>
          <w:sz w:val="24"/>
          <w:rtl/>
        </w:rPr>
        <w:t>,</w:t>
      </w:r>
      <w:r w:rsidRPr="00353804">
        <w:rPr>
          <w:sz w:val="24"/>
          <w:rtl/>
        </w:rPr>
        <w:t xml:space="preserve"> </w:t>
      </w:r>
      <w:r w:rsidRPr="00353804">
        <w:rPr>
          <w:rFonts w:hint="eastAsia"/>
          <w:sz w:val="24"/>
          <w:rtl/>
        </w:rPr>
        <w:t>תוך</w:t>
      </w:r>
      <w:r w:rsidRPr="00353804">
        <w:rPr>
          <w:sz w:val="24"/>
          <w:rtl/>
        </w:rPr>
        <w:t xml:space="preserve"> </w:t>
      </w:r>
      <w:r w:rsidRPr="00353804">
        <w:rPr>
          <w:rFonts w:hint="eastAsia"/>
          <w:sz w:val="24"/>
          <w:rtl/>
        </w:rPr>
        <w:t>מתן</w:t>
      </w:r>
      <w:r w:rsidRPr="00353804">
        <w:rPr>
          <w:sz w:val="24"/>
          <w:rtl/>
        </w:rPr>
        <w:t xml:space="preserve"> </w:t>
      </w:r>
      <w:r w:rsidRPr="00353804">
        <w:rPr>
          <w:rFonts w:hint="eastAsia"/>
          <w:sz w:val="24"/>
          <w:rtl/>
        </w:rPr>
        <w:t>אפשרות</w:t>
      </w:r>
      <w:r>
        <w:rPr>
          <w:rFonts w:hint="cs"/>
          <w:sz w:val="24"/>
          <w:rtl/>
        </w:rPr>
        <w:t xml:space="preserve"> </w:t>
      </w:r>
      <w:r w:rsidRPr="00353804">
        <w:rPr>
          <w:rFonts w:hint="eastAsia"/>
          <w:sz w:val="24"/>
          <w:rtl/>
        </w:rPr>
        <w:t>ליישוב</w:t>
      </w:r>
      <w:r w:rsidRPr="00353804">
        <w:rPr>
          <w:sz w:val="24"/>
          <w:rtl/>
        </w:rPr>
        <w:t xml:space="preserve"> </w:t>
      </w:r>
      <w:r w:rsidRPr="00353804">
        <w:rPr>
          <w:rFonts w:hint="eastAsia"/>
          <w:sz w:val="24"/>
          <w:rtl/>
        </w:rPr>
        <w:t>לממש</w:t>
      </w:r>
      <w:r w:rsidRPr="00353804">
        <w:rPr>
          <w:sz w:val="24"/>
          <w:rtl/>
        </w:rPr>
        <w:t xml:space="preserve"> </w:t>
      </w:r>
      <w:r w:rsidRPr="00353804">
        <w:rPr>
          <w:rFonts w:hint="eastAsia"/>
          <w:sz w:val="24"/>
          <w:rtl/>
        </w:rPr>
        <w:t>את</w:t>
      </w:r>
      <w:r w:rsidRPr="00353804">
        <w:rPr>
          <w:sz w:val="24"/>
          <w:rtl/>
        </w:rPr>
        <w:t xml:space="preserve"> </w:t>
      </w:r>
      <w:r w:rsidRPr="00353804">
        <w:rPr>
          <w:rFonts w:hint="eastAsia"/>
          <w:sz w:val="24"/>
          <w:rtl/>
        </w:rPr>
        <w:t>הסל</w:t>
      </w:r>
      <w:r w:rsidRPr="00353804">
        <w:rPr>
          <w:sz w:val="24"/>
          <w:rtl/>
        </w:rPr>
        <w:t xml:space="preserve"> </w:t>
      </w:r>
      <w:r w:rsidRPr="00353804">
        <w:rPr>
          <w:rFonts w:hint="eastAsia"/>
          <w:sz w:val="24"/>
          <w:rtl/>
        </w:rPr>
        <w:t>בעצמו</w:t>
      </w:r>
      <w:r w:rsidRPr="00353804">
        <w:rPr>
          <w:sz w:val="24"/>
          <w:rtl/>
        </w:rPr>
        <w:t xml:space="preserve"> </w:t>
      </w:r>
      <w:r w:rsidRPr="00353804">
        <w:rPr>
          <w:rFonts w:hint="eastAsia"/>
          <w:sz w:val="24"/>
          <w:rtl/>
        </w:rPr>
        <w:t>אם</w:t>
      </w:r>
      <w:r w:rsidRPr="00353804">
        <w:rPr>
          <w:sz w:val="24"/>
          <w:rtl/>
        </w:rPr>
        <w:t xml:space="preserve"> </w:t>
      </w:r>
      <w:r w:rsidRPr="00353804">
        <w:rPr>
          <w:rFonts w:hint="eastAsia"/>
          <w:sz w:val="24"/>
          <w:rtl/>
        </w:rPr>
        <w:t>הביע</w:t>
      </w:r>
      <w:r w:rsidRPr="00353804">
        <w:rPr>
          <w:sz w:val="24"/>
          <w:rtl/>
        </w:rPr>
        <w:t xml:space="preserve"> </w:t>
      </w:r>
      <w:r w:rsidRPr="00353804">
        <w:rPr>
          <w:rFonts w:hint="eastAsia"/>
          <w:sz w:val="24"/>
          <w:rtl/>
        </w:rPr>
        <w:t>רצון</w:t>
      </w:r>
      <w:r w:rsidRPr="00353804">
        <w:rPr>
          <w:sz w:val="24"/>
          <w:rtl/>
        </w:rPr>
        <w:t xml:space="preserve"> </w:t>
      </w:r>
      <w:r w:rsidRPr="00353804">
        <w:rPr>
          <w:rFonts w:hint="eastAsia"/>
          <w:sz w:val="24"/>
          <w:rtl/>
        </w:rPr>
        <w:t>לכך</w:t>
      </w:r>
      <w:r>
        <w:rPr>
          <w:rFonts w:hint="cs"/>
          <w:sz w:val="24"/>
          <w:rtl/>
        </w:rPr>
        <w:t xml:space="preserve"> בהסכמת המועצה</w:t>
      </w:r>
      <w:r w:rsidRPr="00B544FF">
        <w:rPr>
          <w:sz w:val="24"/>
          <w:rtl/>
        </w:rPr>
        <w:t xml:space="preserve">. </w:t>
      </w:r>
      <w:r w:rsidRPr="00B544FF">
        <w:rPr>
          <w:rFonts w:hint="eastAsia"/>
          <w:sz w:val="24"/>
          <w:rtl/>
        </w:rPr>
        <w:t>בפועל</w:t>
      </w:r>
      <w:r w:rsidRPr="00B544FF">
        <w:rPr>
          <w:sz w:val="24"/>
          <w:rtl/>
        </w:rPr>
        <w:t xml:space="preserve">, </w:t>
      </w:r>
      <w:r w:rsidRPr="00B544FF">
        <w:rPr>
          <w:rFonts w:hint="eastAsia"/>
          <w:sz w:val="24"/>
          <w:rtl/>
        </w:rPr>
        <w:t>ניתנו</w:t>
      </w:r>
      <w:r w:rsidRPr="00B544FF">
        <w:rPr>
          <w:sz w:val="24"/>
          <w:rtl/>
        </w:rPr>
        <w:t xml:space="preserve"> </w:t>
      </w:r>
      <w:r w:rsidRPr="00B544FF">
        <w:rPr>
          <w:rFonts w:hint="eastAsia"/>
          <w:sz w:val="24"/>
          <w:rtl/>
        </w:rPr>
        <w:t>הסכמות</w:t>
      </w:r>
      <w:r w:rsidRPr="00B544FF">
        <w:rPr>
          <w:sz w:val="24"/>
          <w:rtl/>
        </w:rPr>
        <w:t xml:space="preserve"> </w:t>
      </w:r>
      <w:r w:rsidRPr="00B544FF">
        <w:rPr>
          <w:rFonts w:hint="eastAsia"/>
          <w:sz w:val="24"/>
          <w:rtl/>
        </w:rPr>
        <w:t>המועצות</w:t>
      </w:r>
      <w:r w:rsidRPr="00B544FF">
        <w:rPr>
          <w:sz w:val="24"/>
          <w:rtl/>
        </w:rPr>
        <w:t xml:space="preserve"> </w:t>
      </w:r>
      <w:r w:rsidRPr="00B544FF">
        <w:rPr>
          <w:rFonts w:hint="eastAsia"/>
          <w:sz w:val="24"/>
          <w:rtl/>
        </w:rPr>
        <w:t>ומרבית</w:t>
      </w:r>
      <w:r w:rsidRPr="00B544FF">
        <w:rPr>
          <w:sz w:val="24"/>
          <w:rtl/>
        </w:rPr>
        <w:t xml:space="preserve"> </w:t>
      </w:r>
      <w:r w:rsidRPr="00B544FF">
        <w:rPr>
          <w:rFonts w:hint="eastAsia"/>
          <w:sz w:val="24"/>
          <w:rtl/>
        </w:rPr>
        <w:t>היישובים</w:t>
      </w:r>
      <w:r w:rsidRPr="00B544FF">
        <w:rPr>
          <w:sz w:val="24"/>
          <w:rtl/>
        </w:rPr>
        <w:t xml:space="preserve"> </w:t>
      </w:r>
      <w:r w:rsidRPr="00B544FF">
        <w:rPr>
          <w:rFonts w:hint="eastAsia"/>
          <w:sz w:val="24"/>
          <w:rtl/>
        </w:rPr>
        <w:t>בחבל</w:t>
      </w:r>
      <w:r w:rsidRPr="00B544FF">
        <w:rPr>
          <w:sz w:val="24"/>
          <w:rtl/>
        </w:rPr>
        <w:t xml:space="preserve"> </w:t>
      </w:r>
      <w:r>
        <w:rPr>
          <w:rFonts w:hint="cs"/>
          <w:sz w:val="24"/>
          <w:rtl/>
        </w:rPr>
        <w:t>ה</w:t>
      </w:r>
      <w:r w:rsidRPr="00B544FF">
        <w:rPr>
          <w:rFonts w:hint="eastAsia"/>
          <w:sz w:val="24"/>
          <w:rtl/>
        </w:rPr>
        <w:t>תקומה</w:t>
      </w:r>
      <w:r w:rsidRPr="00B544FF">
        <w:rPr>
          <w:sz w:val="24"/>
          <w:rtl/>
        </w:rPr>
        <w:t xml:space="preserve"> </w:t>
      </w:r>
      <w:r w:rsidRPr="00B544FF">
        <w:rPr>
          <w:rFonts w:hint="eastAsia"/>
          <w:sz w:val="24"/>
          <w:rtl/>
        </w:rPr>
        <w:t>הגישו</w:t>
      </w:r>
      <w:r w:rsidRPr="00B544FF">
        <w:rPr>
          <w:sz w:val="24"/>
          <w:rtl/>
        </w:rPr>
        <w:t xml:space="preserve"> </w:t>
      </w:r>
      <w:r>
        <w:rPr>
          <w:rFonts w:hint="cs"/>
          <w:sz w:val="24"/>
          <w:rtl/>
        </w:rPr>
        <w:t xml:space="preserve">ישירות </w:t>
      </w:r>
      <w:r w:rsidRPr="00B544FF">
        <w:rPr>
          <w:rFonts w:hint="eastAsia"/>
          <w:sz w:val="24"/>
          <w:rtl/>
        </w:rPr>
        <w:t>את</w:t>
      </w:r>
      <w:r w:rsidRPr="00B544FF">
        <w:rPr>
          <w:sz w:val="24"/>
          <w:rtl/>
        </w:rPr>
        <w:t xml:space="preserve"> </w:t>
      </w:r>
      <w:r w:rsidRPr="00B544FF">
        <w:rPr>
          <w:rFonts w:hint="eastAsia"/>
          <w:sz w:val="24"/>
          <w:rtl/>
        </w:rPr>
        <w:t>בקשות</w:t>
      </w:r>
      <w:r w:rsidRPr="00B544FF">
        <w:rPr>
          <w:sz w:val="24"/>
          <w:rtl/>
        </w:rPr>
        <w:t xml:space="preserve"> </w:t>
      </w:r>
      <w:r w:rsidRPr="00B544FF">
        <w:rPr>
          <w:rFonts w:hint="eastAsia"/>
          <w:sz w:val="24"/>
          <w:rtl/>
        </w:rPr>
        <w:t>התמיכה</w:t>
      </w:r>
      <w:r w:rsidRPr="00B544FF">
        <w:rPr>
          <w:sz w:val="24"/>
          <w:rtl/>
        </w:rPr>
        <w:t xml:space="preserve"> </w:t>
      </w:r>
      <w:r w:rsidRPr="00B544FF">
        <w:rPr>
          <w:rFonts w:hint="eastAsia"/>
          <w:sz w:val="24"/>
          <w:rtl/>
        </w:rPr>
        <w:t>בהתאם</w:t>
      </w:r>
      <w:r w:rsidRPr="00B544FF">
        <w:rPr>
          <w:sz w:val="24"/>
          <w:rtl/>
        </w:rPr>
        <w:t xml:space="preserve"> </w:t>
      </w:r>
      <w:r w:rsidRPr="00B544FF">
        <w:rPr>
          <w:rFonts w:hint="eastAsia"/>
          <w:sz w:val="24"/>
          <w:rtl/>
        </w:rPr>
        <w:t>למתווה</w:t>
      </w:r>
      <w:r w:rsidRPr="00B544FF">
        <w:rPr>
          <w:sz w:val="24"/>
          <w:rtl/>
        </w:rPr>
        <w:t xml:space="preserve"> </w:t>
      </w:r>
      <w:r w:rsidRPr="00B544FF">
        <w:rPr>
          <w:rFonts w:hint="eastAsia"/>
          <w:sz w:val="24"/>
          <w:rtl/>
        </w:rPr>
        <w:t>הסל</w:t>
      </w:r>
      <w:r w:rsidRPr="00B544FF">
        <w:rPr>
          <w:sz w:val="24"/>
          <w:rtl/>
        </w:rPr>
        <w:t xml:space="preserve"> </w:t>
      </w:r>
      <w:r w:rsidRPr="00B544FF">
        <w:rPr>
          <w:rFonts w:hint="eastAsia"/>
          <w:sz w:val="24"/>
          <w:rtl/>
        </w:rPr>
        <w:t>היישובי</w:t>
      </w:r>
      <w:r w:rsidRPr="00B544FF">
        <w:rPr>
          <w:sz w:val="24"/>
          <w:rtl/>
        </w:rPr>
        <w:t>.</w:t>
      </w:r>
    </w:p>
    <w:p w:rsidR="005B126E" w:rsidP="001916A9">
      <w:pPr>
        <w:spacing w:line="269" w:lineRule="auto"/>
        <w:rPr>
          <w:b/>
          <w:bCs/>
          <w:rtl/>
        </w:rPr>
      </w:pPr>
      <w:bookmarkStart w:id="53" w:name="_Hlk207635445"/>
    </w:p>
    <w:p w:rsidR="005B126E" w:rsidRPr="00B97E44" w:rsidP="001916A9">
      <w:pPr>
        <w:spacing w:line="269" w:lineRule="auto"/>
        <w:rPr>
          <w:rFonts w:ascii="David" w:hAnsi="David"/>
          <w:b/>
          <w:bCs/>
          <w:sz w:val="24"/>
          <w:rtl/>
        </w:rPr>
      </w:pPr>
      <w:r w:rsidRPr="00B97E44">
        <w:rPr>
          <w:rFonts w:hint="eastAsia"/>
          <w:b/>
          <w:bCs/>
          <w:rtl/>
        </w:rPr>
        <w:t>המבנה</w:t>
      </w:r>
      <w:r w:rsidRPr="00B97E44">
        <w:rPr>
          <w:b/>
          <w:bCs/>
          <w:rtl/>
        </w:rPr>
        <w:t xml:space="preserve"> </w:t>
      </w:r>
      <w:r w:rsidRPr="00B97E44">
        <w:rPr>
          <w:rFonts w:hint="eastAsia"/>
          <w:b/>
          <w:bCs/>
          <w:rtl/>
        </w:rPr>
        <w:t>הדו</w:t>
      </w:r>
      <w:r w:rsidRPr="00B97E44">
        <w:rPr>
          <w:b/>
          <w:bCs/>
          <w:rtl/>
        </w:rPr>
        <w:t>-רובדי</w:t>
      </w:r>
      <w:r w:rsidRPr="00B97E44">
        <w:rPr>
          <w:b/>
          <w:bCs/>
          <w:sz w:val="24"/>
          <w:rtl/>
        </w:rPr>
        <w:t xml:space="preserve"> מציב בפני המועצות האזוריות אתגר ניהולי </w:t>
      </w:r>
      <w:r w:rsidRPr="00B97E44">
        <w:rPr>
          <w:rFonts w:hint="cs"/>
          <w:b/>
          <w:bCs/>
          <w:sz w:val="24"/>
          <w:rtl/>
        </w:rPr>
        <w:t xml:space="preserve">אינהרנטי </w:t>
      </w:r>
      <w:r w:rsidRPr="00B97E44">
        <w:rPr>
          <w:rFonts w:hint="eastAsia"/>
          <w:b/>
          <w:bCs/>
          <w:sz w:val="24"/>
          <w:rtl/>
        </w:rPr>
        <w:t>המחייב</w:t>
      </w:r>
      <w:r w:rsidRPr="00B97E44">
        <w:rPr>
          <w:b/>
          <w:bCs/>
          <w:sz w:val="24"/>
          <w:rtl/>
        </w:rPr>
        <w:t xml:space="preserve"> אותן לנווט בין </w:t>
      </w:r>
      <w:r w:rsidRPr="00B97E44">
        <w:rPr>
          <w:rFonts w:hint="eastAsia"/>
          <w:b/>
          <w:bCs/>
          <w:sz w:val="24"/>
          <w:rtl/>
        </w:rPr>
        <w:t>ה</w:t>
      </w:r>
      <w:r w:rsidRPr="00B97E44">
        <w:rPr>
          <w:b/>
          <w:bCs/>
          <w:sz w:val="24"/>
          <w:rtl/>
        </w:rPr>
        <w:t xml:space="preserve">אוטונומיה </w:t>
      </w:r>
      <w:r w:rsidRPr="00B97E44">
        <w:rPr>
          <w:rFonts w:hint="eastAsia"/>
          <w:b/>
          <w:bCs/>
          <w:sz w:val="24"/>
          <w:rtl/>
        </w:rPr>
        <w:t>המוניציפלית</w:t>
      </w:r>
      <w:r w:rsidRPr="00B97E44">
        <w:rPr>
          <w:b/>
          <w:bCs/>
          <w:sz w:val="24"/>
          <w:rtl/>
        </w:rPr>
        <w:t xml:space="preserve"> </w:t>
      </w:r>
      <w:r w:rsidRPr="00B97E44">
        <w:rPr>
          <w:rFonts w:hint="eastAsia"/>
          <w:b/>
          <w:bCs/>
          <w:sz w:val="24"/>
          <w:rtl/>
        </w:rPr>
        <w:t>בנושאים</w:t>
      </w:r>
      <w:r w:rsidRPr="00B97E44">
        <w:rPr>
          <w:b/>
          <w:bCs/>
          <w:sz w:val="24"/>
          <w:rtl/>
        </w:rPr>
        <w:t xml:space="preserve"> </w:t>
      </w:r>
      <w:r w:rsidRPr="00B97E44">
        <w:rPr>
          <w:rFonts w:hint="eastAsia"/>
          <w:b/>
          <w:bCs/>
          <w:sz w:val="24"/>
          <w:rtl/>
        </w:rPr>
        <w:t>פנימיים</w:t>
      </w:r>
      <w:r w:rsidRPr="00B97E44">
        <w:rPr>
          <w:b/>
          <w:bCs/>
          <w:sz w:val="24"/>
          <w:rtl/>
        </w:rPr>
        <w:t xml:space="preserve"> </w:t>
      </w:r>
      <w:r w:rsidRPr="00B97E44">
        <w:rPr>
          <w:rFonts w:hint="eastAsia"/>
          <w:b/>
          <w:bCs/>
          <w:sz w:val="24"/>
          <w:rtl/>
        </w:rPr>
        <w:t>שונים</w:t>
      </w:r>
      <w:r w:rsidRPr="00B97E44">
        <w:rPr>
          <w:b/>
          <w:bCs/>
          <w:sz w:val="24"/>
          <w:rtl/>
        </w:rPr>
        <w:t xml:space="preserve"> </w:t>
      </w:r>
      <w:r w:rsidRPr="00B97E44">
        <w:rPr>
          <w:rFonts w:hint="eastAsia"/>
          <w:b/>
          <w:bCs/>
          <w:sz w:val="24"/>
          <w:rtl/>
        </w:rPr>
        <w:t>של</w:t>
      </w:r>
      <w:r w:rsidRPr="00B97E44">
        <w:rPr>
          <w:b/>
          <w:bCs/>
          <w:sz w:val="24"/>
          <w:rtl/>
        </w:rPr>
        <w:t xml:space="preserve"> </w:t>
      </w:r>
      <w:r w:rsidRPr="00B97E44">
        <w:rPr>
          <w:rFonts w:hint="eastAsia"/>
          <w:b/>
          <w:bCs/>
          <w:sz w:val="24"/>
          <w:rtl/>
        </w:rPr>
        <w:t>היישובים</w:t>
      </w:r>
      <w:r w:rsidRPr="00B97E44">
        <w:rPr>
          <w:b/>
          <w:bCs/>
          <w:sz w:val="24"/>
          <w:rtl/>
        </w:rPr>
        <w:t xml:space="preserve"> </w:t>
      </w:r>
      <w:r w:rsidRPr="00B97E44">
        <w:rPr>
          <w:rFonts w:hint="eastAsia"/>
          <w:b/>
          <w:bCs/>
          <w:sz w:val="24"/>
          <w:rtl/>
        </w:rPr>
        <w:t>ובין</w:t>
      </w:r>
      <w:r w:rsidRPr="00B97E44">
        <w:rPr>
          <w:b/>
          <w:bCs/>
          <w:sz w:val="24"/>
          <w:rtl/>
        </w:rPr>
        <w:t xml:space="preserve"> </w:t>
      </w:r>
      <w:r w:rsidRPr="00B97E44">
        <w:rPr>
          <w:rFonts w:hint="eastAsia"/>
          <w:b/>
          <w:bCs/>
          <w:sz w:val="24"/>
          <w:rtl/>
        </w:rPr>
        <w:t>אחריות</w:t>
      </w:r>
      <w:r w:rsidRPr="00B97E44">
        <w:rPr>
          <w:rFonts w:hint="cs"/>
          <w:b/>
          <w:bCs/>
          <w:sz w:val="24"/>
          <w:rtl/>
        </w:rPr>
        <w:t>ן</w:t>
      </w:r>
      <w:r w:rsidRPr="00B97E44">
        <w:rPr>
          <w:b/>
          <w:bCs/>
          <w:sz w:val="24"/>
          <w:rtl/>
        </w:rPr>
        <w:t xml:space="preserve"> </w:t>
      </w:r>
      <w:r w:rsidRPr="00B97E44">
        <w:rPr>
          <w:rFonts w:hint="eastAsia"/>
          <w:b/>
          <w:bCs/>
          <w:sz w:val="24"/>
          <w:rtl/>
        </w:rPr>
        <w:t>ה</w:t>
      </w:r>
      <w:r w:rsidRPr="00B97E44">
        <w:rPr>
          <w:b/>
          <w:bCs/>
          <w:sz w:val="24"/>
          <w:rtl/>
        </w:rPr>
        <w:t>אזורית</w:t>
      </w:r>
      <w:r w:rsidRPr="00B97E44">
        <w:rPr>
          <w:rFonts w:hint="cs"/>
          <w:b/>
          <w:bCs/>
          <w:sz w:val="24"/>
          <w:rtl/>
        </w:rPr>
        <w:t>. הליכי שיקום ופיתוח של היישובים במועצות האזוריות בחבל התקומה בעקבות מתקפת הטרור בשבעה באוקטובר והקמתה של מינהלת תקומה מעצימים אתגרים אלו כפי שתואר לעיל</w:t>
      </w:r>
      <w:r w:rsidRPr="00B97E44">
        <w:rPr>
          <w:b/>
          <w:bCs/>
          <w:sz w:val="24"/>
          <w:rtl/>
        </w:rPr>
        <w:t>.</w:t>
      </w:r>
      <w:r w:rsidRPr="00B97E44">
        <w:rPr>
          <w:rFonts w:ascii="David" w:hAnsi="David" w:hint="cs"/>
          <w:b/>
          <w:bCs/>
          <w:sz w:val="24"/>
          <w:rtl/>
        </w:rPr>
        <w:t xml:space="preserve"> בשל אי-הבהירות בתחומי האחריות של שיקום ופיתוח היישובים והחבל במסגרת תוכנית החומש, מתגלעות מחלוקות</w:t>
      </w:r>
      <w:r>
        <w:rPr>
          <w:rFonts w:ascii="David" w:hAnsi="David" w:hint="cs"/>
          <w:b/>
          <w:bCs/>
          <w:sz w:val="24"/>
          <w:rtl/>
        </w:rPr>
        <w:t xml:space="preserve"> בין המועצות האזוריות ובין יישוביהן</w:t>
      </w:r>
      <w:r w:rsidRPr="00B97E44">
        <w:rPr>
          <w:rFonts w:ascii="David" w:hAnsi="David" w:hint="cs"/>
          <w:b/>
          <w:bCs/>
          <w:sz w:val="24"/>
          <w:rtl/>
        </w:rPr>
        <w:t xml:space="preserve"> ביחס לתקציבים בתחומים השונים ובפרט בתחומים שבניהולם המלא של היישובים. בהיבט זה ראוי להזכיר גם את המחלוקת בין יישובים מפורום הביתה לבין המועצות האזוריות אשכול ושער הנגב בנוגע לתקציבים לגילי לידה עד שש, כפי שהוצגה לעיל בפרק תוכנית החומש בתחום החינוך.</w:t>
      </w:r>
    </w:p>
    <w:p w:rsidR="005B126E" w:rsidP="001916A9">
      <w:pPr>
        <w:spacing w:line="269" w:lineRule="auto"/>
        <w:rPr>
          <w:b/>
          <w:bCs/>
          <w:rtl/>
        </w:rPr>
      </w:pPr>
    </w:p>
    <w:p w:rsidR="005B126E" w:rsidRPr="00B97E44" w:rsidP="001916A9">
      <w:pPr>
        <w:spacing w:line="269" w:lineRule="auto"/>
        <w:rPr>
          <w:b/>
          <w:bCs/>
          <w:sz w:val="24"/>
          <w:rtl/>
        </w:rPr>
      </w:pPr>
      <w:r w:rsidRPr="00B97E44">
        <w:rPr>
          <w:rFonts w:hint="eastAsia"/>
          <w:b/>
          <w:bCs/>
          <w:rtl/>
        </w:rPr>
        <w:t>ניהול</w:t>
      </w:r>
      <w:r w:rsidRPr="00B97E44">
        <w:rPr>
          <w:b/>
          <w:bCs/>
          <w:rtl/>
        </w:rPr>
        <w:t xml:space="preserve"> </w:t>
      </w:r>
      <w:r w:rsidRPr="00B97E44">
        <w:rPr>
          <w:rFonts w:hint="eastAsia"/>
          <w:b/>
          <w:bCs/>
          <w:rtl/>
        </w:rPr>
        <w:t>שיח</w:t>
      </w:r>
      <w:r w:rsidRPr="00B97E44">
        <w:rPr>
          <w:b/>
          <w:bCs/>
          <w:rtl/>
        </w:rPr>
        <w:t xml:space="preserve"> </w:t>
      </w:r>
      <w:r w:rsidRPr="00B97E44">
        <w:rPr>
          <w:rFonts w:hint="eastAsia"/>
          <w:b/>
          <w:bCs/>
          <w:rtl/>
        </w:rPr>
        <w:t>ישיר</w:t>
      </w:r>
      <w:r w:rsidRPr="00B97E44">
        <w:rPr>
          <w:b/>
          <w:bCs/>
          <w:rtl/>
        </w:rPr>
        <w:t xml:space="preserve"> </w:t>
      </w:r>
      <w:r w:rsidRPr="00B97E44">
        <w:rPr>
          <w:rFonts w:hint="cs"/>
          <w:b/>
          <w:bCs/>
          <w:rtl/>
        </w:rPr>
        <w:t xml:space="preserve">עם </w:t>
      </w:r>
      <w:r w:rsidRPr="00B97E44">
        <w:rPr>
          <w:rFonts w:hint="eastAsia"/>
          <w:b/>
          <w:bCs/>
          <w:rtl/>
        </w:rPr>
        <w:t>היישובים</w:t>
      </w:r>
      <w:r w:rsidRPr="00B97E44">
        <w:rPr>
          <w:b/>
          <w:bCs/>
          <w:rtl/>
        </w:rPr>
        <w:t xml:space="preserve"> </w:t>
      </w:r>
      <w:r w:rsidRPr="00B97E44">
        <w:rPr>
          <w:rFonts w:hint="cs"/>
          <w:b/>
          <w:bCs/>
          <w:rtl/>
        </w:rPr>
        <w:t>ללא מעורבות של המועצ</w:t>
      </w:r>
      <w:r>
        <w:rPr>
          <w:rFonts w:hint="cs"/>
          <w:b/>
          <w:bCs/>
          <w:rtl/>
        </w:rPr>
        <w:t>ות</w:t>
      </w:r>
      <w:r w:rsidRPr="00B97E44">
        <w:rPr>
          <w:rFonts w:hint="cs"/>
          <w:b/>
          <w:bCs/>
          <w:rtl/>
        </w:rPr>
        <w:t xml:space="preserve"> האזורי</w:t>
      </w:r>
      <w:r>
        <w:rPr>
          <w:rFonts w:hint="cs"/>
          <w:b/>
          <w:bCs/>
          <w:rtl/>
        </w:rPr>
        <w:t>ו</w:t>
      </w:r>
      <w:r w:rsidRPr="00B97E44">
        <w:rPr>
          <w:rFonts w:hint="cs"/>
          <w:b/>
          <w:bCs/>
          <w:rtl/>
        </w:rPr>
        <w:t>ת</w:t>
      </w:r>
      <w:r>
        <w:rPr>
          <w:rFonts w:hint="cs"/>
          <w:b/>
          <w:bCs/>
          <w:sz w:val="24"/>
          <w:rtl/>
        </w:rPr>
        <w:t xml:space="preserve"> </w:t>
      </w:r>
      <w:r w:rsidRPr="00B97E44">
        <w:rPr>
          <w:rFonts w:hint="cs"/>
          <w:b/>
          <w:bCs/>
          <w:sz w:val="24"/>
          <w:rtl/>
        </w:rPr>
        <w:t>מוסיף קושי ל</w:t>
      </w:r>
      <w:r w:rsidRPr="00B97E44">
        <w:rPr>
          <w:rFonts w:hint="eastAsia"/>
          <w:b/>
          <w:bCs/>
          <w:rtl/>
        </w:rPr>
        <w:t>עבודת</w:t>
      </w:r>
      <w:r w:rsidRPr="00B97E44">
        <w:rPr>
          <w:rFonts w:hint="cs"/>
          <w:b/>
          <w:bCs/>
          <w:rtl/>
        </w:rPr>
        <w:t>ן של</w:t>
      </w:r>
      <w:r w:rsidRPr="00B97E44">
        <w:rPr>
          <w:b/>
          <w:bCs/>
          <w:rtl/>
        </w:rPr>
        <w:t xml:space="preserve"> </w:t>
      </w:r>
      <w:r w:rsidRPr="00B97E44">
        <w:rPr>
          <w:rFonts w:hint="eastAsia"/>
          <w:b/>
          <w:bCs/>
          <w:rtl/>
        </w:rPr>
        <w:t>המועצות</w:t>
      </w:r>
      <w:r w:rsidRPr="00B97E44">
        <w:rPr>
          <w:rFonts w:hint="cs"/>
          <w:b/>
          <w:bCs/>
          <w:rtl/>
        </w:rPr>
        <w:t>,</w:t>
      </w:r>
      <w:r>
        <w:rPr>
          <w:rFonts w:hint="cs"/>
          <w:b/>
          <w:bCs/>
          <w:rtl/>
        </w:rPr>
        <w:t xml:space="preserve"> </w:t>
      </w:r>
      <w:r w:rsidRPr="00B97E44">
        <w:rPr>
          <w:rFonts w:hint="cs"/>
          <w:b/>
          <w:bCs/>
          <w:sz w:val="24"/>
          <w:rtl/>
        </w:rPr>
        <w:t>יוצר מתח בינן ובין היישובים ומעמיס על</w:t>
      </w:r>
      <w:r>
        <w:rPr>
          <w:rFonts w:hint="cs"/>
          <w:b/>
          <w:bCs/>
          <w:sz w:val="24"/>
          <w:rtl/>
        </w:rPr>
        <w:t>יהן</w:t>
      </w:r>
      <w:r w:rsidRPr="00B97E44">
        <w:rPr>
          <w:rFonts w:hint="cs"/>
          <w:b/>
          <w:bCs/>
          <w:sz w:val="24"/>
          <w:rtl/>
        </w:rPr>
        <w:t xml:space="preserve"> עבודה נוספת שניתן להימנע ממנה בשיתוף פעולה של מינהלת תקומה עם המועצות</w:t>
      </w:r>
      <w:r>
        <w:rPr>
          <w:rFonts w:hint="cs"/>
          <w:b/>
          <w:bCs/>
          <w:sz w:val="24"/>
          <w:rtl/>
        </w:rPr>
        <w:t>.</w:t>
      </w:r>
    </w:p>
    <w:bookmarkEnd w:id="53"/>
    <w:p w:rsidR="005B126E" w:rsidP="001916A9">
      <w:pPr>
        <w:spacing w:line="269" w:lineRule="auto"/>
        <w:rPr>
          <w:b/>
          <w:bCs/>
          <w:rtl/>
        </w:rPr>
      </w:pPr>
    </w:p>
    <w:p w:rsidR="005B126E" w:rsidRPr="00B97E44" w:rsidP="001916A9">
      <w:pPr>
        <w:spacing w:line="269" w:lineRule="auto"/>
        <w:rPr>
          <w:rtl/>
        </w:rPr>
      </w:pPr>
      <w:r w:rsidRPr="00B97E44">
        <w:rPr>
          <w:rFonts w:hint="cs"/>
          <w:b/>
          <w:bCs/>
          <w:rtl/>
        </w:rPr>
        <w:t xml:space="preserve">כדי להבטיח את השיקום והפיתוח של חבל התקומה באופן מיטבי ואת המשך שיתוף הפעולה בין המועצות האזוריות ובין יישוביהן גם לאחר סיום משימתה של מינהלת תקומה, משרד מבקר המדינה ממליץ </w:t>
      </w:r>
      <w:r w:rsidRPr="00B97E44">
        <w:rPr>
          <w:rFonts w:hint="cs"/>
          <w:b/>
          <w:bCs/>
          <w:rtl/>
        </w:rPr>
        <w:t>למינהלת</w:t>
      </w:r>
      <w:r w:rsidRPr="00B97E44">
        <w:rPr>
          <w:rFonts w:hint="cs"/>
          <w:b/>
          <w:bCs/>
          <w:rtl/>
        </w:rPr>
        <w:t xml:space="preserve"> תקומה </w:t>
      </w:r>
      <w:r w:rsidRPr="00353804">
        <w:rPr>
          <w:rFonts w:hint="eastAsia"/>
          <w:b/>
          <w:bCs/>
          <w:rtl/>
        </w:rPr>
        <w:t>להקפיד</w:t>
      </w:r>
      <w:r w:rsidRPr="00353804">
        <w:rPr>
          <w:rFonts w:hint="cs"/>
          <w:b/>
          <w:bCs/>
          <w:rtl/>
        </w:rPr>
        <w:t xml:space="preserve"> לשתף את המועצות האזוריות בהליכי השיקום גם אם אלה נעשים במישרין עם היישובים כדי לשמר ולחזק את מעמדה</w:t>
      </w:r>
      <w:r w:rsidRPr="00B97E44">
        <w:rPr>
          <w:rFonts w:hint="cs"/>
          <w:b/>
          <w:bCs/>
          <w:rtl/>
        </w:rPr>
        <w:t xml:space="preserve"> של המועצה האזורית במארג היחסים בשלטון הדו-רובדי.</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המועצה האזורית </w:t>
      </w:r>
      <w:r w:rsidRPr="00B97E44">
        <w:rPr>
          <w:rFonts w:hint="eastAsia"/>
          <w:b/>
          <w:bCs/>
          <w:rtl/>
        </w:rPr>
        <w:t>אשכול</w:t>
      </w:r>
      <w:r w:rsidRPr="00B97E44">
        <w:rPr>
          <w:rFonts w:hint="cs"/>
          <w:rtl/>
        </w:rPr>
        <w:t xml:space="preserve"> מסרה כי היא </w:t>
      </w:r>
      <w:r w:rsidRPr="00B97E44">
        <w:rPr>
          <w:rtl/>
        </w:rPr>
        <w:t>מברכ</w:t>
      </w:r>
      <w:r w:rsidRPr="00B97E44">
        <w:rPr>
          <w:rFonts w:hint="cs"/>
          <w:rtl/>
        </w:rPr>
        <w:t>ת</w:t>
      </w:r>
      <w:r w:rsidRPr="00B97E44">
        <w:rPr>
          <w:rtl/>
        </w:rPr>
        <w:t xml:space="preserve"> על המלצת </w:t>
      </w:r>
      <w:r w:rsidRPr="00B97E44">
        <w:rPr>
          <w:rFonts w:hint="cs"/>
          <w:rtl/>
        </w:rPr>
        <w:t>משרד מבקר המדינה שלפיה</w:t>
      </w:r>
      <w:r w:rsidRPr="00B97E44">
        <w:rPr>
          <w:rtl/>
        </w:rPr>
        <w:t xml:space="preserve"> מ</w:t>
      </w:r>
      <w:r w:rsidRPr="00B97E44">
        <w:rPr>
          <w:rFonts w:hint="cs"/>
          <w:rtl/>
        </w:rPr>
        <w:t>י</w:t>
      </w:r>
      <w:r w:rsidRPr="00B97E44">
        <w:rPr>
          <w:rtl/>
        </w:rPr>
        <w:t>נהלת תקומה תשתף את המועצות</w:t>
      </w:r>
      <w:r w:rsidRPr="00B97E44">
        <w:rPr>
          <w:rFonts w:hint="cs"/>
          <w:rtl/>
        </w:rPr>
        <w:t xml:space="preserve"> </w:t>
      </w:r>
      <w:r w:rsidRPr="00B97E44">
        <w:rPr>
          <w:rtl/>
        </w:rPr>
        <w:t xml:space="preserve">האזוריות בהליכי השיקום גם אם אלה נעשים במישרין עם היישובים, </w:t>
      </w:r>
      <w:r w:rsidRPr="00B97E44">
        <w:rPr>
          <w:rFonts w:hint="cs"/>
          <w:rtl/>
        </w:rPr>
        <w:t xml:space="preserve">כדי </w:t>
      </w:r>
      <w:r w:rsidRPr="00B97E44">
        <w:rPr>
          <w:rtl/>
        </w:rPr>
        <w:t>לחזק ולשמר את מעמדה</w:t>
      </w:r>
      <w:r w:rsidRPr="00B97E44">
        <w:rPr>
          <w:rFonts w:hint="cs"/>
          <w:rtl/>
        </w:rPr>
        <w:t xml:space="preserve"> </w:t>
      </w:r>
      <w:r w:rsidRPr="00B97E44">
        <w:rPr>
          <w:rtl/>
        </w:rPr>
        <w:t>של המועצה האזורית.</w:t>
      </w:r>
      <w:r w:rsidRPr="00B97E44">
        <w:rPr>
          <w:rFonts w:hint="cs"/>
          <w:rtl/>
        </w:rPr>
        <w:t xml:space="preserve"> במסגרת זו המועצה סבורה כי יש לפעול לחיזוק ציר המועצה והיישובים כחלק מהפלטפורמה לחיזוק שני הצדדים.</w:t>
      </w:r>
      <w:r w:rsidRPr="00B97E44">
        <w:rPr>
          <w:rtl/>
        </w:rPr>
        <w:t xml:space="preserve"> </w:t>
      </w:r>
      <w:r w:rsidRPr="00B97E44">
        <w:rPr>
          <w:rFonts w:hint="cs"/>
          <w:rtl/>
        </w:rPr>
        <w:t xml:space="preserve">המועצה הדגישה כי בשטחה עוד תשעה יישובים שנפגעו במתקפת הטרור בשבעה באוקטובר אך כיוון שאינם חלק מחבל התקומה לא זכו לתקצוב ולסיוע נוסף. </w:t>
      </w:r>
      <w:r w:rsidRPr="00B97E44">
        <w:rPr>
          <w:rtl/>
        </w:rPr>
        <w:t xml:space="preserve">המועצה </w:t>
      </w:r>
      <w:r w:rsidRPr="00B97E44">
        <w:rPr>
          <w:rFonts w:hint="cs"/>
          <w:rtl/>
        </w:rPr>
        <w:t>מסרה עוד כי היא מצפה</w:t>
      </w:r>
      <w:r w:rsidRPr="00B97E44">
        <w:rPr>
          <w:rtl/>
        </w:rPr>
        <w:t xml:space="preserve"> מהשלטון המרכזי </w:t>
      </w:r>
      <w:r w:rsidRPr="00B97E44">
        <w:rPr>
          <w:rtl/>
        </w:rPr>
        <w:t>ו</w:t>
      </w:r>
      <w:r w:rsidRPr="00B97E44">
        <w:rPr>
          <w:rFonts w:hint="cs"/>
          <w:rtl/>
        </w:rPr>
        <w:t>מ</w:t>
      </w:r>
      <w:r w:rsidRPr="00B97E44">
        <w:rPr>
          <w:rtl/>
        </w:rPr>
        <w:t>מ</w:t>
      </w:r>
      <w:r w:rsidRPr="00B97E44">
        <w:rPr>
          <w:rFonts w:hint="cs"/>
          <w:rtl/>
        </w:rPr>
        <w:t>י</w:t>
      </w:r>
      <w:r w:rsidRPr="00B97E44">
        <w:rPr>
          <w:rtl/>
        </w:rPr>
        <w:t>נהלת</w:t>
      </w:r>
      <w:r w:rsidRPr="00B97E44">
        <w:rPr>
          <w:rtl/>
        </w:rPr>
        <w:t xml:space="preserve"> תקומה להמשיך ולפעול בשיתוף מלא</w:t>
      </w:r>
      <w:r w:rsidRPr="00B97E44">
        <w:rPr>
          <w:rFonts w:hint="cs"/>
          <w:rtl/>
        </w:rPr>
        <w:t xml:space="preserve"> </w:t>
      </w:r>
      <w:r w:rsidRPr="00B97E44">
        <w:rPr>
          <w:rtl/>
        </w:rPr>
        <w:t xml:space="preserve">עם </w:t>
      </w:r>
      <w:r w:rsidRPr="00B97E44">
        <w:rPr>
          <w:rFonts w:hint="cs"/>
          <w:rtl/>
        </w:rPr>
        <w:t>המועצה</w:t>
      </w:r>
      <w:r w:rsidRPr="00B97E44">
        <w:rPr>
          <w:rtl/>
        </w:rPr>
        <w:t xml:space="preserve"> למימוש כלל יעדי פרק </w:t>
      </w:r>
      <w:r w:rsidRPr="00B97E44">
        <w:rPr>
          <w:rFonts w:hint="cs"/>
          <w:rtl/>
        </w:rPr>
        <w:t>"</w:t>
      </w:r>
      <w:r w:rsidRPr="00B97E44">
        <w:rPr>
          <w:rtl/>
        </w:rPr>
        <w:t>חיזוק הרשויות</w:t>
      </w:r>
      <w:r w:rsidRPr="00B97E44">
        <w:rPr>
          <w:rFonts w:hint="cs"/>
          <w:rtl/>
        </w:rPr>
        <w:t>" בתוכנית תקומה</w:t>
      </w:r>
      <w:r w:rsidRPr="00B97E44">
        <w:rPr>
          <w:rtl/>
        </w:rPr>
        <w:t>, שכן בלעדי</w:t>
      </w:r>
      <w:r w:rsidRPr="00B97E44">
        <w:rPr>
          <w:rFonts w:hint="cs"/>
          <w:rtl/>
        </w:rPr>
        <w:t>ו</w:t>
      </w:r>
      <w:r w:rsidRPr="00B97E44">
        <w:rPr>
          <w:rtl/>
        </w:rPr>
        <w:t xml:space="preserve"> לא ניתן יהיה להוביל את</w:t>
      </w:r>
      <w:r w:rsidRPr="00B97E44">
        <w:rPr>
          <w:rFonts w:hint="cs"/>
          <w:rtl/>
        </w:rPr>
        <w:t xml:space="preserve"> </w:t>
      </w:r>
      <w:r w:rsidRPr="00B97E44">
        <w:rPr>
          <w:rtl/>
        </w:rPr>
        <w:t xml:space="preserve">השיקום, הפיתוח והצמיחה בת </w:t>
      </w:r>
      <w:r w:rsidRPr="00B97E44">
        <w:rPr>
          <w:rtl/>
        </w:rPr>
        <w:t>הקיימ</w:t>
      </w:r>
      <w:r w:rsidR="00DA6AD6">
        <w:rPr>
          <w:rFonts w:hint="cs"/>
          <w:rtl/>
        </w:rPr>
        <w:t>ה</w:t>
      </w:r>
      <w:r w:rsidRPr="00B97E44">
        <w:rPr>
          <w:rtl/>
        </w:rPr>
        <w:t xml:space="preserve"> של חבל התקומ</w:t>
      </w:r>
      <w:r w:rsidRPr="00B97E44">
        <w:rPr>
          <w:rFonts w:hint="cs"/>
          <w:rtl/>
        </w:rPr>
        <w:t xml:space="preserve">ה. </w:t>
      </w:r>
    </w:p>
    <w:p w:rsidR="005B126E" w:rsidRPr="00B97E44" w:rsidP="001916A9">
      <w:pPr>
        <w:spacing w:line="269" w:lineRule="auto"/>
        <w:rPr>
          <w:b/>
          <w:bCs/>
          <w:rtl/>
        </w:rPr>
      </w:pPr>
    </w:p>
    <w:p w:rsidR="00A11C97">
      <w:pPr>
        <w:bidi w:val="0"/>
        <w:spacing w:after="200" w:line="276" w:lineRule="auto"/>
        <w:rPr>
          <w:rFonts w:eastAsiaTheme="majorEastAsia"/>
          <w:bCs/>
          <w:szCs w:val="26"/>
          <w:shd w:val="clear" w:color="auto" w:fill="FFFFFF"/>
          <w:rtl/>
        </w:rPr>
      </w:pPr>
      <w:r>
        <w:rPr>
          <w:shd w:val="clear" w:color="auto" w:fill="FFFFFF"/>
          <w:rtl/>
        </w:rPr>
        <w:br w:type="page"/>
      </w:r>
    </w:p>
    <w:p w:rsidR="005B126E" w:rsidRPr="00B97E44" w:rsidP="003474AA">
      <w:pPr>
        <w:pStyle w:val="Heading4"/>
        <w:rPr>
          <w:shd w:val="clear" w:color="auto" w:fill="FFFFFF"/>
          <w:rtl/>
        </w:rPr>
      </w:pPr>
      <w:r w:rsidRPr="00B97E44">
        <w:rPr>
          <w:rFonts w:hint="cs"/>
          <w:shd w:val="clear" w:color="auto" w:fill="FFFFFF"/>
          <w:rtl/>
        </w:rPr>
        <w:t>שיקום השטחים הפתוחים</w:t>
      </w:r>
    </w:p>
    <w:p w:rsidR="005B126E" w:rsidP="001916A9">
      <w:pPr>
        <w:spacing w:line="269" w:lineRule="auto"/>
        <w:rPr>
          <w:b/>
          <w:bCs/>
          <w:rtl/>
        </w:rPr>
      </w:pPr>
    </w:p>
    <w:p w:rsidR="005B126E" w:rsidRPr="00B97E44" w:rsidP="001916A9">
      <w:pPr>
        <w:spacing w:line="269" w:lineRule="auto"/>
        <w:rPr>
          <w:b/>
          <w:bCs/>
          <w:rtl/>
        </w:rPr>
      </w:pPr>
      <w:r w:rsidRPr="00B97E44">
        <w:rPr>
          <w:rFonts w:hint="cs"/>
          <w:b/>
          <w:bCs/>
          <w:rtl/>
        </w:rPr>
        <w:t>"האדם אינו אלא קרקע ארץ קטנה,</w:t>
      </w:r>
    </w:p>
    <w:p w:rsidR="005B126E" w:rsidRPr="00B97E44" w:rsidP="001916A9">
      <w:pPr>
        <w:spacing w:line="269" w:lineRule="auto"/>
        <w:rPr>
          <w:sz w:val="18"/>
          <w:szCs w:val="18"/>
          <w:rtl/>
        </w:rPr>
      </w:pPr>
      <w:r w:rsidRPr="00B97E44">
        <w:rPr>
          <w:rFonts w:hint="cs"/>
          <w:b/>
          <w:bCs/>
          <w:rtl/>
        </w:rPr>
        <w:t>האדם אינו אלא תבנית נוף מולדתו"</w:t>
      </w:r>
      <w:r w:rsidRPr="00B97E44">
        <w:rPr>
          <w:rFonts w:hint="cs"/>
          <w:rtl/>
        </w:rPr>
        <w:t xml:space="preserve"> </w:t>
      </w:r>
    </w:p>
    <w:p w:rsidR="005B126E" w:rsidRPr="00B97E44" w:rsidP="001916A9">
      <w:pPr>
        <w:spacing w:line="269" w:lineRule="auto"/>
        <w:rPr>
          <w:rtl/>
        </w:rPr>
      </w:pPr>
      <w:r w:rsidRPr="00B97E44">
        <w:rPr>
          <w:rFonts w:hint="cs"/>
          <w:sz w:val="18"/>
          <w:szCs w:val="18"/>
          <w:rtl/>
        </w:rPr>
        <w:t>שאול טשרניחובסקי, "האדם אינו אלא..."</w:t>
      </w:r>
    </w:p>
    <w:p w:rsidR="005B126E" w:rsidRPr="00B97E44" w:rsidP="001916A9">
      <w:pPr>
        <w:spacing w:line="269" w:lineRule="auto"/>
        <w:rPr>
          <w:rtl/>
        </w:rPr>
      </w:pPr>
    </w:p>
    <w:p w:rsidR="005B126E" w:rsidRPr="00B97E44" w:rsidP="001916A9">
      <w:pPr>
        <w:pStyle w:val="Heading5"/>
        <w:spacing w:line="269" w:lineRule="auto"/>
        <w:rPr>
          <w:rtl/>
        </w:rPr>
      </w:pPr>
      <w:r w:rsidRPr="00B97E44">
        <w:rPr>
          <w:rFonts w:hint="cs"/>
          <w:rtl/>
        </w:rPr>
        <w:t>ממדי הנזק</w:t>
      </w:r>
    </w:p>
    <w:p w:rsidR="005B126E" w:rsidP="001916A9">
      <w:pPr>
        <w:spacing w:line="269" w:lineRule="auto"/>
        <w:rPr>
          <w:rFonts w:ascii="Arial" w:hAnsi="Arial"/>
          <w:shd w:val="clear" w:color="auto" w:fill="FFFFFF"/>
          <w:rtl/>
        </w:rPr>
      </w:pPr>
    </w:p>
    <w:p w:rsidR="005B126E" w:rsidRPr="00B97E44" w:rsidP="001916A9">
      <w:pPr>
        <w:spacing w:line="269" w:lineRule="auto"/>
        <w:rPr>
          <w:rFonts w:ascii="Arial" w:hAnsi="Arial" w:cs="Arial"/>
          <w:color w:val="0C3058"/>
          <w:shd w:val="clear" w:color="auto" w:fill="FFFFFF"/>
          <w:rtl/>
        </w:rPr>
      </w:pPr>
      <w:r w:rsidRPr="00B97E44">
        <w:rPr>
          <w:rFonts w:ascii="Arial" w:hAnsi="Arial" w:hint="cs"/>
          <w:shd w:val="clear" w:color="auto" w:fill="FFFFFF"/>
          <w:rtl/>
        </w:rPr>
        <w:t xml:space="preserve">השטחים הפתוחים באזור חבל התקומה וסביבותיו הם ממאפייניו הייחודים של הנגב המערבי ולהם חשיבות רבה לאיכות החיים של התושבים ולחיבור הקהילות לסביבה, והם משאב תיירותי נדיר ואיכותי. </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במהלך מתקפת הטרור בשבעה באוקטובר ומלחמת חרבות ברזל נפגעו רבות השטחים הפתוחים בנגב המערבי. לפי מיפוי שערך המשרד להגנת הסביבה בסיוע רשות הטבע והגנים (להלן - </w:t>
      </w:r>
      <w:r w:rsidRPr="00B97E44">
        <w:rPr>
          <w:rFonts w:hint="cs"/>
          <w:rtl/>
        </w:rPr>
        <w:t>רט"ג</w:t>
      </w:r>
      <w:r w:rsidRPr="00B97E44">
        <w:rPr>
          <w:rFonts w:hint="cs"/>
          <w:rtl/>
        </w:rPr>
        <w:t xml:space="preserve">) בפברואר 2024, בשל פעילותו האינטנסיבית של צה"ל בחודשי הלחימה בגזרת עוטף עזה - ובכללה מעבר רכבים כבדים </w:t>
      </w:r>
      <w:r w:rsidRPr="00B97E44">
        <w:rPr>
          <w:rFonts w:hint="cs"/>
          <w:rtl/>
        </w:rPr>
        <w:t>ורק"מ</w:t>
      </w:r>
      <w:r w:rsidRPr="00B97E44">
        <w:rPr>
          <w:rFonts w:hint="cs"/>
          <w:rtl/>
        </w:rPr>
        <w:t xml:space="preserve"> (רכב קרבי משוריין), הקמת שטחי כינוס, הרס דרכים קיימות ופריצת דרכים חדשות, הרחבה והעמקה של דרכים, חפירות והקמת סוללות ומגננים, זיהומי קרקע וחומרים מסוכנים, השארת פסולת צבאית והרס גדרות סביב שמורות הטבע - נפגעו כ-7,900 דונם של שטחים טבעיים ופתוחים, ובכלל זה שמורות טבע, מוקדי טיילות ואתרי טבע שבתחום האחריות של המועצות האזוריות, צירי נחלים, דרכי נוף, שבילי הליכה ומסלולי אופניים במרחב</w:t>
      </w:r>
      <w:r>
        <w:rPr>
          <w:rStyle w:val="FootnoteReference1"/>
          <w:rtl/>
        </w:rPr>
        <w:footnoteReference w:id="112"/>
      </w:r>
      <w:r>
        <w:rPr>
          <w:rFonts w:hint="cs"/>
          <w:rtl/>
        </w:rPr>
        <w:t xml:space="preserve"> כפי שניתן לראות בתמונות 9 - 13 שלהלן</w:t>
      </w:r>
      <w:r w:rsidRPr="00B97E44">
        <w:rPr>
          <w:rFonts w:hint="cs"/>
          <w:rtl/>
        </w:rPr>
        <w:t>.</w:t>
      </w:r>
    </w:p>
    <w:p w:rsidR="005B126E" w:rsidRPr="0042234E" w:rsidP="001916A9">
      <w:pPr>
        <w:spacing w:line="269" w:lineRule="auto"/>
        <w:jc w:val="center"/>
        <w:rPr>
          <w:sz w:val="16"/>
          <w:szCs w:val="20"/>
          <w:rtl/>
        </w:rPr>
      </w:pPr>
    </w:p>
    <w:p w:rsidR="005B126E" w:rsidRPr="00B97E44" w:rsidP="001916A9">
      <w:pPr>
        <w:spacing w:line="269" w:lineRule="auto"/>
        <w:jc w:val="center"/>
        <w:rPr>
          <w:rtl/>
        </w:rPr>
      </w:pPr>
      <w:r w:rsidRPr="00B97E44">
        <w:rPr>
          <w:rFonts w:hint="cs"/>
          <w:rtl/>
        </w:rPr>
        <w:t xml:space="preserve">לוח 6: </w:t>
      </w:r>
      <w:r w:rsidRPr="00B97E44">
        <w:rPr>
          <w:rFonts w:hint="cs"/>
          <w:b/>
          <w:bCs/>
          <w:rtl/>
        </w:rPr>
        <w:t>סיווג השטחים הפגועים בחבל התקומה, בדונם*</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6"/>
        <w:gridCol w:w="969"/>
        <w:gridCol w:w="969"/>
        <w:gridCol w:w="970"/>
      </w:tblGrid>
      <w:tr w:rsidTr="00FF2A74">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57"/>
          <w:jc w:val="center"/>
        </w:trPr>
        <w:tc>
          <w:tcPr>
            <w:tcW w:w="2466" w:type="dxa"/>
          </w:tcPr>
          <w:p w:rsidR="005B126E" w:rsidRPr="00B97E44" w:rsidP="001916A9">
            <w:pPr>
              <w:spacing w:line="269" w:lineRule="auto"/>
              <w:rPr>
                <w:rtl/>
              </w:rPr>
            </w:pPr>
          </w:p>
        </w:tc>
        <w:tc>
          <w:tcPr>
            <w:tcW w:w="969" w:type="dxa"/>
          </w:tcPr>
          <w:p w:rsidR="005B126E" w:rsidRPr="00B97E44" w:rsidP="001916A9">
            <w:pPr>
              <w:spacing w:line="269" w:lineRule="auto"/>
              <w:jc w:val="center"/>
              <w:rPr>
                <w:b/>
                <w:bCs/>
                <w:rtl/>
              </w:rPr>
            </w:pPr>
            <w:r w:rsidRPr="00B97E44">
              <w:rPr>
                <w:rFonts w:ascii="David" w:eastAsia="Times New Roman" w:hAnsi="David"/>
                <w:b/>
                <w:bCs/>
                <w:color w:val="000000"/>
                <w:sz w:val="22"/>
                <w:szCs w:val="22"/>
                <w:rtl/>
              </w:rPr>
              <w:t>שטח התשתית</w:t>
            </w:r>
          </w:p>
        </w:tc>
        <w:tc>
          <w:tcPr>
            <w:tcW w:w="969" w:type="dxa"/>
          </w:tcPr>
          <w:p w:rsidR="005B126E" w:rsidRPr="00B97E44" w:rsidP="001916A9">
            <w:pPr>
              <w:spacing w:line="269" w:lineRule="auto"/>
              <w:jc w:val="center"/>
              <w:rPr>
                <w:b/>
                <w:bCs/>
                <w:rtl/>
              </w:rPr>
            </w:pPr>
            <w:r w:rsidRPr="00B97E44">
              <w:rPr>
                <w:rFonts w:ascii="David" w:eastAsia="Times New Roman" w:hAnsi="David"/>
                <w:b/>
                <w:bCs/>
                <w:color w:val="000000"/>
                <w:sz w:val="22"/>
                <w:szCs w:val="22"/>
                <w:rtl/>
              </w:rPr>
              <w:t>שטח פתוח</w:t>
            </w:r>
          </w:p>
        </w:tc>
        <w:tc>
          <w:tcPr>
            <w:tcW w:w="970" w:type="dxa"/>
          </w:tcPr>
          <w:p w:rsidR="005B126E" w:rsidRPr="00B97E44" w:rsidP="001916A9">
            <w:pPr>
              <w:spacing w:line="269" w:lineRule="auto"/>
              <w:jc w:val="center"/>
              <w:rPr>
                <w:b/>
                <w:bCs/>
                <w:rtl/>
              </w:rPr>
            </w:pPr>
            <w:r w:rsidRPr="00B97E44">
              <w:rPr>
                <w:rFonts w:ascii="David" w:eastAsia="Times New Roman" w:hAnsi="David"/>
                <w:b/>
                <w:bCs/>
                <w:color w:val="000000"/>
                <w:sz w:val="22"/>
                <w:szCs w:val="22"/>
                <w:rtl/>
              </w:rPr>
              <w:t>סה"כ דונם</w:t>
            </w:r>
          </w:p>
        </w:tc>
      </w:tr>
      <w:tr w:rsidTr="00FF2A74">
        <w:tblPrEx>
          <w:tblW w:w="0" w:type="auto"/>
          <w:jc w:val="center"/>
          <w:tblLook w:val="04A0"/>
        </w:tblPrEx>
        <w:trPr>
          <w:trHeight w:val="57"/>
          <w:jc w:val="center"/>
        </w:trPr>
        <w:tc>
          <w:tcPr>
            <w:tcW w:w="2466" w:type="dxa"/>
            <w:vAlign w:val="bottom"/>
          </w:tcPr>
          <w:p w:rsidR="003B3F5B" w:rsidP="003B3F5B">
            <w:pPr>
              <w:spacing w:line="269" w:lineRule="auto"/>
              <w:jc w:val="left"/>
              <w:rPr>
                <w:rFonts w:ascii="David" w:eastAsia="Times New Roman" w:hAnsi="David"/>
                <w:color w:val="000000"/>
                <w:sz w:val="22"/>
                <w:szCs w:val="22"/>
                <w:rtl/>
              </w:rPr>
            </w:pPr>
          </w:p>
          <w:p w:rsidR="003B3F5B" w:rsidRPr="00B97E44" w:rsidP="003B3F5B">
            <w:pPr>
              <w:spacing w:line="269" w:lineRule="auto"/>
              <w:jc w:val="left"/>
              <w:rPr>
                <w:rtl/>
              </w:rPr>
            </w:pPr>
            <w:r w:rsidRPr="00B97E44">
              <w:rPr>
                <w:rFonts w:ascii="David" w:eastAsia="Times New Roman" w:hAnsi="David"/>
                <w:color w:val="000000"/>
                <w:sz w:val="22"/>
                <w:szCs w:val="22"/>
                <w:rtl/>
              </w:rPr>
              <w:t>שמורה</w:t>
            </w:r>
          </w:p>
        </w:tc>
        <w:tc>
          <w:tcPr>
            <w:tcW w:w="969" w:type="dxa"/>
            <w:vAlign w:val="bottom"/>
          </w:tcPr>
          <w:p w:rsidR="005B126E" w:rsidRPr="00B97E44" w:rsidP="001916A9">
            <w:pPr>
              <w:spacing w:line="269" w:lineRule="auto"/>
              <w:jc w:val="left"/>
              <w:rPr>
                <w:rtl/>
              </w:rPr>
            </w:pPr>
            <w:r>
              <w:rPr>
                <w:rFonts w:ascii="David" w:eastAsia="Times New Roman" w:hAnsi="David"/>
                <w:color w:val="000000"/>
                <w:sz w:val="22"/>
                <w:szCs w:val="22"/>
              </w:rPr>
              <w:t>967</w:t>
            </w:r>
            <w:r w:rsidRPr="00B97E44">
              <w:rPr>
                <w:rFonts w:ascii="David" w:eastAsia="Times New Roman" w:hAnsi="David"/>
                <w:color w:val="000000"/>
                <w:sz w:val="22"/>
                <w:szCs w:val="22"/>
              </w:rPr>
              <w:t xml:space="preserve"> </w:t>
            </w:r>
          </w:p>
        </w:tc>
        <w:tc>
          <w:tcPr>
            <w:tcW w:w="969" w:type="dxa"/>
            <w:vAlign w:val="bottom"/>
          </w:tcPr>
          <w:p w:rsidR="005B126E" w:rsidRPr="00B97E44" w:rsidP="001916A9">
            <w:pPr>
              <w:spacing w:line="269" w:lineRule="auto"/>
              <w:jc w:val="left"/>
              <w:rPr>
                <w:rtl/>
              </w:rPr>
            </w:pPr>
            <w:r>
              <w:rPr>
                <w:rFonts w:ascii="David" w:eastAsia="Times New Roman" w:hAnsi="David" w:hint="cs"/>
                <w:color w:val="000000"/>
                <w:sz w:val="22"/>
                <w:szCs w:val="22"/>
                <w:rtl/>
              </w:rPr>
              <w:t xml:space="preserve"> </w:t>
            </w:r>
            <w:r w:rsidRPr="00B97E44">
              <w:rPr>
                <w:rFonts w:ascii="David" w:eastAsia="Times New Roman" w:hAnsi="David"/>
                <w:color w:val="000000"/>
                <w:sz w:val="22"/>
                <w:szCs w:val="22"/>
              </w:rPr>
              <w:t xml:space="preserve">1,631 </w:t>
            </w:r>
          </w:p>
        </w:tc>
        <w:tc>
          <w:tcPr>
            <w:tcW w:w="970" w:type="dxa"/>
            <w:vAlign w:val="bottom"/>
          </w:tcPr>
          <w:p w:rsidR="005B126E" w:rsidRPr="00B97E44" w:rsidP="001916A9">
            <w:pPr>
              <w:spacing w:line="269" w:lineRule="auto"/>
              <w:jc w:val="left"/>
              <w:rPr>
                <w:rtl/>
              </w:rPr>
            </w:pPr>
            <w:r w:rsidRPr="00B97E44">
              <w:rPr>
                <w:rFonts w:ascii="David" w:eastAsia="Times New Roman" w:hAnsi="David"/>
                <w:color w:val="000000"/>
                <w:sz w:val="22"/>
                <w:szCs w:val="22"/>
              </w:rPr>
              <w:t xml:space="preserve">2,598 </w:t>
            </w:r>
          </w:p>
        </w:tc>
      </w:tr>
      <w:tr w:rsidTr="00FF2A74">
        <w:tblPrEx>
          <w:tblW w:w="0" w:type="auto"/>
          <w:jc w:val="center"/>
          <w:tblLook w:val="04A0"/>
        </w:tblPrEx>
        <w:trPr>
          <w:trHeight w:val="57"/>
          <w:jc w:val="center"/>
        </w:trPr>
        <w:tc>
          <w:tcPr>
            <w:tcW w:w="2466" w:type="dxa"/>
            <w:vAlign w:val="bottom"/>
          </w:tcPr>
          <w:p w:rsidR="005B126E" w:rsidRPr="00B97E44" w:rsidP="001916A9">
            <w:pPr>
              <w:spacing w:line="269" w:lineRule="auto"/>
              <w:jc w:val="left"/>
              <w:rPr>
                <w:rtl/>
              </w:rPr>
            </w:pPr>
            <w:r w:rsidRPr="00B97E44">
              <w:rPr>
                <w:rFonts w:ascii="David" w:eastAsia="Times New Roman" w:hAnsi="David" w:hint="cs"/>
                <w:color w:val="000000"/>
                <w:sz w:val="22"/>
                <w:szCs w:val="22"/>
                <w:rtl/>
              </w:rPr>
              <w:t>משארים (</w:t>
            </w:r>
            <w:r w:rsidRPr="00B97E44">
              <w:rPr>
                <w:rFonts w:ascii="David" w:eastAsia="Times New Roman" w:hAnsi="David"/>
                <w:color w:val="000000"/>
                <w:sz w:val="22"/>
                <w:szCs w:val="22"/>
                <w:rtl/>
              </w:rPr>
              <w:t>יער</w:t>
            </w:r>
            <w:r w:rsidRPr="00B97E44">
              <w:rPr>
                <w:rFonts w:ascii="David" w:eastAsia="Times New Roman" w:hAnsi="David" w:hint="cs"/>
                <w:color w:val="000000"/>
                <w:sz w:val="22"/>
                <w:szCs w:val="22"/>
                <w:rtl/>
              </w:rPr>
              <w:t>ות</w:t>
            </w:r>
            <w:r w:rsidRPr="00B97E44">
              <w:rPr>
                <w:rFonts w:ascii="David" w:eastAsia="Times New Roman" w:hAnsi="David"/>
                <w:color w:val="000000"/>
                <w:sz w:val="22"/>
                <w:szCs w:val="22"/>
                <w:rtl/>
              </w:rPr>
              <w:t xml:space="preserve"> פתוח</w:t>
            </w:r>
            <w:r w:rsidRPr="00B97E44">
              <w:rPr>
                <w:rFonts w:ascii="David" w:eastAsia="Times New Roman" w:hAnsi="David" w:hint="cs"/>
                <w:color w:val="000000"/>
                <w:sz w:val="22"/>
                <w:szCs w:val="22"/>
                <w:rtl/>
              </w:rPr>
              <w:t>ים)</w:t>
            </w:r>
          </w:p>
        </w:tc>
        <w:tc>
          <w:tcPr>
            <w:tcW w:w="969" w:type="dxa"/>
            <w:vAlign w:val="bottom"/>
          </w:tcPr>
          <w:p w:rsidR="005B126E" w:rsidRPr="00B97E44" w:rsidP="001916A9">
            <w:pPr>
              <w:spacing w:line="269" w:lineRule="auto"/>
              <w:jc w:val="left"/>
              <w:rPr>
                <w:rtl/>
              </w:rPr>
            </w:pPr>
            <w:r w:rsidRPr="00B97E44">
              <w:rPr>
                <w:rFonts w:ascii="David" w:eastAsia="Times New Roman" w:hAnsi="David"/>
                <w:color w:val="000000"/>
                <w:sz w:val="22"/>
                <w:szCs w:val="22"/>
              </w:rPr>
              <w:t xml:space="preserve">843 </w:t>
            </w:r>
          </w:p>
        </w:tc>
        <w:tc>
          <w:tcPr>
            <w:tcW w:w="969" w:type="dxa"/>
            <w:vAlign w:val="bottom"/>
          </w:tcPr>
          <w:p w:rsidR="005B126E" w:rsidRPr="00B97E44" w:rsidP="001916A9">
            <w:pPr>
              <w:spacing w:line="269" w:lineRule="auto"/>
              <w:jc w:val="left"/>
              <w:rPr>
                <w:rtl/>
              </w:rPr>
            </w:pPr>
            <w:r w:rsidRPr="00B97E44">
              <w:rPr>
                <w:rFonts w:ascii="David" w:eastAsia="Times New Roman" w:hAnsi="David"/>
                <w:color w:val="000000"/>
                <w:sz w:val="22"/>
                <w:szCs w:val="22"/>
              </w:rPr>
              <w:t xml:space="preserve">                    2,667 </w:t>
            </w:r>
          </w:p>
        </w:tc>
        <w:tc>
          <w:tcPr>
            <w:tcW w:w="970" w:type="dxa"/>
            <w:vAlign w:val="bottom"/>
          </w:tcPr>
          <w:p w:rsidR="005B126E" w:rsidRPr="00B97E44" w:rsidP="001916A9">
            <w:pPr>
              <w:spacing w:line="269" w:lineRule="auto"/>
              <w:jc w:val="left"/>
              <w:rPr>
                <w:rtl/>
              </w:rPr>
            </w:pPr>
            <w:r w:rsidRPr="00B97E44">
              <w:rPr>
                <w:rFonts w:ascii="David" w:eastAsia="Times New Roman" w:hAnsi="David"/>
                <w:color w:val="000000"/>
                <w:sz w:val="22"/>
                <w:szCs w:val="22"/>
              </w:rPr>
              <w:t xml:space="preserve">      3,510 </w:t>
            </w:r>
          </w:p>
        </w:tc>
      </w:tr>
      <w:tr w:rsidTr="00FF2A74">
        <w:tblPrEx>
          <w:tblW w:w="0" w:type="auto"/>
          <w:jc w:val="center"/>
          <w:tblLook w:val="04A0"/>
        </w:tblPrEx>
        <w:trPr>
          <w:trHeight w:val="57"/>
          <w:jc w:val="center"/>
        </w:trPr>
        <w:tc>
          <w:tcPr>
            <w:tcW w:w="2466" w:type="dxa"/>
            <w:vAlign w:val="bottom"/>
          </w:tcPr>
          <w:p w:rsidR="005B126E" w:rsidRPr="00B97E44" w:rsidP="001916A9">
            <w:pPr>
              <w:spacing w:line="269" w:lineRule="auto"/>
              <w:jc w:val="left"/>
              <w:rPr>
                <w:rtl/>
              </w:rPr>
            </w:pPr>
            <w:r w:rsidRPr="00B97E44">
              <w:rPr>
                <w:rFonts w:ascii="David" w:eastAsia="Times New Roman" w:hAnsi="David"/>
                <w:color w:val="000000"/>
                <w:sz w:val="22"/>
                <w:szCs w:val="22"/>
                <w:rtl/>
              </w:rPr>
              <w:t>הסדרה</w:t>
            </w:r>
            <w:r w:rsidRPr="00B97E44">
              <w:rPr>
                <w:rFonts w:ascii="David" w:eastAsia="Times New Roman" w:hAnsi="David" w:hint="cs"/>
                <w:color w:val="000000"/>
                <w:sz w:val="22"/>
                <w:szCs w:val="22"/>
                <w:rtl/>
              </w:rPr>
              <w:t xml:space="preserve"> (מניעת פגיעה עקיפה או נגררת בעתיד בשטחים סמוכים)</w:t>
            </w:r>
          </w:p>
        </w:tc>
        <w:tc>
          <w:tcPr>
            <w:tcW w:w="969" w:type="dxa"/>
            <w:vAlign w:val="bottom"/>
          </w:tcPr>
          <w:p w:rsidR="005B126E" w:rsidRPr="00B97E44" w:rsidP="001916A9">
            <w:pPr>
              <w:spacing w:line="269" w:lineRule="auto"/>
              <w:jc w:val="left"/>
              <w:rPr>
                <w:rtl/>
              </w:rPr>
            </w:pPr>
            <w:r w:rsidRPr="00B97E44">
              <w:rPr>
                <w:rFonts w:ascii="David" w:eastAsia="Times New Roman" w:hAnsi="David"/>
                <w:color w:val="000000"/>
                <w:sz w:val="22"/>
                <w:szCs w:val="22"/>
              </w:rPr>
              <w:t xml:space="preserve">                                              41 </w:t>
            </w:r>
          </w:p>
        </w:tc>
        <w:tc>
          <w:tcPr>
            <w:tcW w:w="969" w:type="dxa"/>
            <w:vAlign w:val="bottom"/>
          </w:tcPr>
          <w:p w:rsidR="005B126E" w:rsidRPr="00B97E44" w:rsidP="001916A9">
            <w:pPr>
              <w:spacing w:line="269" w:lineRule="auto"/>
              <w:jc w:val="left"/>
              <w:rPr>
                <w:rtl/>
              </w:rPr>
            </w:pPr>
            <w:r w:rsidRPr="00B97E44">
              <w:rPr>
                <w:rFonts w:ascii="David" w:eastAsia="Times New Roman" w:hAnsi="David"/>
                <w:color w:val="000000"/>
                <w:sz w:val="22"/>
                <w:szCs w:val="22"/>
              </w:rPr>
              <w:t xml:space="preserve">                                      661 </w:t>
            </w:r>
          </w:p>
        </w:tc>
        <w:tc>
          <w:tcPr>
            <w:tcW w:w="970" w:type="dxa"/>
            <w:vAlign w:val="bottom"/>
          </w:tcPr>
          <w:p w:rsidR="005B126E" w:rsidRPr="00B97E44" w:rsidP="001916A9">
            <w:pPr>
              <w:spacing w:line="269" w:lineRule="auto"/>
              <w:jc w:val="left"/>
              <w:rPr>
                <w:rtl/>
              </w:rPr>
            </w:pPr>
            <w:r w:rsidRPr="00B97E44">
              <w:rPr>
                <w:rFonts w:ascii="David" w:eastAsia="Times New Roman" w:hAnsi="David"/>
                <w:color w:val="000000"/>
                <w:sz w:val="22"/>
                <w:szCs w:val="22"/>
              </w:rPr>
              <w:t xml:space="preserve">         702 </w:t>
            </w:r>
          </w:p>
        </w:tc>
      </w:tr>
      <w:tr w:rsidTr="00FF2A74">
        <w:tblPrEx>
          <w:tblW w:w="0" w:type="auto"/>
          <w:jc w:val="center"/>
          <w:tblLook w:val="04A0"/>
        </w:tblPrEx>
        <w:trPr>
          <w:trHeight w:val="57"/>
          <w:jc w:val="center"/>
        </w:trPr>
        <w:tc>
          <w:tcPr>
            <w:tcW w:w="2466" w:type="dxa"/>
            <w:vAlign w:val="bottom"/>
          </w:tcPr>
          <w:p w:rsidR="005B126E" w:rsidRPr="00B97E44" w:rsidP="001916A9">
            <w:pPr>
              <w:spacing w:line="269" w:lineRule="auto"/>
              <w:jc w:val="left"/>
              <w:rPr>
                <w:rtl/>
              </w:rPr>
            </w:pPr>
            <w:r w:rsidRPr="00B97E44">
              <w:rPr>
                <w:rFonts w:ascii="David" w:eastAsia="Times New Roman" w:hAnsi="David"/>
                <w:color w:val="000000"/>
                <w:sz w:val="22"/>
                <w:szCs w:val="22"/>
                <w:rtl/>
              </w:rPr>
              <w:t>טבעי</w:t>
            </w:r>
          </w:p>
        </w:tc>
        <w:tc>
          <w:tcPr>
            <w:tcW w:w="969" w:type="dxa"/>
            <w:vAlign w:val="bottom"/>
          </w:tcPr>
          <w:p w:rsidR="005B126E" w:rsidRPr="00B97E44" w:rsidP="001916A9">
            <w:pPr>
              <w:spacing w:line="269" w:lineRule="auto"/>
              <w:jc w:val="left"/>
              <w:rPr>
                <w:rtl/>
              </w:rPr>
            </w:pPr>
            <w:r w:rsidRPr="00B97E44">
              <w:rPr>
                <w:rFonts w:ascii="David" w:eastAsia="Times New Roman" w:hAnsi="David"/>
                <w:color w:val="000000"/>
                <w:sz w:val="22"/>
                <w:szCs w:val="22"/>
              </w:rPr>
              <w:t xml:space="preserve">                                              34 </w:t>
            </w:r>
          </w:p>
        </w:tc>
        <w:tc>
          <w:tcPr>
            <w:tcW w:w="969" w:type="dxa"/>
            <w:vAlign w:val="bottom"/>
          </w:tcPr>
          <w:p w:rsidR="005B126E" w:rsidRPr="00B97E44" w:rsidP="001916A9">
            <w:pPr>
              <w:spacing w:line="269" w:lineRule="auto"/>
              <w:jc w:val="left"/>
              <w:rPr>
                <w:rtl/>
              </w:rPr>
            </w:pPr>
            <w:r w:rsidRPr="00B97E44">
              <w:rPr>
                <w:rFonts w:ascii="David" w:eastAsia="Times New Roman" w:hAnsi="David"/>
                <w:color w:val="000000"/>
                <w:sz w:val="22"/>
                <w:szCs w:val="22"/>
              </w:rPr>
              <w:t xml:space="preserve">                                      510 </w:t>
            </w:r>
          </w:p>
        </w:tc>
        <w:tc>
          <w:tcPr>
            <w:tcW w:w="970" w:type="dxa"/>
            <w:vAlign w:val="bottom"/>
          </w:tcPr>
          <w:p w:rsidR="005B126E" w:rsidRPr="00B97E44" w:rsidP="001916A9">
            <w:pPr>
              <w:spacing w:line="269" w:lineRule="auto"/>
              <w:jc w:val="left"/>
              <w:rPr>
                <w:rtl/>
              </w:rPr>
            </w:pPr>
            <w:r w:rsidRPr="00B97E44">
              <w:rPr>
                <w:rFonts w:ascii="David" w:eastAsia="Times New Roman" w:hAnsi="David"/>
                <w:color w:val="000000"/>
                <w:sz w:val="22"/>
                <w:szCs w:val="22"/>
              </w:rPr>
              <w:t xml:space="preserve">         544 </w:t>
            </w:r>
          </w:p>
        </w:tc>
      </w:tr>
      <w:tr w:rsidTr="00FF2A74">
        <w:tblPrEx>
          <w:tblW w:w="0" w:type="auto"/>
          <w:jc w:val="center"/>
          <w:tblLook w:val="04A0"/>
        </w:tblPrEx>
        <w:trPr>
          <w:trHeight w:val="57"/>
          <w:jc w:val="center"/>
        </w:trPr>
        <w:tc>
          <w:tcPr>
            <w:tcW w:w="2466" w:type="dxa"/>
            <w:vAlign w:val="bottom"/>
          </w:tcPr>
          <w:p w:rsidR="005B126E" w:rsidRPr="00B97E44" w:rsidP="001916A9">
            <w:pPr>
              <w:spacing w:line="269" w:lineRule="auto"/>
              <w:jc w:val="left"/>
              <w:rPr>
                <w:rtl/>
              </w:rPr>
            </w:pPr>
            <w:r w:rsidRPr="00B97E44">
              <w:rPr>
                <w:rFonts w:ascii="David" w:eastAsia="Times New Roman" w:hAnsi="David"/>
                <w:color w:val="000000"/>
                <w:sz w:val="22"/>
                <w:szCs w:val="22"/>
                <w:rtl/>
              </w:rPr>
              <w:t>שטח חקלאי ותיירות לשימור</w:t>
            </w:r>
          </w:p>
        </w:tc>
        <w:tc>
          <w:tcPr>
            <w:tcW w:w="969" w:type="dxa"/>
            <w:vAlign w:val="bottom"/>
          </w:tcPr>
          <w:p w:rsidR="005B126E" w:rsidRPr="00B97E44" w:rsidP="001916A9">
            <w:pPr>
              <w:spacing w:line="269" w:lineRule="auto"/>
              <w:jc w:val="left"/>
              <w:rPr>
                <w:rtl/>
              </w:rPr>
            </w:pPr>
            <w:r w:rsidRPr="00B97E44">
              <w:rPr>
                <w:rFonts w:ascii="David" w:eastAsia="Times New Roman" w:hAnsi="David"/>
                <w:color w:val="000000"/>
                <w:sz w:val="22"/>
                <w:szCs w:val="22"/>
              </w:rPr>
              <w:t xml:space="preserve">                                            108 </w:t>
            </w:r>
          </w:p>
        </w:tc>
        <w:tc>
          <w:tcPr>
            <w:tcW w:w="969" w:type="dxa"/>
            <w:vAlign w:val="bottom"/>
          </w:tcPr>
          <w:p w:rsidR="005B126E" w:rsidRPr="00B97E44" w:rsidP="001916A9">
            <w:pPr>
              <w:spacing w:line="269" w:lineRule="auto"/>
              <w:jc w:val="left"/>
              <w:rPr>
                <w:rtl/>
              </w:rPr>
            </w:pPr>
            <w:r w:rsidRPr="00B97E44">
              <w:rPr>
                <w:rFonts w:ascii="David" w:eastAsia="Times New Roman" w:hAnsi="David"/>
                <w:color w:val="000000"/>
                <w:sz w:val="22"/>
                <w:szCs w:val="22"/>
              </w:rPr>
              <w:t xml:space="preserve">                                      432 </w:t>
            </w:r>
          </w:p>
        </w:tc>
        <w:tc>
          <w:tcPr>
            <w:tcW w:w="970" w:type="dxa"/>
            <w:vAlign w:val="bottom"/>
          </w:tcPr>
          <w:p w:rsidR="005B126E" w:rsidRPr="00B97E44" w:rsidP="001916A9">
            <w:pPr>
              <w:spacing w:line="269" w:lineRule="auto"/>
              <w:jc w:val="left"/>
              <w:rPr>
                <w:rtl/>
              </w:rPr>
            </w:pPr>
            <w:r w:rsidRPr="00B97E44">
              <w:rPr>
                <w:rFonts w:ascii="David" w:eastAsia="Times New Roman" w:hAnsi="David"/>
                <w:color w:val="000000"/>
                <w:sz w:val="22"/>
                <w:szCs w:val="22"/>
              </w:rPr>
              <w:t xml:space="preserve">         539 </w:t>
            </w:r>
          </w:p>
        </w:tc>
      </w:tr>
      <w:tr w:rsidTr="00FF2A74">
        <w:tblPrEx>
          <w:tblW w:w="0" w:type="auto"/>
          <w:jc w:val="center"/>
          <w:tblLook w:val="04A0"/>
        </w:tblPrEx>
        <w:trPr>
          <w:trHeight w:val="57"/>
          <w:jc w:val="center"/>
        </w:trPr>
        <w:tc>
          <w:tcPr>
            <w:tcW w:w="2466" w:type="dxa"/>
            <w:vAlign w:val="bottom"/>
          </w:tcPr>
          <w:p w:rsidR="005B126E" w:rsidRPr="00B97E44" w:rsidP="001916A9">
            <w:pPr>
              <w:spacing w:line="269" w:lineRule="auto"/>
              <w:jc w:val="left"/>
              <w:rPr>
                <w:b/>
                <w:bCs/>
                <w:rtl/>
              </w:rPr>
            </w:pPr>
            <w:r w:rsidRPr="00B97E44">
              <w:rPr>
                <w:rFonts w:ascii="David" w:eastAsia="Times New Roman" w:hAnsi="David"/>
                <w:b/>
                <w:bCs/>
                <w:color w:val="000000"/>
                <w:sz w:val="22"/>
                <w:szCs w:val="22"/>
                <w:rtl/>
              </w:rPr>
              <w:t>סה</w:t>
            </w:r>
            <w:r w:rsidRPr="00B97E44">
              <w:rPr>
                <w:rFonts w:ascii="David" w:eastAsia="Times New Roman" w:hAnsi="David" w:hint="cs"/>
                <w:b/>
                <w:bCs/>
                <w:color w:val="000000"/>
                <w:sz w:val="22"/>
                <w:szCs w:val="22"/>
                <w:rtl/>
              </w:rPr>
              <w:t>"</w:t>
            </w:r>
            <w:r w:rsidRPr="00B97E44">
              <w:rPr>
                <w:rFonts w:ascii="David" w:eastAsia="Times New Roman" w:hAnsi="David"/>
                <w:b/>
                <w:bCs/>
                <w:color w:val="000000"/>
                <w:sz w:val="22"/>
                <w:szCs w:val="22"/>
                <w:rtl/>
              </w:rPr>
              <w:t>כ</w:t>
            </w:r>
          </w:p>
        </w:tc>
        <w:tc>
          <w:tcPr>
            <w:tcW w:w="969" w:type="dxa"/>
            <w:vAlign w:val="bottom"/>
          </w:tcPr>
          <w:p w:rsidR="005B126E" w:rsidRPr="00B97E44" w:rsidP="001916A9">
            <w:pPr>
              <w:spacing w:line="269" w:lineRule="auto"/>
              <w:jc w:val="left"/>
              <w:rPr>
                <w:b/>
                <w:bCs/>
                <w:rtl/>
              </w:rPr>
            </w:pPr>
            <w:r>
              <w:rPr>
                <w:rFonts w:ascii="David" w:eastAsia="Times New Roman" w:hAnsi="David" w:hint="cs"/>
                <w:b/>
                <w:bCs/>
                <w:color w:val="000000"/>
                <w:sz w:val="22"/>
                <w:szCs w:val="22"/>
                <w:rtl/>
              </w:rPr>
              <w:t>1,993</w:t>
            </w:r>
            <w:r w:rsidRPr="00B97E44">
              <w:rPr>
                <w:rFonts w:ascii="David" w:eastAsia="Times New Roman" w:hAnsi="David"/>
                <w:b/>
                <w:bCs/>
                <w:color w:val="000000"/>
                <w:sz w:val="22"/>
                <w:szCs w:val="22"/>
              </w:rPr>
              <w:t xml:space="preserve"> </w:t>
            </w:r>
          </w:p>
        </w:tc>
        <w:tc>
          <w:tcPr>
            <w:tcW w:w="969" w:type="dxa"/>
            <w:vAlign w:val="bottom"/>
          </w:tcPr>
          <w:p w:rsidR="005B126E" w:rsidRPr="00B97E44" w:rsidP="001916A9">
            <w:pPr>
              <w:spacing w:line="269" w:lineRule="auto"/>
              <w:jc w:val="left"/>
              <w:rPr>
                <w:b/>
                <w:bCs/>
                <w:rtl/>
              </w:rPr>
            </w:pPr>
            <w:r w:rsidRPr="00B97E44">
              <w:rPr>
                <w:rFonts w:ascii="David" w:eastAsia="Times New Roman" w:hAnsi="David"/>
                <w:b/>
                <w:bCs/>
                <w:color w:val="000000"/>
                <w:sz w:val="22"/>
                <w:szCs w:val="22"/>
              </w:rPr>
              <w:t xml:space="preserve">                                   5,901 </w:t>
            </w:r>
          </w:p>
        </w:tc>
        <w:tc>
          <w:tcPr>
            <w:tcW w:w="970" w:type="dxa"/>
            <w:vAlign w:val="bottom"/>
          </w:tcPr>
          <w:p w:rsidR="005B126E" w:rsidRPr="00B97E44" w:rsidP="001916A9">
            <w:pPr>
              <w:spacing w:line="269" w:lineRule="auto"/>
              <w:jc w:val="left"/>
              <w:rPr>
                <w:b/>
                <w:bCs/>
                <w:rtl/>
              </w:rPr>
            </w:pPr>
            <w:r>
              <w:rPr>
                <w:rFonts w:ascii="David" w:eastAsia="Times New Roman" w:hAnsi="David"/>
                <w:b/>
                <w:bCs/>
                <w:color w:val="000000"/>
                <w:sz w:val="22"/>
                <w:szCs w:val="22"/>
              </w:rPr>
              <w:t>7,893</w:t>
            </w:r>
          </w:p>
        </w:tc>
      </w:tr>
    </w:tbl>
    <w:p w:rsidR="005B126E" w:rsidP="001916A9">
      <w:pPr>
        <w:spacing w:line="269" w:lineRule="auto"/>
        <w:rPr>
          <w:sz w:val="16"/>
          <w:szCs w:val="20"/>
          <w:rtl/>
        </w:rPr>
      </w:pPr>
      <w:r w:rsidRPr="00B97E44">
        <w:rPr>
          <w:rFonts w:hint="cs"/>
          <w:sz w:val="16"/>
          <w:szCs w:val="20"/>
          <w:rtl/>
        </w:rPr>
        <w:t xml:space="preserve">על פי נתוני </w:t>
      </w:r>
      <w:r w:rsidRPr="00B97E44">
        <w:rPr>
          <w:rFonts w:hint="cs"/>
          <w:sz w:val="16"/>
          <w:szCs w:val="20"/>
          <w:rtl/>
        </w:rPr>
        <w:t>רט"ג</w:t>
      </w:r>
      <w:r w:rsidRPr="00B97E44">
        <w:rPr>
          <w:rFonts w:hint="cs"/>
          <w:sz w:val="16"/>
          <w:szCs w:val="20"/>
          <w:rtl/>
        </w:rPr>
        <w:t>, יולי 2025, בעיבוד משרד מבקר המדינה.</w:t>
      </w:r>
    </w:p>
    <w:p w:rsidR="005B126E" w:rsidRPr="00B97E44" w:rsidP="001916A9">
      <w:pPr>
        <w:spacing w:line="269" w:lineRule="auto"/>
        <w:rPr>
          <w:sz w:val="16"/>
          <w:szCs w:val="20"/>
          <w:rtl/>
        </w:rPr>
      </w:pPr>
      <w:r w:rsidRPr="00614B9F">
        <w:rPr>
          <w:sz w:val="16"/>
          <w:szCs w:val="20"/>
          <w:rtl/>
        </w:rPr>
        <w:t>*</w:t>
      </w:r>
      <w:r>
        <w:rPr>
          <w:rFonts w:hint="cs"/>
          <w:sz w:val="16"/>
          <w:szCs w:val="20"/>
          <w:rtl/>
        </w:rPr>
        <w:t xml:space="preserve"> </w:t>
      </w:r>
      <w:r w:rsidRPr="00614B9F">
        <w:rPr>
          <w:sz w:val="16"/>
          <w:szCs w:val="20"/>
          <w:rtl/>
        </w:rPr>
        <w:t xml:space="preserve">לא נכללו שטחים שנפגעו ואינם מיועדים לשיקום - 468 דונם (אזור </w:t>
      </w:r>
      <w:r w:rsidRPr="00614B9F">
        <w:rPr>
          <w:sz w:val="16"/>
          <w:szCs w:val="20"/>
          <w:rtl/>
        </w:rPr>
        <w:t>קצא"א</w:t>
      </w:r>
      <w:r w:rsidRPr="00614B9F">
        <w:rPr>
          <w:sz w:val="16"/>
          <w:szCs w:val="20"/>
          <w:rtl/>
        </w:rPr>
        <w:t>, פריסת כוחות קבועה, שטח ששוקם), וכן לא נכללו שטחי החקלאות - 10,501 דונם שנפגעו בעקבות פריסת כוחות צבא.</w:t>
      </w:r>
    </w:p>
    <w:p w:rsidR="005B126E" w:rsidP="001916A9">
      <w:pPr>
        <w:spacing w:line="269" w:lineRule="auto"/>
        <w:rPr>
          <w:rtl/>
        </w:rPr>
      </w:pPr>
      <w:r w:rsidRPr="00B97E44">
        <w:rPr>
          <w:rFonts w:hint="cs"/>
          <w:rtl/>
        </w:rPr>
        <w:t xml:space="preserve">לפי הערכה שעשתה </w:t>
      </w:r>
      <w:r w:rsidRPr="00B97E44">
        <w:rPr>
          <w:rFonts w:hint="cs"/>
          <w:rtl/>
        </w:rPr>
        <w:t>רט"ג</w:t>
      </w:r>
      <w:r w:rsidRPr="00B97E44">
        <w:rPr>
          <w:rFonts w:hint="cs"/>
          <w:rtl/>
        </w:rPr>
        <w:t xml:space="preserve"> לבקשת המשרד להגנת הסביבה בשנת 2024, עלות השיקום של השטחים הפתוחים בחבל התקומה נאמדת בכ-70 מיליוני ש"ח ואמורה לכלול שיקום הפרות קרקע, תיחום והגנה למניעת נזק עתידי וטיפול וניטור מינים פולשים לחמש שנים בשמורות הטבע: דרך הבשור</w:t>
      </w:r>
      <w:r>
        <w:rPr>
          <w:rFonts w:hint="cs"/>
          <w:rtl/>
        </w:rPr>
        <w:t xml:space="preserve">, </w:t>
      </w:r>
      <w:r w:rsidRPr="00B97E44">
        <w:rPr>
          <w:rFonts w:hint="cs"/>
          <w:rtl/>
        </w:rPr>
        <w:t>חולות נתיב העשרה</w:t>
      </w:r>
      <w:r>
        <w:rPr>
          <w:rFonts w:hint="cs"/>
          <w:rtl/>
        </w:rPr>
        <w:t>,</w:t>
      </w:r>
      <w:r w:rsidRPr="00B97E44">
        <w:rPr>
          <w:rFonts w:hint="cs"/>
          <w:rtl/>
        </w:rPr>
        <w:t xml:space="preserve"> שמורת בארי, שמורת הבשור, שמורות חולות זיקים</w:t>
      </w:r>
      <w:r>
        <w:rPr>
          <w:rFonts w:hint="cs"/>
          <w:rtl/>
        </w:rPr>
        <w:t>,</w:t>
      </w:r>
      <w:r w:rsidRPr="00B97E44">
        <w:rPr>
          <w:rFonts w:hint="cs"/>
          <w:rtl/>
        </w:rPr>
        <w:t xml:space="preserve"> שמורת כורכר ניר עם</w:t>
      </w:r>
      <w:r>
        <w:rPr>
          <w:rFonts w:hint="cs"/>
          <w:rtl/>
        </w:rPr>
        <w:t xml:space="preserve">, </w:t>
      </w:r>
      <w:r w:rsidRPr="00B97E44">
        <w:rPr>
          <w:rFonts w:hint="cs"/>
          <w:rtl/>
        </w:rPr>
        <w:t>שמורת כרמיה</w:t>
      </w:r>
      <w:r>
        <w:rPr>
          <w:rFonts w:hint="cs"/>
          <w:rtl/>
        </w:rPr>
        <w:t>,</w:t>
      </w:r>
      <w:r w:rsidRPr="00B97E44">
        <w:rPr>
          <w:rFonts w:hint="cs"/>
          <w:rtl/>
        </w:rPr>
        <w:t xml:space="preserve"> שמורת נחל גרר</w:t>
      </w:r>
      <w:r>
        <w:rPr>
          <w:rFonts w:hint="cs"/>
          <w:rtl/>
        </w:rPr>
        <w:t>,</w:t>
      </w:r>
      <w:r w:rsidRPr="00B97E44">
        <w:rPr>
          <w:rFonts w:hint="cs"/>
          <w:rtl/>
        </w:rPr>
        <w:t xml:space="preserve"> שמורת פארק האפיק וכן בתוכנית מתחם בארי ושטחים נוספים. </w:t>
      </w:r>
    </w:p>
    <w:p w:rsidR="005B126E" w:rsidRPr="0042234E" w:rsidP="001916A9">
      <w:pPr>
        <w:spacing w:line="269" w:lineRule="auto"/>
        <w:rPr>
          <w:rFonts w:asciiTheme="minorHAnsi" w:hAnsiTheme="minorHAnsi"/>
          <w:sz w:val="18"/>
          <w:szCs w:val="18"/>
          <w:rtl/>
        </w:rPr>
      </w:pPr>
    </w:p>
    <w:p w:rsidR="005B126E" w:rsidRPr="00620D15" w:rsidP="008302B0">
      <w:pPr>
        <w:keepNext/>
        <w:keepLines/>
        <w:spacing w:line="360" w:lineRule="auto"/>
        <w:jc w:val="center"/>
        <w:rPr>
          <w:rFonts w:asciiTheme="minorHAnsi" w:hAnsiTheme="minorHAnsi"/>
          <w:sz w:val="24"/>
        </w:rPr>
      </w:pPr>
      <w:r w:rsidRPr="00B97E44">
        <w:rPr>
          <w:noProof/>
          <w:szCs w:val="20"/>
        </w:rPr>
        <w:drawing>
          <wp:anchor distT="0" distB="0" distL="114300" distR="114300" simplePos="0" relativeHeight="251659264" behindDoc="0" locked="0" layoutInCell="1" allowOverlap="1">
            <wp:simplePos x="0" y="0"/>
            <wp:positionH relativeFrom="margin">
              <wp:align>center</wp:align>
            </wp:positionH>
            <wp:positionV relativeFrom="paragraph">
              <wp:posOffset>212725</wp:posOffset>
            </wp:positionV>
            <wp:extent cx="5090795" cy="3007995"/>
            <wp:effectExtent l="0" t="0" r="0" b="1905"/>
            <wp:wrapThrough wrapText="bothSides">
              <wp:wrapPolygon>
                <wp:start x="0" y="0"/>
                <wp:lineTo x="0" y="21477"/>
                <wp:lineTo x="21500" y="21477"/>
                <wp:lineTo x="21500" y="0"/>
                <wp:lineTo x="0" y="0"/>
              </wp:wrapPolygon>
            </wp:wrapThrough>
            <wp:docPr id="16" name="תמונה 16" descr="מפה המציגה את מיפוי המפגעים העיקריים בשטחים הפתוחים בחבל תקומ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a:xfrm>
                      <a:off x="0" y="0"/>
                      <a:ext cx="5090795" cy="3007995"/>
                    </a:xfrm>
                    <a:prstGeom prst="rect">
                      <a:avLst/>
                    </a:prstGeom>
                  </pic:spPr>
                </pic:pic>
              </a:graphicData>
            </a:graphic>
            <wp14:sizeRelH relativeFrom="page">
              <wp14:pctWidth>0</wp14:pctWidth>
            </wp14:sizeRelH>
            <wp14:sizeRelV relativeFrom="page">
              <wp14:pctHeight>0</wp14:pctHeight>
            </wp14:sizeRelV>
          </wp:anchor>
        </w:drawing>
      </w:r>
      <w:r w:rsidRPr="00B97E44">
        <w:rPr>
          <w:rFonts w:asciiTheme="minorHAnsi" w:hAnsiTheme="minorHAnsi" w:hint="cs"/>
          <w:sz w:val="24"/>
          <w:rtl/>
        </w:rPr>
        <w:t xml:space="preserve">מפה 2: </w:t>
      </w:r>
      <w:r w:rsidRPr="00B97E44">
        <w:rPr>
          <w:rFonts w:asciiTheme="minorHAnsi" w:hAnsiTheme="minorHAnsi" w:hint="eastAsia"/>
          <w:b/>
          <w:bCs/>
          <w:sz w:val="24"/>
          <w:rtl/>
        </w:rPr>
        <w:t>מיפוי</w:t>
      </w:r>
      <w:r w:rsidRPr="00B97E44">
        <w:rPr>
          <w:rFonts w:asciiTheme="minorHAnsi" w:hAnsiTheme="minorHAnsi"/>
          <w:b/>
          <w:bCs/>
          <w:sz w:val="24"/>
          <w:rtl/>
        </w:rPr>
        <w:t xml:space="preserve"> מפגעים עיקריים </w:t>
      </w:r>
      <w:r w:rsidRPr="00B97E44">
        <w:rPr>
          <w:rFonts w:asciiTheme="minorHAnsi" w:hAnsiTheme="minorHAnsi" w:hint="eastAsia"/>
          <w:b/>
          <w:bCs/>
          <w:sz w:val="24"/>
          <w:rtl/>
        </w:rPr>
        <w:t>בשטחים</w:t>
      </w:r>
      <w:r w:rsidRPr="00B97E44">
        <w:rPr>
          <w:rFonts w:asciiTheme="minorHAnsi" w:hAnsiTheme="minorHAnsi"/>
          <w:b/>
          <w:bCs/>
          <w:sz w:val="24"/>
          <w:rtl/>
        </w:rPr>
        <w:t xml:space="preserve"> </w:t>
      </w:r>
      <w:r w:rsidRPr="00B97E44">
        <w:rPr>
          <w:rFonts w:asciiTheme="minorHAnsi" w:hAnsiTheme="minorHAnsi" w:hint="eastAsia"/>
          <w:b/>
          <w:bCs/>
          <w:sz w:val="24"/>
          <w:rtl/>
        </w:rPr>
        <w:t>הפתוחים</w:t>
      </w:r>
      <w:r w:rsidRPr="00B97E44">
        <w:rPr>
          <w:rFonts w:asciiTheme="minorHAnsi" w:hAnsiTheme="minorHAnsi"/>
          <w:b/>
          <w:bCs/>
          <w:sz w:val="24"/>
          <w:rtl/>
        </w:rPr>
        <w:t xml:space="preserve"> </w:t>
      </w:r>
      <w:r w:rsidRPr="00B97E44">
        <w:rPr>
          <w:rFonts w:asciiTheme="minorHAnsi" w:hAnsiTheme="minorHAnsi" w:hint="eastAsia"/>
          <w:b/>
          <w:bCs/>
          <w:sz w:val="24"/>
          <w:rtl/>
        </w:rPr>
        <w:t>בחבל</w:t>
      </w:r>
      <w:r w:rsidRPr="00B97E44">
        <w:rPr>
          <w:rFonts w:asciiTheme="minorHAnsi" w:hAnsiTheme="minorHAnsi"/>
          <w:b/>
          <w:bCs/>
          <w:sz w:val="24"/>
          <w:rtl/>
        </w:rPr>
        <w:t xml:space="preserve"> </w:t>
      </w:r>
      <w:r w:rsidRPr="00B97E44">
        <w:rPr>
          <w:rFonts w:asciiTheme="minorHAnsi" w:hAnsiTheme="minorHAnsi" w:hint="eastAsia"/>
          <w:b/>
          <w:bCs/>
          <w:sz w:val="24"/>
          <w:rtl/>
        </w:rPr>
        <w:t>התקומה</w:t>
      </w:r>
    </w:p>
    <w:p w:rsidR="005B126E" w:rsidP="001916A9">
      <w:pPr>
        <w:spacing w:line="269" w:lineRule="auto"/>
        <w:ind w:left="-567"/>
        <w:jc w:val="left"/>
        <w:rPr>
          <w:rtl/>
        </w:rPr>
      </w:pPr>
      <w:r w:rsidRPr="00B97E44">
        <w:rPr>
          <w:rFonts w:hint="cs"/>
          <w:szCs w:val="20"/>
          <w:rtl/>
        </w:rPr>
        <w:t>ה</w:t>
      </w:r>
      <w:r w:rsidRPr="00B97E44">
        <w:rPr>
          <w:rFonts w:hint="eastAsia"/>
          <w:szCs w:val="20"/>
          <w:rtl/>
        </w:rPr>
        <w:t>מקור</w:t>
      </w:r>
      <w:r w:rsidRPr="00B97E44">
        <w:rPr>
          <w:szCs w:val="20"/>
          <w:rtl/>
        </w:rPr>
        <w:t xml:space="preserve">: </w:t>
      </w:r>
      <w:r w:rsidRPr="00B97E44">
        <w:rPr>
          <w:szCs w:val="20"/>
          <w:rtl/>
        </w:rPr>
        <w:t>ר</w:t>
      </w:r>
      <w:r w:rsidRPr="00B97E44">
        <w:rPr>
          <w:rFonts w:hint="cs"/>
          <w:szCs w:val="20"/>
          <w:rtl/>
        </w:rPr>
        <w:t>ט"ג</w:t>
      </w:r>
      <w:r w:rsidRPr="00B97E44">
        <w:rPr>
          <w:szCs w:val="20"/>
          <w:rtl/>
        </w:rPr>
        <w:t xml:space="preserve">, </w:t>
      </w:r>
      <w:r w:rsidRPr="00B97E44">
        <w:rPr>
          <w:rFonts w:hint="cs"/>
          <w:szCs w:val="20"/>
          <w:rtl/>
        </w:rPr>
        <w:t>הצעה לשותפות בשיקום ופיתוח חבל התקומה, ינואר 2024.</w:t>
      </w:r>
    </w:p>
    <w:p w:rsidR="005B126E" w:rsidRPr="0042234E" w:rsidP="001916A9">
      <w:pPr>
        <w:spacing w:line="269" w:lineRule="auto"/>
        <w:rPr>
          <w:sz w:val="12"/>
          <w:szCs w:val="16"/>
          <w:rtl/>
        </w:rPr>
      </w:pPr>
    </w:p>
    <w:p w:rsidR="005B126E" w:rsidRPr="00B97E44" w:rsidP="008302B0">
      <w:pPr>
        <w:keepNext/>
        <w:keepLines/>
        <w:spacing w:line="360" w:lineRule="auto"/>
        <w:jc w:val="center"/>
        <w:rPr>
          <w:b/>
          <w:bCs/>
          <w:rtl/>
        </w:rPr>
      </w:pPr>
      <w:r w:rsidRPr="00B97E44">
        <w:rPr>
          <w:rFonts w:hint="cs"/>
          <w:rtl/>
        </w:rPr>
        <w:t>תמונות 9 - 10:</w:t>
      </w:r>
      <w:r w:rsidRPr="00B97E44">
        <w:rPr>
          <w:rFonts w:hint="cs"/>
          <w:b/>
          <w:bCs/>
          <w:rtl/>
        </w:rPr>
        <w:t xml:space="preserve"> נזקים בחבל התקומה</w:t>
      </w:r>
    </w:p>
    <w:tbl>
      <w:tblPr>
        <w:bidiVisual/>
        <w:tblW w:w="0" w:type="auto"/>
        <w:jc w:val="center"/>
        <w:tblLook w:val="04A0"/>
      </w:tblPr>
      <w:tblGrid>
        <w:gridCol w:w="4105"/>
        <w:gridCol w:w="4106"/>
      </w:tblGrid>
      <w:tr w:rsidTr="00FF2A74">
        <w:tblPrEx>
          <w:tblW w:w="0" w:type="auto"/>
          <w:jc w:val="center"/>
          <w:tblLook w:val="04A0"/>
        </w:tblPrEx>
        <w:trPr>
          <w:jc w:val="center"/>
        </w:trPr>
        <w:tc>
          <w:tcPr>
            <w:tcW w:w="4105" w:type="dxa"/>
          </w:tcPr>
          <w:p w:rsidR="005B126E" w:rsidRPr="00B97E44" w:rsidP="001916A9">
            <w:pPr>
              <w:spacing w:line="269" w:lineRule="auto"/>
            </w:pPr>
            <w:r w:rsidRPr="00B97E44">
              <w:rPr>
                <w:noProof/>
              </w:rPr>
              <w:drawing>
                <wp:inline distT="0" distB="0" distL="0" distR="0">
                  <wp:extent cx="2258479" cy="1728000"/>
                  <wp:effectExtent l="0" t="0" r="8890" b="5715"/>
                  <wp:docPr id="15" name="תמונה 15" descr="התמונה מציגה עקבות של רכבים כבדים שפגעו בשטח הפתו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xmlns:r="http://schemas.openxmlformats.org/officeDocument/2006/relationships" r:embed="rId34"/>
                          <a:stretch>
                            <a:fillRect/>
                          </a:stretch>
                        </pic:blipFill>
                        <pic:spPr>
                          <a:xfrm flipH="1">
                            <a:off x="0" y="0"/>
                            <a:ext cx="2258479" cy="1728000"/>
                          </a:xfrm>
                          <a:prstGeom prst="rect">
                            <a:avLst/>
                          </a:prstGeom>
                        </pic:spPr>
                      </pic:pic>
                    </a:graphicData>
                  </a:graphic>
                </wp:inline>
              </w:drawing>
            </w:r>
          </w:p>
        </w:tc>
        <w:tc>
          <w:tcPr>
            <w:tcW w:w="4106" w:type="dxa"/>
          </w:tcPr>
          <w:p w:rsidR="005B126E" w:rsidRPr="00B97E44" w:rsidP="001916A9">
            <w:pPr>
              <w:spacing w:line="269" w:lineRule="auto"/>
              <w:rPr>
                <w:rtl/>
              </w:rPr>
            </w:pPr>
            <w:r w:rsidRPr="00B97E44">
              <w:rPr>
                <w:noProof/>
                <w:rtl/>
              </w:rPr>
              <w:drawing>
                <wp:inline distT="0" distB="0" distL="0" distR="0">
                  <wp:extent cx="1427480" cy="1728000"/>
                  <wp:effectExtent l="0" t="0" r="1270" b="5715"/>
                  <wp:docPr id="17" name="תמונה 17" descr="התמונה מציגה עקבות של רכבים כבדים שפגעו בשטח הפתו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pic:cNvPicPr>
                            <a:picLocks noChangeAspect="1" noChangeArrowheads="1"/>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27480" cy="1728000"/>
                          </a:xfrm>
                          <a:prstGeom prst="rect">
                            <a:avLst/>
                          </a:prstGeom>
                          <a:noFill/>
                          <a:ln>
                            <a:noFill/>
                          </a:ln>
                        </pic:spPr>
                      </pic:pic>
                    </a:graphicData>
                  </a:graphic>
                </wp:inline>
              </w:drawing>
            </w:r>
          </w:p>
        </w:tc>
      </w:tr>
    </w:tbl>
    <w:p w:rsidR="005B126E" w:rsidRPr="004F7BE6" w:rsidP="001916A9">
      <w:pPr>
        <w:spacing w:line="269" w:lineRule="auto"/>
        <w:jc w:val="left"/>
        <w:rPr>
          <w:szCs w:val="20"/>
          <w:rtl/>
        </w:rPr>
      </w:pPr>
      <w:r w:rsidRPr="004F7BE6">
        <w:rPr>
          <w:rFonts w:hint="cs"/>
          <w:szCs w:val="20"/>
          <w:rtl/>
        </w:rPr>
        <w:t>ה</w:t>
      </w:r>
      <w:r w:rsidRPr="004F7BE6">
        <w:rPr>
          <w:rFonts w:hint="eastAsia"/>
          <w:szCs w:val="20"/>
          <w:rtl/>
        </w:rPr>
        <w:t>מקור</w:t>
      </w:r>
      <w:r w:rsidRPr="004F7BE6">
        <w:rPr>
          <w:szCs w:val="20"/>
          <w:rtl/>
        </w:rPr>
        <w:t xml:space="preserve">: </w:t>
      </w:r>
      <w:r w:rsidRPr="004F7BE6">
        <w:rPr>
          <w:rFonts w:hint="eastAsia"/>
          <w:szCs w:val="20"/>
          <w:rtl/>
        </w:rPr>
        <w:t>ר</w:t>
      </w:r>
      <w:r w:rsidRPr="004F7BE6">
        <w:rPr>
          <w:rFonts w:hint="cs"/>
          <w:szCs w:val="20"/>
          <w:rtl/>
        </w:rPr>
        <w:t>ט"ג</w:t>
      </w:r>
      <w:r w:rsidRPr="004F7BE6">
        <w:rPr>
          <w:szCs w:val="20"/>
          <w:rtl/>
        </w:rPr>
        <w:t xml:space="preserve">, </w:t>
      </w:r>
      <w:r w:rsidRPr="004F7BE6">
        <w:rPr>
          <w:rFonts w:hint="eastAsia"/>
          <w:szCs w:val="20"/>
          <w:rtl/>
        </w:rPr>
        <w:t>הפרות</w:t>
      </w:r>
      <w:r w:rsidRPr="004F7BE6">
        <w:rPr>
          <w:szCs w:val="20"/>
          <w:rtl/>
        </w:rPr>
        <w:t xml:space="preserve"> </w:t>
      </w:r>
      <w:r w:rsidRPr="004F7BE6">
        <w:rPr>
          <w:rFonts w:hint="eastAsia"/>
          <w:szCs w:val="20"/>
          <w:rtl/>
        </w:rPr>
        <w:t>קרקע</w:t>
      </w:r>
      <w:r w:rsidRPr="004F7BE6">
        <w:rPr>
          <w:szCs w:val="20"/>
          <w:rtl/>
        </w:rPr>
        <w:t xml:space="preserve"> </w:t>
      </w:r>
      <w:r w:rsidRPr="004F7BE6">
        <w:rPr>
          <w:rFonts w:hint="eastAsia"/>
          <w:szCs w:val="20"/>
          <w:rtl/>
        </w:rPr>
        <w:t>בפארק</w:t>
      </w:r>
      <w:r w:rsidRPr="004F7BE6">
        <w:rPr>
          <w:szCs w:val="20"/>
          <w:rtl/>
        </w:rPr>
        <w:t xml:space="preserve"> </w:t>
      </w:r>
      <w:r w:rsidRPr="004F7BE6">
        <w:rPr>
          <w:rFonts w:hint="eastAsia"/>
          <w:szCs w:val="20"/>
          <w:rtl/>
        </w:rPr>
        <w:t>האפיק</w:t>
      </w:r>
      <w:r w:rsidRPr="004F7BE6">
        <w:rPr>
          <w:szCs w:val="20"/>
          <w:rtl/>
        </w:rPr>
        <w:t>, 2024</w:t>
      </w:r>
      <w:r w:rsidRPr="004F7BE6">
        <w:rPr>
          <w:rFonts w:hint="cs"/>
          <w:szCs w:val="20"/>
          <w:rtl/>
        </w:rPr>
        <w:t>.</w:t>
      </w:r>
    </w:p>
    <w:p w:rsidR="005B126E" w:rsidRPr="00B97E44" w:rsidP="008302B0">
      <w:pPr>
        <w:keepNext/>
        <w:keepLines/>
        <w:spacing w:line="360" w:lineRule="auto"/>
        <w:jc w:val="center"/>
        <w:rPr>
          <w:rtl/>
        </w:rPr>
      </w:pPr>
      <w:r w:rsidRPr="00B97E44">
        <w:rPr>
          <w:rFonts w:hint="cs"/>
          <w:rtl/>
        </w:rPr>
        <w:t xml:space="preserve">תמונות 11 - 13: </w:t>
      </w:r>
      <w:r w:rsidRPr="00B97E44">
        <w:rPr>
          <w:rFonts w:hint="cs"/>
          <w:b/>
          <w:bCs/>
          <w:rtl/>
        </w:rPr>
        <w:t>פגיעה בשטחים פתוחים במרחב בארי</w:t>
      </w:r>
    </w:p>
    <w:tbl>
      <w:tblPr>
        <w:bidiVisual/>
        <w:tblW w:w="0" w:type="auto"/>
        <w:tblLook w:val="04A0"/>
      </w:tblPr>
      <w:tblGrid>
        <w:gridCol w:w="4170"/>
        <w:gridCol w:w="4760"/>
      </w:tblGrid>
      <w:tr w:rsidTr="00FF2A74">
        <w:tblPrEx>
          <w:tblW w:w="0" w:type="auto"/>
          <w:tblLook w:val="04A0"/>
        </w:tblPrEx>
        <w:tc>
          <w:tcPr>
            <w:tcW w:w="3870" w:type="dxa"/>
          </w:tcPr>
          <w:p w:rsidR="005B126E" w:rsidRPr="00B97E44" w:rsidP="001916A9">
            <w:pPr>
              <w:spacing w:line="269" w:lineRule="auto"/>
              <w:jc w:val="center"/>
              <w:rPr>
                <w:rtl/>
              </w:rPr>
            </w:pPr>
            <w:r w:rsidRPr="00B97E44">
              <w:rPr>
                <w:rFonts w:hint="cs"/>
                <w:noProof/>
                <w:rtl/>
              </w:rPr>
              <w:drawing>
                <wp:anchor distT="0" distB="0" distL="114300" distR="114300" simplePos="0" relativeHeight="251658240" behindDoc="0" locked="0" layoutInCell="1" allowOverlap="1">
                  <wp:simplePos x="0" y="0"/>
                  <wp:positionH relativeFrom="column">
                    <wp:posOffset>-141605</wp:posOffset>
                  </wp:positionH>
                  <wp:positionV relativeFrom="paragraph">
                    <wp:posOffset>0</wp:posOffset>
                  </wp:positionV>
                  <wp:extent cx="2556000" cy="1728000"/>
                  <wp:effectExtent l="0" t="0" r="0" b="5715"/>
                  <wp:wrapThrough wrapText="bothSides">
                    <wp:wrapPolygon>
                      <wp:start x="0" y="0"/>
                      <wp:lineTo x="0" y="21433"/>
                      <wp:lineTo x="21412" y="21433"/>
                      <wp:lineTo x="21412" y="0"/>
                      <wp:lineTo x="0" y="0"/>
                    </wp:wrapPolygon>
                  </wp:wrapThrough>
                  <wp:docPr id="19" name="תמונה 19" descr="התמונה מציגה עקבות של רכבים כבדים שפגעו בשטח הפתו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
                          <pic:cNvPicPr>
                            <a:picLocks noChangeAspect="1" noChangeArrowheads="1"/>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56000" cy="1728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41" w:type="dxa"/>
          </w:tcPr>
          <w:p w:rsidR="005B126E" w:rsidRPr="00B97E44" w:rsidP="001916A9">
            <w:pPr>
              <w:spacing w:line="269" w:lineRule="auto"/>
              <w:jc w:val="center"/>
              <w:rPr>
                <w:rtl/>
              </w:rPr>
            </w:pPr>
            <w:r w:rsidRPr="00B97E44">
              <w:rPr>
                <w:noProof/>
              </w:rPr>
              <w:drawing>
                <wp:inline distT="0" distB="0" distL="0" distR="0">
                  <wp:extent cx="2938040" cy="1728000"/>
                  <wp:effectExtent l="0" t="0" r="0" b="5715"/>
                  <wp:docPr id="20" name="תמונה 20" descr="התמונה מציגה עקבות של רכבים כבדים שפגעו בשטח הפתו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xmlns:r="http://schemas.openxmlformats.org/officeDocument/2006/relationships" r:embed="rId37"/>
                          <a:srcRect l="11130"/>
                          <a:stretch>
                            <a:fillRect/>
                          </a:stretch>
                        </pic:blipFill>
                        <pic:spPr bwMode="auto">
                          <a:xfrm>
                            <a:off x="0" y="0"/>
                            <a:ext cx="2938040" cy="17280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r w:rsidTr="00FF2A74">
        <w:tblPrEx>
          <w:tblW w:w="0" w:type="auto"/>
          <w:tblLook w:val="04A0"/>
        </w:tblPrEx>
        <w:tc>
          <w:tcPr>
            <w:tcW w:w="8211" w:type="dxa"/>
            <w:gridSpan w:val="2"/>
          </w:tcPr>
          <w:p w:rsidR="005B126E" w:rsidRPr="00B97E44" w:rsidP="008302B0">
            <w:pPr>
              <w:keepNext/>
              <w:keepLines/>
              <w:spacing w:line="360" w:lineRule="auto"/>
              <w:jc w:val="center"/>
            </w:pPr>
            <w:r w:rsidRPr="00B97E44">
              <w:rPr>
                <w:noProof/>
              </w:rPr>
              <w:drawing>
                <wp:inline distT="0" distB="0" distL="0" distR="0">
                  <wp:extent cx="3993777" cy="1728000"/>
                  <wp:effectExtent l="0" t="0" r="6985" b="5715"/>
                  <wp:docPr id="13" name="תמונה 13" descr="התמונה מציגה עקבות של רכבים כבדים שפגעו בשטח הפתו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xmlns:r="http://schemas.openxmlformats.org/officeDocument/2006/relationships" r:embed="rId38"/>
                          <a:stretch>
                            <a:fillRect/>
                          </a:stretch>
                        </pic:blipFill>
                        <pic:spPr>
                          <a:xfrm>
                            <a:off x="0" y="0"/>
                            <a:ext cx="3993777" cy="1728000"/>
                          </a:xfrm>
                          <a:prstGeom prst="rect">
                            <a:avLst/>
                          </a:prstGeom>
                        </pic:spPr>
                      </pic:pic>
                    </a:graphicData>
                  </a:graphic>
                </wp:inline>
              </w:drawing>
            </w:r>
          </w:p>
        </w:tc>
      </w:tr>
    </w:tbl>
    <w:p w:rsidR="005B126E" w:rsidRPr="00B97E44" w:rsidP="001916A9">
      <w:pPr>
        <w:keepNext/>
        <w:keepLines/>
        <w:widowControl w:val="0"/>
        <w:spacing w:line="269" w:lineRule="auto"/>
        <w:jc w:val="left"/>
        <w:rPr>
          <w:sz w:val="16"/>
          <w:szCs w:val="20"/>
          <w:rtl/>
        </w:rPr>
      </w:pPr>
      <w:r w:rsidRPr="00B97E44">
        <w:rPr>
          <w:rFonts w:hint="cs"/>
          <w:sz w:val="16"/>
          <w:szCs w:val="20"/>
          <w:rtl/>
        </w:rPr>
        <w:t>ה</w:t>
      </w:r>
      <w:r w:rsidRPr="00B97E44">
        <w:rPr>
          <w:rFonts w:hint="eastAsia"/>
          <w:sz w:val="16"/>
          <w:szCs w:val="20"/>
          <w:rtl/>
        </w:rPr>
        <w:t>מקור</w:t>
      </w:r>
      <w:r w:rsidRPr="00B97E44">
        <w:rPr>
          <w:sz w:val="16"/>
          <w:szCs w:val="20"/>
          <w:rtl/>
        </w:rPr>
        <w:t xml:space="preserve">: </w:t>
      </w:r>
      <w:r w:rsidRPr="00B97E44">
        <w:rPr>
          <w:rFonts w:hint="eastAsia"/>
          <w:sz w:val="16"/>
          <w:szCs w:val="20"/>
          <w:rtl/>
        </w:rPr>
        <w:t>ר</w:t>
      </w:r>
      <w:r w:rsidRPr="00B97E44">
        <w:rPr>
          <w:rFonts w:hint="cs"/>
          <w:sz w:val="16"/>
          <w:szCs w:val="20"/>
          <w:rtl/>
        </w:rPr>
        <w:t>ט"ג</w:t>
      </w:r>
      <w:r w:rsidRPr="00B97E44">
        <w:rPr>
          <w:sz w:val="16"/>
          <w:szCs w:val="20"/>
          <w:rtl/>
        </w:rPr>
        <w:t xml:space="preserve">, </w:t>
      </w:r>
      <w:r w:rsidRPr="00B97E44">
        <w:rPr>
          <w:rFonts w:hint="eastAsia"/>
          <w:sz w:val="16"/>
          <w:szCs w:val="20"/>
          <w:rtl/>
        </w:rPr>
        <w:t>יערות</w:t>
      </w:r>
      <w:r w:rsidRPr="00B97E44">
        <w:rPr>
          <w:sz w:val="16"/>
          <w:szCs w:val="20"/>
          <w:rtl/>
        </w:rPr>
        <w:t xml:space="preserve"> בארי ושמורת בארי</w:t>
      </w:r>
      <w:r w:rsidRPr="00B97E44">
        <w:rPr>
          <w:rFonts w:hint="cs"/>
          <w:sz w:val="16"/>
          <w:szCs w:val="20"/>
          <w:rtl/>
        </w:rPr>
        <w:t>,</w:t>
      </w:r>
      <w:r w:rsidRPr="00B97E44">
        <w:rPr>
          <w:sz w:val="16"/>
          <w:szCs w:val="20"/>
          <w:rtl/>
        </w:rPr>
        <w:t xml:space="preserve"> </w:t>
      </w:r>
      <w:r w:rsidRPr="00B97E44">
        <w:rPr>
          <w:rFonts w:hint="eastAsia"/>
          <w:sz w:val="16"/>
          <w:szCs w:val="20"/>
          <w:rtl/>
        </w:rPr>
        <w:t>אוקטובר</w:t>
      </w:r>
      <w:r w:rsidRPr="00B97E44">
        <w:rPr>
          <w:sz w:val="16"/>
          <w:szCs w:val="20"/>
          <w:rtl/>
        </w:rPr>
        <w:t xml:space="preserve"> 2024</w:t>
      </w:r>
      <w:r w:rsidRPr="00B97E44">
        <w:rPr>
          <w:rFonts w:hint="cs"/>
          <w:sz w:val="16"/>
          <w:szCs w:val="20"/>
          <w:rtl/>
        </w:rPr>
        <w:t>.</w:t>
      </w:r>
      <w:r w:rsidRPr="00B97E44">
        <w:rPr>
          <w:sz w:val="16"/>
          <w:szCs w:val="20"/>
          <w:rtl/>
        </w:rPr>
        <w:t xml:space="preserve"> </w:t>
      </w:r>
    </w:p>
    <w:p w:rsidR="005B126E" w:rsidP="001916A9">
      <w:pPr>
        <w:spacing w:line="269" w:lineRule="auto"/>
        <w:rPr>
          <w:rtl/>
        </w:rPr>
      </w:pPr>
    </w:p>
    <w:p w:rsidR="005B126E" w:rsidRPr="00B97E44" w:rsidP="001916A9">
      <w:pPr>
        <w:spacing w:line="269" w:lineRule="auto"/>
        <w:rPr>
          <w:rtl/>
        </w:rPr>
      </w:pPr>
      <w:r w:rsidRPr="00B97E44">
        <w:rPr>
          <w:rFonts w:hint="eastAsia"/>
          <w:rtl/>
        </w:rPr>
        <w:t>שיקום</w:t>
      </w:r>
      <w:r w:rsidRPr="00B97E44">
        <w:rPr>
          <w:rtl/>
        </w:rPr>
        <w:t xml:space="preserve"> הסביבה והשטחים הפתוחים הוא חלק מהחוסן של התושבים וחיוני לחיזוק הקשר והזיקה שלהם לאזור</w:t>
      </w:r>
      <w:r w:rsidRPr="00B97E44">
        <w:rPr>
          <w:rFonts w:hint="cs"/>
          <w:rtl/>
        </w:rPr>
        <w:t>. יש לו חשיבות מיוחדת גם בהיבטים חברתיים שכן הטבע בנגב המערבי הוא חלק מהזהות המקומית של תושבי המרחב ואחת הסיבות להתיישבותם באזור. זאת ועוד, השיקום האקולוגי חשוב גם בהיבטי פיתוח התיירות, שכן הוא יסייע</w:t>
      </w:r>
      <w:r w:rsidRPr="00B97E44">
        <w:rPr>
          <w:rtl/>
        </w:rPr>
        <w:t xml:space="preserve"> </w:t>
      </w:r>
      <w:r w:rsidRPr="00B97E44">
        <w:rPr>
          <w:rFonts w:hint="cs"/>
          <w:rtl/>
        </w:rPr>
        <w:t>ב</w:t>
      </w:r>
      <w:r w:rsidRPr="00B97E44">
        <w:rPr>
          <w:rFonts w:hint="eastAsia"/>
          <w:rtl/>
        </w:rPr>
        <w:t>משיכת</w:t>
      </w:r>
      <w:r w:rsidRPr="00B97E44">
        <w:rPr>
          <w:rtl/>
        </w:rPr>
        <w:t xml:space="preserve"> </w:t>
      </w:r>
      <w:r w:rsidRPr="00B97E44">
        <w:rPr>
          <w:rFonts w:hint="eastAsia"/>
          <w:rtl/>
        </w:rPr>
        <w:t>מבקרים</w:t>
      </w:r>
      <w:r w:rsidRPr="00B97E44">
        <w:rPr>
          <w:rtl/>
        </w:rPr>
        <w:t xml:space="preserve"> </w:t>
      </w:r>
      <w:r w:rsidRPr="00B97E44">
        <w:rPr>
          <w:rFonts w:hint="eastAsia"/>
          <w:rtl/>
        </w:rPr>
        <w:t>לאזור</w:t>
      </w:r>
      <w:r w:rsidRPr="00B97E44">
        <w:rPr>
          <w:rtl/>
        </w:rPr>
        <w:t xml:space="preserve">. </w:t>
      </w:r>
    </w:p>
    <w:p w:rsidR="005B126E" w:rsidP="001916A9">
      <w:pPr>
        <w:spacing w:line="269" w:lineRule="auto"/>
        <w:rPr>
          <w:b/>
          <w:bCs/>
          <w:rtl/>
        </w:rPr>
      </w:pPr>
    </w:p>
    <w:p w:rsidR="005B126E" w:rsidRPr="00B97E44" w:rsidP="001916A9">
      <w:pPr>
        <w:spacing w:line="269" w:lineRule="auto"/>
        <w:rPr>
          <w:b/>
          <w:bCs/>
          <w:rtl/>
        </w:rPr>
      </w:pPr>
      <w:r w:rsidRPr="00B97E44">
        <w:rPr>
          <w:rFonts w:hint="cs"/>
          <w:b/>
          <w:bCs/>
          <w:rtl/>
        </w:rPr>
        <w:t xml:space="preserve">לפי המשרד להגנת הסביבה ללא נקיטת הפעולות הנדרשות לשיקום כ-7,900 דונם השטחים הטבעיים והפתוחים יסבול המרחב מהמשך התדרדרות והזנחה ומפגיעה סביבתית, אקולוגית ונופית קשה; מפגיעה בחיות הבר ובצומח המקומי; מהרס שמורות הטבע ואתרי הטבע; ומהפיכת השטחים הללו ל"חצר אחורית". הזנחת שטחים אלו עלולה להוביל להתגברות פשיעה סביבתית כמו שפיכת פסולת בלתי חוקית ועודפי עפר וכן לסכנת התפשטות של מינים פולשים ומתפרצים ועוד. על פי </w:t>
      </w:r>
      <w:r w:rsidRPr="00B97E44">
        <w:rPr>
          <w:rFonts w:hint="cs"/>
          <w:b/>
          <w:bCs/>
          <w:rtl/>
        </w:rPr>
        <w:t>רט"ג</w:t>
      </w:r>
      <w:r w:rsidRPr="00B97E44">
        <w:rPr>
          <w:rFonts w:hint="cs"/>
          <w:b/>
          <w:bCs/>
          <w:rtl/>
        </w:rPr>
        <w:t xml:space="preserve"> העיכוב עלול להוביל בחלק מהמקרים לנזקים </w:t>
      </w:r>
      <w:r w:rsidRPr="00B97E44">
        <w:rPr>
          <w:b/>
          <w:bCs/>
          <w:rtl/>
        </w:rPr>
        <w:t>בלתי הפי</w:t>
      </w:r>
      <w:r w:rsidRPr="00B97E44">
        <w:rPr>
          <w:rFonts w:hint="cs"/>
          <w:b/>
          <w:bCs/>
          <w:rtl/>
        </w:rPr>
        <w:t>כים.</w:t>
      </w:r>
      <w:r w:rsidRPr="00B97E44">
        <w:rPr>
          <w:rFonts w:ascii="Arial" w:hAnsi="Arial" w:cs="Arial" w:hint="cs"/>
          <w:b/>
          <w:bCs/>
          <w:rtl/>
        </w:rPr>
        <w:t xml:space="preserve"> </w:t>
      </w:r>
      <w:r w:rsidRPr="00B97E44">
        <w:rPr>
          <w:rFonts w:ascii="Arial" w:hAnsi="Arial" w:hint="cs"/>
          <w:b/>
          <w:bCs/>
          <w:rtl/>
        </w:rPr>
        <w:t>כך למשל נושא אלפי הכלבים המשוטטים שעברו מרצועת עזה לשטחי העוטף ופוגעים במינים נדירים של חיות בר בנגב בעקבות פריצות בגדר</w:t>
      </w:r>
      <w:r w:rsidRPr="00B97E44">
        <w:rPr>
          <w:rFonts w:hint="cs"/>
          <w:b/>
          <w:bCs/>
          <w:rtl/>
        </w:rPr>
        <w:t>.</w:t>
      </w:r>
    </w:p>
    <w:p w:rsidR="005B126E" w:rsidRPr="00B97E44" w:rsidP="001916A9">
      <w:pPr>
        <w:spacing w:line="269" w:lineRule="auto"/>
        <w:rPr>
          <w:b/>
          <w:bCs/>
          <w:rtl/>
        </w:rPr>
      </w:pPr>
    </w:p>
    <w:p w:rsidR="005B126E" w:rsidRPr="00B97E44" w:rsidP="001916A9">
      <w:pPr>
        <w:pStyle w:val="Heading5"/>
        <w:spacing w:line="269" w:lineRule="auto"/>
        <w:rPr>
          <w:rtl/>
        </w:rPr>
      </w:pPr>
      <w:r w:rsidRPr="00B97E44">
        <w:rPr>
          <w:rFonts w:hint="cs"/>
          <w:rtl/>
        </w:rPr>
        <w:t>היעדר תקציב ייעודי וגורם אחראי לשיקום השטחים הפתוחים</w:t>
      </w:r>
    </w:p>
    <w:p w:rsidR="005B126E" w:rsidP="001916A9">
      <w:pPr>
        <w:spacing w:line="269" w:lineRule="auto"/>
        <w:rPr>
          <w:rFonts w:ascii="Arial" w:hAnsi="Arial"/>
          <w:shd w:val="clear" w:color="auto" w:fill="FFFFFF"/>
          <w:rtl/>
        </w:rPr>
      </w:pPr>
    </w:p>
    <w:p w:rsidR="005B126E" w:rsidRPr="00B97E44" w:rsidP="001916A9">
      <w:pPr>
        <w:spacing w:line="269" w:lineRule="auto"/>
        <w:rPr>
          <w:rFonts w:ascii="Arial" w:hAnsi="Arial"/>
          <w:shd w:val="clear" w:color="auto" w:fill="FFFFFF"/>
          <w:rtl/>
        </w:rPr>
      </w:pPr>
      <w:r w:rsidRPr="00B97E44">
        <w:rPr>
          <w:rFonts w:ascii="Arial" w:hAnsi="Arial" w:hint="cs"/>
          <w:shd w:val="clear" w:color="auto" w:fill="FFFFFF"/>
          <w:rtl/>
        </w:rPr>
        <w:t>השטחים הפתוחים כוללים שטחים חקלאיים, ערוצי נחלים, דיונות חול, שמורות טבע, יערות ועוד</w:t>
      </w:r>
      <w:r>
        <w:rPr>
          <w:rFonts w:ascii="Arial" w:hAnsi="Arial"/>
          <w:shd w:val="clear" w:color="auto" w:fill="FFFFFF"/>
          <w:vertAlign w:val="superscript"/>
          <w:rtl/>
        </w:rPr>
        <w:footnoteReference w:id="113"/>
      </w:r>
      <w:r w:rsidRPr="00B97E44">
        <w:rPr>
          <w:rFonts w:ascii="Arial" w:hAnsi="Arial" w:hint="cs"/>
          <w:shd w:val="clear" w:color="auto" w:fill="FFFFFF"/>
          <w:rtl/>
        </w:rPr>
        <w:t xml:space="preserve">. השטחים הפתוחים נמצאים בבעלותם או בניהולם של כמה גורמים: קרן קיימת לישראל (להלן - קק"ל), </w:t>
      </w:r>
      <w:r w:rsidRPr="00B97E44">
        <w:rPr>
          <w:rFonts w:ascii="Arial" w:hAnsi="Arial" w:hint="cs"/>
          <w:shd w:val="clear" w:color="auto" w:fill="FFFFFF"/>
          <w:rtl/>
        </w:rPr>
        <w:t>רט"ג</w:t>
      </w:r>
      <w:r w:rsidRPr="00B97E44">
        <w:rPr>
          <w:rFonts w:ascii="Arial" w:hAnsi="Arial" w:hint="cs"/>
          <w:shd w:val="clear" w:color="auto" w:fill="FFFFFF"/>
          <w:rtl/>
        </w:rPr>
        <w:t xml:space="preserve">, רשות הניקוז </w:t>
      </w:r>
      <w:r w:rsidRPr="00B97E44">
        <w:rPr>
          <w:rFonts w:ascii="Arial" w:hAnsi="Arial" w:hint="cs"/>
          <w:shd w:val="clear" w:color="auto" w:fill="FFFFFF"/>
          <w:rtl/>
        </w:rPr>
        <w:t>ור</w:t>
      </w:r>
      <w:r>
        <w:rPr>
          <w:rFonts w:ascii="Arial" w:hAnsi="Arial" w:hint="cs"/>
          <w:shd w:val="clear" w:color="auto" w:fill="FFFFFF"/>
          <w:rtl/>
        </w:rPr>
        <w:t>מ"י</w:t>
      </w:r>
      <w:r w:rsidRPr="00B97E44">
        <w:rPr>
          <w:rFonts w:ascii="Arial" w:hAnsi="Arial" w:hint="cs"/>
          <w:shd w:val="clear" w:color="auto" w:fill="FFFFFF"/>
          <w:rtl/>
        </w:rPr>
        <w:t>. הם שוכנים בתחומן של כמה רשויות מקומיות וחלקם שטחים חקלאיים פרטיים. לשם שיקומם נדרש שיתוף פעולה עם כלל הגורמים המעורבים בהובלה לאומית מערכתית ומתואמת.</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מהביקורת עלה כי אין בהירות בכל הנוגע לגורם </w:t>
      </w:r>
      <w:r w:rsidRPr="00B97E44">
        <w:rPr>
          <w:rFonts w:hint="cs"/>
          <w:rtl/>
        </w:rPr>
        <w:t>מתכלל</w:t>
      </w:r>
      <w:r w:rsidRPr="00B97E44">
        <w:rPr>
          <w:rFonts w:hint="cs"/>
          <w:rtl/>
        </w:rPr>
        <w:t xml:space="preserve"> האחראי לשיקום השטחים הפתוחים שנפגעו וכי יש חשש שלא כל השטחים שנפגעו יזכו לשיקום כמתואר להלן:</w:t>
      </w:r>
    </w:p>
    <w:p w:rsidR="005B126E" w:rsidP="001916A9">
      <w:pPr>
        <w:spacing w:line="269" w:lineRule="auto"/>
        <w:ind w:left="360"/>
        <w:rPr>
          <w:rFonts w:ascii="David" w:hAnsi="David"/>
          <w:sz w:val="24"/>
        </w:rPr>
      </w:pPr>
    </w:p>
    <w:p w:rsidR="005B126E" w:rsidRPr="006D4DD0" w:rsidP="001916A9">
      <w:pPr>
        <w:pStyle w:val="ListParagraph"/>
        <w:numPr>
          <w:ilvl w:val="0"/>
          <w:numId w:val="30"/>
        </w:numPr>
        <w:spacing w:line="269" w:lineRule="auto"/>
        <w:rPr>
          <w:rFonts w:ascii="David" w:hAnsi="David"/>
          <w:sz w:val="24"/>
          <w:rtl/>
        </w:rPr>
      </w:pPr>
      <w:r w:rsidRPr="006D4DD0">
        <w:rPr>
          <w:rFonts w:ascii="David" w:hAnsi="David" w:hint="eastAsia"/>
          <w:sz w:val="24"/>
          <w:rtl/>
        </w:rPr>
        <w:t>החלטת</w:t>
      </w:r>
      <w:r w:rsidRPr="006D4DD0">
        <w:rPr>
          <w:rFonts w:ascii="David" w:hAnsi="David"/>
          <w:sz w:val="24"/>
          <w:rtl/>
        </w:rPr>
        <w:t xml:space="preserve"> </w:t>
      </w:r>
      <w:r w:rsidRPr="006D4DD0">
        <w:rPr>
          <w:rFonts w:ascii="David" w:hAnsi="David" w:hint="eastAsia"/>
          <w:sz w:val="24"/>
          <w:rtl/>
        </w:rPr>
        <w:t>ממשלה</w:t>
      </w:r>
      <w:r w:rsidRPr="006D4DD0">
        <w:rPr>
          <w:rFonts w:ascii="David" w:hAnsi="David"/>
          <w:sz w:val="24"/>
          <w:rtl/>
        </w:rPr>
        <w:t xml:space="preserve"> 1127</w:t>
      </w:r>
      <w:r w:rsidRPr="006D4DD0">
        <w:rPr>
          <w:rFonts w:ascii="David" w:hAnsi="David" w:hint="cs"/>
          <w:sz w:val="24"/>
          <w:rtl/>
        </w:rPr>
        <w:t xml:space="preserve"> מדצמבר 2023</w:t>
      </w:r>
      <w:r w:rsidRPr="006D4DD0">
        <w:rPr>
          <w:rFonts w:ascii="David" w:hAnsi="David"/>
          <w:sz w:val="24"/>
          <w:rtl/>
        </w:rPr>
        <w:t xml:space="preserve"> </w:t>
      </w:r>
      <w:r w:rsidRPr="006D4DD0">
        <w:rPr>
          <w:rFonts w:ascii="David" w:hAnsi="David" w:hint="eastAsia"/>
          <w:sz w:val="24"/>
          <w:rtl/>
        </w:rPr>
        <w:t>קבעה</w:t>
      </w:r>
      <w:r w:rsidRPr="006D4DD0">
        <w:rPr>
          <w:rFonts w:ascii="David" w:hAnsi="David"/>
          <w:sz w:val="24"/>
          <w:rtl/>
        </w:rPr>
        <w:t xml:space="preserve"> </w:t>
      </w:r>
      <w:r w:rsidRPr="006D4DD0">
        <w:rPr>
          <w:rFonts w:ascii="David" w:hAnsi="David" w:hint="eastAsia"/>
          <w:sz w:val="24"/>
          <w:rtl/>
        </w:rPr>
        <w:t>אבני</w:t>
      </w:r>
      <w:r w:rsidRPr="006D4DD0">
        <w:rPr>
          <w:rFonts w:ascii="David" w:hAnsi="David"/>
          <w:sz w:val="24"/>
          <w:rtl/>
        </w:rPr>
        <w:t xml:space="preserve"> </w:t>
      </w:r>
      <w:r w:rsidRPr="006D4DD0">
        <w:rPr>
          <w:rFonts w:ascii="David" w:hAnsi="David" w:hint="eastAsia"/>
          <w:sz w:val="24"/>
          <w:rtl/>
        </w:rPr>
        <w:t>יסוד</w:t>
      </w:r>
      <w:r w:rsidRPr="006D4DD0">
        <w:rPr>
          <w:rFonts w:ascii="David" w:hAnsi="David"/>
          <w:sz w:val="24"/>
          <w:rtl/>
        </w:rPr>
        <w:t xml:space="preserve"> </w:t>
      </w:r>
      <w:r w:rsidRPr="006D4DD0">
        <w:rPr>
          <w:rFonts w:ascii="David" w:hAnsi="David" w:hint="cs"/>
          <w:sz w:val="24"/>
          <w:rtl/>
        </w:rPr>
        <w:t xml:space="preserve">לתכנון מפורט של תוכנית החומש. אבן יסוד "תשתיות תומכות צמיחה" כוללת: סביבה, אקלים ושמירה על הטבע - </w:t>
      </w:r>
      <w:r w:rsidRPr="006D4DD0">
        <w:rPr>
          <w:rFonts w:ascii="David" w:hAnsi="David" w:hint="eastAsia"/>
          <w:sz w:val="24"/>
          <w:rtl/>
        </w:rPr>
        <w:t>שיקום</w:t>
      </w:r>
      <w:r w:rsidRPr="006D4DD0">
        <w:rPr>
          <w:rFonts w:ascii="David" w:hAnsi="David"/>
          <w:sz w:val="24"/>
          <w:rtl/>
        </w:rPr>
        <w:t xml:space="preserve"> </w:t>
      </w:r>
      <w:r w:rsidRPr="006D4DD0">
        <w:rPr>
          <w:rFonts w:ascii="David" w:hAnsi="David" w:hint="eastAsia"/>
          <w:sz w:val="24"/>
          <w:rtl/>
        </w:rPr>
        <w:t>ופיתוח</w:t>
      </w:r>
      <w:r w:rsidRPr="006D4DD0">
        <w:rPr>
          <w:rFonts w:ascii="David" w:hAnsi="David"/>
          <w:sz w:val="24"/>
          <w:rtl/>
        </w:rPr>
        <w:t xml:space="preserve"> </w:t>
      </w:r>
      <w:r w:rsidRPr="006D4DD0">
        <w:rPr>
          <w:rFonts w:ascii="David" w:hAnsi="David" w:hint="eastAsia"/>
          <w:sz w:val="24"/>
          <w:rtl/>
        </w:rPr>
        <w:t>של</w:t>
      </w:r>
      <w:r w:rsidRPr="006D4DD0">
        <w:rPr>
          <w:rFonts w:ascii="David" w:hAnsi="David"/>
          <w:sz w:val="24"/>
          <w:rtl/>
        </w:rPr>
        <w:t xml:space="preserve"> </w:t>
      </w:r>
      <w:r w:rsidRPr="006D4DD0">
        <w:rPr>
          <w:rFonts w:ascii="David" w:hAnsi="David" w:hint="eastAsia"/>
          <w:sz w:val="24"/>
          <w:rtl/>
        </w:rPr>
        <w:t>החבל</w:t>
      </w:r>
      <w:r w:rsidRPr="006D4DD0">
        <w:rPr>
          <w:rFonts w:ascii="David" w:hAnsi="David"/>
          <w:sz w:val="24"/>
          <w:rtl/>
        </w:rPr>
        <w:t xml:space="preserve"> </w:t>
      </w:r>
      <w:r w:rsidRPr="006D4DD0">
        <w:rPr>
          <w:rFonts w:ascii="David" w:hAnsi="David" w:hint="cs"/>
          <w:sz w:val="24"/>
          <w:rtl/>
        </w:rPr>
        <w:t>באמצעות</w:t>
      </w:r>
      <w:r w:rsidRPr="006D4DD0">
        <w:rPr>
          <w:rFonts w:ascii="David" w:hAnsi="David"/>
          <w:sz w:val="24"/>
          <w:rtl/>
        </w:rPr>
        <w:t xml:space="preserve"> </w:t>
      </w:r>
      <w:r w:rsidRPr="006D4DD0">
        <w:rPr>
          <w:rFonts w:ascii="David" w:hAnsi="David" w:hint="eastAsia"/>
          <w:sz w:val="24"/>
          <w:rtl/>
        </w:rPr>
        <w:t>ביצוע</w:t>
      </w:r>
      <w:r w:rsidRPr="006D4DD0">
        <w:rPr>
          <w:rFonts w:ascii="David" w:hAnsi="David"/>
          <w:sz w:val="24"/>
          <w:rtl/>
        </w:rPr>
        <w:t xml:space="preserve"> </w:t>
      </w:r>
      <w:r w:rsidRPr="006D4DD0">
        <w:rPr>
          <w:rFonts w:ascii="David" w:hAnsi="David" w:hint="eastAsia"/>
          <w:sz w:val="24"/>
          <w:rtl/>
        </w:rPr>
        <w:t>סקרים</w:t>
      </w:r>
      <w:r w:rsidRPr="006D4DD0">
        <w:rPr>
          <w:rFonts w:ascii="David" w:hAnsi="David"/>
          <w:sz w:val="24"/>
          <w:rtl/>
        </w:rPr>
        <w:t xml:space="preserve">, </w:t>
      </w:r>
      <w:r w:rsidRPr="006D4DD0">
        <w:rPr>
          <w:rFonts w:ascii="David" w:hAnsi="David" w:hint="eastAsia"/>
          <w:sz w:val="24"/>
          <w:rtl/>
        </w:rPr>
        <w:t>טיפול</w:t>
      </w:r>
      <w:r w:rsidRPr="006D4DD0">
        <w:rPr>
          <w:rFonts w:ascii="David" w:hAnsi="David"/>
          <w:sz w:val="24"/>
          <w:rtl/>
        </w:rPr>
        <w:t xml:space="preserve"> </w:t>
      </w:r>
      <w:r w:rsidRPr="006D4DD0">
        <w:rPr>
          <w:rFonts w:ascii="David" w:hAnsi="David" w:hint="eastAsia"/>
          <w:sz w:val="24"/>
          <w:rtl/>
        </w:rPr>
        <w:t>במפגעים</w:t>
      </w:r>
      <w:r w:rsidRPr="006D4DD0">
        <w:rPr>
          <w:rFonts w:ascii="David" w:hAnsi="David"/>
          <w:sz w:val="24"/>
          <w:rtl/>
        </w:rPr>
        <w:t xml:space="preserve"> </w:t>
      </w:r>
      <w:r w:rsidRPr="006D4DD0">
        <w:rPr>
          <w:rFonts w:ascii="David" w:hAnsi="David" w:hint="eastAsia"/>
          <w:sz w:val="24"/>
          <w:rtl/>
        </w:rPr>
        <w:t>סביבתיים</w:t>
      </w:r>
      <w:r w:rsidRPr="006D4DD0">
        <w:rPr>
          <w:rFonts w:ascii="David" w:hAnsi="David"/>
          <w:sz w:val="24"/>
          <w:rtl/>
        </w:rPr>
        <w:t xml:space="preserve"> </w:t>
      </w:r>
      <w:r w:rsidRPr="006D4DD0">
        <w:rPr>
          <w:rFonts w:ascii="David" w:hAnsi="David" w:hint="eastAsia"/>
          <w:sz w:val="24"/>
          <w:rtl/>
        </w:rPr>
        <w:t>וסילוקם</w:t>
      </w:r>
      <w:r w:rsidRPr="006D4DD0">
        <w:rPr>
          <w:rFonts w:ascii="David" w:hAnsi="David"/>
          <w:sz w:val="24"/>
          <w:rtl/>
        </w:rPr>
        <w:t xml:space="preserve">, </w:t>
      </w:r>
      <w:r w:rsidRPr="006D4DD0">
        <w:rPr>
          <w:rFonts w:ascii="David" w:hAnsi="David" w:hint="eastAsia"/>
          <w:sz w:val="24"/>
          <w:rtl/>
        </w:rPr>
        <w:t>פיתוח</w:t>
      </w:r>
      <w:r w:rsidRPr="006D4DD0">
        <w:rPr>
          <w:rFonts w:ascii="David" w:hAnsi="David"/>
          <w:sz w:val="24"/>
          <w:rtl/>
        </w:rPr>
        <w:t xml:space="preserve"> </w:t>
      </w:r>
      <w:r w:rsidRPr="006D4DD0">
        <w:rPr>
          <w:rFonts w:ascii="David" w:hAnsi="David" w:hint="eastAsia"/>
          <w:sz w:val="24"/>
          <w:rtl/>
        </w:rPr>
        <w:t>אתרי</w:t>
      </w:r>
      <w:r w:rsidRPr="006D4DD0">
        <w:rPr>
          <w:rFonts w:ascii="David" w:hAnsi="David"/>
          <w:sz w:val="24"/>
          <w:rtl/>
        </w:rPr>
        <w:t xml:space="preserve"> </w:t>
      </w:r>
      <w:r w:rsidRPr="006D4DD0">
        <w:rPr>
          <w:rFonts w:ascii="David" w:hAnsi="David" w:hint="eastAsia"/>
          <w:sz w:val="24"/>
          <w:rtl/>
        </w:rPr>
        <w:t>טבע</w:t>
      </w:r>
      <w:r w:rsidRPr="006D4DD0">
        <w:rPr>
          <w:rFonts w:ascii="David" w:hAnsi="David"/>
          <w:sz w:val="24"/>
          <w:rtl/>
        </w:rPr>
        <w:t xml:space="preserve"> </w:t>
      </w:r>
      <w:r w:rsidRPr="006D4DD0">
        <w:rPr>
          <w:rFonts w:ascii="David" w:hAnsi="David" w:hint="eastAsia"/>
          <w:sz w:val="24"/>
          <w:rtl/>
        </w:rPr>
        <w:t>עירוניים</w:t>
      </w:r>
      <w:r w:rsidRPr="006D4DD0">
        <w:rPr>
          <w:rFonts w:ascii="David" w:hAnsi="David"/>
          <w:sz w:val="24"/>
          <w:rtl/>
        </w:rPr>
        <w:t xml:space="preserve"> </w:t>
      </w:r>
      <w:r w:rsidRPr="006D4DD0">
        <w:rPr>
          <w:rFonts w:ascii="David" w:hAnsi="David" w:hint="eastAsia"/>
          <w:sz w:val="24"/>
          <w:rtl/>
        </w:rPr>
        <w:t>וכפריים</w:t>
      </w:r>
      <w:r w:rsidRPr="006D4DD0">
        <w:rPr>
          <w:rFonts w:ascii="David" w:hAnsi="David"/>
          <w:sz w:val="24"/>
          <w:rtl/>
        </w:rPr>
        <w:t xml:space="preserve"> </w:t>
      </w:r>
      <w:r w:rsidRPr="006D4DD0">
        <w:rPr>
          <w:rFonts w:ascii="David" w:hAnsi="David" w:hint="eastAsia"/>
          <w:sz w:val="24"/>
          <w:rtl/>
        </w:rPr>
        <w:t>במוקדי</w:t>
      </w:r>
      <w:r w:rsidRPr="006D4DD0">
        <w:rPr>
          <w:rFonts w:ascii="David" w:hAnsi="David"/>
          <w:sz w:val="24"/>
          <w:rtl/>
        </w:rPr>
        <w:t xml:space="preserve"> </w:t>
      </w:r>
      <w:r w:rsidRPr="006D4DD0">
        <w:rPr>
          <w:rFonts w:ascii="David" w:hAnsi="David" w:hint="eastAsia"/>
          <w:sz w:val="24"/>
          <w:rtl/>
        </w:rPr>
        <w:t>משיכה</w:t>
      </w:r>
      <w:r w:rsidRPr="006D4DD0">
        <w:rPr>
          <w:rFonts w:ascii="David" w:hAnsi="David"/>
          <w:sz w:val="24"/>
          <w:rtl/>
        </w:rPr>
        <w:t xml:space="preserve"> </w:t>
      </w:r>
      <w:r w:rsidRPr="006D4DD0">
        <w:rPr>
          <w:rFonts w:ascii="David" w:hAnsi="David" w:hint="eastAsia"/>
          <w:sz w:val="24"/>
          <w:rtl/>
        </w:rPr>
        <w:t>לקהל</w:t>
      </w:r>
      <w:r w:rsidRPr="006D4DD0">
        <w:rPr>
          <w:rFonts w:ascii="David" w:hAnsi="David"/>
          <w:sz w:val="24"/>
          <w:rtl/>
        </w:rPr>
        <w:t xml:space="preserve">, </w:t>
      </w:r>
      <w:r w:rsidRPr="006D4DD0">
        <w:rPr>
          <w:rFonts w:ascii="David" w:hAnsi="David" w:hint="eastAsia"/>
          <w:sz w:val="24"/>
          <w:rtl/>
        </w:rPr>
        <w:t>ופיתוח</w:t>
      </w:r>
      <w:r w:rsidRPr="006D4DD0">
        <w:rPr>
          <w:rFonts w:ascii="David" w:hAnsi="David"/>
          <w:sz w:val="24"/>
          <w:rtl/>
        </w:rPr>
        <w:t xml:space="preserve"> </w:t>
      </w:r>
      <w:r w:rsidRPr="006D4DD0">
        <w:rPr>
          <w:rFonts w:ascii="David" w:hAnsi="David" w:hint="eastAsia"/>
          <w:sz w:val="24"/>
          <w:rtl/>
        </w:rPr>
        <w:t>תשתיות</w:t>
      </w:r>
      <w:r w:rsidRPr="006D4DD0">
        <w:rPr>
          <w:rFonts w:ascii="David" w:hAnsi="David"/>
          <w:sz w:val="24"/>
          <w:rtl/>
        </w:rPr>
        <w:t xml:space="preserve"> </w:t>
      </w:r>
      <w:r w:rsidRPr="006D4DD0">
        <w:rPr>
          <w:rFonts w:ascii="David" w:hAnsi="David" w:hint="eastAsia"/>
          <w:sz w:val="24"/>
          <w:rtl/>
        </w:rPr>
        <w:t>וכלים</w:t>
      </w:r>
      <w:r w:rsidRPr="006D4DD0">
        <w:rPr>
          <w:rFonts w:ascii="David" w:hAnsi="David"/>
          <w:sz w:val="24"/>
          <w:rtl/>
        </w:rPr>
        <w:t xml:space="preserve"> </w:t>
      </w:r>
      <w:r w:rsidRPr="006D4DD0">
        <w:rPr>
          <w:rFonts w:ascii="David" w:hAnsi="David" w:hint="eastAsia"/>
          <w:sz w:val="24"/>
          <w:rtl/>
        </w:rPr>
        <w:t>המאפשרים</w:t>
      </w:r>
      <w:r w:rsidRPr="006D4DD0">
        <w:rPr>
          <w:rFonts w:ascii="David" w:hAnsi="David"/>
          <w:sz w:val="24"/>
          <w:rtl/>
        </w:rPr>
        <w:t xml:space="preserve"> </w:t>
      </w:r>
      <w:r w:rsidRPr="006D4DD0">
        <w:rPr>
          <w:rFonts w:ascii="David" w:hAnsi="David" w:hint="eastAsia"/>
          <w:sz w:val="24"/>
          <w:rtl/>
        </w:rPr>
        <w:t>פתרונות</w:t>
      </w:r>
      <w:r w:rsidRPr="006D4DD0">
        <w:rPr>
          <w:rFonts w:ascii="David" w:hAnsi="David"/>
          <w:sz w:val="24"/>
          <w:rtl/>
        </w:rPr>
        <w:t xml:space="preserve"> </w:t>
      </w:r>
      <w:r w:rsidRPr="006D4DD0">
        <w:rPr>
          <w:rFonts w:ascii="David" w:hAnsi="David" w:hint="eastAsia"/>
          <w:sz w:val="24"/>
          <w:rtl/>
        </w:rPr>
        <w:t>ארוכי</w:t>
      </w:r>
      <w:r w:rsidRPr="006D4DD0">
        <w:rPr>
          <w:rFonts w:ascii="David" w:hAnsi="David"/>
          <w:sz w:val="24"/>
          <w:rtl/>
        </w:rPr>
        <w:t xml:space="preserve"> </w:t>
      </w:r>
      <w:r w:rsidRPr="006D4DD0">
        <w:rPr>
          <w:rFonts w:ascii="David" w:hAnsi="David" w:hint="eastAsia"/>
          <w:sz w:val="24"/>
          <w:rtl/>
        </w:rPr>
        <w:t>טווח</w:t>
      </w:r>
      <w:r w:rsidRPr="006D4DD0">
        <w:rPr>
          <w:rFonts w:ascii="David" w:hAnsi="David"/>
          <w:sz w:val="24"/>
          <w:rtl/>
        </w:rPr>
        <w:t xml:space="preserve"> </w:t>
      </w:r>
      <w:r w:rsidRPr="006D4DD0">
        <w:rPr>
          <w:rFonts w:ascii="David" w:hAnsi="David" w:hint="eastAsia"/>
          <w:sz w:val="24"/>
          <w:rtl/>
        </w:rPr>
        <w:t>להגנה</w:t>
      </w:r>
      <w:r w:rsidRPr="006D4DD0">
        <w:rPr>
          <w:rFonts w:ascii="David" w:hAnsi="David"/>
          <w:sz w:val="24"/>
          <w:rtl/>
        </w:rPr>
        <w:t xml:space="preserve"> </w:t>
      </w:r>
      <w:r w:rsidRPr="006D4DD0">
        <w:rPr>
          <w:rFonts w:ascii="David" w:hAnsi="David" w:hint="eastAsia"/>
          <w:sz w:val="24"/>
          <w:rtl/>
        </w:rPr>
        <w:t>על</w:t>
      </w:r>
      <w:r w:rsidRPr="006D4DD0">
        <w:rPr>
          <w:rFonts w:ascii="David" w:hAnsi="David"/>
          <w:sz w:val="24"/>
          <w:rtl/>
        </w:rPr>
        <w:t xml:space="preserve"> </w:t>
      </w:r>
      <w:r w:rsidRPr="006D4DD0">
        <w:rPr>
          <w:rFonts w:ascii="David" w:hAnsi="David" w:hint="eastAsia"/>
          <w:sz w:val="24"/>
          <w:rtl/>
        </w:rPr>
        <w:t>הסביבה</w:t>
      </w:r>
      <w:r w:rsidRPr="006D4DD0">
        <w:rPr>
          <w:rFonts w:ascii="David" w:hAnsi="David"/>
          <w:sz w:val="24"/>
          <w:rtl/>
        </w:rPr>
        <w:t xml:space="preserve"> </w:t>
      </w:r>
      <w:r w:rsidRPr="006D4DD0">
        <w:rPr>
          <w:rFonts w:ascii="David" w:hAnsi="David" w:hint="eastAsia"/>
          <w:sz w:val="24"/>
          <w:rtl/>
        </w:rPr>
        <w:t>ו</w:t>
      </w:r>
      <w:r w:rsidRPr="006D4DD0">
        <w:rPr>
          <w:rFonts w:ascii="David" w:hAnsi="David" w:hint="cs"/>
          <w:sz w:val="24"/>
          <w:rtl/>
        </w:rPr>
        <w:t>ל</w:t>
      </w:r>
      <w:r w:rsidRPr="006D4DD0">
        <w:rPr>
          <w:rFonts w:ascii="David" w:hAnsi="David" w:hint="eastAsia"/>
          <w:sz w:val="24"/>
          <w:rtl/>
        </w:rPr>
        <w:t>שיקום</w:t>
      </w:r>
      <w:r w:rsidRPr="006D4DD0">
        <w:rPr>
          <w:rFonts w:ascii="David" w:hAnsi="David"/>
          <w:sz w:val="24"/>
          <w:rtl/>
        </w:rPr>
        <w:t xml:space="preserve"> </w:t>
      </w:r>
      <w:r w:rsidRPr="006D4DD0">
        <w:rPr>
          <w:rFonts w:ascii="David" w:hAnsi="David" w:hint="eastAsia"/>
          <w:sz w:val="24"/>
          <w:rtl/>
        </w:rPr>
        <w:t>השטחים</w:t>
      </w:r>
      <w:r w:rsidRPr="006D4DD0">
        <w:rPr>
          <w:rFonts w:ascii="David" w:hAnsi="David"/>
          <w:sz w:val="24"/>
          <w:rtl/>
        </w:rPr>
        <w:t xml:space="preserve"> </w:t>
      </w:r>
      <w:r w:rsidRPr="006D4DD0">
        <w:rPr>
          <w:rFonts w:ascii="David" w:hAnsi="David" w:hint="eastAsia"/>
          <w:sz w:val="24"/>
          <w:rtl/>
        </w:rPr>
        <w:t>הפתוחים</w:t>
      </w:r>
      <w:r w:rsidRPr="006D4DD0">
        <w:rPr>
          <w:rFonts w:ascii="David" w:hAnsi="David"/>
          <w:sz w:val="24"/>
          <w:rtl/>
        </w:rPr>
        <w:t>.</w:t>
      </w:r>
    </w:p>
    <w:p w:rsidR="005B126E" w:rsidP="001916A9">
      <w:pPr>
        <w:spacing w:line="269" w:lineRule="auto"/>
        <w:ind w:left="360"/>
        <w:contextualSpacing/>
        <w:rPr>
          <w:rFonts w:ascii="David" w:hAnsi="David"/>
          <w:b/>
          <w:bCs/>
          <w:sz w:val="24"/>
          <w:rtl/>
        </w:rPr>
      </w:pPr>
    </w:p>
    <w:p w:rsidR="005B126E" w:rsidP="001916A9">
      <w:pPr>
        <w:spacing w:line="269" w:lineRule="auto"/>
        <w:ind w:left="360"/>
        <w:contextualSpacing/>
        <w:rPr>
          <w:rFonts w:ascii="David" w:hAnsi="David"/>
          <w:b/>
          <w:bCs/>
          <w:sz w:val="24"/>
          <w:rtl/>
        </w:rPr>
      </w:pPr>
      <w:r w:rsidRPr="00B97E44">
        <w:rPr>
          <w:rFonts w:ascii="David" w:hAnsi="David" w:hint="eastAsia"/>
          <w:b/>
          <w:bCs/>
          <w:sz w:val="24"/>
          <w:rtl/>
        </w:rPr>
        <w:t>החלטת</w:t>
      </w:r>
      <w:r w:rsidRPr="00B97E44">
        <w:rPr>
          <w:rFonts w:ascii="David" w:hAnsi="David"/>
          <w:b/>
          <w:bCs/>
          <w:sz w:val="24"/>
          <w:rtl/>
        </w:rPr>
        <w:t xml:space="preserve"> </w:t>
      </w:r>
      <w:r w:rsidRPr="00B97E44">
        <w:rPr>
          <w:rFonts w:ascii="David" w:hAnsi="David" w:hint="eastAsia"/>
          <w:b/>
          <w:bCs/>
          <w:sz w:val="24"/>
          <w:rtl/>
        </w:rPr>
        <w:t>ממשלה</w:t>
      </w:r>
      <w:r w:rsidRPr="00B97E44">
        <w:rPr>
          <w:rFonts w:ascii="David" w:hAnsi="David"/>
          <w:b/>
          <w:bCs/>
          <w:sz w:val="24"/>
          <w:rtl/>
        </w:rPr>
        <w:t xml:space="preserve"> 1699 </w:t>
      </w:r>
      <w:r w:rsidRPr="00B97E44">
        <w:rPr>
          <w:rFonts w:ascii="David" w:hAnsi="David" w:hint="eastAsia"/>
          <w:b/>
          <w:bCs/>
          <w:sz w:val="24"/>
          <w:rtl/>
        </w:rPr>
        <w:t>שאישרה</w:t>
      </w:r>
      <w:r w:rsidRPr="00B97E44">
        <w:rPr>
          <w:rFonts w:ascii="David" w:hAnsi="David"/>
          <w:b/>
          <w:bCs/>
          <w:sz w:val="24"/>
          <w:rtl/>
        </w:rPr>
        <w:t xml:space="preserve"> </w:t>
      </w:r>
      <w:r w:rsidRPr="00B97E44">
        <w:rPr>
          <w:rFonts w:ascii="David" w:hAnsi="David" w:hint="eastAsia"/>
          <w:b/>
          <w:bCs/>
          <w:sz w:val="24"/>
          <w:rtl/>
        </w:rPr>
        <w:t>את</w:t>
      </w:r>
      <w:r w:rsidRPr="00B97E44">
        <w:rPr>
          <w:rFonts w:ascii="David" w:hAnsi="David"/>
          <w:b/>
          <w:bCs/>
          <w:sz w:val="24"/>
          <w:rtl/>
        </w:rPr>
        <w:t xml:space="preserve"> </w:t>
      </w:r>
      <w:r w:rsidRPr="00B97E44">
        <w:rPr>
          <w:rFonts w:ascii="David" w:hAnsi="David" w:hint="eastAsia"/>
          <w:b/>
          <w:bCs/>
          <w:sz w:val="24"/>
          <w:rtl/>
        </w:rPr>
        <w:t>תוכנית</w:t>
      </w:r>
      <w:r w:rsidRPr="00B97E44">
        <w:rPr>
          <w:rFonts w:ascii="David" w:hAnsi="David"/>
          <w:b/>
          <w:bCs/>
          <w:sz w:val="24"/>
          <w:rtl/>
        </w:rPr>
        <w:t xml:space="preserve"> </w:t>
      </w:r>
      <w:r w:rsidRPr="00B97E44">
        <w:rPr>
          <w:rFonts w:ascii="David" w:hAnsi="David" w:hint="eastAsia"/>
          <w:b/>
          <w:bCs/>
          <w:sz w:val="24"/>
          <w:rtl/>
        </w:rPr>
        <w:t>החומש</w:t>
      </w:r>
      <w:r w:rsidRPr="00B97E44">
        <w:rPr>
          <w:rFonts w:ascii="David" w:hAnsi="David" w:hint="cs"/>
          <w:b/>
          <w:bCs/>
          <w:sz w:val="24"/>
          <w:rtl/>
        </w:rPr>
        <w:t>,</w:t>
      </w:r>
      <w:r w:rsidRPr="00B97E44">
        <w:rPr>
          <w:rFonts w:ascii="David" w:hAnsi="David"/>
          <w:b/>
          <w:bCs/>
          <w:sz w:val="24"/>
          <w:rtl/>
        </w:rPr>
        <w:t xml:space="preserve"> </w:t>
      </w:r>
      <w:r w:rsidRPr="00B97E44">
        <w:rPr>
          <w:rFonts w:ascii="David" w:hAnsi="David" w:hint="eastAsia"/>
          <w:b/>
          <w:bCs/>
          <w:sz w:val="24"/>
          <w:rtl/>
        </w:rPr>
        <w:t>הקצתה</w:t>
      </w:r>
      <w:r w:rsidRPr="00B97E44">
        <w:rPr>
          <w:rFonts w:ascii="David" w:hAnsi="David"/>
          <w:b/>
          <w:bCs/>
          <w:sz w:val="24"/>
          <w:rtl/>
        </w:rPr>
        <w:t xml:space="preserve"> 94 </w:t>
      </w:r>
      <w:r w:rsidRPr="00B97E44">
        <w:rPr>
          <w:rFonts w:ascii="David" w:hAnsi="David" w:hint="eastAsia"/>
          <w:b/>
          <w:bCs/>
          <w:sz w:val="24"/>
          <w:rtl/>
        </w:rPr>
        <w:t>מיליו</w:t>
      </w:r>
      <w:r>
        <w:rPr>
          <w:rFonts w:ascii="David" w:hAnsi="David" w:hint="cs"/>
          <w:b/>
          <w:bCs/>
          <w:sz w:val="24"/>
          <w:rtl/>
        </w:rPr>
        <w:t>ני</w:t>
      </w:r>
      <w:r w:rsidRPr="00B97E44">
        <w:rPr>
          <w:rFonts w:ascii="David" w:hAnsi="David"/>
          <w:b/>
          <w:bCs/>
          <w:sz w:val="24"/>
          <w:rtl/>
        </w:rPr>
        <w:t xml:space="preserve"> </w:t>
      </w:r>
      <w:r w:rsidRPr="00B97E44">
        <w:rPr>
          <w:rFonts w:ascii="David" w:hAnsi="David" w:hint="eastAsia"/>
          <w:b/>
          <w:bCs/>
          <w:sz w:val="24"/>
          <w:rtl/>
        </w:rPr>
        <w:t>ש</w:t>
      </w:r>
      <w:r w:rsidRPr="00B97E44">
        <w:rPr>
          <w:rFonts w:ascii="David" w:hAnsi="David"/>
          <w:b/>
          <w:bCs/>
          <w:sz w:val="24"/>
          <w:rtl/>
        </w:rPr>
        <w:t xml:space="preserve">"ח </w:t>
      </w:r>
      <w:r w:rsidRPr="00B97E44">
        <w:rPr>
          <w:rFonts w:ascii="David" w:hAnsi="David" w:hint="eastAsia"/>
          <w:b/>
          <w:bCs/>
          <w:sz w:val="24"/>
          <w:rtl/>
        </w:rPr>
        <w:t>לשנים</w:t>
      </w:r>
      <w:r w:rsidRPr="00B97E44">
        <w:rPr>
          <w:rFonts w:ascii="David" w:hAnsi="David"/>
          <w:b/>
          <w:bCs/>
          <w:sz w:val="24"/>
          <w:rtl/>
        </w:rPr>
        <w:t xml:space="preserve"> 2024 - 2028 </w:t>
      </w:r>
      <w:r w:rsidRPr="00B97E44">
        <w:rPr>
          <w:rFonts w:ascii="David" w:hAnsi="David" w:hint="eastAsia"/>
          <w:b/>
          <w:bCs/>
          <w:sz w:val="24"/>
          <w:rtl/>
        </w:rPr>
        <w:t>להכנה</w:t>
      </w:r>
      <w:r w:rsidRPr="00B97E44">
        <w:rPr>
          <w:rFonts w:ascii="David" w:hAnsi="David"/>
          <w:b/>
          <w:bCs/>
          <w:sz w:val="24"/>
          <w:rtl/>
        </w:rPr>
        <w:t xml:space="preserve"> </w:t>
      </w:r>
      <w:r w:rsidRPr="00B97E44">
        <w:rPr>
          <w:rFonts w:ascii="David" w:hAnsi="David" w:hint="eastAsia"/>
          <w:b/>
          <w:bCs/>
          <w:sz w:val="24"/>
          <w:rtl/>
        </w:rPr>
        <w:t>ו</w:t>
      </w:r>
      <w:r w:rsidRPr="00B97E44">
        <w:rPr>
          <w:rFonts w:ascii="David" w:hAnsi="David" w:hint="cs"/>
          <w:b/>
          <w:bCs/>
          <w:sz w:val="24"/>
          <w:rtl/>
        </w:rPr>
        <w:t>ל</w:t>
      </w:r>
      <w:r w:rsidRPr="00B97E44">
        <w:rPr>
          <w:rFonts w:ascii="David" w:hAnsi="David" w:hint="eastAsia"/>
          <w:b/>
          <w:bCs/>
          <w:sz w:val="24"/>
          <w:rtl/>
        </w:rPr>
        <w:t>ביצוע</w:t>
      </w:r>
      <w:r w:rsidRPr="00B97E44">
        <w:rPr>
          <w:rFonts w:ascii="David" w:hAnsi="David"/>
          <w:b/>
          <w:bCs/>
          <w:sz w:val="24"/>
          <w:rtl/>
        </w:rPr>
        <w:t xml:space="preserve"> </w:t>
      </w:r>
      <w:r w:rsidRPr="00B97E44">
        <w:rPr>
          <w:rFonts w:ascii="David" w:hAnsi="David" w:hint="eastAsia"/>
          <w:b/>
          <w:bCs/>
          <w:sz w:val="24"/>
          <w:rtl/>
        </w:rPr>
        <w:t>של</w:t>
      </w:r>
      <w:r w:rsidRPr="00B97E44">
        <w:rPr>
          <w:rFonts w:ascii="David" w:hAnsi="David"/>
          <w:b/>
          <w:bCs/>
          <w:sz w:val="24"/>
          <w:rtl/>
        </w:rPr>
        <w:t xml:space="preserve"> </w:t>
      </w:r>
      <w:r w:rsidRPr="00B97E44">
        <w:rPr>
          <w:rFonts w:ascii="David" w:hAnsi="David" w:hint="eastAsia"/>
          <w:b/>
          <w:bCs/>
          <w:sz w:val="24"/>
          <w:rtl/>
        </w:rPr>
        <w:t>תוכניות</w:t>
      </w:r>
      <w:r w:rsidRPr="00B97E44">
        <w:rPr>
          <w:rFonts w:ascii="David" w:hAnsi="David"/>
          <w:b/>
          <w:bCs/>
          <w:sz w:val="24"/>
          <w:rtl/>
        </w:rPr>
        <w:t xml:space="preserve"> </w:t>
      </w:r>
      <w:r w:rsidRPr="00B97E44">
        <w:rPr>
          <w:rFonts w:ascii="David" w:hAnsi="David" w:hint="eastAsia"/>
          <w:b/>
          <w:bCs/>
          <w:sz w:val="24"/>
          <w:rtl/>
        </w:rPr>
        <w:t>להקמת</w:t>
      </w:r>
      <w:r w:rsidRPr="00B97E44">
        <w:rPr>
          <w:rFonts w:ascii="David" w:hAnsi="David"/>
          <w:b/>
          <w:bCs/>
          <w:sz w:val="24"/>
          <w:rtl/>
        </w:rPr>
        <w:t xml:space="preserve"> </w:t>
      </w:r>
      <w:r w:rsidRPr="00B97E44">
        <w:rPr>
          <w:rFonts w:ascii="David" w:hAnsi="David" w:hint="eastAsia"/>
          <w:b/>
          <w:bCs/>
          <w:sz w:val="24"/>
          <w:rtl/>
        </w:rPr>
        <w:t>אתרי</w:t>
      </w:r>
      <w:r w:rsidRPr="00B97E44">
        <w:rPr>
          <w:rFonts w:ascii="David" w:hAnsi="David"/>
          <w:b/>
          <w:bCs/>
          <w:sz w:val="24"/>
          <w:rtl/>
        </w:rPr>
        <w:t xml:space="preserve"> </w:t>
      </w:r>
      <w:r w:rsidRPr="00B97E44">
        <w:rPr>
          <w:rFonts w:ascii="David" w:hAnsi="David" w:hint="eastAsia"/>
          <w:b/>
          <w:bCs/>
          <w:sz w:val="24"/>
          <w:rtl/>
        </w:rPr>
        <w:t>טבע</w:t>
      </w:r>
      <w:r w:rsidRPr="00B97E44">
        <w:rPr>
          <w:rFonts w:ascii="David" w:hAnsi="David"/>
          <w:b/>
          <w:bCs/>
          <w:sz w:val="24"/>
          <w:rtl/>
        </w:rPr>
        <w:t xml:space="preserve"> </w:t>
      </w:r>
      <w:r w:rsidRPr="00B97E44">
        <w:rPr>
          <w:rFonts w:ascii="David" w:hAnsi="David" w:hint="eastAsia"/>
          <w:b/>
          <w:bCs/>
          <w:sz w:val="24"/>
          <w:rtl/>
        </w:rPr>
        <w:t>ומיזמים</w:t>
      </w:r>
      <w:r w:rsidRPr="00B97E44">
        <w:rPr>
          <w:rFonts w:ascii="David" w:hAnsi="David"/>
          <w:b/>
          <w:bCs/>
          <w:sz w:val="24"/>
          <w:rtl/>
        </w:rPr>
        <w:t xml:space="preserve"> </w:t>
      </w:r>
      <w:r w:rsidRPr="00B97E44">
        <w:rPr>
          <w:rFonts w:ascii="David" w:hAnsi="David" w:hint="eastAsia"/>
          <w:b/>
          <w:bCs/>
          <w:sz w:val="24"/>
          <w:rtl/>
        </w:rPr>
        <w:t>לשימור</w:t>
      </w:r>
      <w:r w:rsidRPr="00B97E44">
        <w:rPr>
          <w:rFonts w:ascii="David" w:hAnsi="David"/>
          <w:b/>
          <w:bCs/>
          <w:sz w:val="24"/>
          <w:rtl/>
        </w:rPr>
        <w:t xml:space="preserve"> </w:t>
      </w:r>
      <w:r w:rsidRPr="00B97E44">
        <w:rPr>
          <w:rFonts w:ascii="David" w:hAnsi="David" w:hint="eastAsia"/>
          <w:b/>
          <w:bCs/>
          <w:sz w:val="24"/>
          <w:rtl/>
        </w:rPr>
        <w:t>השטחים</w:t>
      </w:r>
      <w:r w:rsidRPr="00B97E44">
        <w:rPr>
          <w:rFonts w:ascii="David" w:hAnsi="David"/>
          <w:b/>
          <w:bCs/>
          <w:sz w:val="24"/>
          <w:rtl/>
        </w:rPr>
        <w:t xml:space="preserve"> </w:t>
      </w:r>
      <w:r w:rsidRPr="00B97E44">
        <w:rPr>
          <w:rFonts w:ascii="David" w:hAnsi="David" w:hint="eastAsia"/>
          <w:b/>
          <w:bCs/>
          <w:sz w:val="24"/>
          <w:rtl/>
        </w:rPr>
        <w:t>הפתוחים</w:t>
      </w:r>
      <w:r w:rsidRPr="00B97E44">
        <w:rPr>
          <w:rFonts w:ascii="David" w:hAnsi="David"/>
          <w:b/>
          <w:bCs/>
          <w:sz w:val="24"/>
          <w:rtl/>
        </w:rPr>
        <w:t xml:space="preserve">, </w:t>
      </w:r>
      <w:r w:rsidRPr="00B97E44">
        <w:rPr>
          <w:rFonts w:ascii="David" w:hAnsi="David" w:hint="eastAsia"/>
          <w:b/>
          <w:bCs/>
          <w:sz w:val="24"/>
          <w:rtl/>
        </w:rPr>
        <w:t>להגנה</w:t>
      </w:r>
      <w:r w:rsidRPr="00B97E44">
        <w:rPr>
          <w:rFonts w:ascii="David" w:hAnsi="David"/>
          <w:b/>
          <w:bCs/>
          <w:sz w:val="24"/>
          <w:rtl/>
        </w:rPr>
        <w:t xml:space="preserve"> </w:t>
      </w:r>
      <w:r w:rsidRPr="00B97E44">
        <w:rPr>
          <w:rFonts w:ascii="David" w:hAnsi="David" w:hint="eastAsia"/>
          <w:b/>
          <w:bCs/>
          <w:sz w:val="24"/>
          <w:rtl/>
        </w:rPr>
        <w:t>עליהם</w:t>
      </w:r>
      <w:r w:rsidRPr="00B97E44">
        <w:rPr>
          <w:rFonts w:ascii="David" w:hAnsi="David"/>
          <w:b/>
          <w:bCs/>
          <w:sz w:val="24"/>
          <w:rtl/>
        </w:rPr>
        <w:t xml:space="preserve"> </w:t>
      </w:r>
      <w:r w:rsidRPr="00B97E44">
        <w:rPr>
          <w:rFonts w:ascii="David" w:hAnsi="David" w:hint="eastAsia"/>
          <w:b/>
          <w:bCs/>
          <w:sz w:val="24"/>
          <w:rtl/>
        </w:rPr>
        <w:t>ולחיבור</w:t>
      </w:r>
      <w:r w:rsidRPr="00B97E44">
        <w:rPr>
          <w:rFonts w:ascii="David" w:hAnsi="David"/>
          <w:b/>
          <w:bCs/>
          <w:sz w:val="24"/>
          <w:rtl/>
        </w:rPr>
        <w:t xml:space="preserve"> </w:t>
      </w:r>
      <w:r w:rsidRPr="00B97E44">
        <w:rPr>
          <w:rFonts w:ascii="David" w:hAnsi="David" w:hint="eastAsia"/>
          <w:b/>
          <w:bCs/>
          <w:sz w:val="24"/>
          <w:rtl/>
        </w:rPr>
        <w:t>הקהילה</w:t>
      </w:r>
      <w:r w:rsidRPr="00B97E44">
        <w:rPr>
          <w:rFonts w:ascii="David" w:hAnsi="David"/>
          <w:b/>
          <w:bCs/>
          <w:sz w:val="24"/>
          <w:rtl/>
        </w:rPr>
        <w:t xml:space="preserve"> </w:t>
      </w:r>
      <w:r w:rsidRPr="00B97E44">
        <w:rPr>
          <w:rFonts w:ascii="David" w:hAnsi="David" w:hint="eastAsia"/>
          <w:b/>
          <w:bCs/>
          <w:sz w:val="24"/>
          <w:rtl/>
        </w:rPr>
        <w:t>לטבע</w:t>
      </w:r>
      <w:r w:rsidRPr="00B97E44">
        <w:rPr>
          <w:rFonts w:ascii="David" w:hAnsi="David"/>
          <w:b/>
          <w:bCs/>
          <w:sz w:val="24"/>
          <w:rtl/>
        </w:rPr>
        <w:t xml:space="preserve"> </w:t>
      </w:r>
      <w:r w:rsidRPr="00B97E44">
        <w:rPr>
          <w:rFonts w:ascii="David" w:hAnsi="David" w:hint="eastAsia"/>
          <w:b/>
          <w:bCs/>
          <w:sz w:val="24"/>
          <w:rtl/>
        </w:rPr>
        <w:t>שבתחומי</w:t>
      </w:r>
      <w:r w:rsidRPr="00B97E44">
        <w:rPr>
          <w:rFonts w:ascii="David" w:hAnsi="David"/>
          <w:b/>
          <w:bCs/>
          <w:sz w:val="24"/>
          <w:rtl/>
        </w:rPr>
        <w:t xml:space="preserve"> </w:t>
      </w:r>
      <w:r w:rsidRPr="00B97E44">
        <w:rPr>
          <w:rFonts w:ascii="David" w:hAnsi="David" w:hint="eastAsia"/>
          <w:b/>
          <w:bCs/>
          <w:sz w:val="24"/>
          <w:rtl/>
        </w:rPr>
        <w:t>רשויות</w:t>
      </w:r>
      <w:r w:rsidRPr="00B97E44">
        <w:rPr>
          <w:rFonts w:ascii="David" w:hAnsi="David"/>
          <w:b/>
          <w:bCs/>
          <w:sz w:val="24"/>
          <w:rtl/>
        </w:rPr>
        <w:t xml:space="preserve"> </w:t>
      </w:r>
      <w:r w:rsidRPr="00B97E44">
        <w:rPr>
          <w:rFonts w:ascii="David" w:hAnsi="David" w:hint="eastAsia"/>
          <w:b/>
          <w:bCs/>
          <w:sz w:val="24"/>
          <w:rtl/>
        </w:rPr>
        <w:t>חבל</w:t>
      </w:r>
      <w:r w:rsidRPr="00B97E44">
        <w:rPr>
          <w:rFonts w:ascii="David" w:hAnsi="David"/>
          <w:b/>
          <w:bCs/>
          <w:sz w:val="24"/>
          <w:rtl/>
        </w:rPr>
        <w:t xml:space="preserve"> </w:t>
      </w:r>
      <w:r w:rsidRPr="00B97E44">
        <w:rPr>
          <w:rFonts w:ascii="David" w:hAnsi="David" w:hint="eastAsia"/>
          <w:b/>
          <w:bCs/>
          <w:sz w:val="24"/>
          <w:rtl/>
        </w:rPr>
        <w:t>התקומה</w:t>
      </w:r>
      <w:r w:rsidRPr="00B97E44">
        <w:rPr>
          <w:rFonts w:ascii="David" w:hAnsi="David"/>
          <w:b/>
          <w:bCs/>
          <w:sz w:val="24"/>
          <w:rtl/>
        </w:rPr>
        <w:t>.</w:t>
      </w:r>
      <w:r w:rsidRPr="00B97E44">
        <w:rPr>
          <w:rFonts w:ascii="David" w:hAnsi="David" w:hint="cs"/>
          <w:sz w:val="24"/>
          <w:rtl/>
        </w:rPr>
        <w:t xml:space="preserve"> </w:t>
      </w:r>
      <w:r w:rsidRPr="00B97E44">
        <w:rPr>
          <w:rFonts w:ascii="David" w:hAnsi="David" w:hint="cs"/>
          <w:b/>
          <w:bCs/>
          <w:sz w:val="24"/>
          <w:rtl/>
        </w:rPr>
        <w:t xml:space="preserve">יצוין כי </w:t>
      </w:r>
      <w:r>
        <w:rPr>
          <w:rFonts w:ascii="David" w:hAnsi="David" w:hint="cs"/>
          <w:b/>
          <w:bCs/>
          <w:sz w:val="24"/>
          <w:rtl/>
        </w:rPr>
        <w:t>בעת אישור תוכנית החומש</w:t>
      </w:r>
      <w:r w:rsidRPr="00B97E44">
        <w:rPr>
          <w:rFonts w:ascii="David" w:hAnsi="David" w:hint="cs"/>
          <w:b/>
          <w:bCs/>
          <w:sz w:val="24"/>
          <w:rtl/>
        </w:rPr>
        <w:t xml:space="preserve"> גרסה מינהלת תקומה כי שימור השטחים הפתוחים אינו כולל שיקום שלהם עקב הנזקים שנגרמו בהם </w:t>
      </w:r>
      <w:r w:rsidRPr="00B97E44">
        <w:rPr>
          <w:rFonts w:ascii="David" w:hAnsi="David" w:hint="eastAsia"/>
          <w:b/>
          <w:bCs/>
          <w:sz w:val="24"/>
          <w:rtl/>
        </w:rPr>
        <w:t>ב</w:t>
      </w:r>
      <w:r w:rsidRPr="00B97E44">
        <w:rPr>
          <w:rFonts w:ascii="David" w:hAnsi="David" w:hint="cs"/>
          <w:b/>
          <w:bCs/>
          <w:sz w:val="24"/>
          <w:rtl/>
        </w:rPr>
        <w:t>מתקפת הטרור ב</w:t>
      </w:r>
      <w:r w:rsidRPr="00B97E44">
        <w:rPr>
          <w:rFonts w:ascii="David" w:hAnsi="David" w:hint="eastAsia"/>
          <w:b/>
          <w:bCs/>
          <w:sz w:val="24"/>
          <w:rtl/>
        </w:rPr>
        <w:t>שבעה</w:t>
      </w:r>
      <w:r w:rsidRPr="00B97E44">
        <w:rPr>
          <w:rFonts w:ascii="David" w:hAnsi="David"/>
          <w:b/>
          <w:bCs/>
          <w:sz w:val="24"/>
          <w:rtl/>
        </w:rPr>
        <w:t xml:space="preserve"> </w:t>
      </w:r>
      <w:r w:rsidRPr="00B97E44">
        <w:rPr>
          <w:rFonts w:ascii="David" w:hAnsi="David" w:hint="eastAsia"/>
          <w:b/>
          <w:bCs/>
          <w:sz w:val="24"/>
          <w:rtl/>
        </w:rPr>
        <w:t>באוקטובר</w:t>
      </w:r>
      <w:r w:rsidRPr="00B97E44">
        <w:rPr>
          <w:rFonts w:ascii="David" w:hAnsi="David"/>
          <w:b/>
          <w:bCs/>
          <w:sz w:val="24"/>
          <w:rtl/>
        </w:rPr>
        <w:t xml:space="preserve"> </w:t>
      </w:r>
      <w:r w:rsidRPr="00B97E44">
        <w:rPr>
          <w:rFonts w:ascii="David" w:hAnsi="David" w:hint="eastAsia"/>
          <w:b/>
          <w:bCs/>
          <w:sz w:val="24"/>
          <w:rtl/>
        </w:rPr>
        <w:t>ובמלחמת</w:t>
      </w:r>
      <w:r w:rsidRPr="00B97E44">
        <w:rPr>
          <w:rFonts w:ascii="David" w:hAnsi="David"/>
          <w:b/>
          <w:bCs/>
          <w:sz w:val="24"/>
          <w:rtl/>
        </w:rPr>
        <w:t xml:space="preserve"> </w:t>
      </w:r>
      <w:r w:rsidRPr="00B97E44">
        <w:rPr>
          <w:rFonts w:ascii="David" w:hAnsi="David" w:hint="eastAsia"/>
          <w:b/>
          <w:bCs/>
          <w:sz w:val="24"/>
          <w:rtl/>
        </w:rPr>
        <w:t>חרבות</w:t>
      </w:r>
      <w:r w:rsidRPr="00B97E44">
        <w:rPr>
          <w:rFonts w:ascii="David" w:hAnsi="David"/>
          <w:b/>
          <w:bCs/>
          <w:sz w:val="24"/>
          <w:rtl/>
        </w:rPr>
        <w:t xml:space="preserve"> </w:t>
      </w:r>
      <w:r w:rsidRPr="00B97E44">
        <w:rPr>
          <w:rFonts w:ascii="David" w:hAnsi="David" w:hint="eastAsia"/>
          <w:b/>
          <w:bCs/>
          <w:sz w:val="24"/>
          <w:rtl/>
        </w:rPr>
        <w:t>ברזל</w:t>
      </w:r>
      <w:r w:rsidRPr="00B97E44">
        <w:rPr>
          <w:rFonts w:ascii="David" w:hAnsi="David" w:hint="cs"/>
          <w:b/>
          <w:bCs/>
          <w:sz w:val="24"/>
          <w:rtl/>
        </w:rPr>
        <w:t xml:space="preserve"> ואילו המשרד להגנת הסביבה גורס, על פי תשובתו מאוקטובר 2025, כי ברור לכול ששימור השטחים הפתוחים והגנה עליהם כולל את השיקום שלהם, אם נדרש.</w:t>
      </w:r>
    </w:p>
    <w:p w:rsidR="005B126E" w:rsidRPr="00B97E44" w:rsidP="001916A9">
      <w:pPr>
        <w:spacing w:line="269" w:lineRule="auto"/>
        <w:ind w:left="360"/>
        <w:contextualSpacing/>
        <w:rPr>
          <w:rFonts w:ascii="David" w:hAnsi="David"/>
          <w:b/>
          <w:bCs/>
          <w:sz w:val="24"/>
          <w:rtl/>
        </w:rPr>
      </w:pPr>
    </w:p>
    <w:p w:rsidR="005B126E" w:rsidRPr="00B97E44" w:rsidP="001916A9">
      <w:pPr>
        <w:pStyle w:val="ListParagraph"/>
        <w:numPr>
          <w:ilvl w:val="0"/>
          <w:numId w:val="30"/>
        </w:numPr>
        <w:spacing w:line="269" w:lineRule="auto"/>
      </w:pPr>
      <w:r w:rsidRPr="006D4DD0">
        <w:rPr>
          <w:rFonts w:ascii="David" w:hAnsi="David" w:hint="eastAsia"/>
          <w:sz w:val="24"/>
          <w:rtl/>
        </w:rPr>
        <w:t>ל</w:t>
      </w:r>
      <w:r w:rsidRPr="006D4DD0">
        <w:rPr>
          <w:rFonts w:ascii="David" w:hAnsi="David" w:hint="cs"/>
          <w:sz w:val="24"/>
          <w:rtl/>
        </w:rPr>
        <w:t xml:space="preserve">פי </w:t>
      </w:r>
      <w:r w:rsidRPr="006D4DD0">
        <w:rPr>
          <w:rFonts w:ascii="David" w:hAnsi="David" w:hint="eastAsia"/>
          <w:sz w:val="24"/>
          <w:rtl/>
        </w:rPr>
        <w:t>סעיף</w:t>
      </w:r>
      <w:r w:rsidRPr="006D4DD0">
        <w:rPr>
          <w:rFonts w:ascii="David" w:hAnsi="David"/>
          <w:sz w:val="24"/>
          <w:rtl/>
        </w:rPr>
        <w:t xml:space="preserve"> 35 לחוק מס רכוש וקרן פיצויים, התשכ"א-1961 (להלן </w:t>
      </w:r>
      <w:r w:rsidRPr="006D4DD0">
        <w:rPr>
          <w:rFonts w:ascii="David" w:hAnsi="David" w:hint="cs"/>
          <w:sz w:val="24"/>
          <w:rtl/>
        </w:rPr>
        <w:t>-</w:t>
      </w:r>
      <w:r w:rsidRPr="006D4DD0">
        <w:rPr>
          <w:rFonts w:ascii="David" w:hAnsi="David"/>
          <w:sz w:val="24"/>
          <w:rtl/>
        </w:rPr>
        <w:t xml:space="preserve"> חוק מס רכוש)</w:t>
      </w:r>
      <w:r w:rsidRPr="006D4DD0">
        <w:rPr>
          <w:rFonts w:ascii="David" w:hAnsi="David" w:hint="cs"/>
          <w:sz w:val="24"/>
          <w:rtl/>
        </w:rPr>
        <w:t>,</w:t>
      </w:r>
      <w:r w:rsidRPr="006D4DD0">
        <w:rPr>
          <w:rFonts w:ascii="David" w:hAnsi="David"/>
          <w:sz w:val="24"/>
          <w:rtl/>
        </w:rPr>
        <w:t xml:space="preserve"> </w:t>
      </w:r>
      <w:r w:rsidRPr="006D4DD0">
        <w:rPr>
          <w:rFonts w:ascii="David" w:hAnsi="David" w:hint="cs"/>
          <w:sz w:val="24"/>
          <w:rtl/>
        </w:rPr>
        <w:t>"</w:t>
      </w:r>
      <w:r w:rsidRPr="006D4DD0">
        <w:rPr>
          <w:rFonts w:ascii="David" w:hAnsi="David"/>
          <w:sz w:val="24"/>
          <w:rtl/>
        </w:rPr>
        <w:t>נזק מלחמה</w:t>
      </w:r>
      <w:r w:rsidRPr="006D4DD0">
        <w:rPr>
          <w:rFonts w:ascii="David" w:hAnsi="David" w:hint="cs"/>
          <w:sz w:val="24"/>
          <w:rtl/>
        </w:rPr>
        <w:t>"</w:t>
      </w:r>
      <w:r w:rsidRPr="006D4DD0">
        <w:rPr>
          <w:rFonts w:ascii="David" w:hAnsi="David"/>
          <w:sz w:val="24"/>
          <w:rtl/>
        </w:rPr>
        <w:t xml:space="preserve"> </w:t>
      </w:r>
      <w:r w:rsidRPr="006D4DD0">
        <w:rPr>
          <w:rFonts w:ascii="David" w:hAnsi="David" w:hint="eastAsia"/>
          <w:sz w:val="24"/>
          <w:rtl/>
        </w:rPr>
        <w:t>מוגדר</w:t>
      </w:r>
      <w:r w:rsidRPr="006D4DD0">
        <w:rPr>
          <w:rFonts w:ascii="David" w:hAnsi="David"/>
          <w:sz w:val="24"/>
          <w:rtl/>
        </w:rPr>
        <w:t xml:space="preserve"> </w:t>
      </w:r>
      <w:r w:rsidRPr="006D4DD0">
        <w:rPr>
          <w:rFonts w:ascii="David" w:hAnsi="David" w:hint="eastAsia"/>
          <w:sz w:val="24"/>
          <w:rtl/>
        </w:rPr>
        <w:t>כ</w:t>
      </w:r>
      <w:r w:rsidRPr="006D4DD0">
        <w:rPr>
          <w:rFonts w:ascii="David" w:hAnsi="David"/>
          <w:sz w:val="24"/>
          <w:rtl/>
        </w:rPr>
        <w:t xml:space="preserve">"נזק שנגרם לגופו של נכס עקב פעולות מלחמה על-ידי הצבאות הסדירים של האויב או עקב פעולות איבה אחרות נגד ישראל או עקב פעולות מלחמה על-ידי צבא הגנה לישראל". </w:t>
      </w:r>
      <w:r w:rsidRPr="006D4DD0">
        <w:rPr>
          <w:rFonts w:ascii="David" w:hAnsi="David" w:hint="cs"/>
          <w:sz w:val="24"/>
          <w:rtl/>
        </w:rPr>
        <w:t>"</w:t>
      </w:r>
      <w:r w:rsidRPr="006D4DD0">
        <w:rPr>
          <w:rFonts w:ascii="David" w:hAnsi="David"/>
          <w:sz w:val="24"/>
          <w:rtl/>
        </w:rPr>
        <w:t>נכס</w:t>
      </w:r>
      <w:r w:rsidRPr="006D4DD0">
        <w:rPr>
          <w:rFonts w:ascii="David" w:hAnsi="David" w:hint="cs"/>
          <w:sz w:val="24"/>
          <w:rtl/>
        </w:rPr>
        <w:t>"</w:t>
      </w:r>
      <w:r w:rsidRPr="006D4DD0">
        <w:rPr>
          <w:rFonts w:ascii="David" w:hAnsi="David"/>
          <w:sz w:val="24"/>
          <w:rtl/>
        </w:rPr>
        <w:t xml:space="preserve"> מוגדר כ"קרקע, קרקע חקלאית לרבות היבול שעליה, בנין, מבנה בתהליך בניה, מטעים, מלאי וציוד הנמצאים בשטח המדינה...". </w:t>
      </w:r>
    </w:p>
    <w:p w:rsidR="005B126E" w:rsidP="001916A9">
      <w:pPr>
        <w:spacing w:line="269" w:lineRule="auto"/>
        <w:ind w:left="360"/>
        <w:rPr>
          <w:rtl/>
        </w:rPr>
      </w:pPr>
    </w:p>
    <w:p w:rsidR="005B126E" w:rsidP="001916A9">
      <w:pPr>
        <w:spacing w:line="269" w:lineRule="auto"/>
        <w:ind w:left="360"/>
        <w:rPr>
          <w:rtl/>
        </w:rPr>
      </w:pPr>
      <w:r w:rsidRPr="00B97E44">
        <w:rPr>
          <w:rFonts w:hint="cs"/>
          <w:rtl/>
        </w:rPr>
        <w:t>בביקורת עלה כי במרץ 2024 פנה מנכ"ל המשרד להגנת הסביבה למנכ"ל משרד הביטחון בבקשה לסיוע בתקצוב השיקום של השטחים הפתוחים שנפגעו בשל פעילות צה"ל במהלך מלחמת חרבות ברזל, המוערך בכ-72 מיליו</w:t>
      </w:r>
      <w:r>
        <w:rPr>
          <w:rFonts w:hint="cs"/>
          <w:rtl/>
        </w:rPr>
        <w:t xml:space="preserve">ני </w:t>
      </w:r>
      <w:r w:rsidRPr="00B97E44">
        <w:rPr>
          <w:rFonts w:hint="cs"/>
          <w:rtl/>
        </w:rPr>
        <w:t>ש"ח.</w:t>
      </w:r>
    </w:p>
    <w:p w:rsidR="005B126E" w:rsidRPr="00B97E44" w:rsidP="001916A9">
      <w:pPr>
        <w:spacing w:line="269" w:lineRule="auto"/>
        <w:ind w:left="360"/>
        <w:rPr>
          <w:rFonts w:ascii="David" w:hAnsi="David"/>
          <w:rtl/>
        </w:rPr>
      </w:pPr>
      <w:r w:rsidRPr="00B97E44">
        <w:rPr>
          <w:rFonts w:hint="cs"/>
          <w:rtl/>
        </w:rPr>
        <w:t xml:space="preserve">באפריל 2024 השיב מנכ"ל משרד הביטחון כי אם המשרד להגנת הסביבה ימסור דרישות בצירוף אסמכתאות בגין נזקים שנגרמו משהייה של צה"ל בשטחי הכינוס אלו ייבדקו, אך רובם המכריע של הנזקים המתוארים, כמו נזקי טנקים ופריצות דרכים, הם, על פי התשובה, נזקי מלחמה שנגרמו מפעילות מלחמתית וכי חובת הפיצוי בגין נזקים אלה היא על מס רכוש וקרן הפיצויים. </w:t>
      </w:r>
    </w:p>
    <w:p w:rsidR="005B126E" w:rsidP="001916A9">
      <w:pPr>
        <w:spacing w:line="269" w:lineRule="auto"/>
        <w:ind w:left="312"/>
        <w:rPr>
          <w:rtl/>
        </w:rPr>
      </w:pPr>
    </w:p>
    <w:p w:rsidR="005B126E" w:rsidRPr="00B97E44" w:rsidP="001916A9">
      <w:pPr>
        <w:spacing w:line="269" w:lineRule="auto"/>
        <w:ind w:left="312"/>
        <w:rPr>
          <w:rtl/>
        </w:rPr>
      </w:pPr>
      <w:r w:rsidRPr="00B97E44">
        <w:rPr>
          <w:rFonts w:hint="cs"/>
          <w:rtl/>
        </w:rPr>
        <w:t xml:space="preserve">מסיכום פגישה בין המשרד להגנת הסביבה ובין משרד הביטחון מיולי 2024 עלה כי נציגי מערכת הביטחון ישלחו התייחסות ובה </w:t>
      </w:r>
      <w:r w:rsidRPr="00B97E44">
        <w:rPr>
          <w:rFonts w:hint="cs"/>
          <w:rtl/>
        </w:rPr>
        <w:t>תיעדוף</w:t>
      </w:r>
      <w:r w:rsidRPr="00B97E44">
        <w:rPr>
          <w:rFonts w:hint="cs"/>
          <w:rtl/>
        </w:rPr>
        <w:t xml:space="preserve"> של אזורים לשיקום בשל שיקולים ביטחוניים ומבצעיים וכי משרד הביטחון יבחן ביצוע של חלק מהשיקום האקולוגי בעצמו.</w:t>
      </w:r>
    </w:p>
    <w:p w:rsidR="005B126E" w:rsidP="001916A9">
      <w:pPr>
        <w:spacing w:line="269" w:lineRule="auto"/>
        <w:ind w:left="360"/>
        <w:contextualSpacing/>
        <w:rPr>
          <w:rFonts w:ascii="David" w:hAnsi="David"/>
          <w:sz w:val="24"/>
          <w:rtl/>
        </w:rPr>
      </w:pPr>
    </w:p>
    <w:p w:rsidR="005B126E" w:rsidRPr="00B97E44" w:rsidP="001916A9">
      <w:pPr>
        <w:spacing w:line="269" w:lineRule="auto"/>
        <w:ind w:left="360"/>
        <w:contextualSpacing/>
        <w:rPr>
          <w:rFonts w:ascii="David" w:hAnsi="David"/>
          <w:sz w:val="24"/>
          <w:rtl/>
        </w:rPr>
      </w:pPr>
      <w:r w:rsidRPr="00B97E44">
        <w:rPr>
          <w:rFonts w:ascii="David" w:hAnsi="David" w:hint="eastAsia"/>
          <w:sz w:val="24"/>
          <w:rtl/>
        </w:rPr>
        <w:t>באפריל</w:t>
      </w:r>
      <w:r w:rsidRPr="00B97E44">
        <w:rPr>
          <w:rFonts w:ascii="David" w:hAnsi="David"/>
          <w:sz w:val="24"/>
          <w:rtl/>
        </w:rPr>
        <w:t xml:space="preserve"> </w:t>
      </w:r>
      <w:r w:rsidRPr="00B97E44">
        <w:rPr>
          <w:rFonts w:ascii="David" w:hAnsi="David" w:hint="eastAsia"/>
          <w:sz w:val="24"/>
          <w:rtl/>
        </w:rPr>
        <w:t>ובמאי</w:t>
      </w:r>
      <w:r w:rsidRPr="00B97E44">
        <w:rPr>
          <w:rFonts w:ascii="David" w:hAnsi="David"/>
          <w:sz w:val="24"/>
          <w:rtl/>
        </w:rPr>
        <w:t xml:space="preserve"> 2024 פנה המשרד להגנת הסביבה </w:t>
      </w:r>
      <w:r w:rsidRPr="00B97E44">
        <w:rPr>
          <w:rFonts w:ascii="David" w:hAnsi="David" w:hint="cs"/>
          <w:sz w:val="24"/>
          <w:rtl/>
        </w:rPr>
        <w:t xml:space="preserve">גם </w:t>
      </w:r>
      <w:r w:rsidRPr="00B97E44">
        <w:rPr>
          <w:rFonts w:ascii="David" w:hAnsi="David" w:hint="eastAsia"/>
          <w:sz w:val="24"/>
          <w:rtl/>
        </w:rPr>
        <w:t>למשנה</w:t>
      </w:r>
      <w:r w:rsidRPr="00B97E44">
        <w:rPr>
          <w:rFonts w:ascii="David" w:hAnsi="David" w:hint="cs"/>
          <w:sz w:val="24"/>
          <w:rtl/>
        </w:rPr>
        <w:t xml:space="preserve"> ל</w:t>
      </w:r>
      <w:r w:rsidRPr="00B97E44">
        <w:rPr>
          <w:rFonts w:ascii="David" w:hAnsi="David" w:hint="eastAsia"/>
          <w:sz w:val="24"/>
          <w:rtl/>
        </w:rPr>
        <w:t>מנהל</w:t>
      </w:r>
      <w:r w:rsidRPr="00B97E44">
        <w:rPr>
          <w:rFonts w:ascii="David" w:hAnsi="David"/>
          <w:sz w:val="24"/>
          <w:rtl/>
        </w:rPr>
        <w:t xml:space="preserve"> </w:t>
      </w:r>
      <w:r w:rsidRPr="00B97E44">
        <w:rPr>
          <w:rFonts w:ascii="David" w:hAnsi="David" w:hint="eastAsia"/>
          <w:sz w:val="24"/>
          <w:rtl/>
        </w:rPr>
        <w:t>רשות</w:t>
      </w:r>
      <w:r w:rsidRPr="00B97E44">
        <w:rPr>
          <w:rFonts w:ascii="David" w:hAnsi="David"/>
          <w:sz w:val="24"/>
          <w:rtl/>
        </w:rPr>
        <w:t xml:space="preserve"> </w:t>
      </w:r>
      <w:r w:rsidRPr="00B97E44">
        <w:rPr>
          <w:rFonts w:ascii="David" w:hAnsi="David" w:hint="eastAsia"/>
          <w:sz w:val="24"/>
          <w:rtl/>
        </w:rPr>
        <w:t>המיסים</w:t>
      </w:r>
      <w:r w:rsidRPr="00B97E44">
        <w:rPr>
          <w:rFonts w:ascii="David" w:hAnsi="David"/>
          <w:sz w:val="24"/>
          <w:rtl/>
        </w:rPr>
        <w:t xml:space="preserve"> </w:t>
      </w:r>
      <w:r w:rsidRPr="00B97E44">
        <w:rPr>
          <w:rFonts w:ascii="David" w:hAnsi="David" w:hint="eastAsia"/>
          <w:sz w:val="24"/>
          <w:rtl/>
        </w:rPr>
        <w:t>בבקשה</w:t>
      </w:r>
      <w:r w:rsidRPr="00B97E44">
        <w:rPr>
          <w:rFonts w:ascii="David" w:hAnsi="David"/>
          <w:sz w:val="24"/>
          <w:rtl/>
        </w:rPr>
        <w:t xml:space="preserve"> </w:t>
      </w:r>
      <w:r w:rsidRPr="00B97E44">
        <w:rPr>
          <w:rFonts w:ascii="David" w:hAnsi="David" w:hint="eastAsia"/>
          <w:sz w:val="24"/>
          <w:rtl/>
        </w:rPr>
        <w:t>לסיוע</w:t>
      </w:r>
      <w:r w:rsidRPr="00B97E44">
        <w:rPr>
          <w:rFonts w:ascii="David" w:hAnsi="David"/>
          <w:sz w:val="24"/>
          <w:rtl/>
        </w:rPr>
        <w:t xml:space="preserve"> </w:t>
      </w:r>
      <w:r w:rsidRPr="00B97E44">
        <w:rPr>
          <w:rFonts w:ascii="David" w:hAnsi="David" w:hint="eastAsia"/>
          <w:sz w:val="24"/>
          <w:rtl/>
        </w:rPr>
        <w:t>במימון</w:t>
      </w:r>
      <w:r w:rsidRPr="00B97E44">
        <w:rPr>
          <w:rFonts w:ascii="David" w:hAnsi="David"/>
          <w:sz w:val="24"/>
          <w:rtl/>
        </w:rPr>
        <w:t xml:space="preserve"> </w:t>
      </w:r>
      <w:r w:rsidRPr="00B97E44">
        <w:rPr>
          <w:rFonts w:ascii="David" w:hAnsi="David" w:hint="cs"/>
          <w:sz w:val="24"/>
          <w:rtl/>
        </w:rPr>
        <w:t>ה</w:t>
      </w:r>
      <w:r w:rsidRPr="00B97E44">
        <w:rPr>
          <w:rFonts w:ascii="David" w:hAnsi="David" w:hint="eastAsia"/>
          <w:sz w:val="24"/>
          <w:rtl/>
        </w:rPr>
        <w:t>שיקום</w:t>
      </w:r>
      <w:r w:rsidRPr="00B97E44">
        <w:rPr>
          <w:rFonts w:ascii="David" w:hAnsi="David"/>
          <w:sz w:val="24"/>
          <w:rtl/>
        </w:rPr>
        <w:t xml:space="preserve"> </w:t>
      </w:r>
      <w:r w:rsidRPr="00B97E44">
        <w:rPr>
          <w:rFonts w:ascii="David" w:hAnsi="David" w:hint="cs"/>
          <w:sz w:val="24"/>
          <w:rtl/>
        </w:rPr>
        <w:t>של ה</w:t>
      </w:r>
      <w:r w:rsidRPr="00B97E44">
        <w:rPr>
          <w:rFonts w:ascii="David" w:hAnsi="David" w:hint="eastAsia"/>
          <w:sz w:val="24"/>
          <w:rtl/>
        </w:rPr>
        <w:t>שטחים</w:t>
      </w:r>
      <w:r w:rsidRPr="00B97E44">
        <w:rPr>
          <w:rFonts w:ascii="David" w:hAnsi="David"/>
          <w:sz w:val="24"/>
          <w:rtl/>
        </w:rPr>
        <w:t xml:space="preserve"> </w:t>
      </w:r>
      <w:r w:rsidRPr="00B97E44">
        <w:rPr>
          <w:rFonts w:ascii="David" w:hAnsi="David" w:hint="eastAsia"/>
          <w:sz w:val="24"/>
          <w:rtl/>
        </w:rPr>
        <w:t>הפתוחים</w:t>
      </w:r>
      <w:r w:rsidRPr="00B97E44">
        <w:rPr>
          <w:rFonts w:ascii="David" w:hAnsi="David" w:hint="cs"/>
          <w:sz w:val="24"/>
          <w:rtl/>
        </w:rPr>
        <w:t xml:space="preserve"> מ</w:t>
      </w:r>
      <w:r w:rsidRPr="00B97E44">
        <w:rPr>
          <w:rFonts w:ascii="David" w:hAnsi="David" w:hint="eastAsia"/>
          <w:sz w:val="24"/>
          <w:rtl/>
        </w:rPr>
        <w:t>נזקי</w:t>
      </w:r>
      <w:r w:rsidRPr="00B97E44">
        <w:rPr>
          <w:rFonts w:ascii="David" w:hAnsi="David"/>
          <w:sz w:val="24"/>
          <w:rtl/>
        </w:rPr>
        <w:t xml:space="preserve"> </w:t>
      </w:r>
      <w:r w:rsidRPr="00B97E44">
        <w:rPr>
          <w:rFonts w:ascii="David" w:hAnsi="David" w:hint="eastAsia"/>
          <w:sz w:val="24"/>
          <w:rtl/>
        </w:rPr>
        <w:t>המלחמה</w:t>
      </w:r>
      <w:r w:rsidRPr="00B97E44">
        <w:rPr>
          <w:rFonts w:ascii="David" w:hAnsi="David"/>
          <w:sz w:val="24"/>
          <w:rtl/>
        </w:rPr>
        <w:t>.</w:t>
      </w:r>
      <w:r w:rsidRPr="00B97E44">
        <w:rPr>
          <w:rFonts w:ascii="David" w:hAnsi="David"/>
          <w:sz w:val="24"/>
        </w:rPr>
        <w:t xml:space="preserve"> </w:t>
      </w:r>
      <w:r w:rsidRPr="00B97E44">
        <w:rPr>
          <w:rFonts w:ascii="David" w:hAnsi="David" w:hint="eastAsia"/>
          <w:sz w:val="24"/>
          <w:rtl/>
        </w:rPr>
        <w:t>בפגישה</w:t>
      </w:r>
      <w:r w:rsidRPr="00B97E44">
        <w:rPr>
          <w:rFonts w:ascii="David" w:hAnsi="David"/>
          <w:sz w:val="24"/>
          <w:rtl/>
        </w:rPr>
        <w:t xml:space="preserve"> </w:t>
      </w:r>
      <w:r w:rsidRPr="00B97E44">
        <w:rPr>
          <w:rFonts w:ascii="David" w:hAnsi="David" w:hint="eastAsia"/>
          <w:sz w:val="24"/>
          <w:rtl/>
        </w:rPr>
        <w:t>שקיימו</w:t>
      </w:r>
      <w:r w:rsidRPr="00B97E44">
        <w:rPr>
          <w:rFonts w:ascii="David" w:hAnsi="David" w:hint="cs"/>
          <w:sz w:val="24"/>
          <w:rtl/>
        </w:rPr>
        <w:t xml:space="preserve"> נציגים מן</w:t>
      </w:r>
      <w:r w:rsidRPr="00B97E44">
        <w:rPr>
          <w:rFonts w:ascii="David" w:hAnsi="David"/>
          <w:sz w:val="24"/>
          <w:rtl/>
        </w:rPr>
        <w:t xml:space="preserve"> </w:t>
      </w:r>
      <w:r w:rsidRPr="00B97E44">
        <w:rPr>
          <w:rFonts w:ascii="David" w:hAnsi="David" w:hint="eastAsia"/>
          <w:sz w:val="24"/>
          <w:rtl/>
        </w:rPr>
        <w:t>המשרד</w:t>
      </w:r>
      <w:r w:rsidRPr="00B97E44">
        <w:rPr>
          <w:rFonts w:ascii="David" w:hAnsi="David"/>
          <w:sz w:val="24"/>
          <w:rtl/>
        </w:rPr>
        <w:t xml:space="preserve"> </w:t>
      </w:r>
      <w:r w:rsidRPr="00B97E44">
        <w:rPr>
          <w:rFonts w:ascii="David" w:hAnsi="David" w:hint="eastAsia"/>
          <w:sz w:val="24"/>
          <w:rtl/>
        </w:rPr>
        <w:t>להגנת</w:t>
      </w:r>
      <w:r w:rsidRPr="00B97E44">
        <w:rPr>
          <w:rFonts w:ascii="David" w:hAnsi="David"/>
          <w:sz w:val="24"/>
          <w:rtl/>
        </w:rPr>
        <w:t xml:space="preserve"> </w:t>
      </w:r>
      <w:r w:rsidRPr="00B97E44">
        <w:rPr>
          <w:rFonts w:ascii="David" w:hAnsi="David" w:hint="eastAsia"/>
          <w:sz w:val="24"/>
          <w:rtl/>
        </w:rPr>
        <w:t>הסביבה</w:t>
      </w:r>
      <w:r w:rsidRPr="00B97E44">
        <w:rPr>
          <w:rFonts w:ascii="David" w:hAnsi="David"/>
          <w:sz w:val="24"/>
          <w:rtl/>
        </w:rPr>
        <w:t xml:space="preserve"> </w:t>
      </w:r>
      <w:r w:rsidRPr="00B97E44">
        <w:rPr>
          <w:rFonts w:ascii="David" w:hAnsi="David" w:hint="eastAsia"/>
          <w:sz w:val="24"/>
          <w:rtl/>
        </w:rPr>
        <w:t>ו</w:t>
      </w:r>
      <w:r w:rsidRPr="00B97E44">
        <w:rPr>
          <w:rFonts w:ascii="David" w:hAnsi="David" w:hint="cs"/>
          <w:sz w:val="24"/>
          <w:rtl/>
        </w:rPr>
        <w:t>מ</w:t>
      </w:r>
      <w:r w:rsidRPr="00B97E44">
        <w:rPr>
          <w:rFonts w:ascii="David" w:hAnsi="David" w:hint="eastAsia"/>
          <w:sz w:val="24"/>
          <w:rtl/>
        </w:rPr>
        <w:t>רשות</w:t>
      </w:r>
      <w:r w:rsidRPr="00B97E44">
        <w:rPr>
          <w:rFonts w:ascii="David" w:hAnsi="David"/>
          <w:sz w:val="24"/>
          <w:rtl/>
        </w:rPr>
        <w:t xml:space="preserve"> </w:t>
      </w:r>
      <w:r w:rsidRPr="00B97E44">
        <w:rPr>
          <w:rFonts w:ascii="David" w:hAnsi="David" w:hint="eastAsia"/>
          <w:sz w:val="24"/>
          <w:rtl/>
        </w:rPr>
        <w:t>המיסים</w:t>
      </w:r>
      <w:r w:rsidRPr="00B97E44">
        <w:rPr>
          <w:rFonts w:ascii="David" w:hAnsi="David" w:hint="cs"/>
          <w:sz w:val="24"/>
          <w:rtl/>
        </w:rPr>
        <w:t xml:space="preserve"> במאי 2024</w:t>
      </w:r>
      <w:r w:rsidRPr="00B97E44">
        <w:rPr>
          <w:rFonts w:ascii="David" w:hAnsi="David"/>
          <w:sz w:val="24"/>
          <w:rtl/>
        </w:rPr>
        <w:t xml:space="preserve">, </w:t>
      </w:r>
      <w:r w:rsidRPr="00B97E44">
        <w:rPr>
          <w:rFonts w:ascii="David" w:hAnsi="David" w:hint="eastAsia"/>
          <w:sz w:val="24"/>
          <w:rtl/>
        </w:rPr>
        <w:t>לא</w:t>
      </w:r>
      <w:r w:rsidRPr="00B97E44">
        <w:rPr>
          <w:rFonts w:ascii="David" w:hAnsi="David"/>
          <w:sz w:val="24"/>
          <w:rtl/>
        </w:rPr>
        <w:t xml:space="preserve"> </w:t>
      </w:r>
      <w:r w:rsidRPr="00B97E44">
        <w:rPr>
          <w:rFonts w:ascii="David" w:hAnsi="David" w:hint="eastAsia"/>
          <w:sz w:val="24"/>
          <w:rtl/>
        </w:rPr>
        <w:t>הצליחו</w:t>
      </w:r>
      <w:r w:rsidRPr="00B97E44">
        <w:rPr>
          <w:rFonts w:ascii="David" w:hAnsi="David" w:hint="cs"/>
          <w:sz w:val="24"/>
          <w:rtl/>
        </w:rPr>
        <w:t xml:space="preserve"> הצדדים</w:t>
      </w:r>
      <w:r w:rsidRPr="00B97E44">
        <w:rPr>
          <w:rFonts w:ascii="David" w:hAnsi="David"/>
          <w:sz w:val="24"/>
          <w:rtl/>
        </w:rPr>
        <w:t xml:space="preserve"> לסכם על </w:t>
      </w:r>
      <w:r w:rsidRPr="00B97E44">
        <w:rPr>
          <w:rFonts w:ascii="David" w:hAnsi="David" w:hint="eastAsia"/>
          <w:sz w:val="24"/>
          <w:rtl/>
        </w:rPr>
        <w:t>מתווה</w:t>
      </w:r>
      <w:r w:rsidRPr="00B97E44">
        <w:rPr>
          <w:rFonts w:ascii="David" w:hAnsi="David"/>
          <w:sz w:val="24"/>
          <w:rtl/>
        </w:rPr>
        <w:t xml:space="preserve"> </w:t>
      </w:r>
      <w:r w:rsidRPr="00B97E44">
        <w:rPr>
          <w:rFonts w:ascii="David" w:hAnsi="David" w:hint="eastAsia"/>
          <w:sz w:val="24"/>
          <w:rtl/>
        </w:rPr>
        <w:t>לתקצוב</w:t>
      </w:r>
      <w:r w:rsidRPr="00B97E44">
        <w:rPr>
          <w:rFonts w:ascii="David" w:hAnsi="David"/>
          <w:sz w:val="24"/>
          <w:rtl/>
        </w:rPr>
        <w:t xml:space="preserve"> </w:t>
      </w:r>
      <w:r w:rsidRPr="00B97E44">
        <w:rPr>
          <w:rFonts w:ascii="David" w:hAnsi="David" w:hint="cs"/>
          <w:sz w:val="24"/>
          <w:rtl/>
        </w:rPr>
        <w:t>ה</w:t>
      </w:r>
      <w:r w:rsidRPr="00B97E44">
        <w:rPr>
          <w:rFonts w:ascii="David" w:hAnsi="David" w:hint="eastAsia"/>
          <w:sz w:val="24"/>
          <w:rtl/>
        </w:rPr>
        <w:t>שיקום</w:t>
      </w:r>
      <w:r w:rsidRPr="00B97E44">
        <w:rPr>
          <w:rFonts w:ascii="David" w:hAnsi="David"/>
          <w:sz w:val="24"/>
          <w:rtl/>
        </w:rPr>
        <w:t xml:space="preserve"> </w:t>
      </w:r>
      <w:r w:rsidRPr="00B97E44">
        <w:rPr>
          <w:rFonts w:ascii="David" w:hAnsi="David" w:hint="cs"/>
          <w:sz w:val="24"/>
          <w:rtl/>
        </w:rPr>
        <w:t xml:space="preserve">של </w:t>
      </w:r>
      <w:r w:rsidRPr="00B97E44">
        <w:rPr>
          <w:rFonts w:ascii="David" w:hAnsi="David" w:hint="eastAsia"/>
          <w:sz w:val="24"/>
          <w:rtl/>
        </w:rPr>
        <w:t>השטחים</w:t>
      </w:r>
      <w:r w:rsidRPr="00B97E44">
        <w:rPr>
          <w:rFonts w:ascii="David" w:hAnsi="David"/>
          <w:sz w:val="24"/>
          <w:rtl/>
        </w:rPr>
        <w:t xml:space="preserve"> </w:t>
      </w:r>
      <w:r w:rsidRPr="00B97E44">
        <w:rPr>
          <w:rFonts w:ascii="David" w:hAnsi="David" w:hint="eastAsia"/>
          <w:sz w:val="24"/>
          <w:rtl/>
        </w:rPr>
        <w:t>הפתוחי</w:t>
      </w:r>
      <w:r w:rsidRPr="00B97E44">
        <w:rPr>
          <w:rFonts w:ascii="David" w:hAnsi="David" w:hint="cs"/>
          <w:sz w:val="24"/>
          <w:rtl/>
        </w:rPr>
        <w:t>ם,</w:t>
      </w:r>
      <w:r w:rsidRPr="00B97E44">
        <w:rPr>
          <w:rFonts w:ascii="David" w:hAnsi="David"/>
          <w:sz w:val="24"/>
          <w:rtl/>
        </w:rPr>
        <w:t xml:space="preserve"> </w:t>
      </w:r>
      <w:r w:rsidRPr="00B97E44">
        <w:rPr>
          <w:rFonts w:ascii="David" w:hAnsi="David" w:hint="cs"/>
          <w:sz w:val="24"/>
          <w:rtl/>
        </w:rPr>
        <w:t>ו</w:t>
      </w:r>
      <w:r w:rsidRPr="00B97E44">
        <w:rPr>
          <w:rFonts w:ascii="David" w:hAnsi="David"/>
          <w:sz w:val="24"/>
          <w:rtl/>
        </w:rPr>
        <w:t>הפער</w:t>
      </w:r>
      <w:r w:rsidRPr="00B97E44">
        <w:rPr>
          <w:rFonts w:ascii="David" w:hAnsi="David" w:hint="cs"/>
          <w:sz w:val="24"/>
          <w:rtl/>
        </w:rPr>
        <w:t xml:space="preserve"> ביניהם</w:t>
      </w:r>
      <w:r w:rsidRPr="00B97E44">
        <w:rPr>
          <w:rFonts w:ascii="David" w:hAnsi="David"/>
          <w:sz w:val="24"/>
          <w:rtl/>
        </w:rPr>
        <w:t xml:space="preserve"> </w:t>
      </w:r>
      <w:r w:rsidRPr="00B97E44">
        <w:rPr>
          <w:rFonts w:ascii="David" w:hAnsi="David" w:hint="cs"/>
          <w:sz w:val="24"/>
          <w:rtl/>
        </w:rPr>
        <w:t>ה</w:t>
      </w:r>
      <w:r w:rsidRPr="00B97E44">
        <w:rPr>
          <w:rFonts w:ascii="David" w:hAnsi="David" w:hint="eastAsia"/>
          <w:sz w:val="24"/>
          <w:rtl/>
        </w:rPr>
        <w:t>תרכז</w:t>
      </w:r>
      <w:r w:rsidRPr="00B97E44">
        <w:rPr>
          <w:rFonts w:ascii="David" w:hAnsi="David"/>
          <w:sz w:val="24"/>
          <w:rtl/>
        </w:rPr>
        <w:t xml:space="preserve"> </w:t>
      </w:r>
      <w:r w:rsidRPr="00B97E44">
        <w:rPr>
          <w:rFonts w:ascii="David" w:hAnsi="David" w:hint="eastAsia"/>
          <w:sz w:val="24"/>
          <w:rtl/>
        </w:rPr>
        <w:t>בפיצוי</w:t>
      </w:r>
      <w:r w:rsidRPr="00B97E44">
        <w:rPr>
          <w:rFonts w:ascii="David" w:hAnsi="David"/>
          <w:sz w:val="24"/>
          <w:rtl/>
        </w:rPr>
        <w:t xml:space="preserve"> </w:t>
      </w:r>
      <w:r w:rsidRPr="00B97E44">
        <w:rPr>
          <w:rFonts w:ascii="David" w:hAnsi="David" w:hint="eastAsia"/>
          <w:sz w:val="24"/>
          <w:rtl/>
        </w:rPr>
        <w:t>בגין</w:t>
      </w:r>
      <w:r w:rsidRPr="00B97E44">
        <w:rPr>
          <w:rFonts w:ascii="David" w:hAnsi="David"/>
          <w:sz w:val="24"/>
          <w:rtl/>
        </w:rPr>
        <w:t xml:space="preserve"> הפגיעה ב</w:t>
      </w:r>
      <w:r w:rsidRPr="00B97E44">
        <w:rPr>
          <w:rFonts w:ascii="David" w:hAnsi="David" w:hint="eastAsia"/>
          <w:sz w:val="24"/>
          <w:rtl/>
        </w:rPr>
        <w:t>שטחים</w:t>
      </w:r>
      <w:r w:rsidRPr="00B97E44">
        <w:rPr>
          <w:rFonts w:ascii="David" w:hAnsi="David"/>
          <w:sz w:val="24"/>
          <w:rtl/>
        </w:rPr>
        <w:t xml:space="preserve"> </w:t>
      </w:r>
      <w:r w:rsidRPr="00B97E44">
        <w:rPr>
          <w:rFonts w:ascii="David" w:hAnsi="David" w:hint="eastAsia"/>
          <w:sz w:val="24"/>
          <w:rtl/>
        </w:rPr>
        <w:t>הפתוחים</w:t>
      </w:r>
      <w:r w:rsidRPr="00B97E44">
        <w:rPr>
          <w:rFonts w:ascii="David" w:hAnsi="David"/>
          <w:sz w:val="24"/>
          <w:rtl/>
        </w:rPr>
        <w:t xml:space="preserve"> </w:t>
      </w:r>
      <w:r w:rsidRPr="00B97E44">
        <w:rPr>
          <w:rFonts w:ascii="David" w:hAnsi="David" w:hint="eastAsia"/>
          <w:sz w:val="24"/>
          <w:rtl/>
        </w:rPr>
        <w:t>שאינם</w:t>
      </w:r>
      <w:r w:rsidRPr="00B97E44">
        <w:rPr>
          <w:rFonts w:ascii="David" w:hAnsi="David"/>
          <w:sz w:val="24"/>
          <w:rtl/>
        </w:rPr>
        <w:t xml:space="preserve"> </w:t>
      </w:r>
      <w:r w:rsidRPr="00B97E44">
        <w:rPr>
          <w:rFonts w:ascii="David" w:hAnsi="David" w:hint="eastAsia"/>
          <w:sz w:val="24"/>
          <w:rtl/>
        </w:rPr>
        <w:t>חקלאיים</w:t>
      </w:r>
      <w:r w:rsidRPr="00B97E44">
        <w:rPr>
          <w:rFonts w:ascii="David" w:hAnsi="David"/>
          <w:sz w:val="24"/>
          <w:rtl/>
        </w:rPr>
        <w:t xml:space="preserve"> </w:t>
      </w:r>
      <w:r w:rsidRPr="00B97E44">
        <w:rPr>
          <w:rFonts w:ascii="David" w:hAnsi="David" w:hint="eastAsia"/>
          <w:sz w:val="24"/>
          <w:rtl/>
        </w:rPr>
        <w:t>מכוח</w:t>
      </w:r>
      <w:r w:rsidRPr="00B97E44">
        <w:rPr>
          <w:rFonts w:ascii="David" w:hAnsi="David"/>
          <w:sz w:val="24"/>
          <w:rtl/>
        </w:rPr>
        <w:t xml:space="preserve"> </w:t>
      </w:r>
      <w:r w:rsidRPr="00A02CC7">
        <w:rPr>
          <w:rFonts w:ascii="David" w:hAnsi="David"/>
          <w:sz w:val="24"/>
          <w:rtl/>
        </w:rPr>
        <w:t xml:space="preserve">חוק מס רכוש </w:t>
      </w:r>
      <w:r w:rsidRPr="00C50FAA">
        <w:rPr>
          <w:rFonts w:ascii="David" w:hAnsi="David" w:hint="eastAsia"/>
          <w:sz w:val="24"/>
          <w:rtl/>
        </w:rPr>
        <w:t>ו</w:t>
      </w:r>
      <w:r w:rsidRPr="00C50FAA">
        <w:rPr>
          <w:rFonts w:ascii="David" w:hAnsi="David"/>
          <w:sz w:val="24"/>
          <w:rtl/>
        </w:rPr>
        <w:t>תקנות</w:t>
      </w:r>
      <w:r w:rsidRPr="00B97E44">
        <w:rPr>
          <w:rFonts w:ascii="David" w:hAnsi="David"/>
          <w:sz w:val="24"/>
          <w:rtl/>
        </w:rPr>
        <w:t xml:space="preserve"> מס רכוש וקרן פיצויים (תשלום פיצויים) (נזק מלחמה ונזק עקיף), התשל"ג-1973.</w:t>
      </w:r>
    </w:p>
    <w:p w:rsidR="005B126E" w:rsidP="001916A9">
      <w:pPr>
        <w:spacing w:line="269" w:lineRule="auto"/>
        <w:ind w:left="424"/>
        <w:rPr>
          <w:rtl/>
        </w:rPr>
      </w:pPr>
    </w:p>
    <w:p w:rsidR="005B126E" w:rsidRPr="00B97E44" w:rsidP="001916A9">
      <w:pPr>
        <w:spacing w:line="269" w:lineRule="auto"/>
        <w:ind w:left="424"/>
      </w:pPr>
      <w:r w:rsidRPr="00B97E44">
        <w:rPr>
          <w:rFonts w:hint="cs"/>
          <w:rtl/>
        </w:rPr>
        <w:t xml:space="preserve">במאי 2025, כעשרה </w:t>
      </w:r>
      <w:r w:rsidRPr="00B97E44">
        <w:rPr>
          <w:rFonts w:ascii="David" w:hAnsi="David" w:hint="eastAsia"/>
          <w:sz w:val="24"/>
          <w:rtl/>
        </w:rPr>
        <w:t>חודשים</w:t>
      </w:r>
      <w:r w:rsidRPr="00B97E44">
        <w:rPr>
          <w:rFonts w:hint="cs"/>
          <w:rtl/>
        </w:rPr>
        <w:t xml:space="preserve"> לאחר הסיכום בין משרד הגנת הסביבה למשרד הביטחון, מסר המשרד להגנת הסביבה למשרד מבקר המדינה כי משרד הביטחון ורשות המיסים פעלו להסרת מתקנים, יישור השטח וסילוק הפסולת אך לא מימנו את השיקום האקולוגי של השטחים שנפגעו.</w:t>
      </w:r>
    </w:p>
    <w:p w:rsidR="005B126E" w:rsidP="001916A9">
      <w:pPr>
        <w:spacing w:line="269" w:lineRule="auto"/>
        <w:ind w:left="360"/>
        <w:contextualSpacing/>
        <w:rPr>
          <w:rFonts w:ascii="David" w:hAnsi="David"/>
          <w:b/>
          <w:bCs/>
          <w:sz w:val="24"/>
          <w:rtl/>
        </w:rPr>
      </w:pPr>
    </w:p>
    <w:p w:rsidR="005B126E" w:rsidRPr="00B97E44" w:rsidP="001916A9">
      <w:pPr>
        <w:spacing w:line="269" w:lineRule="auto"/>
        <w:ind w:left="360"/>
        <w:contextualSpacing/>
        <w:rPr>
          <w:rFonts w:ascii="David" w:hAnsi="David"/>
          <w:b/>
          <w:bCs/>
          <w:sz w:val="24"/>
        </w:rPr>
      </w:pPr>
      <w:r w:rsidRPr="00B97E44">
        <w:rPr>
          <w:rFonts w:ascii="David" w:hAnsi="David" w:hint="cs"/>
          <w:b/>
          <w:bCs/>
          <w:sz w:val="24"/>
          <w:rtl/>
        </w:rPr>
        <w:t xml:space="preserve">נמצא כי </w:t>
      </w:r>
      <w:r w:rsidRPr="00B97E44">
        <w:rPr>
          <w:rFonts w:ascii="David" w:hAnsi="David" w:hint="eastAsia"/>
          <w:b/>
          <w:bCs/>
          <w:sz w:val="24"/>
          <w:rtl/>
        </w:rPr>
        <w:t>במועד</w:t>
      </w:r>
      <w:r w:rsidRPr="00B97E44">
        <w:rPr>
          <w:rFonts w:ascii="David" w:hAnsi="David"/>
          <w:b/>
          <w:bCs/>
          <w:sz w:val="24"/>
          <w:rtl/>
        </w:rPr>
        <w:t xml:space="preserve"> </w:t>
      </w:r>
      <w:r w:rsidRPr="00B97E44">
        <w:rPr>
          <w:rFonts w:ascii="David" w:hAnsi="David" w:hint="eastAsia"/>
          <w:b/>
          <w:bCs/>
          <w:sz w:val="24"/>
          <w:rtl/>
        </w:rPr>
        <w:t>סיום</w:t>
      </w:r>
      <w:r w:rsidRPr="00B97E44">
        <w:rPr>
          <w:rFonts w:ascii="David" w:hAnsi="David"/>
          <w:b/>
          <w:bCs/>
          <w:sz w:val="24"/>
          <w:rtl/>
        </w:rPr>
        <w:t xml:space="preserve"> </w:t>
      </w:r>
      <w:r w:rsidRPr="00B97E44">
        <w:rPr>
          <w:rFonts w:ascii="David" w:hAnsi="David" w:hint="eastAsia"/>
          <w:b/>
          <w:bCs/>
          <w:sz w:val="24"/>
          <w:rtl/>
        </w:rPr>
        <w:t>הביקורת</w:t>
      </w:r>
      <w:r w:rsidRPr="00B97E44">
        <w:rPr>
          <w:rFonts w:ascii="David" w:hAnsi="David" w:hint="cs"/>
          <w:b/>
          <w:bCs/>
          <w:sz w:val="24"/>
          <w:rtl/>
        </w:rPr>
        <w:t xml:space="preserve">, בחלוף יותר משנה </w:t>
      </w:r>
      <w:r w:rsidRPr="00B97E44">
        <w:rPr>
          <w:rFonts w:ascii="David" w:hAnsi="David" w:hint="eastAsia"/>
          <w:b/>
          <w:bCs/>
          <w:sz w:val="24"/>
          <w:rtl/>
        </w:rPr>
        <w:t>מאז</w:t>
      </w:r>
      <w:r w:rsidRPr="00B97E44">
        <w:rPr>
          <w:rFonts w:ascii="David" w:hAnsi="David"/>
          <w:b/>
          <w:bCs/>
          <w:sz w:val="24"/>
          <w:rtl/>
        </w:rPr>
        <w:t xml:space="preserve"> </w:t>
      </w:r>
      <w:r w:rsidRPr="00B97E44">
        <w:rPr>
          <w:rFonts w:ascii="David" w:hAnsi="David" w:hint="eastAsia"/>
          <w:b/>
          <w:bCs/>
          <w:sz w:val="24"/>
          <w:rtl/>
        </w:rPr>
        <w:t>הפגישה</w:t>
      </w:r>
      <w:r w:rsidRPr="00B97E44">
        <w:rPr>
          <w:rFonts w:ascii="David" w:hAnsi="David"/>
          <w:b/>
          <w:bCs/>
          <w:sz w:val="24"/>
          <w:rtl/>
        </w:rPr>
        <w:t xml:space="preserve"> </w:t>
      </w:r>
      <w:r w:rsidRPr="00B97E44">
        <w:rPr>
          <w:rFonts w:ascii="David" w:hAnsi="David" w:hint="eastAsia"/>
          <w:b/>
          <w:bCs/>
          <w:sz w:val="24"/>
          <w:rtl/>
        </w:rPr>
        <w:t>האמורה</w:t>
      </w:r>
      <w:r w:rsidRPr="00B97E44">
        <w:rPr>
          <w:rFonts w:ascii="David" w:hAnsi="David"/>
          <w:b/>
          <w:bCs/>
          <w:sz w:val="24"/>
          <w:rtl/>
        </w:rPr>
        <w:t xml:space="preserve"> במאי 2024</w:t>
      </w:r>
      <w:r w:rsidRPr="00B97E44">
        <w:rPr>
          <w:rFonts w:ascii="David" w:hAnsi="David" w:hint="cs"/>
          <w:b/>
          <w:bCs/>
          <w:sz w:val="24"/>
          <w:rtl/>
        </w:rPr>
        <w:t>,</w:t>
      </w:r>
      <w:r w:rsidRPr="00B97E44">
        <w:rPr>
          <w:rFonts w:ascii="David" w:hAnsi="David"/>
          <w:b/>
          <w:bCs/>
          <w:sz w:val="24"/>
          <w:rtl/>
        </w:rPr>
        <w:t xml:space="preserve"> </w:t>
      </w:r>
      <w:r w:rsidRPr="00B97E44">
        <w:rPr>
          <w:rFonts w:ascii="David" w:hAnsi="David" w:hint="cs"/>
          <w:b/>
          <w:bCs/>
          <w:sz w:val="24"/>
          <w:rtl/>
        </w:rPr>
        <w:t xml:space="preserve">לא </w:t>
      </w:r>
      <w:r w:rsidRPr="00B97E44">
        <w:rPr>
          <w:rFonts w:ascii="David" w:hAnsi="David" w:hint="eastAsia"/>
          <w:b/>
          <w:bCs/>
          <w:sz w:val="24"/>
          <w:rtl/>
        </w:rPr>
        <w:t>הושג</w:t>
      </w:r>
      <w:r w:rsidRPr="00B97E44">
        <w:rPr>
          <w:rFonts w:ascii="David" w:hAnsi="David" w:hint="cs"/>
          <w:b/>
          <w:bCs/>
          <w:sz w:val="24"/>
          <w:rtl/>
        </w:rPr>
        <w:t xml:space="preserve"> פתרון לפער בין המשרד להגנת הסביבה ובין רשות המיסים </w:t>
      </w:r>
      <w:r w:rsidRPr="00B97E44">
        <w:rPr>
          <w:rFonts w:ascii="David" w:hAnsi="David" w:hint="eastAsia"/>
          <w:b/>
          <w:bCs/>
          <w:sz w:val="24"/>
          <w:rtl/>
        </w:rPr>
        <w:t>בדבר</w:t>
      </w:r>
      <w:r w:rsidRPr="00B97E44">
        <w:rPr>
          <w:rFonts w:ascii="David" w:hAnsi="David"/>
          <w:b/>
          <w:bCs/>
          <w:sz w:val="24"/>
          <w:rtl/>
        </w:rPr>
        <w:t xml:space="preserve"> פיצוי </w:t>
      </w:r>
      <w:r w:rsidRPr="00B97E44">
        <w:rPr>
          <w:rFonts w:ascii="David" w:hAnsi="David" w:hint="cs"/>
          <w:b/>
          <w:bCs/>
          <w:sz w:val="24"/>
          <w:rtl/>
        </w:rPr>
        <w:t xml:space="preserve">בגין </w:t>
      </w:r>
      <w:r w:rsidRPr="00B97E44">
        <w:rPr>
          <w:rFonts w:ascii="David" w:hAnsi="David"/>
          <w:b/>
          <w:bCs/>
          <w:sz w:val="24"/>
          <w:rtl/>
        </w:rPr>
        <w:t xml:space="preserve">הנזקים שנגרמו לשטחים הפתוחים </w:t>
      </w:r>
      <w:r w:rsidRPr="00B97E44">
        <w:rPr>
          <w:rFonts w:ascii="David" w:hAnsi="David" w:hint="eastAsia"/>
          <w:b/>
          <w:bCs/>
          <w:sz w:val="24"/>
          <w:rtl/>
        </w:rPr>
        <w:t>שאינם</w:t>
      </w:r>
      <w:r w:rsidRPr="00B97E44">
        <w:rPr>
          <w:rFonts w:ascii="David" w:hAnsi="David"/>
          <w:b/>
          <w:bCs/>
          <w:sz w:val="24"/>
          <w:rtl/>
        </w:rPr>
        <w:t xml:space="preserve"> </w:t>
      </w:r>
      <w:r w:rsidRPr="00B97E44">
        <w:rPr>
          <w:rFonts w:ascii="David" w:hAnsi="David" w:hint="eastAsia"/>
          <w:b/>
          <w:bCs/>
          <w:sz w:val="24"/>
          <w:rtl/>
        </w:rPr>
        <w:t>חקלאיים</w:t>
      </w:r>
      <w:r w:rsidRPr="00B97E44">
        <w:rPr>
          <w:rFonts w:ascii="David" w:hAnsi="David"/>
          <w:b/>
          <w:bCs/>
          <w:sz w:val="24"/>
          <w:rtl/>
        </w:rPr>
        <w:t>.</w:t>
      </w:r>
      <w:r w:rsidRPr="00B97E44">
        <w:rPr>
          <w:rFonts w:ascii="David" w:hAnsi="David" w:hint="cs"/>
          <w:b/>
          <w:bCs/>
          <w:sz w:val="24"/>
          <w:rtl/>
        </w:rPr>
        <w:t xml:space="preserve"> בעקבות העיכוב הוחמרו הנזקים האקולוגיים והפיזיים לשטחים הפתוחים, לעיתים באופן בלתי הפיך, כפי שמסרה </w:t>
      </w:r>
      <w:r w:rsidRPr="00B97E44">
        <w:rPr>
          <w:rFonts w:ascii="David" w:hAnsi="David" w:hint="cs"/>
          <w:b/>
          <w:bCs/>
          <w:sz w:val="24"/>
          <w:rtl/>
        </w:rPr>
        <w:t>רט"ג</w:t>
      </w:r>
      <w:r w:rsidRPr="00B97E44">
        <w:rPr>
          <w:rFonts w:ascii="David" w:hAnsi="David" w:hint="cs"/>
          <w:b/>
          <w:bCs/>
          <w:sz w:val="24"/>
          <w:rtl/>
        </w:rPr>
        <w:t xml:space="preserve"> למשרד מבקר המדינה ביולי 2025.</w:t>
      </w:r>
    </w:p>
    <w:p w:rsidR="005B126E" w:rsidRPr="004D758A" w:rsidP="001916A9">
      <w:pPr>
        <w:spacing w:line="269" w:lineRule="auto"/>
        <w:ind w:left="360"/>
        <w:rPr>
          <w:rFonts w:ascii="David" w:hAnsi="David"/>
          <w:sz w:val="24"/>
        </w:rPr>
      </w:pPr>
    </w:p>
    <w:p w:rsidR="005B126E" w:rsidRPr="006D4DD0" w:rsidP="001916A9">
      <w:pPr>
        <w:pStyle w:val="ListParagraph"/>
        <w:numPr>
          <w:ilvl w:val="0"/>
          <w:numId w:val="30"/>
        </w:numPr>
        <w:spacing w:line="269" w:lineRule="auto"/>
        <w:rPr>
          <w:rFonts w:ascii="David" w:hAnsi="David"/>
          <w:sz w:val="24"/>
          <w:rtl/>
        </w:rPr>
      </w:pPr>
      <w:r w:rsidRPr="006D4DD0">
        <w:rPr>
          <w:rFonts w:ascii="David" w:hAnsi="David" w:hint="eastAsia"/>
          <w:sz w:val="24"/>
          <w:rtl/>
        </w:rPr>
        <w:t>הקרן</w:t>
      </w:r>
      <w:r w:rsidRPr="006D4DD0">
        <w:rPr>
          <w:rFonts w:ascii="David" w:hAnsi="David"/>
          <w:sz w:val="24"/>
          <w:rtl/>
        </w:rPr>
        <w:t xml:space="preserve"> לשמירה על שטחים פתוחים </w:t>
      </w:r>
      <w:r w:rsidRPr="006D4DD0">
        <w:rPr>
          <w:rFonts w:ascii="David" w:hAnsi="David"/>
          <w:sz w:val="24"/>
          <w:rtl/>
        </w:rPr>
        <w:t>שברמ"י</w:t>
      </w:r>
      <w:r w:rsidRPr="006D4DD0">
        <w:rPr>
          <w:rFonts w:ascii="David" w:hAnsi="David"/>
          <w:sz w:val="24"/>
          <w:rtl/>
        </w:rPr>
        <w:t xml:space="preserve"> ממ</w:t>
      </w:r>
      <w:r w:rsidRPr="006D4DD0">
        <w:rPr>
          <w:rFonts w:ascii="David" w:hAnsi="David" w:hint="eastAsia"/>
          <w:sz w:val="24"/>
          <w:rtl/>
        </w:rPr>
        <w:t>מ</w:t>
      </w:r>
      <w:r w:rsidRPr="006D4DD0">
        <w:rPr>
          <w:rFonts w:ascii="David" w:hAnsi="David"/>
          <w:sz w:val="24"/>
          <w:rtl/>
        </w:rPr>
        <w:t>נת פעולות שמטרתן סיוע לשמירה, לפיתוח הסביבתי ולטיפוח השטחים הפתוחים שמחוץ לשטחים העירוניים הבנויים - לרבות שטחים פתוחים</w:t>
      </w:r>
      <w:r w:rsidRPr="006D4DD0">
        <w:rPr>
          <w:rFonts w:ascii="David" w:hAnsi="David" w:hint="cs"/>
          <w:sz w:val="24"/>
          <w:rtl/>
        </w:rPr>
        <w:t xml:space="preserve"> החיוניים </w:t>
      </w:r>
      <w:r w:rsidRPr="006D4DD0">
        <w:rPr>
          <w:rFonts w:ascii="David" w:hAnsi="David"/>
          <w:sz w:val="24"/>
          <w:rtl/>
        </w:rPr>
        <w:t xml:space="preserve">לשמירה על המגוון הביולוגי ועל המערכות האקולוגיות בישראל - וכן פארקים ואזורי נופש ופנאי. </w:t>
      </w:r>
    </w:p>
    <w:p w:rsidR="005B126E" w:rsidP="001916A9">
      <w:pPr>
        <w:spacing w:line="269" w:lineRule="auto"/>
        <w:ind w:left="360"/>
        <w:rPr>
          <w:rtl/>
        </w:rPr>
      </w:pPr>
    </w:p>
    <w:p w:rsidR="005B126E" w:rsidRPr="00B97E44" w:rsidP="001916A9">
      <w:pPr>
        <w:spacing w:line="269" w:lineRule="auto"/>
        <w:ind w:left="360"/>
        <w:rPr>
          <w:rtl/>
        </w:rPr>
      </w:pPr>
      <w:r w:rsidRPr="00B97E44">
        <w:rPr>
          <w:rFonts w:hint="cs"/>
          <w:rtl/>
        </w:rPr>
        <w:t xml:space="preserve">במאי 2024 פרסמה </w:t>
      </w:r>
      <w:r w:rsidRPr="00B97E44">
        <w:rPr>
          <w:rtl/>
        </w:rPr>
        <w:t>ר</w:t>
      </w:r>
      <w:r>
        <w:rPr>
          <w:rFonts w:hint="cs"/>
          <w:rtl/>
        </w:rPr>
        <w:t>מ"י</w:t>
      </w:r>
      <w:r>
        <w:rPr>
          <w:rFonts w:hint="cs"/>
          <w:rtl/>
        </w:rPr>
        <w:t xml:space="preserve"> </w:t>
      </w:r>
      <w:r w:rsidRPr="00B97E44">
        <w:rPr>
          <w:rtl/>
        </w:rPr>
        <w:t>קול קורא להגשת בקשות לקרן לשמירה על שטחים פתוחים למימון פעולות לשיקום</w:t>
      </w:r>
      <w:r w:rsidRPr="00B97E44">
        <w:rPr>
          <w:rFonts w:hint="cs"/>
          <w:rtl/>
        </w:rPr>
        <w:t>,</w:t>
      </w:r>
      <w:r w:rsidRPr="00B97E44">
        <w:rPr>
          <w:rtl/>
        </w:rPr>
        <w:t xml:space="preserve"> </w:t>
      </w:r>
      <w:r w:rsidRPr="00B97E44">
        <w:rPr>
          <w:rFonts w:hint="cs"/>
          <w:rtl/>
        </w:rPr>
        <w:t>ל</w:t>
      </w:r>
      <w:r w:rsidRPr="00B97E44">
        <w:rPr>
          <w:rtl/>
        </w:rPr>
        <w:t>טיפוח ו</w:t>
      </w:r>
      <w:r w:rsidRPr="00B97E44">
        <w:rPr>
          <w:rFonts w:hint="cs"/>
          <w:rtl/>
        </w:rPr>
        <w:t>ל</w:t>
      </w:r>
      <w:r w:rsidRPr="00B97E44">
        <w:rPr>
          <w:rtl/>
        </w:rPr>
        <w:t xml:space="preserve">פיתוח בשטחים </w:t>
      </w:r>
      <w:r w:rsidRPr="00B97E44">
        <w:rPr>
          <w:rFonts w:hint="cs"/>
          <w:rtl/>
        </w:rPr>
        <w:t>הפתוחים שנפגעו במלחמת חרבות ברזל ביישובי העימות בצפון ובדרום בסך של 200 מיליו</w:t>
      </w:r>
      <w:r>
        <w:rPr>
          <w:rFonts w:hint="cs"/>
          <w:rtl/>
        </w:rPr>
        <w:t>ני</w:t>
      </w:r>
      <w:r w:rsidRPr="00B97E44">
        <w:rPr>
          <w:rFonts w:hint="cs"/>
          <w:rtl/>
        </w:rPr>
        <w:t xml:space="preserve"> ש"ח. הקול הקורא אפשר להסתייע בכספי הקרן לצורך מיזמים בשטחים הפתוחים ובשטחים המבונים בתחומי היישובים</w:t>
      </w:r>
      <w:r>
        <w:rPr>
          <w:vertAlign w:val="superscript"/>
          <w:rtl/>
        </w:rPr>
        <w:footnoteReference w:id="114"/>
      </w:r>
      <w:r w:rsidRPr="00B97E44">
        <w:rPr>
          <w:rFonts w:hint="cs"/>
          <w:rtl/>
        </w:rPr>
        <w:t xml:space="preserve">. </w:t>
      </w:r>
    </w:p>
    <w:p w:rsidR="005B126E" w:rsidP="001916A9">
      <w:pPr>
        <w:spacing w:line="269" w:lineRule="auto"/>
        <w:ind w:left="360"/>
        <w:rPr>
          <w:b/>
          <w:bCs/>
          <w:rtl/>
        </w:rPr>
      </w:pPr>
    </w:p>
    <w:p w:rsidR="005B126E" w:rsidP="001916A9">
      <w:pPr>
        <w:spacing w:line="269" w:lineRule="auto"/>
        <w:ind w:left="360"/>
        <w:rPr>
          <w:b/>
          <w:bCs/>
          <w:rtl/>
        </w:rPr>
      </w:pPr>
      <w:r w:rsidRPr="00B97E44">
        <w:rPr>
          <w:rFonts w:hint="eastAsia"/>
          <w:b/>
          <w:bCs/>
          <w:rtl/>
        </w:rPr>
        <w:t>במסגרת</w:t>
      </w:r>
      <w:r w:rsidRPr="00B97E44">
        <w:rPr>
          <w:b/>
          <w:bCs/>
          <w:rtl/>
        </w:rPr>
        <w:t xml:space="preserve"> </w:t>
      </w:r>
      <w:r w:rsidRPr="00B97E44">
        <w:rPr>
          <w:rFonts w:hint="eastAsia"/>
          <w:b/>
          <w:bCs/>
          <w:rtl/>
        </w:rPr>
        <w:t>זו</w:t>
      </w:r>
      <w:r w:rsidRPr="00B97E44">
        <w:rPr>
          <w:b/>
          <w:bCs/>
          <w:rtl/>
        </w:rPr>
        <w:t xml:space="preserve">, </w:t>
      </w:r>
      <w:r w:rsidRPr="00B97E44">
        <w:rPr>
          <w:rFonts w:hint="eastAsia"/>
          <w:b/>
          <w:bCs/>
          <w:rtl/>
        </w:rPr>
        <w:t>במהלך</w:t>
      </w:r>
      <w:r w:rsidRPr="00B97E44">
        <w:rPr>
          <w:b/>
          <w:bCs/>
          <w:rtl/>
        </w:rPr>
        <w:t xml:space="preserve"> </w:t>
      </w:r>
      <w:r w:rsidRPr="00B97E44">
        <w:rPr>
          <w:rFonts w:hint="eastAsia"/>
          <w:b/>
          <w:bCs/>
          <w:rtl/>
        </w:rPr>
        <w:t>שנת</w:t>
      </w:r>
      <w:r w:rsidRPr="00B97E44">
        <w:rPr>
          <w:b/>
          <w:bCs/>
          <w:rtl/>
        </w:rPr>
        <w:t xml:space="preserve"> 2024 </w:t>
      </w:r>
      <w:r w:rsidRPr="00B97E44">
        <w:rPr>
          <w:rFonts w:hint="eastAsia"/>
          <w:b/>
          <w:bCs/>
          <w:rtl/>
        </w:rPr>
        <w:t>קיבלה</w:t>
      </w:r>
      <w:r w:rsidRPr="00B97E44">
        <w:rPr>
          <w:b/>
          <w:bCs/>
          <w:rtl/>
        </w:rPr>
        <w:t xml:space="preserve"> </w:t>
      </w:r>
      <w:r w:rsidRPr="00B97E44">
        <w:rPr>
          <w:rFonts w:hint="eastAsia"/>
          <w:b/>
          <w:bCs/>
          <w:rtl/>
        </w:rPr>
        <w:t>ר</w:t>
      </w:r>
      <w:r w:rsidRPr="00B97E44">
        <w:rPr>
          <w:rFonts w:hint="cs"/>
          <w:b/>
          <w:bCs/>
          <w:rtl/>
        </w:rPr>
        <w:t>ט"ג</w:t>
      </w:r>
      <w:r w:rsidRPr="00B97E44">
        <w:rPr>
          <w:b/>
          <w:bCs/>
          <w:rtl/>
        </w:rPr>
        <w:t xml:space="preserve"> </w:t>
      </w:r>
      <w:r w:rsidRPr="00B97E44">
        <w:rPr>
          <w:rFonts w:hint="eastAsia"/>
          <w:b/>
          <w:bCs/>
          <w:rtl/>
        </w:rPr>
        <w:t>תקציב</w:t>
      </w:r>
      <w:r w:rsidRPr="00B97E44">
        <w:rPr>
          <w:b/>
          <w:bCs/>
          <w:rtl/>
        </w:rPr>
        <w:t xml:space="preserve"> </w:t>
      </w:r>
      <w:r w:rsidRPr="00B97E44">
        <w:rPr>
          <w:rFonts w:hint="eastAsia"/>
          <w:b/>
          <w:bCs/>
          <w:rtl/>
        </w:rPr>
        <w:t>בסך</w:t>
      </w:r>
      <w:r w:rsidRPr="00B97E44">
        <w:rPr>
          <w:b/>
          <w:bCs/>
          <w:rtl/>
        </w:rPr>
        <w:t xml:space="preserve"> 12 </w:t>
      </w:r>
      <w:r w:rsidRPr="00B97E44">
        <w:rPr>
          <w:rFonts w:hint="eastAsia"/>
          <w:b/>
          <w:bCs/>
          <w:rtl/>
        </w:rPr>
        <w:t>מיליו</w:t>
      </w:r>
      <w:r>
        <w:rPr>
          <w:rFonts w:hint="cs"/>
          <w:b/>
          <w:bCs/>
          <w:rtl/>
        </w:rPr>
        <w:t xml:space="preserve">ני </w:t>
      </w:r>
      <w:r w:rsidRPr="00B97E44">
        <w:rPr>
          <w:rFonts w:hint="eastAsia"/>
          <w:b/>
          <w:bCs/>
          <w:rtl/>
        </w:rPr>
        <w:t>ש</w:t>
      </w:r>
      <w:r w:rsidRPr="00B97E44">
        <w:rPr>
          <w:b/>
          <w:bCs/>
          <w:rtl/>
        </w:rPr>
        <w:t xml:space="preserve">"ח </w:t>
      </w:r>
      <w:r w:rsidRPr="00B97E44">
        <w:rPr>
          <w:rFonts w:hint="eastAsia"/>
          <w:b/>
          <w:bCs/>
          <w:rtl/>
        </w:rPr>
        <w:t>לשיקום</w:t>
      </w:r>
      <w:r w:rsidRPr="00B97E44">
        <w:rPr>
          <w:b/>
          <w:bCs/>
          <w:rtl/>
        </w:rPr>
        <w:t xml:space="preserve"> </w:t>
      </w:r>
      <w:r w:rsidRPr="00B97E44">
        <w:rPr>
          <w:rFonts w:hint="eastAsia"/>
          <w:b/>
          <w:bCs/>
          <w:rtl/>
        </w:rPr>
        <w:t>שטחים</w:t>
      </w:r>
      <w:r w:rsidRPr="00B97E44">
        <w:rPr>
          <w:b/>
          <w:bCs/>
          <w:rtl/>
        </w:rPr>
        <w:t xml:space="preserve"> </w:t>
      </w:r>
      <w:r w:rsidRPr="00B97E44">
        <w:rPr>
          <w:rFonts w:hint="eastAsia"/>
          <w:b/>
          <w:bCs/>
          <w:rtl/>
        </w:rPr>
        <w:t>פתוחים</w:t>
      </w:r>
      <w:r w:rsidRPr="00B97E44">
        <w:rPr>
          <w:b/>
          <w:bCs/>
          <w:rtl/>
        </w:rPr>
        <w:t xml:space="preserve"> </w:t>
      </w:r>
      <w:r w:rsidRPr="00B97E44">
        <w:rPr>
          <w:rFonts w:hint="eastAsia"/>
          <w:b/>
          <w:bCs/>
          <w:rtl/>
        </w:rPr>
        <w:t>שנפגעו</w:t>
      </w:r>
      <w:r w:rsidRPr="00B97E44">
        <w:rPr>
          <w:b/>
          <w:bCs/>
          <w:rtl/>
        </w:rPr>
        <w:t xml:space="preserve"> </w:t>
      </w:r>
      <w:r w:rsidRPr="00B97E44">
        <w:rPr>
          <w:rFonts w:hint="eastAsia"/>
          <w:b/>
          <w:bCs/>
          <w:rtl/>
        </w:rPr>
        <w:t>במלחמת</w:t>
      </w:r>
      <w:r w:rsidRPr="00B97E44">
        <w:rPr>
          <w:b/>
          <w:bCs/>
          <w:rtl/>
        </w:rPr>
        <w:t xml:space="preserve"> </w:t>
      </w:r>
      <w:r w:rsidRPr="00B97E44">
        <w:rPr>
          <w:rFonts w:hint="eastAsia"/>
          <w:b/>
          <w:bCs/>
          <w:rtl/>
        </w:rPr>
        <w:t>חרבות</w:t>
      </w:r>
      <w:r w:rsidRPr="00B97E44">
        <w:rPr>
          <w:b/>
          <w:bCs/>
          <w:rtl/>
        </w:rPr>
        <w:t xml:space="preserve"> </w:t>
      </w:r>
      <w:r w:rsidRPr="00B97E44">
        <w:rPr>
          <w:rFonts w:hint="eastAsia"/>
          <w:b/>
          <w:bCs/>
          <w:rtl/>
        </w:rPr>
        <w:t>ברזל</w:t>
      </w:r>
      <w:r w:rsidRPr="00B97E44">
        <w:rPr>
          <w:b/>
          <w:bCs/>
          <w:rtl/>
        </w:rPr>
        <w:t xml:space="preserve">, </w:t>
      </w:r>
      <w:r w:rsidRPr="00B97E44">
        <w:rPr>
          <w:rFonts w:hint="eastAsia"/>
          <w:b/>
          <w:bCs/>
          <w:rtl/>
        </w:rPr>
        <w:t>מתוכם</w:t>
      </w:r>
      <w:r w:rsidRPr="00B97E44">
        <w:rPr>
          <w:b/>
          <w:bCs/>
          <w:rtl/>
        </w:rPr>
        <w:t xml:space="preserve"> </w:t>
      </w:r>
      <w:r w:rsidRPr="00B97E44">
        <w:rPr>
          <w:rFonts w:hint="eastAsia"/>
          <w:b/>
          <w:bCs/>
          <w:rtl/>
        </w:rPr>
        <w:t>כ</w:t>
      </w:r>
      <w:r w:rsidRPr="00B97E44">
        <w:rPr>
          <w:b/>
          <w:bCs/>
          <w:rtl/>
        </w:rPr>
        <w:t xml:space="preserve">-3.2 </w:t>
      </w:r>
      <w:r w:rsidRPr="00B97E44">
        <w:rPr>
          <w:rFonts w:hint="eastAsia"/>
          <w:b/>
          <w:bCs/>
          <w:rtl/>
        </w:rPr>
        <w:t>מיליו</w:t>
      </w:r>
      <w:r>
        <w:rPr>
          <w:rFonts w:hint="cs"/>
          <w:b/>
          <w:bCs/>
          <w:rtl/>
        </w:rPr>
        <w:t>ני</w:t>
      </w:r>
      <w:r w:rsidRPr="00B97E44">
        <w:rPr>
          <w:b/>
          <w:bCs/>
          <w:rtl/>
        </w:rPr>
        <w:t xml:space="preserve"> </w:t>
      </w:r>
      <w:r w:rsidRPr="00B97E44">
        <w:rPr>
          <w:rFonts w:hint="eastAsia"/>
          <w:b/>
          <w:bCs/>
          <w:rtl/>
        </w:rPr>
        <w:t>ש</w:t>
      </w:r>
      <w:r w:rsidRPr="00B97E44">
        <w:rPr>
          <w:b/>
          <w:bCs/>
          <w:rtl/>
        </w:rPr>
        <w:t xml:space="preserve">"ח </w:t>
      </w:r>
      <w:r w:rsidRPr="00B97E44">
        <w:rPr>
          <w:rFonts w:hint="eastAsia"/>
          <w:b/>
          <w:bCs/>
          <w:rtl/>
        </w:rPr>
        <w:t>לשיקום</w:t>
      </w:r>
      <w:r w:rsidRPr="00B97E44">
        <w:rPr>
          <w:b/>
          <w:bCs/>
          <w:rtl/>
        </w:rPr>
        <w:t xml:space="preserve"> </w:t>
      </w:r>
      <w:r w:rsidRPr="00B97E44">
        <w:rPr>
          <w:rFonts w:hint="eastAsia"/>
          <w:b/>
          <w:bCs/>
          <w:rtl/>
        </w:rPr>
        <w:t>שמורות</w:t>
      </w:r>
      <w:r w:rsidRPr="00B97E44">
        <w:rPr>
          <w:b/>
          <w:bCs/>
          <w:rtl/>
        </w:rPr>
        <w:t xml:space="preserve"> </w:t>
      </w:r>
      <w:r w:rsidRPr="00B97E44">
        <w:rPr>
          <w:rFonts w:hint="eastAsia"/>
          <w:b/>
          <w:bCs/>
          <w:rtl/>
        </w:rPr>
        <w:t>טבע</w:t>
      </w:r>
      <w:r w:rsidRPr="00B97E44">
        <w:rPr>
          <w:b/>
          <w:bCs/>
          <w:rtl/>
        </w:rPr>
        <w:t xml:space="preserve"> </w:t>
      </w:r>
      <w:r w:rsidRPr="00B97E44">
        <w:rPr>
          <w:rFonts w:hint="eastAsia"/>
          <w:b/>
          <w:bCs/>
          <w:rtl/>
        </w:rPr>
        <w:t>בדרום</w:t>
      </w:r>
      <w:r w:rsidRPr="00B97E44">
        <w:rPr>
          <w:b/>
          <w:bCs/>
          <w:rtl/>
        </w:rPr>
        <w:t xml:space="preserve"> - כ-4% בלבד מהתקציב הנדרש, שנאמד כאמור בכ-72 מיליוני ש"ח. נוסף על כך, כ-30 מיליוני ש"ח הועברו </w:t>
      </w:r>
      <w:r w:rsidRPr="00B97E44">
        <w:rPr>
          <w:rFonts w:hint="cs"/>
          <w:b/>
          <w:bCs/>
          <w:rtl/>
        </w:rPr>
        <w:t xml:space="preserve">מהקרן </w:t>
      </w:r>
      <w:r w:rsidRPr="00B97E44">
        <w:rPr>
          <w:b/>
          <w:bCs/>
          <w:rtl/>
        </w:rPr>
        <w:t xml:space="preserve">למועצה האזורית </w:t>
      </w:r>
      <w:r w:rsidRPr="00B97E44">
        <w:rPr>
          <w:rFonts w:hint="cs"/>
          <w:b/>
          <w:bCs/>
          <w:rtl/>
        </w:rPr>
        <w:t>אשכול</w:t>
      </w:r>
      <w:r w:rsidRPr="00B97E44">
        <w:rPr>
          <w:b/>
          <w:bCs/>
          <w:rtl/>
        </w:rPr>
        <w:t xml:space="preserve"> לשיקום שטחים פתוחים בתחומיה ולשיקום אתרים שנפגעו.</w:t>
      </w:r>
    </w:p>
    <w:p w:rsidR="005B126E" w:rsidRPr="00B97E44" w:rsidP="001916A9">
      <w:pPr>
        <w:spacing w:line="269" w:lineRule="auto"/>
        <w:ind w:left="360"/>
        <w:rPr>
          <w:b/>
          <w:bCs/>
          <w:rtl/>
        </w:rPr>
      </w:pPr>
    </w:p>
    <w:p w:rsidR="005B126E" w:rsidRPr="006D4DD0" w:rsidP="001916A9">
      <w:pPr>
        <w:pStyle w:val="ListParagraph"/>
        <w:numPr>
          <w:ilvl w:val="0"/>
          <w:numId w:val="30"/>
        </w:numPr>
        <w:spacing w:line="269" w:lineRule="auto"/>
        <w:rPr>
          <w:rFonts w:ascii="David" w:hAnsi="David"/>
          <w:sz w:val="24"/>
        </w:rPr>
      </w:pPr>
      <w:r w:rsidRPr="006D4DD0">
        <w:rPr>
          <w:rFonts w:ascii="David" w:hAnsi="David" w:hint="eastAsia"/>
          <w:sz w:val="24"/>
          <w:rtl/>
        </w:rPr>
        <w:t>במאי</w:t>
      </w:r>
      <w:r w:rsidRPr="006D4DD0">
        <w:rPr>
          <w:rFonts w:ascii="David" w:hAnsi="David"/>
          <w:sz w:val="24"/>
          <w:rtl/>
        </w:rPr>
        <w:t xml:space="preserve"> 2025 התקיימה פגישה בין השרה להגנת הסביבה ובין ראש מינהלת תקומה. מסיכומה עולה כי מינהלת תקומה תעביר למשרד להג</w:t>
      </w:r>
      <w:r w:rsidRPr="006D4DD0">
        <w:rPr>
          <w:rFonts w:ascii="David" w:hAnsi="David" w:hint="cs"/>
          <w:sz w:val="24"/>
          <w:rtl/>
        </w:rPr>
        <w:t>נת הסביבה</w:t>
      </w:r>
      <w:r w:rsidRPr="006D4DD0">
        <w:rPr>
          <w:rFonts w:ascii="David" w:hAnsi="David"/>
          <w:sz w:val="24"/>
          <w:rtl/>
        </w:rPr>
        <w:t xml:space="preserve"> תקציב שניתן יהיה להקצות לרשויות המקומיות שבחבל על פי קול קורא שיפרסם המשרד להג</w:t>
      </w:r>
      <w:r w:rsidRPr="006D4DD0">
        <w:rPr>
          <w:rFonts w:ascii="David" w:hAnsi="David" w:hint="cs"/>
          <w:sz w:val="24"/>
          <w:rtl/>
        </w:rPr>
        <w:t>נת הסביבה</w:t>
      </w:r>
      <w:r w:rsidRPr="006D4DD0">
        <w:rPr>
          <w:rFonts w:ascii="David" w:hAnsi="David"/>
          <w:sz w:val="24"/>
          <w:rtl/>
        </w:rPr>
        <w:t xml:space="preserve"> </w:t>
      </w:r>
      <w:r w:rsidRPr="006D4DD0">
        <w:rPr>
          <w:rFonts w:ascii="David" w:hAnsi="David" w:hint="eastAsia"/>
          <w:sz w:val="24"/>
          <w:rtl/>
        </w:rPr>
        <w:t>במסגרתו</w:t>
      </w:r>
      <w:r w:rsidRPr="006D4DD0">
        <w:rPr>
          <w:rFonts w:ascii="David" w:hAnsi="David"/>
          <w:sz w:val="24"/>
          <w:rtl/>
        </w:rPr>
        <w:t xml:space="preserve"> </w:t>
      </w:r>
      <w:r w:rsidRPr="006D4DD0">
        <w:rPr>
          <w:rFonts w:ascii="David" w:hAnsi="David" w:hint="cs"/>
          <w:sz w:val="24"/>
          <w:rtl/>
        </w:rPr>
        <w:t>תינתן</w:t>
      </w:r>
      <w:r w:rsidRPr="006D4DD0">
        <w:rPr>
          <w:rFonts w:ascii="David" w:hAnsi="David"/>
          <w:sz w:val="24"/>
          <w:rtl/>
        </w:rPr>
        <w:t xml:space="preserve"> להן</w:t>
      </w:r>
      <w:r w:rsidRPr="006D4DD0">
        <w:rPr>
          <w:rFonts w:ascii="David" w:hAnsi="David" w:hint="cs"/>
          <w:sz w:val="24"/>
          <w:rtl/>
        </w:rPr>
        <w:t xml:space="preserve">, בין השאר, </w:t>
      </w:r>
      <w:r w:rsidRPr="006D4DD0">
        <w:rPr>
          <w:rFonts w:ascii="David" w:hAnsi="David" w:hint="eastAsia"/>
          <w:sz w:val="24"/>
          <w:rtl/>
        </w:rPr>
        <w:t>אפשרות</w:t>
      </w:r>
      <w:r w:rsidRPr="006D4DD0">
        <w:rPr>
          <w:rFonts w:ascii="David" w:hAnsi="David"/>
          <w:sz w:val="24"/>
          <w:rtl/>
        </w:rPr>
        <w:t xml:space="preserve"> </w:t>
      </w:r>
      <w:r w:rsidRPr="006D4DD0">
        <w:rPr>
          <w:rFonts w:ascii="David" w:hAnsi="David" w:hint="eastAsia"/>
          <w:sz w:val="24"/>
          <w:rtl/>
        </w:rPr>
        <w:t>להגיש</w:t>
      </w:r>
      <w:r w:rsidRPr="006D4DD0">
        <w:rPr>
          <w:rFonts w:ascii="David" w:hAnsi="David"/>
          <w:sz w:val="24"/>
          <w:rtl/>
        </w:rPr>
        <w:t xml:space="preserve"> </w:t>
      </w:r>
      <w:r w:rsidRPr="006D4DD0">
        <w:rPr>
          <w:rFonts w:ascii="David" w:hAnsi="David" w:hint="eastAsia"/>
          <w:sz w:val="24"/>
          <w:rtl/>
        </w:rPr>
        <w:t>הצעה</w:t>
      </w:r>
      <w:r w:rsidRPr="006D4DD0">
        <w:rPr>
          <w:rFonts w:ascii="David" w:hAnsi="David"/>
          <w:sz w:val="24"/>
          <w:rtl/>
        </w:rPr>
        <w:t xml:space="preserve"> </w:t>
      </w:r>
      <w:r w:rsidRPr="006D4DD0">
        <w:rPr>
          <w:rFonts w:ascii="David" w:hAnsi="David" w:hint="eastAsia"/>
          <w:sz w:val="24"/>
          <w:rtl/>
        </w:rPr>
        <w:t>לשיקום</w:t>
      </w:r>
      <w:r w:rsidRPr="006D4DD0">
        <w:rPr>
          <w:rFonts w:ascii="David" w:hAnsi="David"/>
          <w:sz w:val="24"/>
          <w:rtl/>
        </w:rPr>
        <w:t xml:space="preserve"> </w:t>
      </w:r>
      <w:r w:rsidRPr="006D4DD0">
        <w:rPr>
          <w:rFonts w:ascii="David" w:hAnsi="David" w:hint="eastAsia"/>
          <w:sz w:val="24"/>
          <w:rtl/>
        </w:rPr>
        <w:t>סביבתי</w:t>
      </w:r>
      <w:r w:rsidRPr="006D4DD0">
        <w:rPr>
          <w:rFonts w:ascii="David" w:hAnsi="David"/>
          <w:sz w:val="24"/>
          <w:rtl/>
        </w:rPr>
        <w:t xml:space="preserve"> </w:t>
      </w:r>
      <w:r w:rsidRPr="006D4DD0">
        <w:rPr>
          <w:rFonts w:ascii="David" w:hAnsi="David" w:hint="eastAsia"/>
          <w:sz w:val="24"/>
          <w:rtl/>
        </w:rPr>
        <w:t>בתחומי</w:t>
      </w:r>
      <w:r w:rsidRPr="006D4DD0">
        <w:rPr>
          <w:rFonts w:ascii="David" w:hAnsi="David"/>
          <w:sz w:val="24"/>
          <w:rtl/>
        </w:rPr>
        <w:t xml:space="preserve"> </w:t>
      </w:r>
      <w:r w:rsidRPr="006D4DD0">
        <w:rPr>
          <w:rFonts w:ascii="David" w:hAnsi="David" w:hint="eastAsia"/>
          <w:sz w:val="24"/>
          <w:rtl/>
        </w:rPr>
        <w:t>פעילותן</w:t>
      </w:r>
      <w:r w:rsidRPr="006D4DD0">
        <w:rPr>
          <w:rFonts w:ascii="David" w:hAnsi="David"/>
          <w:sz w:val="24"/>
          <w:rtl/>
        </w:rPr>
        <w:t xml:space="preserve">. </w:t>
      </w:r>
    </w:p>
    <w:p w:rsidR="005B126E" w:rsidP="001916A9">
      <w:pPr>
        <w:spacing w:line="269" w:lineRule="auto"/>
        <w:ind w:left="312"/>
        <w:rPr>
          <w:rFonts w:ascii="David" w:hAnsi="David"/>
          <w:sz w:val="24"/>
          <w:rtl/>
        </w:rPr>
      </w:pPr>
    </w:p>
    <w:p w:rsidR="005B126E" w:rsidRPr="00B97E44" w:rsidP="001916A9">
      <w:pPr>
        <w:spacing w:line="269" w:lineRule="auto"/>
        <w:ind w:left="312"/>
        <w:rPr>
          <w:rFonts w:ascii="David" w:hAnsi="David"/>
          <w:sz w:val="24"/>
        </w:rPr>
      </w:pPr>
      <w:r w:rsidRPr="00B97E44">
        <w:rPr>
          <w:rFonts w:ascii="David" w:hAnsi="David" w:hint="eastAsia"/>
          <w:sz w:val="24"/>
          <w:rtl/>
        </w:rPr>
        <w:t>באוגוסט</w:t>
      </w:r>
      <w:r w:rsidRPr="00B97E44">
        <w:rPr>
          <w:rFonts w:ascii="David" w:hAnsi="David"/>
          <w:sz w:val="24"/>
          <w:rtl/>
        </w:rPr>
        <w:t xml:space="preserve"> 2025 </w:t>
      </w:r>
      <w:bookmarkStart w:id="54" w:name="_Hlk207791591"/>
      <w:r w:rsidRPr="00B97E44">
        <w:rPr>
          <w:rFonts w:ascii="David" w:hAnsi="David"/>
          <w:sz w:val="24"/>
          <w:rtl/>
        </w:rPr>
        <w:t>פ</w:t>
      </w:r>
      <w:r w:rsidRPr="00B97E44">
        <w:rPr>
          <w:rFonts w:ascii="David" w:hAnsi="David" w:hint="cs"/>
          <w:sz w:val="24"/>
          <w:rtl/>
        </w:rPr>
        <w:t>רסם המשרד להגנת הסביבה</w:t>
      </w:r>
      <w:r w:rsidRPr="00B97E44">
        <w:rPr>
          <w:rFonts w:ascii="David" w:hAnsi="David"/>
          <w:sz w:val="24"/>
          <w:rtl/>
        </w:rPr>
        <w:t xml:space="preserve"> קול קורא תקומה-טבע 2025 </w:t>
      </w:r>
      <w:r w:rsidRPr="00B97E44">
        <w:rPr>
          <w:rFonts w:ascii="David" w:hAnsi="David" w:hint="cs"/>
          <w:sz w:val="24"/>
          <w:rtl/>
        </w:rPr>
        <w:t>בגובה 43 מיליו</w:t>
      </w:r>
      <w:r>
        <w:rPr>
          <w:rFonts w:ascii="David" w:hAnsi="David" w:hint="cs"/>
          <w:sz w:val="24"/>
          <w:rtl/>
        </w:rPr>
        <w:t>ני</w:t>
      </w:r>
      <w:r w:rsidRPr="00B97E44">
        <w:rPr>
          <w:rFonts w:ascii="David" w:hAnsi="David" w:hint="cs"/>
          <w:sz w:val="24"/>
          <w:rtl/>
        </w:rPr>
        <w:t xml:space="preserve"> ש"ח </w:t>
      </w:r>
      <w:r w:rsidRPr="00B97E44">
        <w:rPr>
          <w:rFonts w:ascii="David" w:hAnsi="David"/>
          <w:sz w:val="24"/>
          <w:rtl/>
        </w:rPr>
        <w:t xml:space="preserve">לשיקום אקולוגי של שטחים פתוחים ולהקמת אתרי טבע מתוך חיבור קהילות בחבל </w:t>
      </w:r>
      <w:r>
        <w:rPr>
          <w:rFonts w:ascii="David" w:hAnsi="David" w:hint="cs"/>
          <w:sz w:val="24"/>
          <w:rtl/>
        </w:rPr>
        <w:t>ה</w:t>
      </w:r>
      <w:r w:rsidRPr="00B97E44">
        <w:rPr>
          <w:rFonts w:ascii="David" w:hAnsi="David"/>
          <w:sz w:val="24"/>
          <w:rtl/>
        </w:rPr>
        <w:t>תקומ</w:t>
      </w:r>
      <w:bookmarkEnd w:id="54"/>
      <w:r w:rsidRPr="00B97E44">
        <w:rPr>
          <w:rFonts w:ascii="David" w:hAnsi="David"/>
          <w:sz w:val="24"/>
          <w:rtl/>
        </w:rPr>
        <w:t xml:space="preserve">ה. </w:t>
      </w:r>
      <w:r w:rsidRPr="00B97E44">
        <w:rPr>
          <w:rFonts w:ascii="David" w:hAnsi="David" w:hint="cs"/>
          <w:sz w:val="24"/>
          <w:rtl/>
        </w:rPr>
        <w:t>על פי הפרסום</w:t>
      </w:r>
      <w:r w:rsidRPr="00B97E44">
        <w:rPr>
          <w:rFonts w:ascii="David" w:hAnsi="David"/>
          <w:sz w:val="24"/>
          <w:rtl/>
        </w:rPr>
        <w:t xml:space="preserve"> רשאיות רשויות חבל התקומה וכן איגוד ערים לאיכות סביבה נפת אשקלון או אשכול רשויות נגב מערבי להגיש בקשות תמיכה לפעולות בתחומים</w:t>
      </w:r>
      <w:r w:rsidRPr="00B97E44">
        <w:rPr>
          <w:rFonts w:ascii="David" w:hAnsi="David" w:hint="cs"/>
          <w:sz w:val="24"/>
          <w:rtl/>
        </w:rPr>
        <w:t xml:space="preserve"> האלה:</w:t>
      </w:r>
      <w:r w:rsidRPr="00B97E44">
        <w:rPr>
          <w:rFonts w:ascii="David" w:hAnsi="David"/>
          <w:sz w:val="24"/>
          <w:rtl/>
        </w:rPr>
        <w:t xml:space="preserve"> שיקום אקולוגי של שטחים פתוחים בחבל </w:t>
      </w:r>
      <w:r w:rsidRPr="00B97E44">
        <w:rPr>
          <w:rFonts w:ascii="David" w:hAnsi="David" w:hint="cs"/>
          <w:sz w:val="24"/>
          <w:rtl/>
        </w:rPr>
        <w:t>ה</w:t>
      </w:r>
      <w:r w:rsidRPr="00B97E44">
        <w:rPr>
          <w:rFonts w:ascii="David" w:hAnsi="David"/>
          <w:sz w:val="24"/>
          <w:rtl/>
        </w:rPr>
        <w:t>תקומה שהופרו במהלך המלחמה;</w:t>
      </w:r>
      <w:r w:rsidRPr="00B97E44">
        <w:rPr>
          <w:rFonts w:ascii="David" w:hAnsi="David"/>
          <w:sz w:val="24"/>
        </w:rPr>
        <w:t xml:space="preserve"> </w:t>
      </w:r>
      <w:r w:rsidRPr="00B97E44">
        <w:rPr>
          <w:rFonts w:ascii="David" w:hAnsi="David"/>
          <w:sz w:val="24"/>
          <w:rtl/>
        </w:rPr>
        <w:t xml:space="preserve">תכנון אתרי טבע עירוניים, כפריים או מרחביים בחבל </w:t>
      </w:r>
      <w:r>
        <w:rPr>
          <w:rFonts w:ascii="David" w:hAnsi="David" w:hint="cs"/>
          <w:sz w:val="24"/>
          <w:rtl/>
        </w:rPr>
        <w:t>ה</w:t>
      </w:r>
      <w:r w:rsidRPr="00B97E44">
        <w:rPr>
          <w:rFonts w:ascii="David" w:hAnsi="David"/>
          <w:sz w:val="24"/>
          <w:rtl/>
        </w:rPr>
        <w:t>תקומה;</w:t>
      </w:r>
      <w:r w:rsidRPr="00B97E44">
        <w:rPr>
          <w:rFonts w:ascii="David" w:hAnsi="David"/>
          <w:sz w:val="24"/>
        </w:rPr>
        <w:t xml:space="preserve"> </w:t>
      </w:r>
      <w:r w:rsidRPr="00B97E44">
        <w:rPr>
          <w:rFonts w:ascii="David" w:hAnsi="David"/>
          <w:sz w:val="24"/>
          <w:rtl/>
        </w:rPr>
        <w:t xml:space="preserve">הקמת אתרי טבע עירוניים, כפריים או מרחביים בחבל </w:t>
      </w:r>
      <w:r>
        <w:rPr>
          <w:rFonts w:ascii="David" w:hAnsi="David" w:hint="cs"/>
          <w:sz w:val="24"/>
          <w:rtl/>
        </w:rPr>
        <w:t>ה</w:t>
      </w:r>
      <w:r w:rsidRPr="00B97E44">
        <w:rPr>
          <w:rFonts w:ascii="David" w:hAnsi="David"/>
          <w:sz w:val="24"/>
          <w:rtl/>
        </w:rPr>
        <w:t>תקומה;</w:t>
      </w:r>
      <w:r w:rsidRPr="00B97E44">
        <w:rPr>
          <w:rFonts w:ascii="David" w:hAnsi="David"/>
          <w:sz w:val="24"/>
        </w:rPr>
        <w:t xml:space="preserve"> </w:t>
      </w:r>
      <w:r w:rsidRPr="00B97E44">
        <w:rPr>
          <w:rFonts w:ascii="David" w:hAnsi="David"/>
          <w:sz w:val="24"/>
          <w:rtl/>
        </w:rPr>
        <w:t xml:space="preserve">קיום מיזמים חינוכיים ופעילות להעצמה של הקהילות ביישובי חבל </w:t>
      </w:r>
      <w:r>
        <w:rPr>
          <w:rFonts w:ascii="David" w:hAnsi="David" w:hint="cs"/>
          <w:sz w:val="24"/>
          <w:rtl/>
        </w:rPr>
        <w:t>ה</w:t>
      </w:r>
      <w:r w:rsidRPr="00B97E44">
        <w:rPr>
          <w:rFonts w:ascii="David" w:hAnsi="David"/>
          <w:sz w:val="24"/>
          <w:rtl/>
        </w:rPr>
        <w:t>תקומה באמצעות הטבע</w:t>
      </w:r>
      <w:r>
        <w:rPr>
          <w:rFonts w:ascii="David" w:hAnsi="David"/>
          <w:sz w:val="24"/>
          <w:vertAlign w:val="superscript"/>
          <w:rtl/>
        </w:rPr>
        <w:footnoteReference w:id="115"/>
      </w:r>
      <w:r w:rsidRPr="00B97E44">
        <w:rPr>
          <w:rFonts w:ascii="David" w:hAnsi="David"/>
          <w:sz w:val="24"/>
          <w:rtl/>
        </w:rPr>
        <w:t>.</w:t>
      </w:r>
    </w:p>
    <w:p w:rsidR="005B126E" w:rsidP="001916A9">
      <w:pPr>
        <w:spacing w:line="269" w:lineRule="auto"/>
        <w:ind w:left="360"/>
        <w:rPr>
          <w:rFonts w:ascii="David" w:hAnsi="David"/>
          <w:sz w:val="24"/>
          <w:rtl/>
        </w:rPr>
      </w:pPr>
    </w:p>
    <w:p w:rsidR="005B126E" w:rsidP="001916A9">
      <w:pPr>
        <w:spacing w:line="269" w:lineRule="auto"/>
        <w:ind w:left="360"/>
        <w:rPr>
          <w:rtl/>
        </w:rPr>
      </w:pPr>
      <w:r w:rsidRPr="00B97E44">
        <w:rPr>
          <w:rFonts w:ascii="David" w:hAnsi="David" w:hint="eastAsia"/>
          <w:sz w:val="24"/>
          <w:rtl/>
        </w:rPr>
        <w:t>כלומר</w:t>
      </w:r>
      <w:r w:rsidRPr="00B97E44">
        <w:rPr>
          <w:rFonts w:ascii="David" w:hAnsi="David"/>
          <w:sz w:val="24"/>
          <w:rtl/>
        </w:rPr>
        <w:t xml:space="preserve"> </w:t>
      </w:r>
      <w:r w:rsidRPr="00B97E44">
        <w:rPr>
          <w:rFonts w:ascii="David" w:hAnsi="David" w:hint="eastAsia"/>
          <w:sz w:val="24"/>
          <w:rtl/>
        </w:rPr>
        <w:t>הרשויות</w:t>
      </w:r>
      <w:r w:rsidRPr="00B97E44">
        <w:rPr>
          <w:rFonts w:ascii="David" w:hAnsi="David"/>
          <w:sz w:val="24"/>
          <w:rtl/>
        </w:rPr>
        <w:t xml:space="preserve"> המקומיות </w:t>
      </w:r>
      <w:r w:rsidRPr="00B97E44">
        <w:rPr>
          <w:rFonts w:ascii="David" w:hAnsi="David" w:hint="cs"/>
          <w:sz w:val="24"/>
          <w:rtl/>
        </w:rPr>
        <w:t>-</w:t>
      </w:r>
      <w:r w:rsidRPr="00B97E44">
        <w:rPr>
          <w:rFonts w:ascii="David" w:hAnsi="David"/>
          <w:sz w:val="24"/>
          <w:rtl/>
        </w:rPr>
        <w:t xml:space="preserve"> אם יחפצו בכך </w:t>
      </w:r>
      <w:r w:rsidRPr="00B97E44">
        <w:rPr>
          <w:rFonts w:ascii="David" w:hAnsi="David" w:hint="cs"/>
          <w:sz w:val="24"/>
          <w:rtl/>
        </w:rPr>
        <w:t>-</w:t>
      </w:r>
      <w:r w:rsidRPr="00B97E44">
        <w:rPr>
          <w:rFonts w:ascii="David" w:hAnsi="David"/>
          <w:sz w:val="24"/>
          <w:rtl/>
        </w:rPr>
        <w:t xml:space="preserve"> יוכלו לה</w:t>
      </w:r>
      <w:r w:rsidRPr="00B97E44">
        <w:rPr>
          <w:rFonts w:ascii="David" w:hAnsi="David" w:hint="eastAsia"/>
          <w:sz w:val="24"/>
          <w:rtl/>
        </w:rPr>
        <w:t>יענות</w:t>
      </w:r>
      <w:r w:rsidRPr="00B97E44">
        <w:rPr>
          <w:rFonts w:ascii="David" w:hAnsi="David"/>
          <w:sz w:val="24"/>
          <w:rtl/>
        </w:rPr>
        <w:t xml:space="preserve"> </w:t>
      </w:r>
      <w:r w:rsidRPr="00B97E44">
        <w:rPr>
          <w:rFonts w:ascii="David" w:hAnsi="David" w:hint="eastAsia"/>
          <w:sz w:val="24"/>
          <w:rtl/>
        </w:rPr>
        <w:t>לקול</w:t>
      </w:r>
      <w:r w:rsidRPr="00B97E44">
        <w:rPr>
          <w:rFonts w:ascii="David" w:hAnsi="David"/>
          <w:sz w:val="24"/>
          <w:rtl/>
        </w:rPr>
        <w:t xml:space="preserve"> </w:t>
      </w:r>
      <w:r w:rsidRPr="00B97E44">
        <w:rPr>
          <w:rFonts w:ascii="David" w:hAnsi="David" w:hint="eastAsia"/>
          <w:sz w:val="24"/>
          <w:rtl/>
        </w:rPr>
        <w:t>הקורא</w:t>
      </w:r>
      <w:r w:rsidRPr="00B97E44">
        <w:rPr>
          <w:rFonts w:ascii="David" w:hAnsi="David" w:hint="cs"/>
          <w:sz w:val="24"/>
          <w:rtl/>
        </w:rPr>
        <w:t xml:space="preserve"> ולהשתמש </w:t>
      </w:r>
      <w:r w:rsidRPr="00B97E44">
        <w:rPr>
          <w:rFonts w:ascii="David" w:hAnsi="David" w:hint="eastAsia"/>
          <w:sz w:val="24"/>
          <w:rtl/>
        </w:rPr>
        <w:t>בתקציבי</w:t>
      </w:r>
      <w:r w:rsidRPr="00B97E44">
        <w:rPr>
          <w:rFonts w:ascii="David" w:hAnsi="David" w:hint="cs"/>
          <w:sz w:val="24"/>
          <w:rtl/>
        </w:rPr>
        <w:t>ם של</w:t>
      </w:r>
      <w:r w:rsidRPr="00B97E44">
        <w:rPr>
          <w:rFonts w:ascii="David" w:hAnsi="David"/>
          <w:sz w:val="24"/>
          <w:rtl/>
        </w:rPr>
        <w:t xml:space="preserve"> מינהלת תקומה</w:t>
      </w:r>
      <w:r w:rsidRPr="00B97E44">
        <w:rPr>
          <w:rFonts w:ascii="David" w:hAnsi="David" w:hint="cs"/>
          <w:sz w:val="24"/>
          <w:rtl/>
        </w:rPr>
        <w:t>,</w:t>
      </w:r>
      <w:r w:rsidRPr="00B97E44">
        <w:rPr>
          <w:rFonts w:ascii="David" w:hAnsi="David"/>
          <w:sz w:val="24"/>
          <w:rtl/>
        </w:rPr>
        <w:t xml:space="preserve"> </w:t>
      </w:r>
      <w:r w:rsidRPr="00B97E44">
        <w:rPr>
          <w:rFonts w:ascii="David" w:hAnsi="David" w:hint="eastAsia"/>
          <w:sz w:val="24"/>
          <w:rtl/>
        </w:rPr>
        <w:t>שיועדו</w:t>
      </w:r>
      <w:r w:rsidRPr="00B97E44">
        <w:rPr>
          <w:rFonts w:ascii="David" w:hAnsi="David"/>
          <w:sz w:val="24"/>
          <w:rtl/>
        </w:rPr>
        <w:t xml:space="preserve"> </w:t>
      </w:r>
      <w:r w:rsidRPr="00B97E44">
        <w:rPr>
          <w:rFonts w:ascii="David" w:hAnsi="David" w:hint="eastAsia"/>
          <w:sz w:val="24"/>
          <w:rtl/>
        </w:rPr>
        <w:t>בת</w:t>
      </w:r>
      <w:r w:rsidRPr="00B97E44">
        <w:rPr>
          <w:rFonts w:ascii="David" w:hAnsi="David" w:hint="cs"/>
          <w:sz w:val="24"/>
          <w:rtl/>
        </w:rPr>
        <w:t>ו</w:t>
      </w:r>
      <w:r w:rsidRPr="00B97E44">
        <w:rPr>
          <w:rFonts w:ascii="David" w:hAnsi="David" w:hint="eastAsia"/>
          <w:sz w:val="24"/>
          <w:rtl/>
        </w:rPr>
        <w:t>כנית</w:t>
      </w:r>
      <w:r w:rsidRPr="00B97E44">
        <w:rPr>
          <w:rFonts w:ascii="David" w:hAnsi="David"/>
          <w:sz w:val="24"/>
          <w:rtl/>
        </w:rPr>
        <w:t xml:space="preserve"> </w:t>
      </w:r>
      <w:r w:rsidRPr="00B97E44">
        <w:rPr>
          <w:rFonts w:ascii="David" w:hAnsi="David" w:hint="cs"/>
          <w:sz w:val="24"/>
          <w:rtl/>
        </w:rPr>
        <w:t xml:space="preserve">להכנה וביצוע של תוכניות להקמת אתרי טבע ופרויקטים לשימור והגנה על שטחים פתוחים, </w:t>
      </w:r>
      <w:r w:rsidRPr="00B97E44">
        <w:rPr>
          <w:rFonts w:ascii="David" w:hAnsi="David"/>
          <w:sz w:val="24"/>
          <w:rtl/>
        </w:rPr>
        <w:t>לשיקום השטחים הפתוחים שנפגעו בשטחן.</w:t>
      </w:r>
      <w:r w:rsidRPr="00B97E44">
        <w:rPr>
          <w:rFonts w:ascii="David" w:hAnsi="David" w:hint="cs"/>
          <w:sz w:val="24"/>
          <w:rtl/>
        </w:rPr>
        <w:t xml:space="preserve"> </w:t>
      </w:r>
    </w:p>
    <w:p w:rsidR="005B126E" w:rsidRPr="00B97E44" w:rsidP="001916A9">
      <w:pPr>
        <w:spacing w:line="269" w:lineRule="auto"/>
        <w:ind w:left="360"/>
      </w:pPr>
    </w:p>
    <w:p w:rsidR="005B126E" w:rsidRPr="00B97E44" w:rsidP="001916A9">
      <w:pPr>
        <w:keepNext/>
        <w:keepLines/>
        <w:widowControl w:val="0"/>
        <w:spacing w:line="269" w:lineRule="auto"/>
        <w:ind w:left="312"/>
        <w:rPr>
          <w:rtl/>
        </w:rPr>
      </w:pPr>
      <w:r w:rsidRPr="00B97E44">
        <w:rPr>
          <w:rFonts w:hint="eastAsia"/>
          <w:rtl/>
        </w:rPr>
        <w:t>י</w:t>
      </w:r>
      <w:r w:rsidRPr="00B97E44">
        <w:rPr>
          <w:rFonts w:hint="cs"/>
          <w:rtl/>
        </w:rPr>
        <w:t>צוין</w:t>
      </w:r>
      <w:r w:rsidRPr="00B97E44">
        <w:rPr>
          <w:rtl/>
        </w:rPr>
        <w:t xml:space="preserve"> </w:t>
      </w:r>
      <w:r w:rsidRPr="00B97E44">
        <w:rPr>
          <w:rFonts w:hint="eastAsia"/>
          <w:rtl/>
        </w:rPr>
        <w:t>כי</w:t>
      </w:r>
      <w:r w:rsidRPr="00B97E44">
        <w:rPr>
          <w:rtl/>
        </w:rPr>
        <w:t xml:space="preserve"> </w:t>
      </w:r>
      <w:r w:rsidRPr="00B97E44">
        <w:rPr>
          <w:rFonts w:hint="eastAsia"/>
          <w:rtl/>
        </w:rPr>
        <w:t>היענות</w:t>
      </w:r>
      <w:r w:rsidRPr="00B97E44">
        <w:rPr>
          <w:rFonts w:hint="cs"/>
          <w:rtl/>
        </w:rPr>
        <w:t>ן של</w:t>
      </w:r>
      <w:r w:rsidRPr="00B97E44">
        <w:rPr>
          <w:rtl/>
        </w:rPr>
        <w:t xml:space="preserve"> </w:t>
      </w:r>
      <w:r w:rsidRPr="00B97E44">
        <w:rPr>
          <w:rFonts w:hint="eastAsia"/>
          <w:rtl/>
        </w:rPr>
        <w:t>הרשויות</w:t>
      </w:r>
      <w:r w:rsidRPr="00B97E44">
        <w:rPr>
          <w:rtl/>
        </w:rPr>
        <w:t xml:space="preserve"> </w:t>
      </w:r>
      <w:r w:rsidRPr="00B97E44">
        <w:rPr>
          <w:rFonts w:hint="eastAsia"/>
          <w:rtl/>
        </w:rPr>
        <w:t>המקומיות</w:t>
      </w:r>
      <w:r w:rsidRPr="00B97E44">
        <w:rPr>
          <w:rtl/>
        </w:rPr>
        <w:t xml:space="preserve"> </w:t>
      </w:r>
      <w:r w:rsidRPr="00B97E44">
        <w:rPr>
          <w:rFonts w:hint="eastAsia"/>
          <w:rtl/>
        </w:rPr>
        <w:t>בחבל</w:t>
      </w:r>
      <w:r w:rsidRPr="00B97E44">
        <w:rPr>
          <w:rtl/>
        </w:rPr>
        <w:t xml:space="preserve"> </w:t>
      </w:r>
      <w:r w:rsidRPr="00B97E44">
        <w:rPr>
          <w:rFonts w:hint="eastAsia"/>
          <w:rtl/>
        </w:rPr>
        <w:t>התקומה</w:t>
      </w:r>
      <w:r w:rsidRPr="00B97E44">
        <w:rPr>
          <w:rtl/>
        </w:rPr>
        <w:t xml:space="preserve"> </w:t>
      </w:r>
      <w:r w:rsidRPr="00B97E44">
        <w:rPr>
          <w:rFonts w:hint="eastAsia"/>
          <w:rtl/>
        </w:rPr>
        <w:t>לקולות</w:t>
      </w:r>
      <w:r w:rsidRPr="00B97E44">
        <w:rPr>
          <w:rtl/>
        </w:rPr>
        <w:t xml:space="preserve"> קוראים קודמים שפורסמו </w:t>
      </w:r>
      <w:r w:rsidRPr="00B97E44">
        <w:rPr>
          <w:rFonts w:hint="eastAsia"/>
          <w:rtl/>
        </w:rPr>
        <w:t>בתחומי</w:t>
      </w:r>
      <w:r w:rsidRPr="00B97E44">
        <w:rPr>
          <w:rtl/>
        </w:rPr>
        <w:t xml:space="preserve"> </w:t>
      </w:r>
      <w:r w:rsidRPr="00B97E44">
        <w:rPr>
          <w:rFonts w:hint="eastAsia"/>
          <w:rtl/>
        </w:rPr>
        <w:t>הגנת</w:t>
      </w:r>
      <w:r w:rsidRPr="00B97E44">
        <w:rPr>
          <w:rtl/>
        </w:rPr>
        <w:t xml:space="preserve"> </w:t>
      </w:r>
      <w:r w:rsidRPr="00B97E44">
        <w:rPr>
          <w:rFonts w:hint="eastAsia"/>
          <w:rtl/>
        </w:rPr>
        <w:t>הסביבה</w:t>
      </w:r>
      <w:r w:rsidRPr="00B97E44">
        <w:rPr>
          <w:rtl/>
        </w:rPr>
        <w:t xml:space="preserve"> </w:t>
      </w:r>
      <w:r w:rsidRPr="00B97E44">
        <w:rPr>
          <w:rFonts w:hint="cs"/>
          <w:rtl/>
        </w:rPr>
        <w:t xml:space="preserve">הייתה חלקית </w:t>
      </w:r>
      <w:r w:rsidRPr="00B97E44">
        <w:rPr>
          <w:rFonts w:hint="eastAsia"/>
          <w:rtl/>
        </w:rPr>
        <w:t>בלבד</w:t>
      </w:r>
      <w:r w:rsidRPr="00B97E44">
        <w:rPr>
          <w:rtl/>
        </w:rPr>
        <w:t xml:space="preserve">. </w:t>
      </w:r>
      <w:r w:rsidRPr="00B97E44">
        <w:rPr>
          <w:rFonts w:hint="eastAsia"/>
          <w:rtl/>
        </w:rPr>
        <w:t>כך</w:t>
      </w:r>
      <w:r w:rsidRPr="00B97E44">
        <w:rPr>
          <w:rtl/>
        </w:rPr>
        <w:t xml:space="preserve"> </w:t>
      </w:r>
      <w:r w:rsidRPr="00B97E44">
        <w:rPr>
          <w:rFonts w:hint="eastAsia"/>
          <w:rtl/>
        </w:rPr>
        <w:t>לדוגמה</w:t>
      </w:r>
      <w:r w:rsidRPr="00B97E44">
        <w:rPr>
          <w:rFonts w:hint="cs"/>
          <w:b/>
          <w:bCs/>
          <w:rtl/>
        </w:rPr>
        <w:t xml:space="preserve"> </w:t>
      </w:r>
      <w:r w:rsidRPr="00B97E44">
        <w:rPr>
          <w:rFonts w:hint="cs"/>
          <w:rtl/>
        </w:rPr>
        <w:t xml:space="preserve">במסגרת החלטת ממשלה 462 מאפריל 2023 שנועדה לחזק את החוסן האזרחי בשדרות וביישובי חבל התקומה בשנים 2023 </w:t>
      </w:r>
      <w:r w:rsidRPr="00B97E44">
        <w:rPr>
          <w:rtl/>
        </w:rPr>
        <w:t>-</w:t>
      </w:r>
      <w:r w:rsidRPr="00B97E44">
        <w:rPr>
          <w:rFonts w:hint="cs"/>
          <w:rtl/>
        </w:rPr>
        <w:t xml:space="preserve"> 2024, הוקצה מתקציב קרן הניקיון שבמשרד להגנת הסביבה</w:t>
      </w:r>
      <w:r>
        <w:rPr>
          <w:vertAlign w:val="superscript"/>
          <w:rtl/>
        </w:rPr>
        <w:footnoteReference w:id="116"/>
      </w:r>
      <w:r w:rsidRPr="00B97E44">
        <w:rPr>
          <w:rFonts w:hint="cs"/>
          <w:rtl/>
        </w:rPr>
        <w:t xml:space="preserve"> </w:t>
      </w:r>
      <w:r w:rsidRPr="00B97E44">
        <w:rPr>
          <w:rtl/>
        </w:rPr>
        <w:t xml:space="preserve">למועצות האזוריות </w:t>
      </w:r>
      <w:r w:rsidRPr="00B544FF">
        <w:rPr>
          <w:rFonts w:hint="eastAsia"/>
          <w:b/>
          <w:bCs/>
          <w:rtl/>
        </w:rPr>
        <w:t>אשכול</w:t>
      </w:r>
      <w:r w:rsidRPr="00B544FF">
        <w:rPr>
          <w:b/>
          <w:bCs/>
          <w:rtl/>
        </w:rPr>
        <w:t>,</w:t>
      </w:r>
      <w:r>
        <w:rPr>
          <w:rFonts w:hint="cs"/>
          <w:rtl/>
        </w:rPr>
        <w:t xml:space="preserve"> </w:t>
      </w:r>
      <w:r w:rsidRPr="00B97E44">
        <w:rPr>
          <w:b/>
          <w:bCs/>
          <w:rtl/>
        </w:rPr>
        <w:t>חוף אשקלון, שדות</w:t>
      </w:r>
      <w:r w:rsidRPr="00B97E44">
        <w:rPr>
          <w:b/>
          <w:bCs/>
        </w:rPr>
        <w:t xml:space="preserve"> </w:t>
      </w:r>
      <w:r w:rsidRPr="00B97E44">
        <w:rPr>
          <w:rFonts w:hint="eastAsia"/>
          <w:b/>
          <w:bCs/>
          <w:rtl/>
        </w:rPr>
        <w:t>נ</w:t>
      </w:r>
      <w:r w:rsidRPr="00B97E44">
        <w:rPr>
          <w:b/>
          <w:bCs/>
          <w:rtl/>
        </w:rPr>
        <w:t xml:space="preserve">גב </w:t>
      </w:r>
      <w:r w:rsidRPr="00B97E44">
        <w:rPr>
          <w:rtl/>
        </w:rPr>
        <w:t>ו</w:t>
      </w:r>
      <w:r w:rsidRPr="00B97E44">
        <w:rPr>
          <w:b/>
          <w:bCs/>
          <w:rtl/>
        </w:rPr>
        <w:t>שער ה</w:t>
      </w:r>
      <w:r w:rsidRPr="00B97E44">
        <w:rPr>
          <w:rFonts w:hint="eastAsia"/>
          <w:b/>
          <w:bCs/>
          <w:rtl/>
        </w:rPr>
        <w:t>נ</w:t>
      </w:r>
      <w:r w:rsidRPr="00B97E44">
        <w:rPr>
          <w:b/>
          <w:bCs/>
          <w:rtl/>
        </w:rPr>
        <w:t>גב</w:t>
      </w:r>
      <w:r w:rsidRPr="00B97E44">
        <w:rPr>
          <w:rtl/>
        </w:rPr>
        <w:t xml:space="preserve"> סכום של עד</w:t>
      </w:r>
      <w:r w:rsidRPr="00B97E44">
        <w:rPr>
          <w:rFonts w:hint="cs"/>
          <w:rtl/>
        </w:rPr>
        <w:t xml:space="preserve"> חצי מיליון ש</w:t>
      </w:r>
      <w:r w:rsidRPr="00B97E44">
        <w:rPr>
          <w:rtl/>
        </w:rPr>
        <w:t xml:space="preserve">"ח לכל אחת </w:t>
      </w:r>
      <w:r w:rsidRPr="00B97E44">
        <w:rPr>
          <w:rFonts w:hint="cs"/>
          <w:rtl/>
        </w:rPr>
        <w:t>מהן ל</w:t>
      </w:r>
      <w:r w:rsidRPr="00B97E44">
        <w:rPr>
          <w:rtl/>
        </w:rPr>
        <w:t>ה</w:t>
      </w:r>
      <w:r w:rsidRPr="00B97E44">
        <w:rPr>
          <w:rFonts w:hint="cs"/>
          <w:rtl/>
        </w:rPr>
        <w:t>כנ</w:t>
      </w:r>
      <w:r w:rsidRPr="00B97E44">
        <w:rPr>
          <w:rtl/>
        </w:rPr>
        <w:t>ת תוכ</w:t>
      </w:r>
      <w:r w:rsidRPr="00B97E44">
        <w:rPr>
          <w:rFonts w:hint="cs"/>
          <w:rtl/>
        </w:rPr>
        <w:t>נ</w:t>
      </w:r>
      <w:r w:rsidRPr="00B97E44">
        <w:rPr>
          <w:rtl/>
        </w:rPr>
        <w:t>יות סקר</w:t>
      </w:r>
      <w:r w:rsidRPr="00B97E44">
        <w:rPr>
          <w:rFonts w:hint="cs"/>
          <w:rtl/>
        </w:rPr>
        <w:t xml:space="preserve"> </w:t>
      </w:r>
      <w:r w:rsidRPr="00B97E44">
        <w:rPr>
          <w:rtl/>
        </w:rPr>
        <w:t>טבע עירו</w:t>
      </w:r>
      <w:r w:rsidRPr="00B97E44">
        <w:rPr>
          <w:rFonts w:hint="cs"/>
          <w:rtl/>
        </w:rPr>
        <w:t>נ</w:t>
      </w:r>
      <w:r w:rsidRPr="00B97E44">
        <w:rPr>
          <w:rtl/>
        </w:rPr>
        <w:t>י</w:t>
      </w:r>
      <w:r w:rsidRPr="00B97E44">
        <w:rPr>
          <w:rFonts w:hint="cs"/>
          <w:rtl/>
        </w:rPr>
        <w:t xml:space="preserve"> ובכלל זה </w:t>
      </w:r>
      <w:r w:rsidRPr="00B97E44">
        <w:rPr>
          <w:rtl/>
        </w:rPr>
        <w:t>מיפוי מפגעים סביבתיים באתרי טבע עירו</w:t>
      </w:r>
      <w:r w:rsidRPr="00B97E44">
        <w:rPr>
          <w:rFonts w:hint="cs"/>
          <w:rtl/>
        </w:rPr>
        <w:t>נ</w:t>
      </w:r>
      <w:r w:rsidRPr="00B97E44">
        <w:rPr>
          <w:rtl/>
        </w:rPr>
        <w:t>י</w:t>
      </w:r>
      <w:r w:rsidRPr="00B97E44">
        <w:rPr>
          <w:rFonts w:hint="cs"/>
          <w:rtl/>
        </w:rPr>
        <w:t>י</w:t>
      </w:r>
      <w:r w:rsidRPr="00B97E44">
        <w:rPr>
          <w:rtl/>
        </w:rPr>
        <w:t>ם, הכ</w:t>
      </w:r>
      <w:r w:rsidRPr="00B97E44">
        <w:rPr>
          <w:rFonts w:hint="cs"/>
          <w:rtl/>
        </w:rPr>
        <w:t>נ</w:t>
      </w:r>
      <w:r w:rsidRPr="00B97E44">
        <w:rPr>
          <w:rtl/>
        </w:rPr>
        <w:t>ת מדריך לטיפוח שטחים טבעיים וטיפול במפגעים סביבתיים והפקת יום עיון או אירוע חי</w:t>
      </w:r>
      <w:r w:rsidRPr="00B97E44">
        <w:rPr>
          <w:rFonts w:hint="cs"/>
          <w:rtl/>
        </w:rPr>
        <w:t>נו</w:t>
      </w:r>
      <w:r w:rsidRPr="00B97E44">
        <w:rPr>
          <w:rtl/>
        </w:rPr>
        <w:t xml:space="preserve">כי </w:t>
      </w:r>
      <w:r w:rsidRPr="00B97E44">
        <w:rPr>
          <w:rtl/>
        </w:rPr>
        <w:t>לה</w:t>
      </w:r>
      <w:r w:rsidRPr="00B97E44">
        <w:rPr>
          <w:rFonts w:hint="cs"/>
          <w:rtl/>
        </w:rPr>
        <w:t>נ</w:t>
      </w:r>
      <w:r w:rsidRPr="00B97E44">
        <w:rPr>
          <w:rtl/>
        </w:rPr>
        <w:t>גשת</w:t>
      </w:r>
      <w:r w:rsidRPr="00B97E44">
        <w:rPr>
          <w:rtl/>
        </w:rPr>
        <w:t xml:space="preserve"> תוצרי</w:t>
      </w:r>
      <w:r w:rsidRPr="00B97E44">
        <w:rPr>
          <w:rFonts w:hint="cs"/>
          <w:rtl/>
        </w:rPr>
        <w:t>ו של</w:t>
      </w:r>
      <w:r w:rsidRPr="00B97E44">
        <w:rPr>
          <w:rtl/>
        </w:rPr>
        <w:t xml:space="preserve"> סקר הטבע העירו</w:t>
      </w:r>
      <w:r w:rsidRPr="00B97E44">
        <w:rPr>
          <w:rFonts w:hint="cs"/>
          <w:rtl/>
        </w:rPr>
        <w:t>נ</w:t>
      </w:r>
      <w:r w:rsidRPr="00B97E44">
        <w:rPr>
          <w:rtl/>
        </w:rPr>
        <w:t>י</w:t>
      </w:r>
      <w:r>
        <w:rPr>
          <w:vertAlign w:val="superscript"/>
          <w:rtl/>
        </w:rPr>
        <w:footnoteReference w:id="117"/>
      </w:r>
      <w:r w:rsidRPr="00B97E44">
        <w:rPr>
          <w:rFonts w:hint="cs"/>
          <w:rtl/>
        </w:rPr>
        <w:t>.</w:t>
      </w:r>
    </w:p>
    <w:p w:rsidR="005B126E" w:rsidP="001916A9">
      <w:pPr>
        <w:keepNext/>
        <w:keepLines/>
        <w:widowControl w:val="0"/>
        <w:spacing w:line="269" w:lineRule="auto"/>
        <w:ind w:left="312"/>
        <w:rPr>
          <w:b/>
          <w:bCs/>
          <w:rtl/>
        </w:rPr>
      </w:pPr>
    </w:p>
    <w:p w:rsidR="005B126E" w:rsidRPr="00B97E44" w:rsidP="001916A9">
      <w:pPr>
        <w:keepNext/>
        <w:keepLines/>
        <w:widowControl w:val="0"/>
        <w:spacing w:line="269" w:lineRule="auto"/>
        <w:ind w:left="312"/>
        <w:rPr>
          <w:b/>
          <w:bCs/>
          <w:rtl/>
        </w:rPr>
      </w:pPr>
      <w:r w:rsidRPr="00B97E44">
        <w:rPr>
          <w:rFonts w:hint="eastAsia"/>
          <w:b/>
          <w:bCs/>
          <w:rtl/>
        </w:rPr>
        <w:t>נמצא</w:t>
      </w:r>
      <w:r w:rsidRPr="00B97E44">
        <w:rPr>
          <w:b/>
          <w:bCs/>
          <w:rtl/>
        </w:rPr>
        <w:t xml:space="preserve"> כי </w:t>
      </w:r>
      <w:r w:rsidRPr="00B97E44">
        <w:rPr>
          <w:rFonts w:hint="eastAsia"/>
          <w:b/>
          <w:bCs/>
          <w:rtl/>
        </w:rPr>
        <w:t>המועצה</w:t>
      </w:r>
      <w:r w:rsidRPr="00B97E44">
        <w:rPr>
          <w:b/>
          <w:bCs/>
          <w:rtl/>
        </w:rPr>
        <w:t xml:space="preserve"> האזורית </w:t>
      </w:r>
      <w:r w:rsidRPr="00B97E44">
        <w:rPr>
          <w:rFonts w:hint="eastAsia"/>
          <w:b/>
          <w:bCs/>
          <w:rtl/>
        </w:rPr>
        <w:t>שער</w:t>
      </w:r>
      <w:r w:rsidRPr="00B97E44">
        <w:rPr>
          <w:b/>
          <w:bCs/>
          <w:rtl/>
        </w:rPr>
        <w:t xml:space="preserve"> </w:t>
      </w:r>
      <w:r w:rsidRPr="00B97E44">
        <w:rPr>
          <w:rFonts w:hint="eastAsia"/>
          <w:b/>
          <w:bCs/>
          <w:rtl/>
        </w:rPr>
        <w:t>הנגב</w:t>
      </w:r>
      <w:r w:rsidRPr="00B97E44">
        <w:rPr>
          <w:b/>
          <w:bCs/>
          <w:rtl/>
        </w:rPr>
        <w:t xml:space="preserve"> הכינה סקר טבע עירוני אך המועצות האזוריות</w:t>
      </w:r>
      <w:r w:rsidRPr="00B97E44">
        <w:rPr>
          <w:rFonts w:hint="cs"/>
          <w:rtl/>
        </w:rPr>
        <w:t xml:space="preserve"> </w:t>
      </w:r>
      <w:r w:rsidRPr="00B97E44">
        <w:rPr>
          <w:rFonts w:hint="eastAsia"/>
          <w:b/>
          <w:bCs/>
          <w:rtl/>
        </w:rPr>
        <w:t>אשכול</w:t>
      </w:r>
      <w:r w:rsidRPr="00B97E44">
        <w:rPr>
          <w:b/>
          <w:bCs/>
          <w:rtl/>
        </w:rPr>
        <w:t xml:space="preserve">, חוף אשקלון </w:t>
      </w:r>
      <w:r w:rsidRPr="00B97E44">
        <w:rPr>
          <w:rFonts w:hint="eastAsia"/>
          <w:b/>
          <w:bCs/>
          <w:rtl/>
        </w:rPr>
        <w:t>ושדות</w:t>
      </w:r>
      <w:r w:rsidRPr="00B97E44">
        <w:rPr>
          <w:b/>
          <w:bCs/>
          <w:rtl/>
        </w:rPr>
        <w:t xml:space="preserve"> </w:t>
      </w:r>
      <w:r w:rsidRPr="00B97E44">
        <w:rPr>
          <w:rFonts w:hint="eastAsia"/>
          <w:b/>
          <w:bCs/>
          <w:rtl/>
        </w:rPr>
        <w:t>נגב</w:t>
      </w:r>
      <w:r w:rsidRPr="00B97E44">
        <w:rPr>
          <w:b/>
          <w:bCs/>
          <w:rtl/>
        </w:rPr>
        <w:t xml:space="preserve"> לא הכינו סקר כאמור</w:t>
      </w:r>
      <w:r w:rsidRPr="00B97E44">
        <w:rPr>
          <w:rFonts w:hint="cs"/>
          <w:b/>
          <w:bCs/>
          <w:rtl/>
        </w:rPr>
        <w:t xml:space="preserve"> ו</w:t>
      </w:r>
      <w:r w:rsidRPr="00B97E44">
        <w:rPr>
          <w:b/>
          <w:bCs/>
          <w:rtl/>
        </w:rPr>
        <w:t xml:space="preserve">עיריית </w:t>
      </w:r>
      <w:r w:rsidRPr="00B97E44">
        <w:rPr>
          <w:rFonts w:hint="eastAsia"/>
          <w:b/>
          <w:bCs/>
          <w:rtl/>
        </w:rPr>
        <w:t>שדרות</w:t>
      </w:r>
      <w:r w:rsidRPr="00B97E44">
        <w:rPr>
          <w:b/>
          <w:bCs/>
          <w:rtl/>
        </w:rPr>
        <w:t xml:space="preserve"> פועלת להכין סקר טבע בתחומה</w:t>
      </w:r>
      <w:r w:rsidRPr="00B97E44">
        <w:rPr>
          <w:rFonts w:hint="cs"/>
          <w:b/>
          <w:bCs/>
          <w:rtl/>
        </w:rPr>
        <w:t xml:space="preserve"> בשנים 2025 - 2026</w:t>
      </w:r>
      <w:r>
        <w:rPr>
          <w:b/>
          <w:bCs/>
          <w:vertAlign w:val="superscript"/>
          <w:rtl/>
        </w:rPr>
        <w:footnoteReference w:id="118"/>
      </w:r>
      <w:r w:rsidRPr="00B97E44">
        <w:rPr>
          <w:b/>
          <w:bCs/>
          <w:rtl/>
        </w:rPr>
        <w:t>.</w:t>
      </w:r>
    </w:p>
    <w:p w:rsidR="005B126E" w:rsidP="001916A9">
      <w:pPr>
        <w:spacing w:line="269" w:lineRule="auto"/>
        <w:ind w:left="312"/>
        <w:rPr>
          <w:rtl/>
        </w:rPr>
      </w:pPr>
    </w:p>
    <w:p w:rsidR="005B126E" w:rsidRPr="00B97E44" w:rsidP="001916A9">
      <w:pPr>
        <w:spacing w:line="269" w:lineRule="auto"/>
        <w:ind w:left="312"/>
        <w:rPr>
          <w:shd w:val="clear" w:color="auto" w:fill="FFFFFF"/>
          <w:rtl/>
        </w:rPr>
      </w:pPr>
      <w:r w:rsidRPr="00B97E44">
        <w:rPr>
          <w:rFonts w:hint="cs"/>
          <w:rtl/>
        </w:rPr>
        <w:t xml:space="preserve">המועצה האזורית </w:t>
      </w:r>
      <w:r w:rsidRPr="00B97E44">
        <w:rPr>
          <w:rFonts w:hint="eastAsia"/>
          <w:b/>
          <w:bCs/>
          <w:rtl/>
        </w:rPr>
        <w:t>אשכול</w:t>
      </w:r>
      <w:r w:rsidRPr="00B97E44">
        <w:rPr>
          <w:rFonts w:hint="cs"/>
          <w:rtl/>
        </w:rPr>
        <w:t xml:space="preserve"> מסרה בתשובתה כי הסיבה לכך שלא נענתה לקול הקורא משנת 2023 היא שלמועצה קיים סקר שטחים פתוחים מלפני כמה שנים ומיפוי מפגעים מפורט שנערך על ידי גופים אחרים כמו קק"ל, </w:t>
      </w:r>
      <w:r w:rsidRPr="00B97E44">
        <w:rPr>
          <w:rFonts w:hint="cs"/>
          <w:rtl/>
        </w:rPr>
        <w:t>רט"ג</w:t>
      </w:r>
      <w:r w:rsidRPr="00B97E44">
        <w:rPr>
          <w:rFonts w:hint="cs"/>
          <w:rtl/>
        </w:rPr>
        <w:t xml:space="preserve"> וגופי אקדמיה. עוד ציינה המועצה כי אילו היו מתפרסמים קולות קוראים שעניינם שיקום מפגעים סביבתיים וטיפול בפסולת חקלאית הרי המועצה הייתה נענית באופן מלא. סוגיות של טיפוח וטיפול באתרי טבע בתחומי המועצה האזורית אשכול אינן בליבת העשייה של המועצה מאחר שהבעלות על אתרי הטבע בתחומה הן של </w:t>
      </w:r>
      <w:r w:rsidRPr="00B97E44">
        <w:rPr>
          <w:rFonts w:hint="cs"/>
          <w:rtl/>
        </w:rPr>
        <w:t>רט"ג</w:t>
      </w:r>
      <w:r w:rsidRPr="00B97E44">
        <w:rPr>
          <w:rFonts w:hint="cs"/>
          <w:rtl/>
        </w:rPr>
        <w:t xml:space="preserve"> או קק"ל.</w:t>
      </w:r>
    </w:p>
    <w:p w:rsidR="005B126E" w:rsidP="001916A9">
      <w:pPr>
        <w:spacing w:line="269" w:lineRule="auto"/>
        <w:ind w:left="360"/>
        <w:rPr>
          <w:b/>
          <w:bCs/>
          <w:rtl/>
        </w:rPr>
      </w:pPr>
    </w:p>
    <w:p w:rsidR="005B126E" w:rsidRPr="00B97E44" w:rsidP="001916A9">
      <w:pPr>
        <w:spacing w:line="269" w:lineRule="auto"/>
        <w:ind w:left="360"/>
        <w:rPr>
          <w:rFonts w:ascii="Arial" w:hAnsi="Arial"/>
          <w:b/>
          <w:bCs/>
          <w:shd w:val="clear" w:color="auto" w:fill="FFFFFF"/>
          <w:rtl/>
        </w:rPr>
      </w:pPr>
      <w:r w:rsidRPr="00B97E44">
        <w:rPr>
          <w:rFonts w:hint="cs"/>
          <w:b/>
          <w:bCs/>
          <w:rtl/>
        </w:rPr>
        <w:t>הביקורת העלתה</w:t>
      </w:r>
      <w:r w:rsidRPr="00B97E44">
        <w:rPr>
          <w:rFonts w:ascii="Arial" w:hAnsi="Arial"/>
          <w:b/>
          <w:bCs/>
          <w:shd w:val="clear" w:color="auto" w:fill="FFFFFF"/>
          <w:rtl/>
        </w:rPr>
        <w:t xml:space="preserve"> אפוא כי המשרד להגנת הסביבה </w:t>
      </w:r>
      <w:r w:rsidRPr="00B97E44">
        <w:rPr>
          <w:rFonts w:ascii="Arial" w:hAnsi="Arial" w:hint="eastAsia"/>
          <w:b/>
          <w:bCs/>
          <w:shd w:val="clear" w:color="auto" w:fill="FFFFFF"/>
          <w:rtl/>
        </w:rPr>
        <w:t>לא</w:t>
      </w:r>
      <w:r w:rsidRPr="00B97E44">
        <w:rPr>
          <w:rFonts w:ascii="Arial" w:hAnsi="Arial"/>
          <w:b/>
          <w:bCs/>
          <w:shd w:val="clear" w:color="auto" w:fill="FFFFFF"/>
          <w:rtl/>
        </w:rPr>
        <w:t xml:space="preserve"> </w:t>
      </w:r>
      <w:r w:rsidRPr="00B97E44">
        <w:rPr>
          <w:rFonts w:hint="cs"/>
          <w:b/>
          <w:bCs/>
          <w:rtl/>
        </w:rPr>
        <w:t>השכיל לייצר מתווה שיבטיח שיקום מלא ומקיף לשטחים הפתוחים בחבל התקומה. לפי המתווה החלקי שגובש הרשויות המקומיות</w:t>
      </w:r>
      <w:r w:rsidRPr="00B97E44">
        <w:rPr>
          <w:rFonts w:ascii="Arial" w:hAnsi="Arial" w:hint="cs"/>
          <w:b/>
          <w:bCs/>
          <w:shd w:val="clear" w:color="auto" w:fill="FFFFFF"/>
          <w:rtl/>
        </w:rPr>
        <w:t>, שהן רק חלק מן הגורמים הנוגעים בדבר</w:t>
      </w:r>
      <w:r w:rsidRPr="00B97E44">
        <w:rPr>
          <w:rFonts w:ascii="Arial" w:hAnsi="Arial"/>
          <w:b/>
          <w:bCs/>
          <w:shd w:val="clear" w:color="auto" w:fill="FFFFFF"/>
          <w:rtl/>
        </w:rPr>
        <w:t xml:space="preserve"> </w:t>
      </w:r>
      <w:r w:rsidRPr="00B97E44">
        <w:rPr>
          <w:rFonts w:ascii="Arial" w:hAnsi="Arial" w:hint="cs"/>
          <w:b/>
          <w:bCs/>
          <w:shd w:val="clear" w:color="auto" w:fill="FFFFFF"/>
          <w:rtl/>
        </w:rPr>
        <w:t>ו</w:t>
      </w:r>
      <w:r w:rsidRPr="00B97E44">
        <w:rPr>
          <w:rFonts w:ascii="Arial" w:hAnsi="Arial"/>
          <w:b/>
          <w:bCs/>
          <w:shd w:val="clear" w:color="auto" w:fill="FFFFFF"/>
          <w:rtl/>
        </w:rPr>
        <w:t xml:space="preserve">מתמודדות </w:t>
      </w:r>
      <w:r w:rsidRPr="00B97E44">
        <w:rPr>
          <w:rFonts w:ascii="Arial" w:hAnsi="Arial" w:hint="eastAsia"/>
          <w:b/>
          <w:bCs/>
          <w:shd w:val="clear" w:color="auto" w:fill="FFFFFF"/>
          <w:rtl/>
        </w:rPr>
        <w:t>עם</w:t>
      </w:r>
      <w:r w:rsidRPr="00B97E44">
        <w:rPr>
          <w:rFonts w:ascii="Arial" w:hAnsi="Arial"/>
          <w:b/>
          <w:bCs/>
          <w:shd w:val="clear" w:color="auto" w:fill="FFFFFF"/>
          <w:rtl/>
        </w:rPr>
        <w:t xml:space="preserve"> </w:t>
      </w:r>
      <w:r w:rsidRPr="00B97E44">
        <w:rPr>
          <w:rFonts w:ascii="Arial" w:hAnsi="Arial" w:hint="eastAsia"/>
          <w:b/>
          <w:bCs/>
          <w:shd w:val="clear" w:color="auto" w:fill="FFFFFF"/>
          <w:rtl/>
        </w:rPr>
        <w:t>אתגרים</w:t>
      </w:r>
      <w:r w:rsidRPr="00B97E44">
        <w:rPr>
          <w:rFonts w:ascii="Arial" w:hAnsi="Arial"/>
          <w:b/>
          <w:bCs/>
          <w:shd w:val="clear" w:color="auto" w:fill="FFFFFF"/>
          <w:rtl/>
        </w:rPr>
        <w:t xml:space="preserve"> </w:t>
      </w:r>
      <w:r w:rsidRPr="00B97E44">
        <w:rPr>
          <w:rFonts w:ascii="Arial" w:hAnsi="Arial" w:hint="eastAsia"/>
          <w:b/>
          <w:bCs/>
          <w:shd w:val="clear" w:color="auto" w:fill="FFFFFF"/>
          <w:rtl/>
        </w:rPr>
        <w:t>רבים</w:t>
      </w:r>
      <w:r w:rsidRPr="00B97E44">
        <w:rPr>
          <w:rFonts w:ascii="Arial" w:hAnsi="Arial"/>
          <w:b/>
          <w:bCs/>
          <w:shd w:val="clear" w:color="auto" w:fill="FFFFFF"/>
          <w:rtl/>
        </w:rPr>
        <w:t xml:space="preserve"> </w:t>
      </w:r>
      <w:r w:rsidRPr="00B97E44">
        <w:rPr>
          <w:rFonts w:ascii="Arial" w:hAnsi="Arial" w:hint="eastAsia"/>
          <w:b/>
          <w:bCs/>
          <w:shd w:val="clear" w:color="auto" w:fill="FFFFFF"/>
          <w:rtl/>
        </w:rPr>
        <w:t>נוספים</w:t>
      </w:r>
      <w:r w:rsidRPr="00B97E44">
        <w:rPr>
          <w:rFonts w:ascii="Arial" w:hAnsi="Arial" w:hint="cs"/>
          <w:b/>
          <w:bCs/>
          <w:shd w:val="clear" w:color="auto" w:fill="FFFFFF"/>
          <w:rtl/>
        </w:rPr>
        <w:t>,</w:t>
      </w:r>
      <w:r w:rsidRPr="00B97E44">
        <w:rPr>
          <w:rFonts w:ascii="Arial" w:hAnsi="Arial"/>
          <w:b/>
          <w:bCs/>
          <w:shd w:val="clear" w:color="auto" w:fill="FFFFFF"/>
          <w:rtl/>
        </w:rPr>
        <w:t xml:space="preserve"> </w:t>
      </w:r>
      <w:r w:rsidRPr="00B97E44">
        <w:rPr>
          <w:rFonts w:hint="cs"/>
          <w:b/>
          <w:bCs/>
          <w:rtl/>
        </w:rPr>
        <w:t>יוכלו לבחור אם לפעול לשיקום השטחים הפתוחים בשטחן אם לאו, ולכן אין בכוחו להבטיח ששיקום מלא ומקיף אכן יתמ</w:t>
      </w:r>
      <w:r w:rsidR="008302B0">
        <w:rPr>
          <w:rFonts w:hint="cs"/>
          <w:b/>
          <w:bCs/>
          <w:rtl/>
        </w:rPr>
        <w:t>מ</w:t>
      </w:r>
      <w:r w:rsidRPr="00B97E44">
        <w:rPr>
          <w:rFonts w:hint="cs"/>
          <w:b/>
          <w:bCs/>
          <w:rtl/>
        </w:rPr>
        <w:t>ש</w:t>
      </w:r>
      <w:r w:rsidRPr="00B97E44">
        <w:rPr>
          <w:rFonts w:ascii="Arial" w:hAnsi="Arial" w:hint="cs"/>
          <w:b/>
          <w:bCs/>
          <w:shd w:val="clear" w:color="auto" w:fill="FFFFFF"/>
          <w:rtl/>
        </w:rPr>
        <w:t xml:space="preserve">, בפרט בהיעדרו של גורם </w:t>
      </w:r>
      <w:r w:rsidRPr="00B97E44">
        <w:rPr>
          <w:rFonts w:ascii="Arial" w:hAnsi="Arial" w:hint="cs"/>
          <w:b/>
          <w:bCs/>
          <w:shd w:val="clear" w:color="auto" w:fill="FFFFFF"/>
          <w:rtl/>
        </w:rPr>
        <w:t>מתכלל</w:t>
      </w:r>
      <w:r w:rsidRPr="00B97E44">
        <w:rPr>
          <w:rFonts w:ascii="Arial" w:hAnsi="Arial" w:hint="cs"/>
          <w:b/>
          <w:bCs/>
          <w:shd w:val="clear" w:color="auto" w:fill="FFFFFF"/>
          <w:rtl/>
        </w:rPr>
        <w:t xml:space="preserve"> לשיקום השטחים הפתוחים</w:t>
      </w:r>
      <w:r w:rsidRPr="00B97E44">
        <w:rPr>
          <w:rFonts w:ascii="Arial" w:hAnsi="Arial"/>
          <w:b/>
          <w:bCs/>
          <w:shd w:val="clear" w:color="auto" w:fill="FFFFFF"/>
          <w:rtl/>
        </w:rPr>
        <w:t>.</w:t>
      </w:r>
    </w:p>
    <w:p w:rsidR="005B126E" w:rsidP="001916A9">
      <w:pPr>
        <w:keepNext/>
        <w:keepLines/>
        <w:widowControl w:val="0"/>
        <w:spacing w:line="269" w:lineRule="auto"/>
        <w:rPr>
          <w:b/>
          <w:bCs/>
          <w:rtl/>
        </w:rPr>
      </w:pPr>
      <w:bookmarkStart w:id="55" w:name="_Hlk207635740"/>
    </w:p>
    <w:p w:rsidR="005B126E" w:rsidRPr="00B97E44" w:rsidP="001916A9">
      <w:pPr>
        <w:keepNext/>
        <w:keepLines/>
        <w:widowControl w:val="0"/>
        <w:spacing w:line="269" w:lineRule="auto"/>
        <w:rPr>
          <w:b/>
          <w:bCs/>
          <w:rtl/>
        </w:rPr>
      </w:pPr>
      <w:r w:rsidRPr="00B97E44">
        <w:rPr>
          <w:rFonts w:hint="cs"/>
          <w:b/>
          <w:bCs/>
          <w:rtl/>
        </w:rPr>
        <w:t>מכל האמור עולה כי על אף הנזקים החמורים שנגרמו לשטחים הפתוחים שאינם חקלאיים בחבל התקומה במתקפת הטרור בשבעה באוקטובר רק כעבור חודשים ארוכים אותר מקור תקציבי למימון הליכי שיקום חלקיים.</w:t>
      </w:r>
    </w:p>
    <w:p w:rsidR="005B126E" w:rsidP="001916A9">
      <w:pPr>
        <w:spacing w:line="269" w:lineRule="auto"/>
        <w:rPr>
          <w:rFonts w:ascii="Arial" w:hAnsi="Arial"/>
          <w:b/>
          <w:bCs/>
          <w:shd w:val="clear" w:color="auto" w:fill="FFFFFF"/>
          <w:rtl/>
        </w:rPr>
      </w:pPr>
    </w:p>
    <w:p w:rsidR="005B126E" w:rsidRPr="00B97E44" w:rsidP="001916A9">
      <w:pPr>
        <w:spacing w:line="269" w:lineRule="auto"/>
        <w:rPr>
          <w:b/>
          <w:bCs/>
          <w:rtl/>
        </w:rPr>
      </w:pPr>
      <w:r w:rsidRPr="00B97E44">
        <w:rPr>
          <w:rFonts w:ascii="Arial" w:hAnsi="Arial" w:hint="cs"/>
          <w:b/>
          <w:bCs/>
          <w:shd w:val="clear" w:color="auto" w:fill="FFFFFF"/>
          <w:rtl/>
        </w:rPr>
        <w:t xml:space="preserve">יתרה מכך, בהיעדרו של גורם </w:t>
      </w:r>
      <w:r w:rsidRPr="00B97E44">
        <w:rPr>
          <w:rFonts w:ascii="Arial" w:hAnsi="Arial" w:hint="cs"/>
          <w:b/>
          <w:bCs/>
          <w:shd w:val="clear" w:color="auto" w:fill="FFFFFF"/>
          <w:rtl/>
        </w:rPr>
        <w:t>המתכלל</w:t>
      </w:r>
      <w:r w:rsidRPr="00B97E44">
        <w:rPr>
          <w:rFonts w:ascii="Arial" w:hAnsi="Arial" w:hint="cs"/>
          <w:b/>
          <w:bCs/>
          <w:shd w:val="clear" w:color="auto" w:fill="FFFFFF"/>
          <w:rtl/>
        </w:rPr>
        <w:t xml:space="preserve"> את פעולות השיקום והמרכז את המידע על השטחים הפתוחים שישוקמו ואלו שעדיין יידרש לשקמם, לא ברור כי הרשויות המקומיות יוכלו למפות, </w:t>
      </w:r>
      <w:r w:rsidRPr="00B97E44">
        <w:rPr>
          <w:rFonts w:ascii="Arial" w:hAnsi="Arial" w:hint="cs"/>
          <w:b/>
          <w:bCs/>
          <w:shd w:val="clear" w:color="auto" w:fill="FFFFFF"/>
          <w:rtl/>
        </w:rPr>
        <w:t>לתעדף</w:t>
      </w:r>
      <w:r w:rsidRPr="00B97E44">
        <w:rPr>
          <w:rFonts w:ascii="Arial" w:hAnsi="Arial" w:hint="cs"/>
          <w:b/>
          <w:bCs/>
          <w:shd w:val="clear" w:color="auto" w:fill="FFFFFF"/>
          <w:rtl/>
        </w:rPr>
        <w:t xml:space="preserve"> ולתקצב את שיקום כלל השטחים הפתוחים בתחומן, בפרט כאשר קיימים גורמים אחרים ובהם</w:t>
      </w:r>
      <w:r>
        <w:rPr>
          <w:rFonts w:ascii="Arial" w:hAnsi="Arial" w:hint="cs"/>
          <w:b/>
          <w:bCs/>
          <w:shd w:val="clear" w:color="auto" w:fill="FFFFFF"/>
          <w:rtl/>
        </w:rPr>
        <w:t xml:space="preserve"> </w:t>
      </w:r>
      <w:r w:rsidRPr="00B97E44">
        <w:rPr>
          <w:rFonts w:ascii="Arial" w:hAnsi="Arial" w:hint="cs"/>
          <w:b/>
          <w:bCs/>
          <w:shd w:val="clear" w:color="auto" w:fill="FFFFFF"/>
          <w:rtl/>
        </w:rPr>
        <w:t>רשות הטבע והגנים ורשויות ניקוז</w:t>
      </w:r>
      <w:r>
        <w:rPr>
          <w:rFonts w:ascii="Arial" w:hAnsi="Arial" w:hint="cs"/>
          <w:b/>
          <w:bCs/>
          <w:shd w:val="clear" w:color="auto" w:fill="FFFFFF"/>
          <w:rtl/>
        </w:rPr>
        <w:t xml:space="preserve"> </w:t>
      </w:r>
      <w:r w:rsidRPr="00B97E44">
        <w:rPr>
          <w:rFonts w:ascii="Arial" w:hAnsi="Arial" w:hint="cs"/>
          <w:b/>
          <w:bCs/>
          <w:shd w:val="clear" w:color="auto" w:fill="FFFFFF"/>
          <w:rtl/>
        </w:rPr>
        <w:t xml:space="preserve">שמופקדים על שימורם, פיתוחם וניהולם </w:t>
      </w:r>
      <w:bookmarkEnd w:id="55"/>
      <w:r w:rsidRPr="00B97E44">
        <w:rPr>
          <w:rFonts w:ascii="Arial" w:hAnsi="Arial" w:hint="cs"/>
          <w:b/>
          <w:bCs/>
          <w:shd w:val="clear" w:color="auto" w:fill="FFFFFF"/>
          <w:rtl/>
        </w:rPr>
        <w:t>כמפורט לעיל.</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המשרד להגנת הסביבה מסר בתשובתו כי ההחלטה להעביר את התקציב לשנים 2025 - 2026 באמצעות תמיכה ברשויות המקומיות התקבלה על ידי השרה להגנת הסביבה. היות שהמשרד מודע לקושי של הרשויות המקומיות להתפנות למימוש תקציבי התמיכה, נקבע כי במסגרת התקציבים שניתנו למשרד למימוש ההחלטה, הוקם מיזם משותף יחד עם החברה להגנת הטבע שמטרתו לסייע לרשויות המקומיות לבחור את האתרים הראויים, להגיש בקשות לקול קורא וללוות את הרשויות בביצוע פרויקטים. נכון לאוקטובר 2025 כל חמש רשויות חבל </w:t>
      </w:r>
      <w:r>
        <w:rPr>
          <w:rFonts w:hint="cs"/>
          <w:rtl/>
        </w:rPr>
        <w:t>ה</w:t>
      </w:r>
      <w:r w:rsidRPr="00B97E44">
        <w:rPr>
          <w:rFonts w:hint="cs"/>
          <w:rtl/>
        </w:rPr>
        <w:t>תקומה הגישו בקשות על מלוא התקציב שהוקצה.</w:t>
      </w:r>
    </w:p>
    <w:p w:rsidR="005B126E" w:rsidP="001916A9">
      <w:pPr>
        <w:autoSpaceDE w:val="0"/>
        <w:autoSpaceDN w:val="0"/>
        <w:adjustRightInd w:val="0"/>
        <w:spacing w:line="269" w:lineRule="auto"/>
        <w:rPr>
          <w:rFonts w:ascii="David" w:hAnsi="David"/>
          <w:sz w:val="24"/>
          <w:rtl/>
        </w:rPr>
      </w:pPr>
    </w:p>
    <w:p w:rsidR="005B126E" w:rsidRPr="00B97E44" w:rsidP="001916A9">
      <w:pPr>
        <w:autoSpaceDE w:val="0"/>
        <w:autoSpaceDN w:val="0"/>
        <w:adjustRightInd w:val="0"/>
        <w:spacing w:line="269" w:lineRule="auto"/>
        <w:rPr>
          <w:rtl/>
        </w:rPr>
      </w:pPr>
      <w:r w:rsidRPr="00B97E44">
        <w:rPr>
          <w:rFonts w:ascii="David" w:hAnsi="David" w:hint="cs"/>
          <w:sz w:val="24"/>
          <w:rtl/>
        </w:rPr>
        <w:t xml:space="preserve">מינהלת תקומה מסרה בתשובתה כי </w:t>
      </w:r>
      <w:r w:rsidRPr="00B97E44">
        <w:rPr>
          <w:rFonts w:ascii="David" w:hAnsi="David"/>
          <w:sz w:val="24"/>
          <w:rtl/>
        </w:rPr>
        <w:t xml:space="preserve">משלא נתקבלו תקציבים לשיקום השטחים הפתוחים ממשרד הביטחון או </w:t>
      </w:r>
      <w:r w:rsidRPr="00B97E44">
        <w:rPr>
          <w:rFonts w:ascii="David" w:hAnsi="David" w:hint="cs"/>
          <w:sz w:val="24"/>
          <w:rtl/>
        </w:rPr>
        <w:t>מ</w:t>
      </w:r>
      <w:r w:rsidRPr="00B97E44">
        <w:rPr>
          <w:rFonts w:ascii="David" w:hAnsi="David"/>
          <w:sz w:val="24"/>
          <w:rtl/>
        </w:rPr>
        <w:t>רשות</w:t>
      </w:r>
      <w:r w:rsidRPr="00B97E44">
        <w:rPr>
          <w:rFonts w:ascii="David" w:hAnsi="David" w:hint="cs"/>
          <w:sz w:val="24"/>
          <w:rtl/>
        </w:rPr>
        <w:t xml:space="preserve"> </w:t>
      </w:r>
      <w:r w:rsidRPr="00B97E44">
        <w:rPr>
          <w:rFonts w:ascii="David" w:hAnsi="David"/>
          <w:sz w:val="24"/>
          <w:rtl/>
        </w:rPr>
        <w:t>המיסים,</w:t>
      </w:r>
      <w:r w:rsidRPr="00B97E44">
        <w:rPr>
          <w:rFonts w:ascii="David" w:hAnsi="David" w:hint="cs"/>
          <w:sz w:val="24"/>
          <w:rtl/>
        </w:rPr>
        <w:t xml:space="preserve"> היא </w:t>
      </w:r>
      <w:r w:rsidRPr="00B97E44">
        <w:rPr>
          <w:rFonts w:ascii="David" w:hAnsi="David"/>
          <w:sz w:val="24"/>
          <w:rtl/>
        </w:rPr>
        <w:t>אפשר</w:t>
      </w:r>
      <w:r w:rsidRPr="00B97E44">
        <w:rPr>
          <w:rFonts w:ascii="David" w:hAnsi="David" w:hint="cs"/>
          <w:sz w:val="24"/>
          <w:rtl/>
        </w:rPr>
        <w:t xml:space="preserve">ה בשיתוף </w:t>
      </w:r>
      <w:r w:rsidRPr="00B97E44">
        <w:rPr>
          <w:rFonts w:ascii="David" w:hAnsi="David"/>
          <w:sz w:val="24"/>
          <w:rtl/>
        </w:rPr>
        <w:t>המשרד להגנת הסביבה גם פעולות לשיקום אתרי טבע שנהרסו מנזקי המלחמה כחלק ממטרת התמיכה</w:t>
      </w:r>
      <w:r w:rsidRPr="00B97E44">
        <w:rPr>
          <w:rFonts w:ascii="David" w:hAnsi="David" w:hint="cs"/>
          <w:sz w:val="24"/>
          <w:rtl/>
        </w:rPr>
        <w:t xml:space="preserve">. עם זאת הדגישה </w:t>
      </w:r>
      <w:r w:rsidRPr="00B97E44">
        <w:rPr>
          <w:rFonts w:ascii="David" w:hAnsi="David" w:hint="cs"/>
          <w:sz w:val="24"/>
          <w:rtl/>
        </w:rPr>
        <w:t>המינהלת</w:t>
      </w:r>
      <w:r w:rsidRPr="00B97E44">
        <w:rPr>
          <w:rFonts w:ascii="David" w:hAnsi="David" w:hint="cs"/>
          <w:sz w:val="24"/>
          <w:rtl/>
        </w:rPr>
        <w:t xml:space="preserve"> כי תקצוב פעולות שיקום אלה על ידה אין בו משום </w:t>
      </w:r>
      <w:r w:rsidRPr="00B97E44">
        <w:rPr>
          <w:rFonts w:ascii="David" w:hAnsi="David"/>
          <w:sz w:val="24"/>
          <w:rtl/>
        </w:rPr>
        <w:t xml:space="preserve">תחליף לחובת המשרדים האמורים בשיקום הנזקים, אלא </w:t>
      </w:r>
      <w:r w:rsidRPr="00B97E44">
        <w:rPr>
          <w:rFonts w:ascii="David" w:hAnsi="David" w:hint="cs"/>
          <w:sz w:val="24"/>
          <w:rtl/>
        </w:rPr>
        <w:t>הוא אמור להתווסף עליה.</w:t>
      </w:r>
    </w:p>
    <w:p w:rsidR="005B126E" w:rsidP="001916A9">
      <w:pPr>
        <w:spacing w:line="269" w:lineRule="auto"/>
        <w:rPr>
          <w:rtl/>
        </w:rPr>
      </w:pPr>
    </w:p>
    <w:p w:rsidR="005B126E" w:rsidRPr="00B97E44" w:rsidP="001916A9">
      <w:pPr>
        <w:spacing w:line="269" w:lineRule="auto"/>
      </w:pPr>
      <w:r w:rsidRPr="00B97E44">
        <w:rPr>
          <w:rFonts w:hint="cs"/>
          <w:rtl/>
        </w:rPr>
        <w:t xml:space="preserve">המועצה האזורית </w:t>
      </w:r>
      <w:r w:rsidRPr="00B97E44">
        <w:rPr>
          <w:rFonts w:hint="eastAsia"/>
          <w:b/>
          <w:bCs/>
          <w:rtl/>
        </w:rPr>
        <w:t>אשכול</w:t>
      </w:r>
      <w:r w:rsidRPr="00B97E44">
        <w:rPr>
          <w:rFonts w:hint="cs"/>
          <w:rtl/>
        </w:rPr>
        <w:t xml:space="preserve"> מסרה בתשובתה כי התקציבים שהועברו במסגרת הקול הקורא אינם מספיקים לשיקום מלא של כלל השטחים הפתוחים שנפגעו במלחמה. עוד ציינה המועצה כי מנגנון הקולות הקוראים מסורבל ומקשה </w:t>
      </w:r>
      <w:r>
        <w:rPr>
          <w:rFonts w:hint="cs"/>
          <w:rtl/>
        </w:rPr>
        <w:t xml:space="preserve">על </w:t>
      </w:r>
      <w:r w:rsidRPr="00B97E44">
        <w:rPr>
          <w:rFonts w:hint="cs"/>
          <w:rtl/>
        </w:rPr>
        <w:t>עבודת המועצה.</w:t>
      </w:r>
      <w:r w:rsidRPr="00B97E44">
        <w:rPr>
          <w:rtl/>
        </w:rPr>
        <w:tab/>
      </w:r>
    </w:p>
    <w:p w:rsidR="005B126E" w:rsidP="001916A9">
      <w:pPr>
        <w:spacing w:line="269" w:lineRule="auto"/>
        <w:rPr>
          <w:b/>
          <w:bCs/>
          <w:rtl/>
        </w:rPr>
      </w:pPr>
    </w:p>
    <w:p w:rsidR="005B126E" w:rsidRPr="00B97E44" w:rsidP="001916A9">
      <w:pPr>
        <w:spacing w:line="269" w:lineRule="auto"/>
        <w:rPr>
          <w:b/>
          <w:bCs/>
          <w:rtl/>
        </w:rPr>
      </w:pPr>
      <w:r w:rsidRPr="00B97E44">
        <w:rPr>
          <w:rFonts w:hint="cs"/>
          <w:b/>
          <w:bCs/>
          <w:rtl/>
        </w:rPr>
        <w:t>לבניית מסד נתונים מרחבי בתחום שיקום השטחים הפתוחים משנה חשיבות</w:t>
      </w:r>
      <w:r w:rsidRPr="00B97E44">
        <w:rPr>
          <w:b/>
          <w:bCs/>
          <w:rtl/>
        </w:rPr>
        <w:t xml:space="preserve"> </w:t>
      </w:r>
      <w:r w:rsidRPr="00B97E44">
        <w:rPr>
          <w:rFonts w:hint="eastAsia"/>
          <w:b/>
          <w:bCs/>
          <w:rtl/>
        </w:rPr>
        <w:t>גם</w:t>
      </w:r>
      <w:r w:rsidRPr="00B97E44">
        <w:rPr>
          <w:b/>
          <w:bCs/>
          <w:rtl/>
        </w:rPr>
        <w:t xml:space="preserve"> </w:t>
      </w:r>
      <w:r w:rsidRPr="00B97E44">
        <w:rPr>
          <w:rFonts w:hint="eastAsia"/>
          <w:b/>
          <w:bCs/>
          <w:rtl/>
        </w:rPr>
        <w:t>בכל</w:t>
      </w:r>
      <w:r w:rsidRPr="00B97E44">
        <w:rPr>
          <w:b/>
          <w:bCs/>
          <w:rtl/>
        </w:rPr>
        <w:t xml:space="preserve"> הנוגע לשיקום הצפון, </w:t>
      </w:r>
      <w:r w:rsidRPr="00B97E44">
        <w:rPr>
          <w:rFonts w:hint="eastAsia"/>
          <w:b/>
          <w:bCs/>
          <w:rtl/>
        </w:rPr>
        <w:t>שם</w:t>
      </w:r>
      <w:r w:rsidRPr="00B97E44">
        <w:rPr>
          <w:b/>
          <w:bCs/>
          <w:rtl/>
        </w:rPr>
        <w:t xml:space="preserve"> בעקבות מלחמת חרבות ברזל נגרמו נזקים פיזיים ואקולוגיים כבדים </w:t>
      </w:r>
      <w:r w:rsidRPr="00B97E44">
        <w:rPr>
          <w:rFonts w:hint="eastAsia"/>
          <w:b/>
          <w:bCs/>
          <w:rtl/>
        </w:rPr>
        <w:t>לשטחים</w:t>
      </w:r>
      <w:r w:rsidRPr="00B97E44">
        <w:rPr>
          <w:b/>
          <w:bCs/>
          <w:rtl/>
        </w:rPr>
        <w:t xml:space="preserve"> </w:t>
      </w:r>
      <w:r w:rsidRPr="00B97E44">
        <w:rPr>
          <w:rFonts w:hint="eastAsia"/>
          <w:b/>
          <w:bCs/>
          <w:rtl/>
        </w:rPr>
        <w:t>הפתוחים</w:t>
      </w:r>
      <w:r w:rsidRPr="00B97E44">
        <w:rPr>
          <w:rFonts w:hint="cs"/>
          <w:b/>
          <w:bCs/>
          <w:rtl/>
        </w:rPr>
        <w:t>,</w:t>
      </w:r>
      <w:r w:rsidRPr="00B97E44">
        <w:rPr>
          <w:b/>
          <w:bCs/>
          <w:rtl/>
        </w:rPr>
        <w:t xml:space="preserve"> </w:t>
      </w:r>
      <w:r w:rsidRPr="00B97E44">
        <w:rPr>
          <w:rFonts w:hint="eastAsia"/>
          <w:b/>
          <w:bCs/>
          <w:rtl/>
        </w:rPr>
        <w:t>כמו</w:t>
      </w:r>
      <w:r w:rsidRPr="00B97E44">
        <w:rPr>
          <w:b/>
          <w:bCs/>
          <w:rtl/>
        </w:rPr>
        <w:t xml:space="preserve"> </w:t>
      </w:r>
      <w:r w:rsidRPr="00B97E44">
        <w:rPr>
          <w:rFonts w:hint="eastAsia"/>
          <w:b/>
          <w:bCs/>
          <w:rtl/>
        </w:rPr>
        <w:t>נזקי</w:t>
      </w:r>
      <w:r w:rsidRPr="00B97E44">
        <w:rPr>
          <w:b/>
          <w:bCs/>
          <w:rtl/>
        </w:rPr>
        <w:t xml:space="preserve"> </w:t>
      </w:r>
      <w:r w:rsidRPr="00B97E44">
        <w:rPr>
          <w:rFonts w:hint="eastAsia"/>
          <w:b/>
          <w:bCs/>
          <w:rtl/>
        </w:rPr>
        <w:t>שריפות</w:t>
      </w:r>
      <w:r w:rsidRPr="00B97E44">
        <w:rPr>
          <w:b/>
          <w:bCs/>
          <w:rtl/>
        </w:rPr>
        <w:t xml:space="preserve"> </w:t>
      </w:r>
      <w:r w:rsidRPr="00B97E44">
        <w:rPr>
          <w:rFonts w:hint="eastAsia"/>
          <w:b/>
          <w:bCs/>
          <w:rtl/>
        </w:rPr>
        <w:t>בשטח</w:t>
      </w:r>
      <w:r w:rsidRPr="00B97E44">
        <w:rPr>
          <w:b/>
          <w:bCs/>
          <w:rtl/>
        </w:rPr>
        <w:t xml:space="preserve"> </w:t>
      </w:r>
      <w:r w:rsidRPr="00B97E44">
        <w:rPr>
          <w:rFonts w:hint="eastAsia"/>
          <w:b/>
          <w:bCs/>
          <w:rtl/>
        </w:rPr>
        <w:t>של</w:t>
      </w:r>
      <w:r w:rsidRPr="00B97E44">
        <w:rPr>
          <w:b/>
          <w:bCs/>
          <w:rtl/>
        </w:rPr>
        <w:t xml:space="preserve"> </w:t>
      </w:r>
      <w:r w:rsidRPr="00B97E44">
        <w:rPr>
          <w:rFonts w:hint="eastAsia"/>
          <w:b/>
          <w:bCs/>
          <w:rtl/>
        </w:rPr>
        <w:t>כ</w:t>
      </w:r>
      <w:r w:rsidRPr="00B97E44">
        <w:rPr>
          <w:b/>
          <w:bCs/>
          <w:rtl/>
        </w:rPr>
        <w:t xml:space="preserve">-100,000 </w:t>
      </w:r>
      <w:r w:rsidRPr="00B97E44">
        <w:rPr>
          <w:rFonts w:hint="eastAsia"/>
          <w:b/>
          <w:bCs/>
          <w:rtl/>
        </w:rPr>
        <w:t>דונם</w:t>
      </w:r>
      <w:r w:rsidRPr="00B97E44">
        <w:rPr>
          <w:b/>
          <w:bCs/>
          <w:rtl/>
        </w:rPr>
        <w:t xml:space="preserve"> </w:t>
      </w:r>
      <w:r w:rsidRPr="00B97E44">
        <w:rPr>
          <w:rFonts w:hint="eastAsia"/>
          <w:b/>
          <w:bCs/>
          <w:rtl/>
        </w:rPr>
        <w:t>בשטחי</w:t>
      </w:r>
      <w:r w:rsidRPr="00B97E44">
        <w:rPr>
          <w:b/>
          <w:bCs/>
          <w:rtl/>
        </w:rPr>
        <w:t xml:space="preserve"> </w:t>
      </w:r>
      <w:r w:rsidRPr="00B97E44">
        <w:rPr>
          <w:rFonts w:hint="eastAsia"/>
          <w:b/>
          <w:bCs/>
          <w:rtl/>
        </w:rPr>
        <w:t>שמורות</w:t>
      </w:r>
      <w:r w:rsidRPr="00B97E44">
        <w:rPr>
          <w:b/>
          <w:bCs/>
          <w:rtl/>
        </w:rPr>
        <w:t xml:space="preserve"> </w:t>
      </w:r>
      <w:r w:rsidRPr="00B97E44">
        <w:rPr>
          <w:rFonts w:hint="eastAsia"/>
          <w:b/>
          <w:bCs/>
          <w:rtl/>
        </w:rPr>
        <w:t>טבע</w:t>
      </w:r>
      <w:r w:rsidRPr="00B97E44">
        <w:rPr>
          <w:b/>
          <w:bCs/>
          <w:rtl/>
        </w:rPr>
        <w:t xml:space="preserve"> </w:t>
      </w:r>
      <w:r w:rsidRPr="00B97E44">
        <w:rPr>
          <w:rFonts w:hint="eastAsia"/>
          <w:b/>
          <w:bCs/>
          <w:rtl/>
        </w:rPr>
        <w:t>וגנים</w:t>
      </w:r>
      <w:r w:rsidRPr="00B97E44">
        <w:rPr>
          <w:b/>
          <w:bCs/>
          <w:rtl/>
        </w:rPr>
        <w:t xml:space="preserve"> </w:t>
      </w:r>
      <w:r w:rsidRPr="00B97E44">
        <w:rPr>
          <w:rFonts w:hint="eastAsia"/>
          <w:b/>
          <w:bCs/>
          <w:rtl/>
        </w:rPr>
        <w:t>לאומיים</w:t>
      </w:r>
      <w:r w:rsidRPr="00B97E44">
        <w:rPr>
          <w:b/>
          <w:bCs/>
          <w:rtl/>
        </w:rPr>
        <w:t xml:space="preserve"> </w:t>
      </w:r>
      <w:r w:rsidRPr="00B97E44">
        <w:rPr>
          <w:rFonts w:hint="eastAsia"/>
          <w:b/>
          <w:bCs/>
          <w:rtl/>
        </w:rPr>
        <w:t>ופגיעות</w:t>
      </w:r>
      <w:r w:rsidRPr="00B97E44">
        <w:rPr>
          <w:b/>
          <w:bCs/>
          <w:rtl/>
        </w:rPr>
        <w:t xml:space="preserve"> </w:t>
      </w:r>
      <w:r w:rsidRPr="00B97E44">
        <w:rPr>
          <w:rFonts w:hint="eastAsia"/>
          <w:b/>
          <w:bCs/>
          <w:rtl/>
        </w:rPr>
        <w:t>באתרי</w:t>
      </w:r>
      <w:r w:rsidRPr="00B97E44">
        <w:rPr>
          <w:b/>
          <w:bCs/>
          <w:rtl/>
        </w:rPr>
        <w:t xml:space="preserve"> </w:t>
      </w:r>
      <w:r w:rsidRPr="00B97E44">
        <w:rPr>
          <w:rFonts w:hint="eastAsia"/>
          <w:b/>
          <w:bCs/>
          <w:rtl/>
        </w:rPr>
        <w:t>מורשת</w:t>
      </w:r>
      <w:r w:rsidRPr="00B97E44">
        <w:rPr>
          <w:b/>
          <w:bCs/>
          <w:rtl/>
        </w:rPr>
        <w:t xml:space="preserve"> </w:t>
      </w:r>
      <w:r w:rsidRPr="00B97E44">
        <w:rPr>
          <w:rFonts w:hint="eastAsia"/>
          <w:b/>
          <w:bCs/>
          <w:rtl/>
        </w:rPr>
        <w:t>ואתרים</w:t>
      </w:r>
      <w:r w:rsidRPr="00B97E44">
        <w:rPr>
          <w:b/>
          <w:bCs/>
          <w:rtl/>
        </w:rPr>
        <w:t xml:space="preserve"> </w:t>
      </w:r>
      <w:r w:rsidRPr="00B97E44">
        <w:rPr>
          <w:rFonts w:hint="eastAsia"/>
          <w:b/>
          <w:bCs/>
          <w:rtl/>
        </w:rPr>
        <w:t>ארכיאולוגיים</w:t>
      </w:r>
      <w:r w:rsidRPr="00B97E44">
        <w:rPr>
          <w:b/>
          <w:bCs/>
          <w:rtl/>
        </w:rPr>
        <w:t>.</w:t>
      </w:r>
    </w:p>
    <w:p w:rsidR="005B126E" w:rsidP="001916A9">
      <w:pPr>
        <w:spacing w:line="269" w:lineRule="auto"/>
        <w:rPr>
          <w:b/>
          <w:bCs/>
          <w:rtl/>
        </w:rPr>
      </w:pPr>
    </w:p>
    <w:p w:rsidR="005B126E" w:rsidRPr="00B97E44" w:rsidP="001916A9">
      <w:pPr>
        <w:spacing w:line="269" w:lineRule="auto"/>
        <w:rPr>
          <w:b/>
          <w:bCs/>
          <w:rtl/>
        </w:rPr>
      </w:pPr>
      <w:r w:rsidRPr="00B97E44">
        <w:rPr>
          <w:rFonts w:hint="cs"/>
          <w:b/>
          <w:bCs/>
          <w:rtl/>
        </w:rPr>
        <w:t xml:space="preserve">משרד מבקר המדינה ממליץ למשרד להגנת הסביבה למנות גורם </w:t>
      </w:r>
      <w:r w:rsidRPr="00B97E44">
        <w:rPr>
          <w:rFonts w:hint="cs"/>
          <w:b/>
          <w:bCs/>
          <w:rtl/>
        </w:rPr>
        <w:t>מתכלל</w:t>
      </w:r>
      <w:r w:rsidRPr="00B97E44">
        <w:rPr>
          <w:rFonts w:hint="cs"/>
          <w:b/>
          <w:bCs/>
          <w:rtl/>
        </w:rPr>
        <w:t xml:space="preserve"> שיבנה מסד נתונים מרחבי מעודכן ויפעל בשיתוף פעולה עם כל הגורמים הפועלים לשיקומם של השטחים הפתוחים באזור כדי למפות את השטחים שטעונים שיקום לפי היקף הנזקים ולפי סדר עדיפות שייקבע.</w:t>
      </w:r>
    </w:p>
    <w:p w:rsidR="005B126E" w:rsidP="001916A9">
      <w:pPr>
        <w:spacing w:line="269" w:lineRule="auto"/>
        <w:rPr>
          <w:rtl/>
        </w:rPr>
      </w:pPr>
    </w:p>
    <w:p w:rsidR="005B126E" w:rsidRPr="00B97E44" w:rsidP="001916A9">
      <w:pPr>
        <w:spacing w:line="269" w:lineRule="auto"/>
        <w:rPr>
          <w:b/>
          <w:bCs/>
          <w:rtl/>
        </w:rPr>
      </w:pPr>
      <w:r w:rsidRPr="00B97E44">
        <w:rPr>
          <w:rFonts w:hint="cs"/>
          <w:rtl/>
        </w:rPr>
        <w:t xml:space="preserve">המועצה האזורית </w:t>
      </w:r>
      <w:r w:rsidRPr="00B97E44">
        <w:rPr>
          <w:rFonts w:hint="eastAsia"/>
          <w:b/>
          <w:bCs/>
          <w:rtl/>
        </w:rPr>
        <w:t>אשכול</w:t>
      </w:r>
      <w:r w:rsidRPr="00B97E44">
        <w:rPr>
          <w:rFonts w:hint="cs"/>
          <w:rtl/>
        </w:rPr>
        <w:t xml:space="preserve"> מסרה כי קיימת חשיבות רבה </w:t>
      </w:r>
      <w:r w:rsidRPr="00B97E44">
        <w:rPr>
          <w:rFonts w:hint="cs"/>
          <w:rtl/>
        </w:rPr>
        <w:t>בתכלול</w:t>
      </w:r>
      <w:r w:rsidRPr="00B97E44">
        <w:rPr>
          <w:rFonts w:hint="cs"/>
          <w:rtl/>
        </w:rPr>
        <w:t xml:space="preserve"> שיקום השטחים הפתוחים כתפיסה אחת אחודה וכי אופן ההתנהלות נכון לאוקטובר 2025 מותיר את האחריות על המועצה המשמשת "המבוגר האחראי" היחיד בנושא.</w:t>
      </w:r>
    </w:p>
    <w:p w:rsidR="005B126E" w:rsidP="001916A9">
      <w:pPr>
        <w:spacing w:line="269" w:lineRule="auto"/>
        <w:ind w:left="3"/>
        <w:rPr>
          <w:sz w:val="24"/>
          <w:rtl/>
        </w:rPr>
      </w:pPr>
    </w:p>
    <w:p w:rsidR="005B126E" w:rsidP="001916A9">
      <w:pPr>
        <w:spacing w:line="269" w:lineRule="auto"/>
        <w:ind w:left="3"/>
        <w:rPr>
          <w:sz w:val="24"/>
          <w:rtl/>
        </w:rPr>
      </w:pPr>
      <w:r w:rsidRPr="00B97E44">
        <w:rPr>
          <w:rFonts w:hint="eastAsia"/>
          <w:sz w:val="24"/>
          <w:rtl/>
        </w:rPr>
        <w:t>המשרד</w:t>
      </w:r>
      <w:r w:rsidRPr="00B97E44">
        <w:rPr>
          <w:sz w:val="24"/>
          <w:rtl/>
        </w:rPr>
        <w:t xml:space="preserve"> </w:t>
      </w:r>
      <w:r w:rsidRPr="00B97E44">
        <w:rPr>
          <w:rFonts w:hint="eastAsia"/>
          <w:sz w:val="24"/>
          <w:rtl/>
        </w:rPr>
        <w:t>להגנת</w:t>
      </w:r>
      <w:r w:rsidRPr="00B97E44">
        <w:rPr>
          <w:sz w:val="24"/>
          <w:rtl/>
        </w:rPr>
        <w:t xml:space="preserve"> </w:t>
      </w:r>
      <w:r w:rsidRPr="00B97E44">
        <w:rPr>
          <w:rFonts w:hint="eastAsia"/>
          <w:sz w:val="24"/>
          <w:rtl/>
        </w:rPr>
        <w:t>הסביבה</w:t>
      </w:r>
      <w:r w:rsidRPr="00B97E44">
        <w:rPr>
          <w:sz w:val="24"/>
          <w:rtl/>
        </w:rPr>
        <w:t xml:space="preserve"> </w:t>
      </w:r>
      <w:r w:rsidRPr="00B97E44">
        <w:rPr>
          <w:rFonts w:hint="eastAsia"/>
          <w:sz w:val="24"/>
          <w:rtl/>
        </w:rPr>
        <w:t>מסר</w:t>
      </w:r>
      <w:r w:rsidRPr="00B97E44">
        <w:rPr>
          <w:sz w:val="24"/>
          <w:rtl/>
        </w:rPr>
        <w:t xml:space="preserve"> </w:t>
      </w:r>
      <w:r w:rsidRPr="00B97E44">
        <w:rPr>
          <w:rFonts w:hint="eastAsia"/>
          <w:sz w:val="24"/>
          <w:rtl/>
        </w:rPr>
        <w:t>בתשובתו</w:t>
      </w:r>
      <w:r w:rsidRPr="00B97E44">
        <w:rPr>
          <w:sz w:val="24"/>
          <w:rtl/>
        </w:rPr>
        <w:t xml:space="preserve"> </w:t>
      </w:r>
      <w:r w:rsidRPr="00B97E44">
        <w:rPr>
          <w:rFonts w:hint="eastAsia"/>
          <w:sz w:val="24"/>
          <w:rtl/>
        </w:rPr>
        <w:t>כי</w:t>
      </w:r>
      <w:r w:rsidRPr="00B97E44">
        <w:rPr>
          <w:sz w:val="24"/>
          <w:rtl/>
        </w:rPr>
        <w:t xml:space="preserve"> </w:t>
      </w:r>
      <w:r w:rsidRPr="00B97E44">
        <w:rPr>
          <w:rFonts w:hint="eastAsia"/>
          <w:sz w:val="24"/>
          <w:rtl/>
        </w:rPr>
        <w:t>אין</w:t>
      </w:r>
      <w:r w:rsidRPr="00B97E44">
        <w:rPr>
          <w:sz w:val="24"/>
          <w:rtl/>
        </w:rPr>
        <w:t xml:space="preserve"> </w:t>
      </w:r>
      <w:r w:rsidRPr="00B97E44">
        <w:rPr>
          <w:rFonts w:hint="eastAsia"/>
          <w:sz w:val="24"/>
          <w:rtl/>
        </w:rPr>
        <w:t>בידיו</w:t>
      </w:r>
      <w:r w:rsidRPr="00B97E44">
        <w:rPr>
          <w:sz w:val="24"/>
          <w:rtl/>
        </w:rPr>
        <w:t xml:space="preserve"> </w:t>
      </w:r>
      <w:r w:rsidRPr="00B97E44">
        <w:rPr>
          <w:rFonts w:hint="eastAsia"/>
          <w:sz w:val="24"/>
          <w:rtl/>
        </w:rPr>
        <w:t>סמכויות</w:t>
      </w:r>
      <w:r w:rsidRPr="00B97E44">
        <w:rPr>
          <w:rFonts w:hint="cs"/>
          <w:sz w:val="24"/>
          <w:rtl/>
        </w:rPr>
        <w:t xml:space="preserve"> ויכולת מעשית וטכנית </w:t>
      </w:r>
      <w:r w:rsidRPr="00B97E44">
        <w:rPr>
          <w:rFonts w:hint="eastAsia"/>
          <w:sz w:val="24"/>
          <w:rtl/>
        </w:rPr>
        <w:t>לבנ</w:t>
      </w:r>
      <w:r w:rsidRPr="00B97E44">
        <w:rPr>
          <w:rFonts w:hint="cs"/>
          <w:sz w:val="24"/>
          <w:rtl/>
        </w:rPr>
        <w:t>ו</w:t>
      </w:r>
      <w:r w:rsidRPr="00B97E44">
        <w:rPr>
          <w:rFonts w:hint="eastAsia"/>
          <w:sz w:val="24"/>
          <w:rtl/>
        </w:rPr>
        <w:t>ת</w:t>
      </w:r>
      <w:r w:rsidRPr="00B97E44">
        <w:rPr>
          <w:sz w:val="24"/>
          <w:rtl/>
        </w:rPr>
        <w:t xml:space="preserve"> </w:t>
      </w:r>
      <w:r w:rsidRPr="00B97E44">
        <w:rPr>
          <w:rFonts w:hint="eastAsia"/>
          <w:sz w:val="24"/>
          <w:rtl/>
        </w:rPr>
        <w:t>מסד</w:t>
      </w:r>
      <w:r w:rsidRPr="00B97E44">
        <w:rPr>
          <w:sz w:val="24"/>
          <w:rtl/>
        </w:rPr>
        <w:t xml:space="preserve"> </w:t>
      </w:r>
      <w:r w:rsidRPr="00B97E44">
        <w:rPr>
          <w:rFonts w:hint="eastAsia"/>
          <w:sz w:val="24"/>
          <w:rtl/>
        </w:rPr>
        <w:t>נתונים</w:t>
      </w:r>
      <w:r w:rsidRPr="00B97E44">
        <w:rPr>
          <w:sz w:val="24"/>
          <w:rtl/>
        </w:rPr>
        <w:t xml:space="preserve"> </w:t>
      </w:r>
      <w:r w:rsidRPr="00B97E44">
        <w:rPr>
          <w:rFonts w:hint="eastAsia"/>
          <w:sz w:val="24"/>
          <w:rtl/>
        </w:rPr>
        <w:t>מרחבי</w:t>
      </w:r>
      <w:r w:rsidRPr="00B97E44">
        <w:rPr>
          <w:sz w:val="24"/>
          <w:rtl/>
        </w:rPr>
        <w:t xml:space="preserve"> </w:t>
      </w:r>
      <w:r w:rsidRPr="00B97E44">
        <w:rPr>
          <w:rFonts w:hint="eastAsia"/>
          <w:sz w:val="24"/>
          <w:rtl/>
        </w:rPr>
        <w:t>וכי</w:t>
      </w:r>
      <w:r w:rsidRPr="00B97E44">
        <w:rPr>
          <w:sz w:val="24"/>
          <w:rtl/>
        </w:rPr>
        <w:t xml:space="preserve"> </w:t>
      </w:r>
      <w:r w:rsidRPr="00B97E44">
        <w:rPr>
          <w:rFonts w:hint="eastAsia"/>
          <w:sz w:val="24"/>
          <w:rtl/>
        </w:rPr>
        <w:t>לעמדת</w:t>
      </w:r>
      <w:r w:rsidRPr="00B97E44">
        <w:rPr>
          <w:rFonts w:hint="cs"/>
          <w:sz w:val="24"/>
          <w:rtl/>
        </w:rPr>
        <w:t>ו</w:t>
      </w:r>
      <w:r w:rsidRPr="00B97E44">
        <w:rPr>
          <w:sz w:val="24"/>
          <w:rtl/>
        </w:rPr>
        <w:t xml:space="preserve"> </w:t>
      </w:r>
      <w:r w:rsidRPr="00B97E44">
        <w:rPr>
          <w:rFonts w:hint="eastAsia"/>
          <w:sz w:val="24"/>
          <w:rtl/>
        </w:rPr>
        <w:t>יש</w:t>
      </w:r>
      <w:r w:rsidRPr="00B97E44">
        <w:rPr>
          <w:sz w:val="24"/>
          <w:rtl/>
        </w:rPr>
        <w:t xml:space="preserve"> </w:t>
      </w:r>
      <w:r w:rsidRPr="00B97E44">
        <w:rPr>
          <w:rFonts w:hint="eastAsia"/>
          <w:sz w:val="24"/>
          <w:rtl/>
        </w:rPr>
        <w:t>גורמים</w:t>
      </w:r>
      <w:r w:rsidRPr="00B97E44">
        <w:rPr>
          <w:sz w:val="24"/>
          <w:rtl/>
        </w:rPr>
        <w:t xml:space="preserve"> </w:t>
      </w:r>
      <w:r w:rsidRPr="00B97E44">
        <w:rPr>
          <w:rFonts w:hint="eastAsia"/>
          <w:sz w:val="24"/>
          <w:rtl/>
        </w:rPr>
        <w:t>רלוונטיים</w:t>
      </w:r>
      <w:r w:rsidRPr="00B97E44">
        <w:rPr>
          <w:sz w:val="24"/>
          <w:rtl/>
        </w:rPr>
        <w:t xml:space="preserve"> אחרים</w:t>
      </w:r>
      <w:r w:rsidRPr="00B97E44">
        <w:rPr>
          <w:rFonts w:hint="cs"/>
          <w:sz w:val="24"/>
          <w:rtl/>
        </w:rPr>
        <w:t xml:space="preserve">, כמו </w:t>
      </w:r>
      <w:r w:rsidRPr="00B97E44">
        <w:rPr>
          <w:rFonts w:hint="cs"/>
          <w:sz w:val="24"/>
          <w:rtl/>
        </w:rPr>
        <w:t>ר</w:t>
      </w:r>
      <w:r>
        <w:rPr>
          <w:rFonts w:hint="cs"/>
          <w:sz w:val="24"/>
          <w:rtl/>
        </w:rPr>
        <w:t>מ"י</w:t>
      </w:r>
      <w:r w:rsidRPr="00B97E44">
        <w:rPr>
          <w:rFonts w:hint="cs"/>
          <w:sz w:val="24"/>
          <w:rtl/>
        </w:rPr>
        <w:t xml:space="preserve"> </w:t>
      </w:r>
      <w:r w:rsidRPr="00B97E44">
        <w:rPr>
          <w:rFonts w:hint="cs"/>
          <w:sz w:val="24"/>
          <w:rtl/>
        </w:rPr>
        <w:t>ומינהל</w:t>
      </w:r>
      <w:r w:rsidRPr="00B97E44">
        <w:rPr>
          <w:rFonts w:hint="cs"/>
          <w:sz w:val="24"/>
          <w:rtl/>
        </w:rPr>
        <w:t xml:space="preserve"> התכנון, </w:t>
      </w:r>
      <w:r w:rsidRPr="00B97E44">
        <w:rPr>
          <w:rFonts w:hint="eastAsia"/>
          <w:sz w:val="24"/>
          <w:rtl/>
        </w:rPr>
        <w:t>שלהם</w:t>
      </w:r>
      <w:r w:rsidRPr="00B97E44">
        <w:rPr>
          <w:sz w:val="24"/>
          <w:rtl/>
        </w:rPr>
        <w:t xml:space="preserve"> </w:t>
      </w:r>
      <w:r w:rsidRPr="00B97E44">
        <w:rPr>
          <w:rFonts w:hint="eastAsia"/>
          <w:sz w:val="24"/>
          <w:rtl/>
        </w:rPr>
        <w:t>יכולות</w:t>
      </w:r>
      <w:r w:rsidRPr="00B97E44">
        <w:rPr>
          <w:sz w:val="24"/>
          <w:rtl/>
        </w:rPr>
        <w:t xml:space="preserve"> </w:t>
      </w:r>
      <w:r w:rsidRPr="00B97E44">
        <w:rPr>
          <w:rFonts w:hint="eastAsia"/>
          <w:sz w:val="24"/>
          <w:rtl/>
        </w:rPr>
        <w:t>רגולטוריות</w:t>
      </w:r>
      <w:r w:rsidRPr="00B97E44">
        <w:rPr>
          <w:sz w:val="24"/>
          <w:rtl/>
        </w:rPr>
        <w:t xml:space="preserve"> </w:t>
      </w:r>
      <w:r w:rsidRPr="00B97E44">
        <w:rPr>
          <w:rFonts w:hint="eastAsia"/>
          <w:sz w:val="24"/>
          <w:rtl/>
        </w:rPr>
        <w:t>וטכניות</w:t>
      </w:r>
      <w:r w:rsidRPr="00B97E44">
        <w:rPr>
          <w:sz w:val="24"/>
          <w:rtl/>
        </w:rPr>
        <w:t xml:space="preserve"> </w:t>
      </w:r>
      <w:r w:rsidRPr="00B97E44">
        <w:rPr>
          <w:rFonts w:hint="eastAsia"/>
          <w:sz w:val="24"/>
          <w:rtl/>
        </w:rPr>
        <w:t>לבניית</w:t>
      </w:r>
      <w:r w:rsidRPr="00B97E44">
        <w:rPr>
          <w:sz w:val="24"/>
          <w:rtl/>
        </w:rPr>
        <w:t xml:space="preserve"> </w:t>
      </w:r>
      <w:r w:rsidRPr="00B97E44">
        <w:rPr>
          <w:rFonts w:hint="eastAsia"/>
          <w:sz w:val="24"/>
          <w:rtl/>
        </w:rPr>
        <w:t>מסד</w:t>
      </w:r>
      <w:r w:rsidRPr="00B97E44">
        <w:rPr>
          <w:sz w:val="24"/>
          <w:rtl/>
        </w:rPr>
        <w:t xml:space="preserve"> </w:t>
      </w:r>
      <w:r w:rsidRPr="00B97E44">
        <w:rPr>
          <w:rFonts w:hint="eastAsia"/>
          <w:sz w:val="24"/>
          <w:rtl/>
        </w:rPr>
        <w:t>נתונים</w:t>
      </w:r>
      <w:r w:rsidRPr="00B97E44">
        <w:rPr>
          <w:sz w:val="24"/>
          <w:rtl/>
        </w:rPr>
        <w:t xml:space="preserve"> </w:t>
      </w:r>
      <w:r w:rsidRPr="00B97E44">
        <w:rPr>
          <w:rFonts w:hint="eastAsia"/>
          <w:sz w:val="24"/>
          <w:rtl/>
        </w:rPr>
        <w:t>כאמור</w:t>
      </w:r>
      <w:r w:rsidRPr="00B97E44">
        <w:rPr>
          <w:sz w:val="24"/>
          <w:rtl/>
        </w:rPr>
        <w:t xml:space="preserve">. </w:t>
      </w:r>
    </w:p>
    <w:p w:rsidR="005B126E" w:rsidP="001916A9">
      <w:pPr>
        <w:spacing w:line="269" w:lineRule="auto"/>
        <w:rPr>
          <w:rtl/>
        </w:rPr>
      </w:pPr>
    </w:p>
    <w:p w:rsidR="005B126E" w:rsidP="001916A9">
      <w:pPr>
        <w:spacing w:line="269" w:lineRule="auto"/>
        <w:rPr>
          <w:szCs w:val="20"/>
          <w:rtl/>
        </w:rPr>
      </w:pPr>
      <w:r>
        <w:rPr>
          <w:rFonts w:hint="cs"/>
          <w:rtl/>
        </w:rPr>
        <w:t>מינהל</w:t>
      </w:r>
      <w:r>
        <w:rPr>
          <w:rFonts w:hint="cs"/>
          <w:rtl/>
        </w:rPr>
        <w:t xml:space="preserve"> התכנון השיב בינואר 2026 כי הוא יוכל לסייע בהעברת נתונים תכנוניים רלוונטיים הנמצאים ברשותו.</w:t>
      </w:r>
    </w:p>
    <w:p w:rsidR="005B126E" w:rsidP="001916A9">
      <w:pPr>
        <w:spacing w:line="269" w:lineRule="auto"/>
        <w:ind w:left="3"/>
        <w:rPr>
          <w:b/>
          <w:bCs/>
          <w:sz w:val="24"/>
          <w:rtl/>
        </w:rPr>
      </w:pPr>
    </w:p>
    <w:p w:rsidR="005B126E" w:rsidP="001916A9">
      <w:pPr>
        <w:spacing w:line="269" w:lineRule="auto"/>
        <w:ind w:left="3"/>
        <w:rPr>
          <w:b/>
          <w:bCs/>
          <w:sz w:val="24"/>
          <w:rtl/>
        </w:rPr>
      </w:pPr>
      <w:r w:rsidRPr="00B97E44">
        <w:rPr>
          <w:rFonts w:hint="eastAsia"/>
          <w:b/>
          <w:bCs/>
          <w:sz w:val="24"/>
          <w:rtl/>
        </w:rPr>
        <w:t>משרד</w:t>
      </w:r>
      <w:r w:rsidRPr="00B97E44">
        <w:rPr>
          <w:b/>
          <w:bCs/>
          <w:sz w:val="24"/>
          <w:rtl/>
        </w:rPr>
        <w:t xml:space="preserve"> מבקר המדינה ממליץ </w:t>
      </w:r>
      <w:r w:rsidRPr="00B97E44">
        <w:rPr>
          <w:rFonts w:hint="eastAsia"/>
          <w:b/>
          <w:bCs/>
          <w:sz w:val="24"/>
          <w:rtl/>
        </w:rPr>
        <w:t>כי</w:t>
      </w:r>
      <w:r w:rsidRPr="00B97E44">
        <w:rPr>
          <w:b/>
          <w:bCs/>
          <w:sz w:val="24"/>
          <w:rtl/>
        </w:rPr>
        <w:t xml:space="preserve"> המשרד להגנת הסביבה </w:t>
      </w:r>
      <w:r w:rsidRPr="00B97E44">
        <w:rPr>
          <w:rFonts w:hint="eastAsia"/>
          <w:b/>
          <w:bCs/>
          <w:sz w:val="24"/>
          <w:rtl/>
        </w:rPr>
        <w:t>יפעל</w:t>
      </w:r>
      <w:r w:rsidRPr="00B97E44">
        <w:rPr>
          <w:b/>
          <w:bCs/>
          <w:sz w:val="24"/>
          <w:rtl/>
        </w:rPr>
        <w:t xml:space="preserve"> </w:t>
      </w:r>
      <w:r w:rsidRPr="00B97E44">
        <w:rPr>
          <w:rFonts w:hint="cs"/>
          <w:b/>
          <w:bCs/>
          <w:sz w:val="24"/>
          <w:rtl/>
        </w:rPr>
        <w:t>עם</w:t>
      </w:r>
      <w:r w:rsidRPr="00B97E44">
        <w:rPr>
          <w:b/>
          <w:bCs/>
          <w:sz w:val="24"/>
          <w:rtl/>
        </w:rPr>
        <w:t xml:space="preserve"> הגורמים </w:t>
      </w:r>
      <w:r w:rsidRPr="00B97E44">
        <w:rPr>
          <w:rFonts w:hint="eastAsia"/>
          <w:b/>
          <w:bCs/>
          <w:sz w:val="24"/>
          <w:rtl/>
        </w:rPr>
        <w:t>הרלוונטיים</w:t>
      </w:r>
      <w:r w:rsidRPr="00B97E44">
        <w:rPr>
          <w:b/>
          <w:bCs/>
          <w:sz w:val="24"/>
          <w:rtl/>
        </w:rPr>
        <w:t xml:space="preserve"> </w:t>
      </w:r>
      <w:r w:rsidRPr="00B97E44">
        <w:rPr>
          <w:rFonts w:hint="cs"/>
          <w:b/>
          <w:bCs/>
          <w:sz w:val="24"/>
          <w:rtl/>
        </w:rPr>
        <w:t xml:space="preserve">כדי </w:t>
      </w:r>
      <w:r w:rsidRPr="00B97E44">
        <w:rPr>
          <w:b/>
          <w:bCs/>
          <w:sz w:val="24"/>
          <w:rtl/>
        </w:rPr>
        <w:t xml:space="preserve">לקדם את </w:t>
      </w:r>
      <w:r w:rsidRPr="00B97E44">
        <w:rPr>
          <w:rFonts w:hint="eastAsia"/>
          <w:b/>
          <w:bCs/>
          <w:sz w:val="24"/>
          <w:rtl/>
        </w:rPr>
        <w:t>התכלול</w:t>
      </w:r>
      <w:r w:rsidRPr="00B97E44">
        <w:rPr>
          <w:b/>
          <w:bCs/>
          <w:sz w:val="24"/>
          <w:rtl/>
        </w:rPr>
        <w:t xml:space="preserve"> של השטחים הפתוחים שישוקמו במסג</w:t>
      </w:r>
      <w:r w:rsidRPr="00B97E44">
        <w:rPr>
          <w:rFonts w:hint="eastAsia"/>
          <w:b/>
          <w:bCs/>
          <w:sz w:val="24"/>
          <w:rtl/>
        </w:rPr>
        <w:t>רת</w:t>
      </w:r>
      <w:r w:rsidRPr="00B97E44">
        <w:rPr>
          <w:b/>
          <w:bCs/>
          <w:sz w:val="24"/>
          <w:rtl/>
        </w:rPr>
        <w:t xml:space="preserve"> </w:t>
      </w:r>
      <w:r w:rsidRPr="00B97E44">
        <w:rPr>
          <w:rFonts w:hint="eastAsia"/>
          <w:b/>
          <w:bCs/>
          <w:sz w:val="24"/>
          <w:rtl/>
        </w:rPr>
        <w:t>הקול</w:t>
      </w:r>
      <w:r w:rsidRPr="00B97E44">
        <w:rPr>
          <w:b/>
          <w:bCs/>
          <w:sz w:val="24"/>
          <w:rtl/>
        </w:rPr>
        <w:t xml:space="preserve"> </w:t>
      </w:r>
      <w:r w:rsidRPr="00B97E44">
        <w:rPr>
          <w:rFonts w:hint="eastAsia"/>
          <w:b/>
          <w:bCs/>
          <w:sz w:val="24"/>
          <w:rtl/>
        </w:rPr>
        <w:t>הקורא</w:t>
      </w:r>
      <w:r w:rsidRPr="00B97E44">
        <w:rPr>
          <w:b/>
          <w:bCs/>
          <w:sz w:val="24"/>
          <w:rtl/>
        </w:rPr>
        <w:t xml:space="preserve"> </w:t>
      </w:r>
      <w:r w:rsidRPr="00B97E44">
        <w:rPr>
          <w:rFonts w:hint="eastAsia"/>
          <w:b/>
          <w:bCs/>
          <w:sz w:val="24"/>
          <w:rtl/>
        </w:rPr>
        <w:t>הנוכחי</w:t>
      </w:r>
      <w:r w:rsidRPr="00B97E44">
        <w:rPr>
          <w:b/>
          <w:bCs/>
          <w:sz w:val="24"/>
          <w:rtl/>
        </w:rPr>
        <w:t xml:space="preserve"> </w:t>
      </w:r>
      <w:r w:rsidRPr="00B97E44">
        <w:rPr>
          <w:rFonts w:hint="eastAsia"/>
          <w:b/>
          <w:bCs/>
          <w:sz w:val="24"/>
          <w:rtl/>
        </w:rPr>
        <w:t>ואלו</w:t>
      </w:r>
      <w:r w:rsidRPr="00B97E44">
        <w:rPr>
          <w:b/>
          <w:bCs/>
          <w:sz w:val="24"/>
          <w:rtl/>
        </w:rPr>
        <w:t xml:space="preserve"> </w:t>
      </w:r>
      <w:r w:rsidRPr="00B97E44">
        <w:rPr>
          <w:rFonts w:hint="eastAsia"/>
          <w:b/>
          <w:bCs/>
          <w:sz w:val="24"/>
          <w:rtl/>
        </w:rPr>
        <w:t>שעדיין</w:t>
      </w:r>
      <w:r w:rsidRPr="00B97E44">
        <w:rPr>
          <w:b/>
          <w:bCs/>
          <w:sz w:val="24"/>
          <w:rtl/>
        </w:rPr>
        <w:t xml:space="preserve"> </w:t>
      </w:r>
      <w:r w:rsidRPr="00B97E44">
        <w:rPr>
          <w:rFonts w:hint="eastAsia"/>
          <w:b/>
          <w:bCs/>
          <w:sz w:val="24"/>
          <w:rtl/>
        </w:rPr>
        <w:t>יידרש</w:t>
      </w:r>
      <w:r w:rsidRPr="00B97E44">
        <w:rPr>
          <w:b/>
          <w:bCs/>
          <w:sz w:val="24"/>
          <w:rtl/>
        </w:rPr>
        <w:t xml:space="preserve"> </w:t>
      </w:r>
      <w:r w:rsidRPr="00B97E44">
        <w:rPr>
          <w:rFonts w:hint="eastAsia"/>
          <w:b/>
          <w:bCs/>
          <w:sz w:val="24"/>
          <w:rtl/>
        </w:rPr>
        <w:t>לשקמם</w:t>
      </w:r>
      <w:r w:rsidRPr="00B97E44">
        <w:rPr>
          <w:b/>
          <w:bCs/>
          <w:sz w:val="24"/>
          <w:rtl/>
        </w:rPr>
        <w:t xml:space="preserve"> </w:t>
      </w:r>
      <w:r w:rsidRPr="00B97E44">
        <w:rPr>
          <w:rFonts w:hint="eastAsia"/>
          <w:b/>
          <w:bCs/>
          <w:sz w:val="24"/>
          <w:rtl/>
        </w:rPr>
        <w:t>בהמשך</w:t>
      </w:r>
      <w:r w:rsidRPr="00B97E44">
        <w:rPr>
          <w:b/>
          <w:bCs/>
          <w:sz w:val="24"/>
          <w:rtl/>
        </w:rPr>
        <w:t>.</w:t>
      </w:r>
    </w:p>
    <w:p w:rsidR="005B126E" w:rsidRPr="00B97E44" w:rsidP="001916A9">
      <w:pPr>
        <w:spacing w:line="269" w:lineRule="auto"/>
        <w:ind w:left="3"/>
        <w:rPr>
          <w:b/>
          <w:bCs/>
          <w:sz w:val="24"/>
          <w:rtl/>
        </w:rPr>
      </w:pPr>
    </w:p>
    <w:p w:rsidR="005B126E" w:rsidRPr="00160BFC" w:rsidP="0018262A">
      <w:pPr>
        <w:pStyle w:val="Heading3"/>
        <w:rPr>
          <w:rtl/>
        </w:rPr>
      </w:pPr>
      <w:r w:rsidRPr="00160BFC">
        <w:rPr>
          <w:rFonts w:hint="cs"/>
          <w:rtl/>
        </w:rPr>
        <w:t>בקרה ודיווח של מינהלת תקומה</w:t>
      </w:r>
    </w:p>
    <w:p w:rsidR="005B126E" w:rsidRPr="00B97E44" w:rsidP="001916A9">
      <w:pPr>
        <w:spacing w:line="269" w:lineRule="auto"/>
        <w:rPr>
          <w:rtl/>
        </w:rPr>
      </w:pPr>
    </w:p>
    <w:p w:rsidR="005B126E" w:rsidRPr="00160BFC" w:rsidP="003474AA">
      <w:pPr>
        <w:pStyle w:val="Heading4"/>
        <w:rPr>
          <w:rtl/>
        </w:rPr>
      </w:pPr>
      <w:r w:rsidRPr="00160BFC">
        <w:rPr>
          <w:rFonts w:hint="cs"/>
          <w:rtl/>
        </w:rPr>
        <w:t>בקרה על מימוש תקציב תוכנית החומש</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כדי </w:t>
      </w:r>
      <w:r w:rsidRPr="00B97E44">
        <w:rPr>
          <w:rtl/>
        </w:rPr>
        <w:t>לוודא ש</w:t>
      </w:r>
      <w:r w:rsidRPr="00B97E44">
        <w:rPr>
          <w:rFonts w:hint="cs"/>
          <w:rtl/>
        </w:rPr>
        <w:t>ה</w:t>
      </w:r>
      <w:r w:rsidRPr="00B97E44">
        <w:rPr>
          <w:rtl/>
        </w:rPr>
        <w:t>תקציב</w:t>
      </w:r>
      <w:r w:rsidRPr="00B97E44">
        <w:rPr>
          <w:rFonts w:hint="cs"/>
          <w:rtl/>
        </w:rPr>
        <w:t xml:space="preserve"> שהוקצה לתוכנית החומש</w:t>
      </w:r>
      <w:r w:rsidRPr="00B97E44">
        <w:rPr>
          <w:rtl/>
        </w:rPr>
        <w:t xml:space="preserve"> נוצל בפועל </w:t>
      </w:r>
      <w:r w:rsidRPr="00B97E44">
        <w:rPr>
          <w:rFonts w:hint="cs"/>
          <w:rtl/>
        </w:rPr>
        <w:t>וכי</w:t>
      </w:r>
      <w:r w:rsidRPr="00B97E44">
        <w:rPr>
          <w:rtl/>
        </w:rPr>
        <w:t xml:space="preserve"> </w:t>
      </w:r>
      <w:r w:rsidRPr="00B97E44">
        <w:rPr>
          <w:rFonts w:hint="cs"/>
          <w:rtl/>
        </w:rPr>
        <w:t>ה"</w:t>
      </w:r>
      <w:r w:rsidRPr="00B97E44">
        <w:rPr>
          <w:rtl/>
        </w:rPr>
        <w:t>הרשאות להתחייב</w:t>
      </w:r>
      <w:r w:rsidRPr="00B97E44">
        <w:rPr>
          <w:rFonts w:hint="cs"/>
          <w:rtl/>
        </w:rPr>
        <w:t>"</w:t>
      </w:r>
      <w:r>
        <w:rPr>
          <w:rStyle w:val="FootnoteReference1"/>
          <w:rtl/>
        </w:rPr>
        <w:footnoteReference w:id="119"/>
      </w:r>
      <w:r w:rsidRPr="00B97E44">
        <w:rPr>
          <w:rtl/>
        </w:rPr>
        <w:t xml:space="preserve"> מומשו</w:t>
      </w:r>
      <w:r w:rsidRPr="00B97E44">
        <w:rPr>
          <w:rFonts w:hint="cs"/>
          <w:rtl/>
        </w:rPr>
        <w:t>,</w:t>
      </w:r>
      <w:r w:rsidRPr="00B97E44">
        <w:rPr>
          <w:rtl/>
        </w:rPr>
        <w:t xml:space="preserve"> נדרשת בקרה שיטתית ורציפה על כל שלבי ההוצאה התקציבית. </w:t>
      </w:r>
      <w:r w:rsidRPr="00B97E44">
        <w:rPr>
          <w:rFonts w:hint="cs"/>
          <w:rtl/>
        </w:rPr>
        <w:t xml:space="preserve">לבקרה הדוקה </w:t>
      </w:r>
      <w:r w:rsidRPr="00B97E44">
        <w:rPr>
          <w:rtl/>
        </w:rPr>
        <w:t>חשיבות</w:t>
      </w:r>
      <w:r w:rsidRPr="00B97E44">
        <w:rPr>
          <w:rFonts w:hint="cs"/>
          <w:rtl/>
        </w:rPr>
        <w:t xml:space="preserve"> רבה המתחדדת </w:t>
      </w:r>
      <w:r w:rsidRPr="00B97E44">
        <w:rPr>
          <w:rtl/>
        </w:rPr>
        <w:t xml:space="preserve">נוכח </w:t>
      </w:r>
      <w:r w:rsidRPr="00B97E44">
        <w:rPr>
          <w:rFonts w:hint="cs"/>
          <w:rtl/>
        </w:rPr>
        <w:t>הזמן הקצוב</w:t>
      </w:r>
      <w:r w:rsidRPr="00B97E44">
        <w:rPr>
          <w:rtl/>
        </w:rPr>
        <w:t xml:space="preserve"> שנקבע לפעולת</w:t>
      </w:r>
      <w:r w:rsidRPr="00B97E44">
        <w:rPr>
          <w:rFonts w:hint="cs"/>
          <w:rtl/>
        </w:rPr>
        <w:t xml:space="preserve">ה של </w:t>
      </w:r>
      <w:r w:rsidRPr="00B97E44">
        <w:rPr>
          <w:rtl/>
        </w:rPr>
        <w:t>מ</w:t>
      </w:r>
      <w:r w:rsidRPr="00B97E44">
        <w:rPr>
          <w:rFonts w:hint="cs"/>
          <w:rtl/>
        </w:rPr>
        <w:t>י</w:t>
      </w:r>
      <w:r w:rsidRPr="00B97E44">
        <w:rPr>
          <w:rtl/>
        </w:rPr>
        <w:t>נהלת תקומה</w:t>
      </w:r>
      <w:r w:rsidRPr="00B97E44">
        <w:rPr>
          <w:rFonts w:hint="cs"/>
          <w:rtl/>
        </w:rPr>
        <w:t xml:space="preserve"> והצורך</w:t>
      </w:r>
      <w:r w:rsidRPr="00B97E44">
        <w:rPr>
          <w:rtl/>
        </w:rPr>
        <w:t xml:space="preserve"> להבטיח תשתית ארגונית ותקציבית מתמשכת </w:t>
      </w:r>
      <w:r w:rsidRPr="00B97E44">
        <w:rPr>
          <w:rFonts w:hint="cs"/>
          <w:rtl/>
        </w:rPr>
        <w:t>גם לאחר סיום תפקידה</w:t>
      </w:r>
      <w:r w:rsidRPr="00B97E44">
        <w:rPr>
          <w:rtl/>
        </w:rPr>
        <w:t xml:space="preserve">. בקרה זו חשובה </w:t>
      </w:r>
      <w:r w:rsidRPr="00B97E44">
        <w:rPr>
          <w:rFonts w:hint="cs"/>
          <w:rtl/>
        </w:rPr>
        <w:t>בייחוד כש</w:t>
      </w:r>
      <w:r w:rsidRPr="00B97E44">
        <w:rPr>
          <w:rtl/>
        </w:rPr>
        <w:t>מדובר בתקציבים תחומי זמן,</w:t>
      </w:r>
      <w:r w:rsidRPr="00B97E44">
        <w:rPr>
          <w:rFonts w:hint="cs"/>
          <w:rtl/>
        </w:rPr>
        <w:t xml:space="preserve"> כיוון שאם ההרשאות שניתנו </w:t>
      </w:r>
      <w:r w:rsidRPr="00B97E44">
        <w:rPr>
          <w:rtl/>
        </w:rPr>
        <w:t xml:space="preserve">לא ינוצלו בפרקי הזמן </w:t>
      </w:r>
      <w:r w:rsidRPr="00B97E44">
        <w:rPr>
          <w:rFonts w:hint="cs"/>
          <w:rtl/>
        </w:rPr>
        <w:t xml:space="preserve">שנקבעו להן, ולכל היותר עד סיום פעילותה של מינהלת תקומה, הן עלולות לפוג </w:t>
      </w:r>
      <w:r w:rsidRPr="00B97E44">
        <w:rPr>
          <w:rtl/>
        </w:rPr>
        <w:t>בלי שיתורגמו לשימוש בפועל</w:t>
      </w:r>
      <w:r w:rsidRPr="00B97E44">
        <w:rPr>
          <w:rFonts w:hint="cs"/>
          <w:rtl/>
        </w:rPr>
        <w:t xml:space="preserve"> ובכך </w:t>
      </w:r>
      <w:r w:rsidRPr="00B97E44">
        <w:rPr>
          <w:rtl/>
        </w:rPr>
        <w:t>להביא לאובדן תקציב ולפגיעה בשירות לציבור</w:t>
      </w:r>
      <w:r w:rsidRPr="00B97E44">
        <w:rPr>
          <w:rFonts w:hint="cs"/>
          <w:rtl/>
        </w:rPr>
        <w:t>.</w:t>
      </w:r>
    </w:p>
    <w:p w:rsidR="005B126E" w:rsidP="001916A9">
      <w:pPr>
        <w:spacing w:line="269" w:lineRule="auto"/>
        <w:rPr>
          <w:rtl/>
        </w:rPr>
      </w:pPr>
    </w:p>
    <w:p w:rsidR="005B126E" w:rsidRPr="00B97E44" w:rsidP="001916A9">
      <w:pPr>
        <w:spacing w:line="269" w:lineRule="auto"/>
        <w:rPr>
          <w:rtl/>
        </w:rPr>
      </w:pPr>
      <w:r w:rsidRPr="00B97E44">
        <w:rPr>
          <w:rFonts w:hint="cs"/>
          <w:rtl/>
        </w:rPr>
        <w:t>לכן, נוסף על הבקרות שמבצעים משרדי הממשלה בתחומם,</w:t>
      </w:r>
      <w:r w:rsidRPr="00B97E44">
        <w:rPr>
          <w:rtl/>
        </w:rPr>
        <w:t xml:space="preserve"> נדרש</w:t>
      </w:r>
      <w:r w:rsidRPr="00B97E44">
        <w:rPr>
          <w:rFonts w:hint="cs"/>
          <w:rtl/>
        </w:rPr>
        <w:t>ת</w:t>
      </w:r>
      <w:r w:rsidRPr="00B97E44">
        <w:rPr>
          <w:rtl/>
        </w:rPr>
        <w:t xml:space="preserve"> </w:t>
      </w:r>
      <w:r w:rsidRPr="00B97E44">
        <w:rPr>
          <w:rFonts w:hint="cs"/>
          <w:rtl/>
        </w:rPr>
        <w:t>ממינהלת</w:t>
      </w:r>
      <w:r w:rsidRPr="00B97E44">
        <w:rPr>
          <w:rFonts w:hint="cs"/>
          <w:rtl/>
        </w:rPr>
        <w:t xml:space="preserve"> תקומה </w:t>
      </w:r>
      <w:r w:rsidRPr="00B97E44">
        <w:rPr>
          <w:rtl/>
        </w:rPr>
        <w:t>הפעלה יזומה של מנגנוני ניטור והתרעה שיאפשרו זיהוי מוקדם של עיכובים</w:t>
      </w:r>
      <w:r w:rsidRPr="00B97E44">
        <w:rPr>
          <w:rFonts w:hint="cs"/>
          <w:rtl/>
        </w:rPr>
        <w:t xml:space="preserve"> ובעיות</w:t>
      </w:r>
      <w:r w:rsidRPr="00B97E44">
        <w:rPr>
          <w:rtl/>
        </w:rPr>
        <w:t xml:space="preserve"> </w:t>
      </w:r>
      <w:r w:rsidRPr="00B97E44">
        <w:rPr>
          <w:rFonts w:hint="cs"/>
          <w:rtl/>
        </w:rPr>
        <w:t xml:space="preserve">כדי </w:t>
      </w:r>
      <w:r w:rsidRPr="00B97E44">
        <w:rPr>
          <w:rtl/>
        </w:rPr>
        <w:t>להבטיח שימוש מיטבי בתקציבים</w:t>
      </w:r>
      <w:r w:rsidRPr="00B97E44">
        <w:rPr>
          <w:rFonts w:hint="cs"/>
          <w:rtl/>
        </w:rPr>
        <w:t>.</w:t>
      </w:r>
      <w:r w:rsidRPr="00B97E44">
        <w:rPr>
          <w:rtl/>
        </w:rPr>
        <w:t xml:space="preserve"> יש לוודא כי לאחר מתן ההרשאה</w:t>
      </w:r>
      <w:r w:rsidRPr="00B97E44">
        <w:rPr>
          <w:rFonts w:hint="cs"/>
          <w:rtl/>
        </w:rPr>
        <w:t>, הגורם שאליו הועברה ההרשאה להתחייב החל בתהליכים למימושה</w:t>
      </w:r>
      <w:r w:rsidRPr="00B97E44">
        <w:rPr>
          <w:rtl/>
        </w:rPr>
        <w:t xml:space="preserve">. </w:t>
      </w:r>
      <w:r w:rsidRPr="00B97E44">
        <w:rPr>
          <w:rFonts w:hint="cs"/>
          <w:rtl/>
        </w:rPr>
        <w:t xml:space="preserve">זיהוי </w:t>
      </w:r>
      <w:r w:rsidRPr="00B97E44">
        <w:rPr>
          <w:rtl/>
        </w:rPr>
        <w:t>מוקדם של פערים בין מתן ההרשאה לבין ביצוע בפועל מאפשר לבצע התאמות, להסיר חסמים ולוודא שנעשה שימוש יעיל במשאבים שהוקצו.</w:t>
      </w:r>
    </w:p>
    <w:p w:rsidR="005B126E" w:rsidP="001916A9">
      <w:pPr>
        <w:spacing w:line="269" w:lineRule="auto"/>
        <w:rPr>
          <w:rtl/>
        </w:rPr>
      </w:pPr>
    </w:p>
    <w:p w:rsidR="005B126E" w:rsidRPr="00B97E44" w:rsidP="001916A9">
      <w:pPr>
        <w:spacing w:line="269" w:lineRule="auto"/>
        <w:rPr>
          <w:szCs w:val="20"/>
          <w:rtl/>
        </w:rPr>
      </w:pPr>
      <w:r w:rsidRPr="00B97E44">
        <w:rPr>
          <w:rtl/>
        </w:rPr>
        <w:t>על כן נדרש מנגנון בקרה מוסדר, שיטתי ו</w:t>
      </w:r>
      <w:r w:rsidRPr="00B97E44">
        <w:rPr>
          <w:rFonts w:hint="cs"/>
          <w:rtl/>
        </w:rPr>
        <w:t>עדכני</w:t>
      </w:r>
      <w:r w:rsidRPr="00B97E44">
        <w:rPr>
          <w:rtl/>
        </w:rPr>
        <w:t xml:space="preserve"> למעקב אחר מימוש התקציבים, הכולל נתונים חיוניים כגון מועדים אחרונים למימוש ההרשאות להתחייב, זהות הגורמים המטפלים והתקדמות </w:t>
      </w:r>
      <w:r w:rsidRPr="00B97E44">
        <w:rPr>
          <w:rFonts w:hint="cs"/>
          <w:rtl/>
        </w:rPr>
        <w:t>ה</w:t>
      </w:r>
      <w:r w:rsidRPr="00B97E44">
        <w:rPr>
          <w:rtl/>
        </w:rPr>
        <w:t xml:space="preserve">ביצוע בפועל. מנגנון זה נדרש </w:t>
      </w:r>
      <w:r w:rsidRPr="00B97E44">
        <w:rPr>
          <w:rFonts w:hint="cs"/>
          <w:rtl/>
        </w:rPr>
        <w:t xml:space="preserve">כדי </w:t>
      </w:r>
      <w:r w:rsidRPr="00B97E44">
        <w:rPr>
          <w:rtl/>
        </w:rPr>
        <w:t>לאפשר ניטור רציף ולהבטיח שימוש יעיל בתקציב.</w:t>
      </w:r>
    </w:p>
    <w:p w:rsidR="005B126E" w:rsidP="001916A9">
      <w:pPr>
        <w:spacing w:line="269" w:lineRule="auto"/>
        <w:rPr>
          <w:b/>
          <w:bCs/>
          <w:rtl/>
        </w:rPr>
      </w:pPr>
      <w:bookmarkStart w:id="56" w:name="_Hlk207636001"/>
    </w:p>
    <w:p w:rsidR="005B126E" w:rsidRPr="00B97E44" w:rsidP="001916A9">
      <w:pPr>
        <w:spacing w:line="269" w:lineRule="auto"/>
        <w:rPr>
          <w:b/>
          <w:bCs/>
          <w:rtl/>
        </w:rPr>
      </w:pPr>
      <w:r w:rsidRPr="00B97E44">
        <w:rPr>
          <w:rFonts w:hint="cs"/>
          <w:b/>
          <w:bCs/>
          <w:rtl/>
        </w:rPr>
        <w:t xml:space="preserve">נמצא כי </w:t>
      </w:r>
      <w:r w:rsidRPr="00B97E44">
        <w:rPr>
          <w:rFonts w:hint="cs"/>
          <w:b/>
          <w:bCs/>
          <w:rtl/>
        </w:rPr>
        <w:t>למינהלת</w:t>
      </w:r>
      <w:r w:rsidRPr="00B97E44">
        <w:rPr>
          <w:rFonts w:hint="cs"/>
          <w:b/>
          <w:bCs/>
          <w:rtl/>
        </w:rPr>
        <w:t xml:space="preserve"> תקומה אין מנגנון מוסדר לבקרה על מימוש תקציביה אלא קובץ מרוכז הקרוי קובץ "פרויקטים". הקובץ כולל מידע על מימושים בפועל של הרשאות להתחייב, אך קשה לערוך באמצעותו בקרה בשל היעדרם של נתונים מסוימים כמו מועד אחרון למימוש ההרשאה להתחייב וגורם מטפל.</w:t>
      </w:r>
    </w:p>
    <w:bookmarkEnd w:id="56"/>
    <w:p w:rsidR="005B126E" w:rsidP="001916A9">
      <w:pPr>
        <w:spacing w:line="269" w:lineRule="auto"/>
        <w:rPr>
          <w:b/>
          <w:bCs/>
          <w:rtl/>
        </w:rPr>
      </w:pPr>
    </w:p>
    <w:p w:rsidR="005B126E" w:rsidRPr="00B97E44" w:rsidP="001916A9">
      <w:pPr>
        <w:spacing w:line="269" w:lineRule="auto"/>
        <w:rPr>
          <w:b/>
          <w:bCs/>
          <w:rtl/>
        </w:rPr>
      </w:pPr>
      <w:r w:rsidRPr="00B97E44">
        <w:rPr>
          <w:rFonts w:hint="cs"/>
          <w:b/>
          <w:bCs/>
          <w:rtl/>
        </w:rPr>
        <w:t xml:space="preserve">משרד מבקר המדינה ממליץ </w:t>
      </w:r>
      <w:r w:rsidRPr="00B97E44">
        <w:rPr>
          <w:rFonts w:hint="cs"/>
          <w:b/>
          <w:bCs/>
          <w:rtl/>
        </w:rPr>
        <w:t>למינהלת</w:t>
      </w:r>
      <w:r w:rsidRPr="00B97E44">
        <w:rPr>
          <w:rFonts w:hint="cs"/>
          <w:b/>
          <w:bCs/>
          <w:rtl/>
        </w:rPr>
        <w:t xml:space="preserve"> תקומה להסדיר מנגנון בקרה על מימוש תקציביה, לרבות מימוש הרשאות להתחייב, שיוטמע במערכת בינה עסקית ויאפשר לעמוד על הסיבות לעיכובים במימוש תקציבים ובעיות שעולות המקשות במימושם, כפי שעלה בביקורת לעיל. זאת כדי להבטיח פיקוח על שימוש יעיל בתקציב שהוקצה לה לטובת שיקום ופיתוח חבל התקומה. </w:t>
      </w:r>
    </w:p>
    <w:p w:rsidR="005B126E" w:rsidP="001916A9">
      <w:pPr>
        <w:spacing w:line="269" w:lineRule="auto"/>
        <w:rPr>
          <w:rtl/>
        </w:rPr>
      </w:pPr>
    </w:p>
    <w:p w:rsidR="005B126E" w:rsidRPr="00B97E44" w:rsidP="001916A9">
      <w:pPr>
        <w:spacing w:line="269" w:lineRule="auto"/>
      </w:pPr>
      <w:r w:rsidRPr="00B97E44">
        <w:rPr>
          <w:rtl/>
        </w:rPr>
        <w:t>מ</w:t>
      </w:r>
      <w:r w:rsidRPr="00B97E44">
        <w:rPr>
          <w:rFonts w:hint="cs"/>
          <w:rtl/>
        </w:rPr>
        <w:t>י</w:t>
      </w:r>
      <w:r w:rsidRPr="00B97E44">
        <w:rPr>
          <w:rtl/>
        </w:rPr>
        <w:t>נהלת תקומה מסרה בתשובתה</w:t>
      </w:r>
      <w:r w:rsidRPr="00B97E44">
        <w:rPr>
          <w:rFonts w:hint="cs"/>
          <w:rtl/>
        </w:rPr>
        <w:t xml:space="preserve"> מנובמבר 2025</w:t>
      </w:r>
      <w:r w:rsidRPr="00B97E44">
        <w:rPr>
          <w:rtl/>
        </w:rPr>
        <w:t xml:space="preserve"> כי ביולי 2025 החל את עבודתו </w:t>
      </w:r>
      <w:r w:rsidRPr="00B97E44">
        <w:rPr>
          <w:rFonts w:hint="cs"/>
          <w:rtl/>
        </w:rPr>
        <w:t>במינהלת</w:t>
      </w:r>
      <w:r w:rsidRPr="00B97E44">
        <w:rPr>
          <w:rFonts w:hint="cs"/>
          <w:rtl/>
        </w:rPr>
        <w:t xml:space="preserve"> </w:t>
      </w:r>
      <w:r w:rsidRPr="00B97E44">
        <w:rPr>
          <w:rtl/>
        </w:rPr>
        <w:t>סמנכ"ל בקרה ושליטה במטרה לייצר שקיפות ועבודה רציפה</w:t>
      </w:r>
      <w:r w:rsidRPr="00B97E44">
        <w:rPr>
          <w:rFonts w:hint="cs"/>
          <w:rtl/>
        </w:rPr>
        <w:t>.</w:t>
      </w:r>
      <w:r w:rsidRPr="00B97E44">
        <w:rPr>
          <w:rtl/>
        </w:rPr>
        <w:t xml:space="preserve"> </w:t>
      </w:r>
      <w:r w:rsidRPr="00B97E44">
        <w:rPr>
          <w:rFonts w:hint="cs"/>
          <w:rtl/>
        </w:rPr>
        <w:t xml:space="preserve">במועד משלוח התשובה </w:t>
      </w:r>
      <w:r w:rsidRPr="00B97E44">
        <w:rPr>
          <w:rFonts w:hint="cs"/>
          <w:rtl/>
        </w:rPr>
        <w:t>המינהלת</w:t>
      </w:r>
      <w:r w:rsidRPr="00B97E44">
        <w:rPr>
          <w:rFonts w:hint="cs"/>
          <w:rtl/>
        </w:rPr>
        <w:t xml:space="preserve"> נמצאת</w:t>
      </w:r>
      <w:r w:rsidRPr="00B97E44">
        <w:rPr>
          <w:rtl/>
        </w:rPr>
        <w:t xml:space="preserve"> בעיצומו של תהליך התקשרות להטמעת מערכת </w:t>
      </w:r>
      <w:r w:rsidRPr="00B97E44">
        <w:rPr>
          <w:rFonts w:hint="cs"/>
          <w:rtl/>
        </w:rPr>
        <w:t xml:space="preserve">לניהול פרויקטים </w:t>
      </w:r>
      <w:r w:rsidRPr="00B97E44">
        <w:rPr>
          <w:rtl/>
        </w:rPr>
        <w:t>ככלי ראשי למעקב ובקרה, הצפויה להיכנס לפעילות בסוף הרבעון הראשון של 2026</w:t>
      </w:r>
      <w:r w:rsidRPr="00B97E44">
        <w:rPr>
          <w:rFonts w:hint="cs"/>
          <w:rtl/>
        </w:rPr>
        <w:t>.</w:t>
      </w:r>
      <w:r w:rsidRPr="00B97E44">
        <w:rPr>
          <w:rtl/>
        </w:rPr>
        <w:t xml:space="preserve"> אשר לפעולות שבוצעו עד כה,</w:t>
      </w:r>
      <w:r w:rsidRPr="00B97E44">
        <w:rPr>
          <w:rFonts w:hint="cs"/>
          <w:rtl/>
        </w:rPr>
        <w:t xml:space="preserve"> מסרה</w:t>
      </w:r>
      <w:r w:rsidRPr="00B97E44">
        <w:rPr>
          <w:rtl/>
        </w:rPr>
        <w:t xml:space="preserve"> </w:t>
      </w:r>
      <w:r w:rsidRPr="00B97E44">
        <w:rPr>
          <w:rtl/>
        </w:rPr>
        <w:t>המ</w:t>
      </w:r>
      <w:r w:rsidRPr="00B97E44">
        <w:rPr>
          <w:rFonts w:hint="cs"/>
          <w:rtl/>
        </w:rPr>
        <w:t>י</w:t>
      </w:r>
      <w:r w:rsidRPr="00B97E44">
        <w:rPr>
          <w:rtl/>
        </w:rPr>
        <w:t>נהלת</w:t>
      </w:r>
      <w:r w:rsidRPr="00B97E44">
        <w:rPr>
          <w:rtl/>
        </w:rPr>
        <w:t xml:space="preserve"> </w:t>
      </w:r>
      <w:r w:rsidRPr="00B97E44">
        <w:rPr>
          <w:rFonts w:hint="cs"/>
          <w:rtl/>
        </w:rPr>
        <w:t xml:space="preserve">כי היא </w:t>
      </w:r>
      <w:r w:rsidRPr="00B97E44">
        <w:rPr>
          <w:rtl/>
        </w:rPr>
        <w:t xml:space="preserve">רכשה פלטפורמה ממשרד הביטחון והתקשרה עם חברת בקרה חיצונית, לצד ביצוע בקרות הנדסיות, חשבונאיות ותקציביות שוטפות בשטח ועל ידי צוותי </w:t>
      </w:r>
      <w:r w:rsidRPr="00B97E44">
        <w:rPr>
          <w:rtl/>
        </w:rPr>
        <w:t>המ</w:t>
      </w:r>
      <w:r w:rsidRPr="00B97E44">
        <w:rPr>
          <w:rFonts w:hint="cs"/>
          <w:rtl/>
        </w:rPr>
        <w:t>י</w:t>
      </w:r>
      <w:r w:rsidRPr="00B97E44">
        <w:rPr>
          <w:rtl/>
        </w:rPr>
        <w:t>נהלת</w:t>
      </w:r>
      <w:r w:rsidRPr="00B97E44">
        <w:rPr>
          <w:rFonts w:ascii="David" w:hAnsi="David"/>
          <w:color w:val="1B1C1D"/>
          <w:sz w:val="24"/>
          <w:rtl/>
        </w:rPr>
        <w:t xml:space="preserve"> </w:t>
      </w:r>
      <w:r w:rsidRPr="00B97E44">
        <w:rPr>
          <w:rFonts w:hint="cs"/>
          <w:rtl/>
        </w:rPr>
        <w:t xml:space="preserve">והדגישה כי תפעל לכך </w:t>
      </w:r>
      <w:r w:rsidRPr="00B97E44">
        <w:rPr>
          <w:rtl/>
        </w:rPr>
        <w:t>שבשנה הנוכחית תחום הבקרה התקציבית יוסדר וייבנה באופן מיטבי</w:t>
      </w:r>
      <w:r w:rsidRPr="00B97E44">
        <w:t>.</w:t>
      </w:r>
      <w:r>
        <w:rPr>
          <w:rFonts w:hint="cs"/>
          <w:rtl/>
        </w:rPr>
        <w:t xml:space="preserve"> בתשובתה הנוספת מסרה מינהלת תקומה כי </w:t>
      </w:r>
      <w:r w:rsidRPr="00D27009">
        <w:rPr>
          <w:rtl/>
        </w:rPr>
        <w:t xml:space="preserve">הצוותים המקצועיים </w:t>
      </w:r>
      <w:r w:rsidRPr="00D27009">
        <w:rPr>
          <w:rtl/>
        </w:rPr>
        <w:t>במ</w:t>
      </w:r>
      <w:r>
        <w:rPr>
          <w:rFonts w:hint="cs"/>
          <w:rtl/>
        </w:rPr>
        <w:t>ינהלת</w:t>
      </w:r>
      <w:r>
        <w:rPr>
          <w:rFonts w:hint="cs"/>
          <w:rtl/>
        </w:rPr>
        <w:t xml:space="preserve"> </w:t>
      </w:r>
      <w:r w:rsidRPr="00D27009">
        <w:rPr>
          <w:rtl/>
        </w:rPr>
        <w:t xml:space="preserve">האחראים </w:t>
      </w:r>
      <w:r>
        <w:rPr>
          <w:rFonts w:hint="cs"/>
          <w:rtl/>
        </w:rPr>
        <w:t>ל</w:t>
      </w:r>
      <w:r w:rsidRPr="00D27009">
        <w:rPr>
          <w:rtl/>
        </w:rPr>
        <w:t xml:space="preserve">תקציב </w:t>
      </w:r>
      <w:r w:rsidRPr="00D27009">
        <w:rPr>
          <w:rtl/>
        </w:rPr>
        <w:t>פרויקטלי</w:t>
      </w:r>
      <w:r w:rsidRPr="00D27009">
        <w:rPr>
          <w:rtl/>
        </w:rPr>
        <w:t xml:space="preserve"> מקיימים פגישות עבודה קבועות</w:t>
      </w:r>
      <w:r>
        <w:rPr>
          <w:rFonts w:hint="cs"/>
          <w:rtl/>
        </w:rPr>
        <w:t xml:space="preserve"> </w:t>
      </w:r>
      <w:r w:rsidRPr="00D27009">
        <w:rPr>
          <w:rtl/>
        </w:rPr>
        <w:t xml:space="preserve">לצורך בקרה ומעקב </w:t>
      </w:r>
      <w:r>
        <w:rPr>
          <w:rFonts w:hint="cs"/>
          <w:rtl/>
        </w:rPr>
        <w:t>בעניין</w:t>
      </w:r>
      <w:r w:rsidRPr="00D27009">
        <w:rPr>
          <w:rtl/>
        </w:rPr>
        <w:t xml:space="preserve"> התקדמות הפרויקטים </w:t>
      </w:r>
      <w:r>
        <w:rPr>
          <w:rFonts w:hint="cs"/>
          <w:rtl/>
        </w:rPr>
        <w:t xml:space="preserve">שמובילים </w:t>
      </w:r>
      <w:r w:rsidRPr="00D27009">
        <w:rPr>
          <w:rtl/>
        </w:rPr>
        <w:t>משרדי הממשלה השונים</w:t>
      </w:r>
      <w:r>
        <w:rPr>
          <w:rFonts w:hint="cs"/>
          <w:rtl/>
        </w:rPr>
        <w:t xml:space="preserve"> </w:t>
      </w:r>
      <w:r w:rsidRPr="00D27009">
        <w:rPr>
          <w:rtl/>
        </w:rPr>
        <w:t xml:space="preserve">והרשויות המקומיות בחבל </w:t>
      </w:r>
      <w:r>
        <w:rPr>
          <w:rFonts w:hint="cs"/>
          <w:rtl/>
        </w:rPr>
        <w:t>ה</w:t>
      </w:r>
      <w:r w:rsidRPr="00D27009">
        <w:rPr>
          <w:rtl/>
        </w:rPr>
        <w:t>תקומה</w:t>
      </w:r>
      <w:r w:rsidRPr="00D27009">
        <w:t xml:space="preserve"> .</w:t>
      </w:r>
    </w:p>
    <w:p w:rsidR="005B126E" w:rsidRPr="00B97E44" w:rsidP="001916A9">
      <w:pPr>
        <w:spacing w:line="269" w:lineRule="auto"/>
        <w:rPr>
          <w:rtl/>
        </w:rPr>
      </w:pPr>
    </w:p>
    <w:p w:rsidR="005B126E" w:rsidRPr="00B97E44" w:rsidP="003474AA">
      <w:pPr>
        <w:pStyle w:val="Heading4"/>
        <w:rPr>
          <w:rtl/>
        </w:rPr>
      </w:pPr>
      <w:r w:rsidRPr="00B97E44">
        <w:rPr>
          <w:rFonts w:hint="cs"/>
          <w:rtl/>
        </w:rPr>
        <w:t>דיווח לציבור על פעילות מינהלת תקומה ומימוש התקציב</w:t>
      </w:r>
    </w:p>
    <w:p w:rsidR="005B126E" w:rsidP="001916A9">
      <w:pPr>
        <w:spacing w:line="269" w:lineRule="auto"/>
        <w:rPr>
          <w:rtl/>
        </w:rPr>
      </w:pPr>
    </w:p>
    <w:p w:rsidR="005B126E" w:rsidRPr="00B97E44" w:rsidP="001916A9">
      <w:pPr>
        <w:spacing w:line="269" w:lineRule="auto"/>
        <w:rPr>
          <w:rtl/>
        </w:rPr>
      </w:pPr>
      <w:r w:rsidRPr="00B97E44">
        <w:rPr>
          <w:rtl/>
        </w:rPr>
        <w:t xml:space="preserve">שקיפות בהצגת תקציב </w:t>
      </w:r>
      <w:r w:rsidRPr="00B97E44">
        <w:rPr>
          <w:rFonts w:hint="cs"/>
          <w:rtl/>
        </w:rPr>
        <w:t>היא</w:t>
      </w:r>
      <w:r w:rsidRPr="00B97E44">
        <w:rPr>
          <w:rtl/>
        </w:rPr>
        <w:t xml:space="preserve"> עקרון יסוד בניהול תקין של כספי ציבור</w:t>
      </w:r>
      <w:r w:rsidRPr="00B97E44">
        <w:rPr>
          <w:rFonts w:hint="cs"/>
          <w:rtl/>
        </w:rPr>
        <w:t xml:space="preserve"> ובהבטחת </w:t>
      </w:r>
      <w:r w:rsidRPr="00B97E44">
        <w:rPr>
          <w:rtl/>
        </w:rPr>
        <w:t>אמון הציבור ברשויות השלטון. הצגה ברורה, נגישה ומלאה של התקציב מאפשרת לגורמים המעורבים</w:t>
      </w:r>
      <w:r w:rsidRPr="00B97E44">
        <w:rPr>
          <w:rFonts w:hint="cs"/>
          <w:rtl/>
        </w:rPr>
        <w:t xml:space="preserve">, </w:t>
      </w:r>
      <w:r w:rsidRPr="00B97E44">
        <w:rPr>
          <w:rtl/>
        </w:rPr>
        <w:t xml:space="preserve">לרבות </w:t>
      </w:r>
      <w:r w:rsidRPr="00B97E44">
        <w:rPr>
          <w:rFonts w:hint="cs"/>
          <w:rtl/>
        </w:rPr>
        <w:t>בעלי עניין,</w:t>
      </w:r>
      <w:r w:rsidRPr="00B97E44">
        <w:rPr>
          <w:rtl/>
        </w:rPr>
        <w:t xml:space="preserve"> לעקוב אחר אופן הקצאת המשאבים ולוודא שהשימוש בהם תואם את סדרי העדיפויות הלאומיים והציבוריים. בהיעדר שקיפות מספקת, גוברים החששות לשימוש בלתי תקין או בלתי יעיל בכספי </w:t>
      </w:r>
      <w:r w:rsidRPr="00B97E44">
        <w:rPr>
          <w:rFonts w:hint="cs"/>
          <w:rtl/>
        </w:rPr>
        <w:t>ה</w:t>
      </w:r>
      <w:r w:rsidRPr="00B97E44">
        <w:rPr>
          <w:rtl/>
        </w:rPr>
        <w:t>ציבור, ופוחתת היכולת להבטיח בקרה אפקטיבית</w:t>
      </w:r>
      <w:r>
        <w:rPr>
          <w:vertAlign w:val="superscript"/>
          <w:rtl/>
        </w:rPr>
        <w:footnoteReference w:id="120"/>
      </w:r>
      <w:r w:rsidRPr="00B97E44">
        <w:rPr>
          <w:rFonts w:hint="cs"/>
          <w:rtl/>
        </w:rPr>
        <w:t>.</w:t>
      </w:r>
    </w:p>
    <w:p w:rsidR="005B126E" w:rsidP="001916A9">
      <w:pPr>
        <w:spacing w:line="269" w:lineRule="auto"/>
        <w:rPr>
          <w:rtl/>
        </w:rPr>
      </w:pPr>
      <w:bookmarkStart w:id="57" w:name="_Hlk217483321"/>
    </w:p>
    <w:p w:rsidR="005B126E" w:rsidRPr="00B97E44" w:rsidP="001916A9">
      <w:pPr>
        <w:spacing w:line="269" w:lineRule="auto"/>
        <w:rPr>
          <w:rtl/>
        </w:rPr>
      </w:pPr>
      <w:r w:rsidRPr="00B97E44">
        <w:rPr>
          <w:rtl/>
        </w:rPr>
        <w:t xml:space="preserve">שקיפות תקציבית אינה מסתכמת בפרסום נתונים </w:t>
      </w:r>
      <w:r w:rsidRPr="00B97E44">
        <w:rPr>
          <w:rFonts w:hint="cs"/>
          <w:rtl/>
        </w:rPr>
        <w:t xml:space="preserve">על </w:t>
      </w:r>
      <w:r w:rsidRPr="00B97E44">
        <w:rPr>
          <w:rtl/>
        </w:rPr>
        <w:t>אודות ההרשאות וההתחייבויות התקציביות, אלא מחייבת דיווח מקיף גם על היקף הביצוע בפועל</w:t>
      </w:r>
      <w:r w:rsidRPr="00B97E44">
        <w:rPr>
          <w:rFonts w:hint="cs"/>
          <w:rtl/>
        </w:rPr>
        <w:t xml:space="preserve">, </w:t>
      </w:r>
      <w:r w:rsidRPr="00B97E44">
        <w:rPr>
          <w:rtl/>
        </w:rPr>
        <w:t>דהיינו</w:t>
      </w:r>
      <w:r w:rsidRPr="00B97E44">
        <w:rPr>
          <w:rFonts w:hint="cs"/>
          <w:rtl/>
        </w:rPr>
        <w:t xml:space="preserve"> -</w:t>
      </w:r>
      <w:r w:rsidRPr="00B97E44">
        <w:rPr>
          <w:rtl/>
        </w:rPr>
        <w:t xml:space="preserve"> על הסכומים שהועברו בפועל לגופים המבצעים. ללא מידע זה, הציבור אינ</w:t>
      </w:r>
      <w:r w:rsidRPr="00B97E44">
        <w:rPr>
          <w:rFonts w:hint="cs"/>
          <w:rtl/>
        </w:rPr>
        <w:t>ו</w:t>
      </w:r>
      <w:r w:rsidRPr="00B97E44">
        <w:rPr>
          <w:rtl/>
        </w:rPr>
        <w:t xml:space="preserve"> יכול לגבש תמונה מלאה ומהימנה על מימוש המדיניות התקציבית הלכה למעשה, ועל הפערים האפשריים בין התכנון לביצוע. הצגה חלקית של המידע התקציבי עלולה להוביל להטעיה </w:t>
      </w:r>
      <w:r w:rsidRPr="00B97E44">
        <w:rPr>
          <w:rFonts w:hint="cs"/>
          <w:rtl/>
        </w:rPr>
        <w:t>ו</w:t>
      </w:r>
      <w:r w:rsidRPr="00B97E44">
        <w:rPr>
          <w:rtl/>
        </w:rPr>
        <w:t>לפגוע ביכולת הפיקוח הציבורי</w:t>
      </w:r>
      <w:r w:rsidRPr="00B97E44">
        <w:rPr>
          <w:rFonts w:hint="cs"/>
          <w:rtl/>
        </w:rPr>
        <w:t xml:space="preserve"> לבחון באופן אפקטיבי את </w:t>
      </w:r>
      <w:r w:rsidRPr="00B97E44">
        <w:rPr>
          <w:rtl/>
        </w:rPr>
        <w:t>יעילות התקציב.</w:t>
      </w:r>
    </w:p>
    <w:bookmarkEnd w:id="57"/>
    <w:p w:rsidR="005B126E" w:rsidP="001916A9">
      <w:pPr>
        <w:spacing w:line="269" w:lineRule="auto"/>
        <w:rPr>
          <w:rtl/>
        </w:rPr>
      </w:pPr>
    </w:p>
    <w:p w:rsidR="005B126E" w:rsidRPr="00B97E44" w:rsidP="001916A9">
      <w:pPr>
        <w:spacing w:line="269" w:lineRule="auto"/>
        <w:rPr>
          <w:rtl/>
        </w:rPr>
      </w:pPr>
      <w:r w:rsidRPr="00B97E44">
        <w:rPr>
          <w:rFonts w:hint="cs"/>
          <w:rtl/>
        </w:rPr>
        <w:t xml:space="preserve">גם בנוגע להתנהלות של מינהלת תקומה, </w:t>
      </w:r>
      <w:bookmarkStart w:id="58" w:name="_Hlk207792000"/>
      <w:r w:rsidRPr="00B97E44">
        <w:rPr>
          <w:rFonts w:hint="cs"/>
          <w:rtl/>
        </w:rPr>
        <w:t>עקרון השקיפות הוא אחד האמצעים לבקרה ציבורית ונדרש לא רק למעקב אחר היישום של הליכי השיקום אלא גם לבניית האמון בין מינהלת תקומה ליישובים שנפגעו במתקפת הטרור בשבעה באוקטובר</w:t>
      </w:r>
      <w:bookmarkEnd w:id="58"/>
      <w:r w:rsidRPr="00B97E44">
        <w:rPr>
          <w:rFonts w:hint="cs"/>
          <w:rtl/>
        </w:rPr>
        <w:t>.</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כפי שעלה בדוח הביניים, </w:t>
      </w:r>
      <w:r w:rsidRPr="00B97E44">
        <w:rPr>
          <w:rtl/>
        </w:rPr>
        <w:t xml:space="preserve">בהחלטת </w:t>
      </w:r>
      <w:r w:rsidRPr="00B97E44">
        <w:rPr>
          <w:rFonts w:hint="cs"/>
          <w:rtl/>
        </w:rPr>
        <w:t>ה</w:t>
      </w:r>
      <w:r w:rsidRPr="00B97E44">
        <w:rPr>
          <w:rtl/>
        </w:rPr>
        <w:t>ממשלה 980 מאוקטובר 2023</w:t>
      </w:r>
      <w:r w:rsidRPr="00B97E44">
        <w:rPr>
          <w:rFonts w:hint="cs"/>
          <w:rtl/>
        </w:rPr>
        <w:t>,</w:t>
      </w:r>
      <w:r w:rsidRPr="00B97E44">
        <w:rPr>
          <w:rtl/>
        </w:rPr>
        <w:t xml:space="preserve"> </w:t>
      </w:r>
      <w:bookmarkStart w:id="59" w:name="_Hlk185145462"/>
      <w:r w:rsidRPr="00B97E44">
        <w:rPr>
          <w:rtl/>
        </w:rPr>
        <w:t>שמכוח</w:t>
      </w:r>
      <w:r w:rsidRPr="00B97E44">
        <w:rPr>
          <w:rFonts w:hint="cs"/>
          <w:rtl/>
        </w:rPr>
        <w:t>ה</w:t>
      </w:r>
      <w:r w:rsidRPr="00B97E44">
        <w:rPr>
          <w:rtl/>
        </w:rPr>
        <w:t xml:space="preserve"> הוקמה </w:t>
      </w:r>
      <w:r w:rsidRPr="00B97E44">
        <w:rPr>
          <w:rFonts w:hint="eastAsia"/>
          <w:rtl/>
        </w:rPr>
        <w:t>מינהלת תקומה</w:t>
      </w:r>
      <w:r w:rsidRPr="00B97E44">
        <w:rPr>
          <w:rFonts w:hint="cs"/>
          <w:rtl/>
        </w:rPr>
        <w:t>,</w:t>
      </w:r>
      <w:r w:rsidRPr="00B97E44">
        <w:rPr>
          <w:rtl/>
        </w:rPr>
        <w:t xml:space="preserve"> נקבע כי</w:t>
      </w:r>
      <w:r w:rsidRPr="00B97E44">
        <w:rPr>
          <w:rFonts w:hint="cs"/>
          <w:rtl/>
        </w:rPr>
        <w:t xml:space="preserve"> עליה ל</w:t>
      </w:r>
      <w:r w:rsidRPr="00B97E44">
        <w:rPr>
          <w:rFonts w:hint="eastAsia"/>
          <w:rtl/>
        </w:rPr>
        <w:t>דווח</w:t>
      </w:r>
      <w:r w:rsidRPr="00B97E44">
        <w:rPr>
          <w:rtl/>
        </w:rPr>
        <w:t xml:space="preserve"> </w:t>
      </w:r>
      <w:r w:rsidRPr="00B97E44">
        <w:rPr>
          <w:rFonts w:hint="eastAsia"/>
          <w:rtl/>
        </w:rPr>
        <w:t>בכתב</w:t>
      </w:r>
      <w:r w:rsidRPr="00B97E44">
        <w:rPr>
          <w:rtl/>
        </w:rPr>
        <w:t xml:space="preserve"> </w:t>
      </w:r>
      <w:bookmarkStart w:id="60" w:name="_Hlk184895660"/>
      <w:r w:rsidRPr="00B97E44">
        <w:rPr>
          <w:rFonts w:hint="eastAsia"/>
          <w:rtl/>
        </w:rPr>
        <w:t>לוועדת</w:t>
      </w:r>
      <w:r w:rsidRPr="00B97E44">
        <w:rPr>
          <w:rtl/>
        </w:rPr>
        <w:t xml:space="preserve"> </w:t>
      </w:r>
      <w:r w:rsidRPr="00B97E44">
        <w:rPr>
          <w:rFonts w:hint="eastAsia"/>
          <w:rtl/>
        </w:rPr>
        <w:t>השרים</w:t>
      </w:r>
      <w:r w:rsidRPr="00B97E44">
        <w:rPr>
          <w:rFonts w:hint="cs"/>
          <w:rtl/>
        </w:rPr>
        <w:t xml:space="preserve"> לענייני חברה וכלכלה</w:t>
      </w:r>
      <w:r w:rsidRPr="00B97E44">
        <w:rPr>
          <w:rtl/>
        </w:rPr>
        <w:t xml:space="preserve"> (הקבינט </w:t>
      </w:r>
      <w:r w:rsidRPr="00B97E44">
        <w:rPr>
          <w:rFonts w:hint="eastAsia"/>
          <w:rtl/>
        </w:rPr>
        <w:t>החברתי</w:t>
      </w:r>
      <w:r w:rsidRPr="00B97E44">
        <w:rPr>
          <w:rtl/>
        </w:rPr>
        <w:t xml:space="preserve">-כלכלי) </w:t>
      </w:r>
      <w:bookmarkEnd w:id="60"/>
      <w:r w:rsidRPr="00B97E44">
        <w:rPr>
          <w:rFonts w:hint="eastAsia"/>
          <w:rtl/>
        </w:rPr>
        <w:t>על</w:t>
      </w:r>
      <w:r w:rsidRPr="00B97E44">
        <w:rPr>
          <w:rtl/>
        </w:rPr>
        <w:t xml:space="preserve"> </w:t>
      </w:r>
      <w:r w:rsidRPr="00B97E44">
        <w:rPr>
          <w:rFonts w:hint="eastAsia"/>
          <w:rtl/>
        </w:rPr>
        <w:t>פעולותיה</w:t>
      </w:r>
      <w:r w:rsidRPr="00B97E44">
        <w:rPr>
          <w:rtl/>
        </w:rPr>
        <w:t xml:space="preserve"> </w:t>
      </w:r>
      <w:r w:rsidRPr="00B97E44">
        <w:rPr>
          <w:rFonts w:hint="cs"/>
          <w:rtl/>
        </w:rPr>
        <w:t>אחת ל</w:t>
      </w:r>
      <w:r w:rsidRPr="00B97E44">
        <w:rPr>
          <w:rFonts w:hint="eastAsia"/>
          <w:rtl/>
        </w:rPr>
        <w:t>חודש</w:t>
      </w:r>
      <w:r w:rsidRPr="00B97E44">
        <w:rPr>
          <w:rFonts w:hint="cs"/>
          <w:rtl/>
        </w:rPr>
        <w:t>,</w:t>
      </w:r>
      <w:r w:rsidRPr="00B97E44">
        <w:rPr>
          <w:rtl/>
        </w:rPr>
        <w:t xml:space="preserve"> </w:t>
      </w:r>
      <w:r w:rsidRPr="00B97E44">
        <w:rPr>
          <w:rFonts w:hint="eastAsia"/>
          <w:rtl/>
        </w:rPr>
        <w:t>ו</w:t>
      </w:r>
      <w:r w:rsidRPr="00B97E44">
        <w:rPr>
          <w:rFonts w:hint="cs"/>
          <w:rtl/>
        </w:rPr>
        <w:t xml:space="preserve">נוסף על כך </w:t>
      </w:r>
      <w:r w:rsidRPr="00B97E44">
        <w:rPr>
          <w:rFonts w:hint="eastAsia"/>
          <w:rtl/>
        </w:rPr>
        <w:t>ככל</w:t>
      </w:r>
      <w:r w:rsidRPr="00B97E44">
        <w:rPr>
          <w:rtl/>
        </w:rPr>
        <w:t xml:space="preserve"> </w:t>
      </w:r>
      <w:r w:rsidRPr="00B97E44">
        <w:rPr>
          <w:rFonts w:hint="eastAsia"/>
          <w:rtl/>
        </w:rPr>
        <w:t>שיידרש</w:t>
      </w:r>
      <w:bookmarkEnd w:id="59"/>
      <w:r w:rsidRPr="00B97E44">
        <w:rPr>
          <w:rFonts w:hint="cs"/>
          <w:rtl/>
        </w:rPr>
        <w:t>.</w:t>
      </w:r>
      <w:r w:rsidRPr="00B97E44">
        <w:rPr>
          <w:rtl/>
        </w:rPr>
        <w:t xml:space="preserve"> בהחלטת ממשלה </w:t>
      </w:r>
      <w:r w:rsidRPr="00B97E44">
        <w:rPr>
          <w:rFonts w:hint="cs"/>
          <w:rtl/>
        </w:rPr>
        <w:t>1127</w:t>
      </w:r>
      <w:r>
        <w:rPr>
          <w:vertAlign w:val="superscript"/>
          <w:rtl/>
        </w:rPr>
        <w:footnoteReference w:id="121"/>
      </w:r>
      <w:r w:rsidRPr="00B97E44">
        <w:rPr>
          <w:rtl/>
        </w:rPr>
        <w:t xml:space="preserve"> </w:t>
      </w:r>
      <w:r w:rsidRPr="00B97E44">
        <w:rPr>
          <w:rFonts w:hint="cs"/>
          <w:rtl/>
        </w:rPr>
        <w:t xml:space="preserve">נקבע כי מינהלת תקומה תפרסם דוח ביצוע אחת לחצי שנה, ב-1 באפריל וב-1 באוקטובר וכי הדוח </w:t>
      </w:r>
      <w:r w:rsidRPr="00B97E44">
        <w:rPr>
          <w:rtl/>
        </w:rPr>
        <w:t xml:space="preserve">יכלול בין היתר </w:t>
      </w:r>
      <w:r w:rsidRPr="00B97E44">
        <w:rPr>
          <w:rFonts w:hint="cs"/>
          <w:rtl/>
        </w:rPr>
        <w:t xml:space="preserve">מידע על </w:t>
      </w:r>
      <w:r w:rsidRPr="00B97E44">
        <w:rPr>
          <w:rtl/>
        </w:rPr>
        <w:t>העברת תקציבים למשרדי הממשלה, לרשויות המקומיות ולקהילות, תפוקות ואבני דרך עיקריות, עמידה ביעדים שיוגדרו וכן ניתוחים מקצועיים ברמה כוללת.</w:t>
      </w:r>
      <w:r>
        <w:rPr>
          <w:rFonts w:hint="cs"/>
          <w:rtl/>
        </w:rPr>
        <w:t xml:space="preserve"> ואכן, </w:t>
      </w:r>
      <w:r w:rsidRPr="006436E4">
        <w:rPr>
          <w:rtl/>
        </w:rPr>
        <w:t>באוקטובר 2024 פרסמה מינהלת תקומה דוח ביצוע חד-שנתי.</w:t>
      </w:r>
    </w:p>
    <w:p w:rsidR="005B126E" w:rsidP="001916A9">
      <w:pPr>
        <w:spacing w:line="269" w:lineRule="auto"/>
        <w:rPr>
          <w:rtl/>
        </w:rPr>
      </w:pPr>
    </w:p>
    <w:p w:rsidR="005B126E" w:rsidRPr="00B97E44" w:rsidP="001916A9">
      <w:pPr>
        <w:spacing w:line="269" w:lineRule="auto"/>
        <w:rPr>
          <w:rtl/>
        </w:rPr>
      </w:pPr>
      <w:r w:rsidRPr="00B97E44">
        <w:rPr>
          <w:rFonts w:hint="eastAsia"/>
          <w:rtl/>
        </w:rPr>
        <w:t>בדוח</w:t>
      </w:r>
      <w:r w:rsidRPr="00B97E44">
        <w:rPr>
          <w:rtl/>
        </w:rPr>
        <w:t xml:space="preserve"> </w:t>
      </w:r>
      <w:r w:rsidRPr="00B97E44">
        <w:rPr>
          <w:rFonts w:hint="eastAsia"/>
          <w:rtl/>
        </w:rPr>
        <w:t>הביניים</w:t>
      </w:r>
      <w:r w:rsidRPr="00B97E44">
        <w:rPr>
          <w:rFonts w:hint="cs"/>
          <w:rtl/>
        </w:rPr>
        <w:t xml:space="preserve"> של מבקר המדינה מפברואר 2025 הומלץ</w:t>
      </w:r>
      <w:r w:rsidRPr="00B97E44">
        <w:rPr>
          <w:rtl/>
        </w:rPr>
        <w:t xml:space="preserve"> </w:t>
      </w:r>
      <w:r w:rsidRPr="00B97E44">
        <w:rPr>
          <w:rFonts w:hint="eastAsia"/>
          <w:rtl/>
        </w:rPr>
        <w:t>לפעול</w:t>
      </w:r>
      <w:r w:rsidRPr="00B97E44">
        <w:rPr>
          <w:rtl/>
        </w:rPr>
        <w:t xml:space="preserve"> </w:t>
      </w:r>
      <w:r w:rsidRPr="00B97E44">
        <w:rPr>
          <w:rFonts w:hint="eastAsia"/>
          <w:rtl/>
        </w:rPr>
        <w:t>למיסוד</w:t>
      </w:r>
      <w:r w:rsidRPr="00B97E44">
        <w:rPr>
          <w:rtl/>
        </w:rPr>
        <w:t xml:space="preserve"> </w:t>
      </w:r>
      <w:r w:rsidRPr="00B97E44">
        <w:rPr>
          <w:rFonts w:hint="eastAsia"/>
          <w:rtl/>
        </w:rPr>
        <w:t>הליכי</w:t>
      </w:r>
      <w:r w:rsidRPr="00B97E44">
        <w:rPr>
          <w:rtl/>
        </w:rPr>
        <w:t xml:space="preserve"> </w:t>
      </w:r>
      <w:r w:rsidRPr="00B97E44">
        <w:rPr>
          <w:rFonts w:hint="eastAsia"/>
          <w:rtl/>
        </w:rPr>
        <w:t>בקרה</w:t>
      </w:r>
      <w:r w:rsidRPr="00B97E44">
        <w:rPr>
          <w:rtl/>
        </w:rPr>
        <w:t xml:space="preserve"> </w:t>
      </w:r>
      <w:r w:rsidRPr="00B97E44">
        <w:rPr>
          <w:rFonts w:hint="eastAsia"/>
          <w:rtl/>
        </w:rPr>
        <w:t>קבועים</w:t>
      </w:r>
      <w:r w:rsidRPr="00B97E44">
        <w:rPr>
          <w:rtl/>
        </w:rPr>
        <w:t xml:space="preserve"> </w:t>
      </w:r>
      <w:r w:rsidRPr="00B97E44">
        <w:rPr>
          <w:rFonts w:hint="eastAsia"/>
          <w:rtl/>
        </w:rPr>
        <w:t>ועיתיים</w:t>
      </w:r>
      <w:r w:rsidRPr="00B97E44">
        <w:rPr>
          <w:rtl/>
        </w:rPr>
        <w:t xml:space="preserve"> </w:t>
      </w:r>
      <w:r w:rsidRPr="00B97E44">
        <w:rPr>
          <w:rFonts w:hint="eastAsia"/>
          <w:rtl/>
        </w:rPr>
        <w:t>מטעם</w:t>
      </w:r>
      <w:r w:rsidRPr="00B97E44">
        <w:rPr>
          <w:rtl/>
        </w:rPr>
        <w:t xml:space="preserve"> </w:t>
      </w:r>
      <w:r w:rsidRPr="00B97E44">
        <w:rPr>
          <w:rFonts w:hint="eastAsia"/>
          <w:rtl/>
        </w:rPr>
        <w:t>הממשלה</w:t>
      </w:r>
      <w:r w:rsidRPr="00B97E44">
        <w:rPr>
          <w:rtl/>
        </w:rPr>
        <w:t xml:space="preserve"> </w:t>
      </w:r>
      <w:r w:rsidRPr="00B97E44">
        <w:rPr>
          <w:rFonts w:hint="eastAsia"/>
          <w:rtl/>
        </w:rPr>
        <w:t>על</w:t>
      </w:r>
      <w:r w:rsidRPr="00B97E44">
        <w:rPr>
          <w:rtl/>
        </w:rPr>
        <w:t xml:space="preserve"> </w:t>
      </w:r>
      <w:r w:rsidRPr="00B97E44">
        <w:rPr>
          <w:rFonts w:hint="eastAsia"/>
          <w:rtl/>
        </w:rPr>
        <w:t>פעולות</w:t>
      </w:r>
      <w:r w:rsidRPr="00B97E44">
        <w:rPr>
          <w:rFonts w:hint="cs"/>
          <w:rtl/>
        </w:rPr>
        <w:t>יה של</w:t>
      </w:r>
      <w:r w:rsidRPr="00B97E44">
        <w:rPr>
          <w:rtl/>
        </w:rPr>
        <w:t xml:space="preserve"> </w:t>
      </w:r>
      <w:r w:rsidRPr="00B97E44">
        <w:rPr>
          <w:rFonts w:hint="eastAsia"/>
          <w:rtl/>
        </w:rPr>
        <w:t>מינהלת תקומה</w:t>
      </w:r>
      <w:r w:rsidRPr="00B97E44">
        <w:rPr>
          <w:rFonts w:hint="cs"/>
          <w:rtl/>
        </w:rPr>
        <w:t xml:space="preserve"> </w:t>
      </w:r>
      <w:r w:rsidRPr="00B97E44">
        <w:rPr>
          <w:rFonts w:hint="eastAsia"/>
          <w:rtl/>
        </w:rPr>
        <w:t>ועל</w:t>
      </w:r>
      <w:r w:rsidRPr="00B97E44">
        <w:rPr>
          <w:rtl/>
        </w:rPr>
        <w:t xml:space="preserve"> </w:t>
      </w:r>
      <w:r w:rsidRPr="00B97E44">
        <w:rPr>
          <w:rFonts w:hint="eastAsia"/>
          <w:rtl/>
        </w:rPr>
        <w:t>יישום</w:t>
      </w:r>
      <w:r w:rsidRPr="00B97E44">
        <w:rPr>
          <w:rtl/>
        </w:rPr>
        <w:t xml:space="preserve"> </w:t>
      </w:r>
      <w:r w:rsidRPr="00B97E44">
        <w:rPr>
          <w:rFonts w:hint="eastAsia"/>
          <w:rtl/>
        </w:rPr>
        <w:t>התוכנית</w:t>
      </w:r>
      <w:r w:rsidRPr="00B97E44">
        <w:rPr>
          <w:rtl/>
        </w:rPr>
        <w:t xml:space="preserve"> </w:t>
      </w:r>
      <w:r w:rsidRPr="00B97E44">
        <w:rPr>
          <w:rFonts w:hint="eastAsia"/>
          <w:rtl/>
        </w:rPr>
        <w:t>וזיהוי</w:t>
      </w:r>
      <w:r w:rsidRPr="00B97E44">
        <w:rPr>
          <w:rtl/>
        </w:rPr>
        <w:t xml:space="preserve"> </w:t>
      </w:r>
      <w:r w:rsidRPr="00B97E44">
        <w:rPr>
          <w:rFonts w:hint="eastAsia"/>
          <w:rtl/>
        </w:rPr>
        <w:t>פערים</w:t>
      </w:r>
      <w:r w:rsidRPr="00B97E44">
        <w:rPr>
          <w:rtl/>
        </w:rPr>
        <w:t xml:space="preserve"> </w:t>
      </w:r>
      <w:r w:rsidRPr="00B97E44">
        <w:rPr>
          <w:rFonts w:hint="eastAsia"/>
          <w:rtl/>
        </w:rPr>
        <w:t>או</w:t>
      </w:r>
      <w:r w:rsidRPr="00B97E44">
        <w:rPr>
          <w:rtl/>
        </w:rPr>
        <w:t xml:space="preserve"> </w:t>
      </w:r>
      <w:r w:rsidRPr="00B97E44">
        <w:rPr>
          <w:rFonts w:hint="eastAsia"/>
          <w:rtl/>
        </w:rPr>
        <w:t>חסמים</w:t>
      </w:r>
      <w:r w:rsidRPr="00B97E44">
        <w:rPr>
          <w:rtl/>
        </w:rPr>
        <w:t xml:space="preserve"> </w:t>
      </w:r>
      <w:r w:rsidRPr="00B97E44">
        <w:rPr>
          <w:rFonts w:hint="eastAsia"/>
          <w:rtl/>
        </w:rPr>
        <w:t>ביישומה</w:t>
      </w:r>
      <w:r w:rsidRPr="00B97E44">
        <w:rPr>
          <w:rtl/>
        </w:rPr>
        <w:t>.</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בחוק השיקום הנרחב מאפריל 2025 צומצמה חובת הדיווח של מינהלת תקומה לפעם אחת בשנה - כך נקבע בחוק כי שרי הממשלה ידווחו למנכ"ל משרד ראש הממשלה </w:t>
      </w:r>
      <w:r w:rsidRPr="00B97E44">
        <w:rPr>
          <w:rFonts w:hint="cs"/>
          <w:rtl/>
        </w:rPr>
        <w:t>ולמינהלת</w:t>
      </w:r>
      <w:r w:rsidRPr="00B97E44">
        <w:rPr>
          <w:rFonts w:hint="cs"/>
          <w:rtl/>
        </w:rPr>
        <w:t xml:space="preserve"> תקומה בכל שנה </w:t>
      </w:r>
      <w:r w:rsidRPr="00B97E44">
        <w:rPr>
          <w:rtl/>
        </w:rPr>
        <w:t>על פעולות שביצעו משרדיהם בחבל התקומה</w:t>
      </w:r>
      <w:r w:rsidRPr="00B97E44">
        <w:rPr>
          <w:rFonts w:hint="cs"/>
          <w:rtl/>
        </w:rPr>
        <w:t xml:space="preserve"> וכי ראש מינהלת תקומה יפרסם עד אפריל בכל שנה דוח שנתי הכולל נתונים ומידע על פעילותה של מינהלת תקומה בשנה שקדמה למועד הפרסום ובכלל זה מידע בדבר עמידה ביעדים שגיבשה </w:t>
      </w:r>
      <w:r w:rsidRPr="00B97E44">
        <w:rPr>
          <w:rFonts w:hint="cs"/>
          <w:rtl/>
        </w:rPr>
        <w:t>המינהלת</w:t>
      </w:r>
      <w:r w:rsidRPr="00B97E44">
        <w:rPr>
          <w:rFonts w:hint="cs"/>
          <w:rtl/>
        </w:rPr>
        <w:t>.</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עוד נקבע בחוק השיקום הנרחב כי השר הממונה על מינהלת תקומה יגיש לוועדת הכלכלה של הכנסת אחת לשנה החל משנת 2026 דוח לעניין פעולות השיקום הנרחב שביצעו משרדי הממשלה בהתאם לדיווחים שמסרו </w:t>
      </w:r>
      <w:r w:rsidRPr="00B97E44">
        <w:rPr>
          <w:rFonts w:hint="cs"/>
          <w:rtl/>
        </w:rPr>
        <w:t>למינהלת</w:t>
      </w:r>
      <w:r w:rsidRPr="00B97E44">
        <w:rPr>
          <w:rFonts w:hint="cs"/>
          <w:rtl/>
        </w:rPr>
        <w:t xml:space="preserve"> תקומה וכן יגיש לוועדה את הדוח השנתי שפורסם לציבור.</w:t>
      </w:r>
    </w:p>
    <w:p w:rsidR="005B126E" w:rsidP="001916A9">
      <w:pPr>
        <w:spacing w:line="269" w:lineRule="auto"/>
        <w:rPr>
          <w:b/>
          <w:bCs/>
          <w:rtl/>
        </w:rPr>
      </w:pPr>
    </w:p>
    <w:p w:rsidR="005B126E" w:rsidRPr="00B97E44" w:rsidP="001916A9">
      <w:pPr>
        <w:spacing w:line="269" w:lineRule="auto"/>
        <w:rPr>
          <w:b/>
          <w:bCs/>
          <w:rtl/>
        </w:rPr>
      </w:pPr>
      <w:r w:rsidRPr="00B97E44">
        <w:rPr>
          <w:rFonts w:hint="cs"/>
          <w:b/>
          <w:bCs/>
          <w:rtl/>
        </w:rPr>
        <w:t xml:space="preserve">יוצא אפוא כי בחוק השיקום הנרחב צומצמה חובת הדיווח לדיווח שנתי עד 1 באפריל בכל שנה. זאת ועוד, </w:t>
      </w:r>
      <w:r w:rsidRPr="00B97E44">
        <w:rPr>
          <w:rFonts w:hint="eastAsia"/>
          <w:b/>
          <w:bCs/>
          <w:rtl/>
        </w:rPr>
        <w:t>באוקטובר</w:t>
      </w:r>
      <w:r w:rsidRPr="00B97E44">
        <w:rPr>
          <w:b/>
          <w:bCs/>
          <w:rtl/>
        </w:rPr>
        <w:t xml:space="preserve"> 2024 </w:t>
      </w:r>
      <w:r w:rsidRPr="00B97E44">
        <w:rPr>
          <w:rFonts w:hint="eastAsia"/>
          <w:b/>
          <w:bCs/>
          <w:rtl/>
        </w:rPr>
        <w:t>פרסמה</w:t>
      </w:r>
      <w:r w:rsidRPr="00B97E44">
        <w:rPr>
          <w:b/>
          <w:bCs/>
          <w:rtl/>
        </w:rPr>
        <w:t xml:space="preserve"> </w:t>
      </w:r>
      <w:r w:rsidRPr="00B97E44">
        <w:rPr>
          <w:rFonts w:hint="eastAsia"/>
          <w:b/>
          <w:bCs/>
          <w:rtl/>
        </w:rPr>
        <w:t>מינהלת תקומה</w:t>
      </w:r>
      <w:r w:rsidRPr="00B97E44">
        <w:rPr>
          <w:b/>
          <w:bCs/>
          <w:rtl/>
        </w:rPr>
        <w:t xml:space="preserve"> דוח ביצוע חד-שנתי. </w:t>
      </w:r>
      <w:r w:rsidRPr="00B97E44">
        <w:rPr>
          <w:rFonts w:hint="eastAsia"/>
          <w:b/>
          <w:bCs/>
          <w:rtl/>
        </w:rPr>
        <w:t>ולמעשה</w:t>
      </w:r>
      <w:r w:rsidRPr="00B97E44">
        <w:rPr>
          <w:b/>
          <w:bCs/>
          <w:rtl/>
        </w:rPr>
        <w:t xml:space="preserve"> </w:t>
      </w:r>
      <w:r w:rsidRPr="00B97E44">
        <w:rPr>
          <w:rFonts w:hint="eastAsia"/>
          <w:b/>
          <w:bCs/>
          <w:rtl/>
        </w:rPr>
        <w:t>עד</w:t>
      </w:r>
      <w:r w:rsidRPr="00B97E44">
        <w:rPr>
          <w:b/>
          <w:bCs/>
          <w:rtl/>
        </w:rPr>
        <w:t xml:space="preserve"> </w:t>
      </w:r>
      <w:r w:rsidRPr="00B97E44">
        <w:rPr>
          <w:rFonts w:hint="eastAsia"/>
          <w:b/>
          <w:bCs/>
          <w:rtl/>
        </w:rPr>
        <w:t>אפריל</w:t>
      </w:r>
      <w:r w:rsidRPr="00B97E44">
        <w:rPr>
          <w:b/>
          <w:bCs/>
          <w:rtl/>
        </w:rPr>
        <w:t xml:space="preserve"> 2026</w:t>
      </w:r>
      <w:r w:rsidRPr="00B97E44">
        <w:rPr>
          <w:rFonts w:hint="cs"/>
          <w:b/>
          <w:bCs/>
          <w:rtl/>
        </w:rPr>
        <w:t>, המועד המאוחר האפשרי לפרסום הדוח הבא, עלולה להימנע מהציבור היכולת לעקוב אחר פעילותה של מינהלת תקומה</w:t>
      </w:r>
      <w:r w:rsidRPr="00B97E44">
        <w:rPr>
          <w:b/>
          <w:bCs/>
          <w:rtl/>
        </w:rPr>
        <w:t>.</w:t>
      </w:r>
    </w:p>
    <w:p w:rsidR="005B126E" w:rsidP="001916A9">
      <w:pPr>
        <w:spacing w:line="269" w:lineRule="auto"/>
        <w:rPr>
          <w:b/>
          <w:bCs/>
          <w:rtl/>
        </w:rPr>
      </w:pPr>
    </w:p>
    <w:p w:rsidR="005B126E" w:rsidP="001916A9">
      <w:pPr>
        <w:spacing w:line="269" w:lineRule="auto"/>
        <w:rPr>
          <w:b/>
          <w:bCs/>
          <w:rtl/>
        </w:rPr>
      </w:pPr>
      <w:r w:rsidRPr="00B97E44">
        <w:rPr>
          <w:b/>
          <w:bCs/>
          <w:rtl/>
        </w:rPr>
        <w:t xml:space="preserve">בדוח הביצוע הראשון שפרסמה </w:t>
      </w:r>
      <w:r w:rsidRPr="00B97E44">
        <w:rPr>
          <w:b/>
          <w:bCs/>
          <w:rtl/>
        </w:rPr>
        <w:t>המ</w:t>
      </w:r>
      <w:r w:rsidRPr="00B97E44">
        <w:rPr>
          <w:rFonts w:hint="cs"/>
          <w:b/>
          <w:bCs/>
          <w:rtl/>
        </w:rPr>
        <w:t>י</w:t>
      </w:r>
      <w:r w:rsidRPr="00B97E44">
        <w:rPr>
          <w:b/>
          <w:bCs/>
          <w:rtl/>
        </w:rPr>
        <w:t>נהלת</w:t>
      </w:r>
      <w:r w:rsidRPr="00B97E44">
        <w:rPr>
          <w:b/>
          <w:bCs/>
          <w:rtl/>
        </w:rPr>
        <w:t xml:space="preserve">, </w:t>
      </w:r>
      <w:r w:rsidRPr="00B97E44">
        <w:rPr>
          <w:rFonts w:hint="cs"/>
          <w:b/>
          <w:bCs/>
          <w:rtl/>
        </w:rPr>
        <w:t xml:space="preserve">שפירט את </w:t>
      </w:r>
      <w:r w:rsidRPr="00B97E44">
        <w:rPr>
          <w:b/>
          <w:bCs/>
          <w:rtl/>
        </w:rPr>
        <w:t>מצב הביצוע נכון ל-1 באוקטובר 202</w:t>
      </w:r>
      <w:r w:rsidRPr="00B97E44">
        <w:rPr>
          <w:rFonts w:hint="cs"/>
          <w:b/>
          <w:bCs/>
          <w:rtl/>
        </w:rPr>
        <w:t>4</w:t>
      </w:r>
      <w:r w:rsidRPr="00B97E44">
        <w:rPr>
          <w:b/>
          <w:bCs/>
          <w:rtl/>
        </w:rPr>
        <w:t xml:space="preserve">, אומנם נכללו נתונים </w:t>
      </w:r>
      <w:r w:rsidRPr="00B97E44">
        <w:rPr>
          <w:rFonts w:hint="cs"/>
          <w:b/>
          <w:bCs/>
          <w:rtl/>
        </w:rPr>
        <w:t>על</w:t>
      </w:r>
      <w:r w:rsidRPr="00B97E44">
        <w:rPr>
          <w:b/>
          <w:bCs/>
          <w:rtl/>
        </w:rPr>
        <w:t xml:space="preserve"> </w:t>
      </w:r>
      <w:r w:rsidRPr="00B97E44">
        <w:rPr>
          <w:rFonts w:hint="cs"/>
          <w:b/>
          <w:bCs/>
          <w:rtl/>
        </w:rPr>
        <w:t xml:space="preserve">שיעור </w:t>
      </w:r>
      <w:r w:rsidRPr="00B97E44">
        <w:rPr>
          <w:b/>
          <w:bCs/>
          <w:rtl/>
        </w:rPr>
        <w:t xml:space="preserve">הרשאות </w:t>
      </w:r>
      <w:r w:rsidRPr="00B97E44">
        <w:rPr>
          <w:rFonts w:hint="cs"/>
          <w:b/>
          <w:bCs/>
          <w:rtl/>
        </w:rPr>
        <w:t>להתחייב מהתקציב</w:t>
      </w:r>
      <w:r w:rsidRPr="00B97E44">
        <w:rPr>
          <w:b/>
          <w:bCs/>
          <w:rtl/>
        </w:rPr>
        <w:t xml:space="preserve">, </w:t>
      </w:r>
      <w:r w:rsidRPr="00B97E44">
        <w:rPr>
          <w:rFonts w:hint="cs"/>
          <w:b/>
          <w:bCs/>
          <w:rtl/>
        </w:rPr>
        <w:t>אך לא</w:t>
      </w:r>
      <w:r w:rsidRPr="00B97E44">
        <w:rPr>
          <w:b/>
          <w:bCs/>
          <w:rtl/>
        </w:rPr>
        <w:t xml:space="preserve"> סופק מידע מפורט לגבי סכומים שהועברו בפועל לגופים </w:t>
      </w:r>
      <w:r w:rsidRPr="005C1BD3">
        <w:rPr>
          <w:b/>
          <w:bCs/>
          <w:rtl/>
        </w:rPr>
        <w:t>המבצ</w:t>
      </w:r>
      <w:r w:rsidRPr="005C1BD3">
        <w:rPr>
          <w:rFonts w:hint="cs"/>
          <w:b/>
          <w:bCs/>
          <w:rtl/>
        </w:rPr>
        <w:t>עים</w:t>
      </w:r>
      <w:r>
        <w:rPr>
          <w:rFonts w:hint="cs"/>
          <w:b/>
          <w:bCs/>
          <w:rtl/>
        </w:rPr>
        <w:t>.</w:t>
      </w:r>
      <w:r w:rsidRPr="005C1BD3">
        <w:rPr>
          <w:rFonts w:hint="cs"/>
          <w:b/>
          <w:bCs/>
          <w:rtl/>
        </w:rPr>
        <w:t xml:space="preserve"> </w:t>
      </w:r>
      <w:r w:rsidRPr="005C1BD3">
        <w:rPr>
          <w:rFonts w:hint="eastAsia"/>
          <w:b/>
          <w:bCs/>
          <w:rtl/>
        </w:rPr>
        <w:t>כמו</w:t>
      </w:r>
      <w:r w:rsidRPr="005C1BD3">
        <w:rPr>
          <w:b/>
          <w:bCs/>
          <w:rtl/>
        </w:rPr>
        <w:t xml:space="preserve"> </w:t>
      </w:r>
      <w:r w:rsidRPr="005C1BD3">
        <w:rPr>
          <w:rFonts w:hint="eastAsia"/>
          <w:b/>
          <w:bCs/>
          <w:rtl/>
        </w:rPr>
        <w:t>כן</w:t>
      </w:r>
      <w:r w:rsidRPr="005C1BD3">
        <w:rPr>
          <w:rFonts w:hint="cs"/>
          <w:b/>
          <w:bCs/>
          <w:rtl/>
        </w:rPr>
        <w:t>, בפרסום</w:t>
      </w:r>
      <w:r w:rsidRPr="00B97E44">
        <w:rPr>
          <w:rFonts w:hint="cs"/>
          <w:b/>
          <w:bCs/>
          <w:rtl/>
        </w:rPr>
        <w:t xml:space="preserve"> תוכנית החומש המעודכנת באוקטובר 2025 לציבור נעדרו נתונים כספיים ביחס לתקציב שהוקצה לכל </w:t>
      </w:r>
      <w:r>
        <w:rPr>
          <w:rFonts w:hint="cs"/>
          <w:b/>
          <w:bCs/>
          <w:rtl/>
        </w:rPr>
        <w:t>כלי פעולה</w:t>
      </w:r>
      <w:r w:rsidRPr="00B97E44">
        <w:rPr>
          <w:rFonts w:hint="cs"/>
          <w:b/>
          <w:bCs/>
          <w:rtl/>
        </w:rPr>
        <w:t xml:space="preserve">, שלא כמו הפרסום המפורט של תוכנית החומש המקורית. </w:t>
      </w:r>
    </w:p>
    <w:p w:rsidR="005B126E" w:rsidRPr="00B97E44" w:rsidP="001916A9">
      <w:pPr>
        <w:spacing w:line="269" w:lineRule="auto"/>
        <w:rPr>
          <w:b/>
          <w:bCs/>
          <w:rtl/>
        </w:rPr>
      </w:pPr>
    </w:p>
    <w:p w:rsidR="005B126E" w:rsidRPr="00B97E44" w:rsidP="001916A9">
      <w:pPr>
        <w:spacing w:line="269" w:lineRule="auto"/>
        <w:rPr>
          <w:b/>
          <w:bCs/>
          <w:rtl/>
        </w:rPr>
      </w:pPr>
      <w:r w:rsidRPr="00B97E44">
        <w:rPr>
          <w:b/>
          <w:bCs/>
          <w:rtl/>
        </w:rPr>
        <w:t>בהיעדר נתונים אלה, קיים קושי ממשי להעריך אם התקציבים אכן מומשו במלואם, אם הופנו לייעודיהם המקוריים ומהו קצב ההתקדמות של יישום התוכנית בשטח. מצב זה עלול לפגוע באמון הציבור</w:t>
      </w:r>
      <w:r w:rsidRPr="00B97E44">
        <w:rPr>
          <w:rFonts w:hint="cs"/>
          <w:b/>
          <w:bCs/>
          <w:rtl/>
        </w:rPr>
        <w:t xml:space="preserve"> ו</w:t>
      </w:r>
      <w:r w:rsidRPr="00B97E44">
        <w:rPr>
          <w:b/>
          <w:bCs/>
          <w:rtl/>
        </w:rPr>
        <w:t>ביכולת הפיקוח</w:t>
      </w:r>
      <w:r w:rsidRPr="00B97E44">
        <w:rPr>
          <w:rFonts w:hint="cs"/>
          <w:b/>
          <w:bCs/>
          <w:rtl/>
        </w:rPr>
        <w:t xml:space="preserve"> והבקרה על הליך השיקום.</w:t>
      </w:r>
    </w:p>
    <w:p w:rsidR="005B126E" w:rsidP="001916A9">
      <w:pPr>
        <w:spacing w:line="269" w:lineRule="auto"/>
        <w:rPr>
          <w:b/>
          <w:bCs/>
          <w:rtl/>
        </w:rPr>
      </w:pPr>
    </w:p>
    <w:p w:rsidR="005B126E" w:rsidP="001916A9">
      <w:pPr>
        <w:spacing w:line="269" w:lineRule="auto"/>
        <w:rPr>
          <w:b/>
          <w:bCs/>
          <w:rtl/>
        </w:rPr>
      </w:pPr>
      <w:r w:rsidRPr="00B97E44">
        <w:rPr>
          <w:b/>
          <w:bCs/>
          <w:rtl/>
        </w:rPr>
        <w:t xml:space="preserve">משרד מבקר המדינה ממליץ </w:t>
      </w:r>
      <w:r w:rsidRPr="00B97E44">
        <w:rPr>
          <w:rFonts w:hint="cs"/>
          <w:b/>
          <w:bCs/>
          <w:rtl/>
        </w:rPr>
        <w:t>ל</w:t>
      </w:r>
      <w:r w:rsidRPr="00B97E44">
        <w:rPr>
          <w:b/>
          <w:bCs/>
          <w:rtl/>
        </w:rPr>
        <w:t>מינהלת</w:t>
      </w:r>
      <w:r w:rsidRPr="00B97E44">
        <w:rPr>
          <w:b/>
          <w:bCs/>
          <w:rtl/>
        </w:rPr>
        <w:t xml:space="preserve"> תקומה </w:t>
      </w:r>
      <w:r w:rsidRPr="00B97E44">
        <w:rPr>
          <w:rFonts w:hint="cs"/>
          <w:b/>
          <w:bCs/>
          <w:rtl/>
        </w:rPr>
        <w:t>להקפיד</w:t>
      </w:r>
      <w:r w:rsidRPr="00B97E44">
        <w:rPr>
          <w:b/>
          <w:bCs/>
          <w:rtl/>
        </w:rPr>
        <w:t xml:space="preserve"> לשלב בדוחות הביצוע </w:t>
      </w:r>
      <w:r w:rsidRPr="00B97E44">
        <w:rPr>
          <w:rFonts w:hint="cs"/>
          <w:b/>
          <w:bCs/>
          <w:rtl/>
        </w:rPr>
        <w:t xml:space="preserve">שיפורסמו לציבור </w:t>
      </w:r>
      <w:r w:rsidRPr="00B97E44">
        <w:rPr>
          <w:b/>
          <w:bCs/>
          <w:rtl/>
        </w:rPr>
        <w:t xml:space="preserve">מידע מלא, מהימן ונגיש על מימוש התקציב בפועל, לרבות פירוט הסכומים שהועברו לגופים המבצעים, בהבחנה מהרשאות </w:t>
      </w:r>
      <w:r w:rsidRPr="00B97E44">
        <w:rPr>
          <w:rFonts w:hint="cs"/>
          <w:b/>
          <w:bCs/>
          <w:rtl/>
        </w:rPr>
        <w:t>לה</w:t>
      </w:r>
      <w:r w:rsidRPr="00B97E44">
        <w:rPr>
          <w:b/>
          <w:bCs/>
          <w:rtl/>
        </w:rPr>
        <w:t>תחיי</w:t>
      </w:r>
      <w:r w:rsidRPr="00B97E44">
        <w:rPr>
          <w:rFonts w:hint="cs"/>
          <w:b/>
          <w:bCs/>
          <w:rtl/>
        </w:rPr>
        <w:t>ב</w:t>
      </w:r>
      <w:r w:rsidRPr="00B97E44">
        <w:rPr>
          <w:b/>
          <w:bCs/>
          <w:rtl/>
        </w:rPr>
        <w:t>. צעד זה יתרום להגברת השקיפות, יאפשר בקרה אפקטיבית על יישום התקציב ויחזק את אמון הציבור בתהליך השיקום של יישובי חבל התקומה.</w:t>
      </w:r>
    </w:p>
    <w:p w:rsidR="005B126E" w:rsidP="001916A9">
      <w:pPr>
        <w:spacing w:line="269" w:lineRule="auto"/>
        <w:rPr>
          <w:rtl/>
        </w:rPr>
      </w:pPr>
    </w:p>
    <w:p w:rsidR="005B126E" w:rsidP="001916A9">
      <w:pPr>
        <w:spacing w:line="269" w:lineRule="auto"/>
        <w:rPr>
          <w:rtl/>
        </w:rPr>
      </w:pPr>
      <w:r w:rsidRPr="00B97E44">
        <w:rPr>
          <w:rFonts w:hint="cs"/>
          <w:rtl/>
        </w:rPr>
        <w:t xml:space="preserve">בתשובת </w:t>
      </w:r>
      <w:r w:rsidRPr="00B97E44">
        <w:rPr>
          <w:rFonts w:hint="cs"/>
          <w:rtl/>
        </w:rPr>
        <w:t>המינ</w:t>
      </w:r>
      <w:r w:rsidRPr="00B97E44">
        <w:rPr>
          <w:rtl/>
        </w:rPr>
        <w:t>הלת</w:t>
      </w:r>
      <w:r w:rsidRPr="00B97E44">
        <w:rPr>
          <w:rtl/>
        </w:rPr>
        <w:t xml:space="preserve"> </w:t>
      </w:r>
      <w:r w:rsidRPr="00B97E44">
        <w:rPr>
          <w:rFonts w:hint="cs"/>
          <w:rtl/>
        </w:rPr>
        <w:t xml:space="preserve">נכתב </w:t>
      </w:r>
      <w:r w:rsidRPr="00B97E44">
        <w:rPr>
          <w:rtl/>
        </w:rPr>
        <w:t>כי היא פועלת בהתאם לחוק התקומה</w:t>
      </w:r>
      <w:r w:rsidRPr="00B97E44">
        <w:rPr>
          <w:rFonts w:hint="cs"/>
          <w:rtl/>
        </w:rPr>
        <w:t xml:space="preserve"> וכי היא</w:t>
      </w:r>
      <w:r w:rsidRPr="00B97E44">
        <w:rPr>
          <w:rtl/>
        </w:rPr>
        <w:t xml:space="preserve"> תדווח </w:t>
      </w:r>
      <w:r w:rsidRPr="00B97E44">
        <w:rPr>
          <w:rFonts w:hint="cs"/>
          <w:rtl/>
        </w:rPr>
        <w:t>בכל</w:t>
      </w:r>
      <w:r w:rsidRPr="00B97E44">
        <w:rPr>
          <w:rtl/>
        </w:rPr>
        <w:t xml:space="preserve"> שנה ב</w:t>
      </w:r>
      <w:r w:rsidRPr="00B97E44">
        <w:rPr>
          <w:rFonts w:hint="cs"/>
          <w:rtl/>
        </w:rPr>
        <w:t>-1 ב</w:t>
      </w:r>
      <w:r w:rsidRPr="00B97E44">
        <w:rPr>
          <w:rtl/>
        </w:rPr>
        <w:t>אפריל</w:t>
      </w:r>
      <w:r w:rsidRPr="00B97E44">
        <w:rPr>
          <w:rFonts w:hint="cs"/>
          <w:rtl/>
        </w:rPr>
        <w:t xml:space="preserve"> על פעילותה</w:t>
      </w:r>
      <w:r w:rsidRPr="00B97E44">
        <w:rPr>
          <w:rtl/>
        </w:rPr>
        <w:t xml:space="preserve"> ו</w:t>
      </w:r>
      <w:r w:rsidRPr="00B97E44">
        <w:rPr>
          <w:rFonts w:hint="cs"/>
          <w:rtl/>
        </w:rPr>
        <w:t>תפעל</w:t>
      </w:r>
      <w:r w:rsidRPr="00B97E44">
        <w:rPr>
          <w:rtl/>
        </w:rPr>
        <w:t xml:space="preserve"> </w:t>
      </w:r>
      <w:r w:rsidRPr="00B97E44">
        <w:rPr>
          <w:rFonts w:hint="cs"/>
          <w:rtl/>
        </w:rPr>
        <w:t>ב</w:t>
      </w:r>
      <w:r w:rsidRPr="00B97E44">
        <w:rPr>
          <w:rtl/>
        </w:rPr>
        <w:t xml:space="preserve">שקיפות מלאה </w:t>
      </w:r>
      <w:r w:rsidRPr="00B97E44">
        <w:rPr>
          <w:rFonts w:hint="cs"/>
          <w:rtl/>
        </w:rPr>
        <w:t>בפני</w:t>
      </w:r>
      <w:r w:rsidRPr="00B97E44">
        <w:rPr>
          <w:rtl/>
        </w:rPr>
        <w:t xml:space="preserve"> הציבור</w:t>
      </w:r>
      <w:r w:rsidRPr="00B97E44">
        <w:rPr>
          <w:rFonts w:hint="cs"/>
          <w:rtl/>
        </w:rPr>
        <w:t xml:space="preserve"> כדי לזכות באמונו</w:t>
      </w:r>
      <w:r w:rsidRPr="00B97E44">
        <w:rPr>
          <w:rtl/>
        </w:rPr>
        <w:t>.</w:t>
      </w:r>
    </w:p>
    <w:p w:rsidR="005B126E" w:rsidRPr="00B97E44" w:rsidP="001916A9">
      <w:pPr>
        <w:spacing w:line="269" w:lineRule="auto"/>
        <w:rPr>
          <w:rtl/>
        </w:rPr>
      </w:pPr>
    </w:p>
    <w:p w:rsidR="005B126E" w:rsidP="008302B0">
      <w:pPr>
        <w:pStyle w:val="Heading2"/>
        <w:spacing w:before="240" w:line="269" w:lineRule="auto"/>
        <w:rPr>
          <w:rtl/>
        </w:rPr>
      </w:pPr>
      <w:bookmarkStart w:id="61" w:name="_Hlk205970235"/>
      <w:r w:rsidRPr="00B97E44">
        <w:rPr>
          <w:rFonts w:hint="cs"/>
          <w:rtl/>
        </w:rPr>
        <w:t>השפעת הליכי הפיתוח בחבל התקומה על הרשויות הסמוכות</w:t>
      </w:r>
    </w:p>
    <w:p w:rsidR="005B126E" w:rsidRPr="00B97E44" w:rsidP="001916A9">
      <w:pPr>
        <w:spacing w:line="269" w:lineRule="auto"/>
        <w:rPr>
          <w:rtl/>
        </w:rPr>
      </w:pPr>
    </w:p>
    <w:bookmarkEnd w:id="61"/>
    <w:p w:rsidR="005B126E" w:rsidRPr="00160BFC" w:rsidP="0018262A">
      <w:pPr>
        <w:pStyle w:val="Heading3"/>
        <w:rPr>
          <w:rtl/>
        </w:rPr>
      </w:pPr>
      <w:r w:rsidRPr="00160BFC">
        <w:rPr>
          <w:rFonts w:hint="cs"/>
          <w:rtl/>
        </w:rPr>
        <w:t>הפגיעה ביישובים וברשויות הסמוכות</w:t>
      </w:r>
    </w:p>
    <w:p w:rsidR="005B126E" w:rsidP="001916A9">
      <w:pPr>
        <w:spacing w:line="269" w:lineRule="auto"/>
        <w:rPr>
          <w:rtl/>
        </w:rPr>
      </w:pPr>
    </w:p>
    <w:p w:rsidR="005B126E" w:rsidRPr="00B97E44" w:rsidP="001916A9">
      <w:pPr>
        <w:spacing w:line="269" w:lineRule="auto"/>
        <w:rPr>
          <w:rtl/>
        </w:rPr>
      </w:pPr>
      <w:r w:rsidRPr="00B97E44">
        <w:rPr>
          <w:rFonts w:hint="cs"/>
          <w:rtl/>
        </w:rPr>
        <w:t>חבל התקומה הוא אזור גיאוגרפי צר במרחב של עד 7 ק"מ מגדר הגבול עם רצועת עזה, שטחו עומד על 465 קמ"ר והוא מאכלס כ-6</w:t>
      </w:r>
      <w:r>
        <w:rPr>
          <w:rFonts w:hint="cs"/>
          <w:rtl/>
        </w:rPr>
        <w:t>4</w:t>
      </w:r>
      <w:r w:rsidRPr="00B97E44">
        <w:rPr>
          <w:rFonts w:hint="cs"/>
          <w:rtl/>
        </w:rPr>
        <w:t xml:space="preserve">,000 תושבים, </w:t>
      </w:r>
      <w:r>
        <w:rPr>
          <w:rFonts w:hint="cs"/>
          <w:rtl/>
        </w:rPr>
        <w:t xml:space="preserve">ב-47 יישובים - </w:t>
      </w:r>
      <w:r w:rsidRPr="00B97E44">
        <w:rPr>
          <w:rFonts w:hint="cs"/>
          <w:rtl/>
        </w:rPr>
        <w:t>כמחצית</w:t>
      </w:r>
      <w:r>
        <w:rPr>
          <w:rFonts w:hint="cs"/>
          <w:rtl/>
        </w:rPr>
        <w:t xml:space="preserve"> מהתושבי</w:t>
      </w:r>
      <w:r w:rsidRPr="00B97E44">
        <w:rPr>
          <w:rFonts w:hint="cs"/>
          <w:rtl/>
        </w:rPr>
        <w:t xml:space="preserve">ם בעיר </w:t>
      </w:r>
      <w:r w:rsidRPr="00B97E44">
        <w:rPr>
          <w:rFonts w:hint="cs"/>
          <w:b/>
          <w:bCs/>
          <w:rtl/>
        </w:rPr>
        <w:t>שדרות</w:t>
      </w:r>
      <w:r w:rsidRPr="00B97E44">
        <w:rPr>
          <w:rFonts w:hint="cs"/>
          <w:rtl/>
        </w:rPr>
        <w:t xml:space="preserve"> וכמחצית ב-46 יישובים כפריים, בעיקרם קיבוצים במועצות אזוריות - </w:t>
      </w:r>
      <w:r w:rsidRPr="00B97E44">
        <w:rPr>
          <w:rFonts w:hint="cs"/>
          <w:b/>
          <w:bCs/>
          <w:rtl/>
        </w:rPr>
        <w:t>אשכול</w:t>
      </w:r>
      <w:r w:rsidRPr="00B97E44">
        <w:rPr>
          <w:rFonts w:hint="cs"/>
          <w:rtl/>
        </w:rPr>
        <w:t xml:space="preserve">, </w:t>
      </w:r>
      <w:r w:rsidRPr="00B97E44">
        <w:rPr>
          <w:rFonts w:hint="cs"/>
          <w:b/>
          <w:bCs/>
          <w:rtl/>
        </w:rPr>
        <w:t>חוף אשקלון</w:t>
      </w:r>
      <w:r w:rsidRPr="00B97E44">
        <w:rPr>
          <w:rFonts w:hint="cs"/>
          <w:rtl/>
        </w:rPr>
        <w:t xml:space="preserve">, </w:t>
      </w:r>
      <w:r w:rsidRPr="00B97E44">
        <w:rPr>
          <w:rFonts w:hint="cs"/>
          <w:b/>
          <w:bCs/>
          <w:rtl/>
        </w:rPr>
        <w:t>שדות נגב</w:t>
      </w:r>
      <w:r w:rsidRPr="00B97E44">
        <w:rPr>
          <w:rFonts w:hint="cs"/>
          <w:rtl/>
        </w:rPr>
        <w:t xml:space="preserve"> ו</w:t>
      </w:r>
      <w:r w:rsidRPr="00B97E44">
        <w:rPr>
          <w:rFonts w:hint="cs"/>
          <w:b/>
          <w:bCs/>
          <w:rtl/>
        </w:rPr>
        <w:t>שער הנגב</w:t>
      </w:r>
      <w:r w:rsidRPr="00B97E44">
        <w:rPr>
          <w:rFonts w:hint="cs"/>
          <w:rtl/>
        </w:rPr>
        <w:t xml:space="preserve">. שטחן של ארבע המועצות האזוריות נפרס גם מעבר לטווח 7 הק"מ האמורים וכולל 35 יישובים כפריים נוספים. </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כפי שהוצג לעיל, השפעתה הקשה של מתקפת הטרור בשבעה באוקטובר הייתה נרחבת ולא פסחה על יישובים נוספים במועצות האזוריות </w:t>
      </w:r>
      <w:r w:rsidRPr="00B97E44">
        <w:rPr>
          <w:rFonts w:hint="cs"/>
          <w:b/>
          <w:bCs/>
          <w:rtl/>
        </w:rPr>
        <w:t>אשכול</w:t>
      </w:r>
      <w:r w:rsidRPr="00B97E44">
        <w:rPr>
          <w:rtl/>
        </w:rPr>
        <w:t>,</w:t>
      </w:r>
      <w:r w:rsidRPr="00B97E44">
        <w:rPr>
          <w:rFonts w:hint="cs"/>
          <w:b/>
          <w:bCs/>
          <w:rtl/>
        </w:rPr>
        <w:t xml:space="preserve"> חוף אשקלון</w:t>
      </w:r>
      <w:r w:rsidRPr="00B97E44">
        <w:rPr>
          <w:rtl/>
        </w:rPr>
        <w:t>,</w:t>
      </w:r>
      <w:r w:rsidRPr="00B97E44">
        <w:rPr>
          <w:rFonts w:hint="cs"/>
          <w:b/>
          <w:bCs/>
          <w:rtl/>
        </w:rPr>
        <w:t xml:space="preserve"> שדות נגב </w:t>
      </w:r>
      <w:r w:rsidRPr="00B97E44">
        <w:rPr>
          <w:rFonts w:hint="eastAsia"/>
          <w:rtl/>
        </w:rPr>
        <w:t>ו</w:t>
      </w:r>
      <w:r w:rsidRPr="00B97E44">
        <w:rPr>
          <w:rFonts w:hint="cs"/>
          <w:b/>
          <w:bCs/>
          <w:rtl/>
        </w:rPr>
        <w:t>שער הנגב</w:t>
      </w:r>
      <w:r w:rsidRPr="00B97E44">
        <w:rPr>
          <w:rFonts w:hint="cs"/>
          <w:rtl/>
        </w:rPr>
        <w:t xml:space="preserve"> שאינם נכללים בגבולות חבל התקומה אך סבלו פגיעות ב</w:t>
      </w:r>
      <w:r>
        <w:rPr>
          <w:rFonts w:hint="cs"/>
          <w:rtl/>
        </w:rPr>
        <w:t>מתקפת</w:t>
      </w:r>
      <w:r w:rsidRPr="00B97E44">
        <w:rPr>
          <w:rFonts w:hint="cs"/>
          <w:rtl/>
        </w:rPr>
        <w:t xml:space="preserve"> שבעה באוקטובר. יישובי המועצות האזוריות, הן אלה שבתחומי החבל והן אלה שלא, שותפים לקהילת המועצה וחולקים במקרים רבים מוסדות חינוך ומרכזי קהילה ותרבות. גם על יישובים במועצה האזורית </w:t>
      </w:r>
      <w:r w:rsidRPr="00B97E44">
        <w:rPr>
          <w:rFonts w:hint="eastAsia"/>
          <w:b/>
          <w:bCs/>
          <w:rtl/>
        </w:rPr>
        <w:t>מרחבים</w:t>
      </w:r>
      <w:r w:rsidRPr="00B97E44">
        <w:rPr>
          <w:rFonts w:hint="cs"/>
          <w:rtl/>
        </w:rPr>
        <w:t xml:space="preserve"> ועל הערים </w:t>
      </w:r>
      <w:r w:rsidRPr="00B97E44">
        <w:rPr>
          <w:b/>
          <w:bCs/>
          <w:rtl/>
        </w:rPr>
        <w:t>אופקים</w:t>
      </w:r>
      <w:r w:rsidRPr="00B97E44">
        <w:rPr>
          <w:rtl/>
        </w:rPr>
        <w:t>,</w:t>
      </w:r>
      <w:r w:rsidRPr="00B97E44">
        <w:rPr>
          <w:rFonts w:hint="cs"/>
          <w:rtl/>
        </w:rPr>
        <w:t xml:space="preserve"> </w:t>
      </w:r>
      <w:r w:rsidRPr="00B97E44">
        <w:rPr>
          <w:rFonts w:hint="eastAsia"/>
          <w:b/>
          <w:bCs/>
          <w:rtl/>
        </w:rPr>
        <w:t>אשקלון</w:t>
      </w:r>
      <w:r w:rsidRPr="00B97E44">
        <w:rPr>
          <w:rFonts w:hint="cs"/>
          <w:b/>
          <w:bCs/>
          <w:rtl/>
        </w:rPr>
        <w:t xml:space="preserve"> </w:t>
      </w:r>
      <w:r w:rsidRPr="00B97E44">
        <w:rPr>
          <w:rFonts w:hint="eastAsia"/>
          <w:rtl/>
        </w:rPr>
        <w:t>ו</w:t>
      </w:r>
      <w:r w:rsidRPr="00B97E44">
        <w:rPr>
          <w:b/>
          <w:bCs/>
          <w:rtl/>
        </w:rPr>
        <w:t>נתיבות</w:t>
      </w:r>
      <w:r w:rsidRPr="00B97E44">
        <w:rPr>
          <w:rFonts w:hint="cs"/>
          <w:b/>
          <w:bCs/>
          <w:rtl/>
        </w:rPr>
        <w:t>,</w:t>
      </w:r>
      <w:r w:rsidRPr="00B97E44">
        <w:rPr>
          <w:b/>
          <w:bCs/>
          <w:rtl/>
        </w:rPr>
        <w:t xml:space="preserve"> </w:t>
      </w:r>
      <w:r w:rsidRPr="00B97E44">
        <w:rPr>
          <w:rFonts w:hint="cs"/>
          <w:rtl/>
        </w:rPr>
        <w:t xml:space="preserve">המקיפות את חבל התקומה, לא פסחה ההשפעה הקשה ואף מקרבן היו שנפגעו בגופם, בנפשם וברכושם. מעגלי ההשפעה הרחבים של המתקפה הובילו לפגיעה באוכלוסיות שונות ברמות ובהיקפים שונים והן סבלו מהיעדר תחושת ביטחון ומפגיעה כלכלית ותפקודית בשגרת החיים. </w:t>
      </w:r>
    </w:p>
    <w:p w:rsidR="005B126E" w:rsidP="001916A9">
      <w:pPr>
        <w:spacing w:line="269" w:lineRule="auto"/>
        <w:rPr>
          <w:rtl/>
        </w:rPr>
      </w:pPr>
    </w:p>
    <w:p w:rsidR="005B126E" w:rsidRPr="00B97E44" w:rsidP="001916A9">
      <w:pPr>
        <w:spacing w:line="269" w:lineRule="auto"/>
        <w:rPr>
          <w:b/>
          <w:bCs/>
          <w:rtl/>
        </w:rPr>
      </w:pPr>
      <w:r w:rsidRPr="00B97E44">
        <w:rPr>
          <w:rFonts w:hint="cs"/>
          <w:rtl/>
        </w:rPr>
        <w:t xml:space="preserve">בהחלטת ממשלה 980, שהקימה את מינהלת תקומה 12 יום לאחר </w:t>
      </w:r>
      <w:r>
        <w:rPr>
          <w:rFonts w:hint="cs"/>
          <w:rtl/>
        </w:rPr>
        <w:t>מתקפת הטרור</w:t>
      </w:r>
      <w:r w:rsidRPr="00B97E44">
        <w:rPr>
          <w:rFonts w:hint="cs"/>
          <w:rtl/>
        </w:rPr>
        <w:t xml:space="preserve"> </w:t>
      </w:r>
      <w:r>
        <w:rPr>
          <w:rFonts w:hint="cs"/>
          <w:rtl/>
        </w:rPr>
        <w:t>ב</w:t>
      </w:r>
      <w:r w:rsidRPr="00B97E44">
        <w:rPr>
          <w:rFonts w:hint="cs"/>
          <w:rtl/>
        </w:rPr>
        <w:t>שבעה באוקטובר, הוחלט כי גבולות חבל התקומה הם כפי שהוגדרו בהחלטת הממשלה 462 מאפריל 2023 בעניין הפיתוח של חבל עוטף עזה. בעקבות כך התעורר שיח ציבורי בדבר גבולות החבל והפגיעה באזורים הסמוכים לו,</w:t>
      </w:r>
      <w:r w:rsidRPr="00B97E44">
        <w:rPr>
          <w:rFonts w:hint="cs"/>
          <w:b/>
          <w:bCs/>
          <w:rtl/>
        </w:rPr>
        <w:t xml:space="preserve"> </w:t>
      </w:r>
      <w:r w:rsidRPr="00B97E44">
        <w:rPr>
          <w:rFonts w:hint="cs"/>
          <w:rtl/>
        </w:rPr>
        <w:t xml:space="preserve">ובהחלטת ממשלה מאוחרת יותר מאוקטובר 2023 (1127) נקבע עוד כי </w:t>
      </w:r>
      <w:r w:rsidRPr="00B97E44">
        <w:rPr>
          <w:rFonts w:eastAsia="Times New Roman" w:hint="cs"/>
          <w:rtl/>
          <w:lang w:eastAsia="he-IL"/>
        </w:rPr>
        <w:t xml:space="preserve">על </w:t>
      </w:r>
      <w:r w:rsidRPr="00B97E44">
        <w:rPr>
          <w:rFonts w:eastAsia="Times New Roman"/>
          <w:rtl/>
          <w:lang w:eastAsia="he-IL"/>
        </w:rPr>
        <w:t>משרד ראש הממשלה, בשיתוף משרד האוצר ומשרד הביטחון</w:t>
      </w:r>
      <w:r w:rsidRPr="00B97E44">
        <w:rPr>
          <w:rFonts w:eastAsia="Times New Roman" w:hint="cs"/>
          <w:rtl/>
          <w:lang w:eastAsia="he-IL"/>
        </w:rPr>
        <w:t>, להשלים את</w:t>
      </w:r>
      <w:r w:rsidRPr="00B97E44">
        <w:rPr>
          <w:rFonts w:eastAsia="Times New Roman"/>
          <w:rtl/>
          <w:lang w:eastAsia="he-IL"/>
        </w:rPr>
        <w:t xml:space="preserve"> עבודת </w:t>
      </w:r>
      <w:r w:rsidRPr="00B97E44">
        <w:rPr>
          <w:rFonts w:eastAsia="Times New Roman" w:hint="cs"/>
          <w:rtl/>
          <w:lang w:eastAsia="he-IL"/>
        </w:rPr>
        <w:t>ה</w:t>
      </w:r>
      <w:r w:rsidRPr="00B97E44">
        <w:rPr>
          <w:rFonts w:eastAsia="Times New Roman"/>
          <w:rtl/>
          <w:lang w:eastAsia="he-IL"/>
        </w:rPr>
        <w:t xml:space="preserve">מטה </w:t>
      </w:r>
      <w:r w:rsidRPr="00B97E44">
        <w:rPr>
          <w:rFonts w:eastAsia="Times New Roman" w:hint="cs"/>
          <w:rtl/>
          <w:lang w:eastAsia="he-IL"/>
        </w:rPr>
        <w:t>ל</w:t>
      </w:r>
      <w:r w:rsidRPr="00B97E44">
        <w:rPr>
          <w:rFonts w:eastAsia="Times New Roman"/>
          <w:rtl/>
          <w:lang w:eastAsia="he-IL"/>
        </w:rPr>
        <w:t>בחי</w:t>
      </w:r>
      <w:r w:rsidRPr="00B97E44">
        <w:rPr>
          <w:rFonts w:eastAsia="Times New Roman" w:hint="cs"/>
          <w:rtl/>
          <w:lang w:eastAsia="he-IL"/>
        </w:rPr>
        <w:t>נה</w:t>
      </w:r>
      <w:r w:rsidRPr="00B97E44">
        <w:rPr>
          <w:rFonts w:eastAsia="Times New Roman"/>
          <w:rtl/>
          <w:lang w:eastAsia="he-IL"/>
        </w:rPr>
        <w:t xml:space="preserve"> של הגדרת חבל התקומה</w:t>
      </w:r>
      <w:r w:rsidRPr="00B97E44">
        <w:rPr>
          <w:rFonts w:eastAsia="Times New Roman" w:hint="cs"/>
          <w:rtl/>
          <w:lang w:eastAsia="he-IL"/>
        </w:rPr>
        <w:t>,</w:t>
      </w:r>
      <w:r w:rsidRPr="00B97E44">
        <w:rPr>
          <w:rFonts w:eastAsia="Times New Roman"/>
          <w:rtl/>
          <w:lang w:eastAsia="he-IL"/>
        </w:rPr>
        <w:t xml:space="preserve"> ש</w:t>
      </w:r>
      <w:r w:rsidRPr="00B97E44">
        <w:rPr>
          <w:rFonts w:eastAsia="Times New Roman" w:hint="cs"/>
          <w:rtl/>
          <w:lang w:eastAsia="he-IL"/>
        </w:rPr>
        <w:t xml:space="preserve">נקבעה </w:t>
      </w:r>
      <w:r w:rsidRPr="00B97E44">
        <w:rPr>
          <w:rFonts w:eastAsia="Times New Roman"/>
          <w:rtl/>
          <w:lang w:eastAsia="he-IL"/>
        </w:rPr>
        <w:t>בהחלט</w:t>
      </w:r>
      <w:r w:rsidRPr="00B97E44">
        <w:rPr>
          <w:rFonts w:eastAsia="Times New Roman" w:hint="cs"/>
          <w:rtl/>
          <w:lang w:eastAsia="he-IL"/>
        </w:rPr>
        <w:t>ה 980 של הממשלה,</w:t>
      </w:r>
      <w:r w:rsidRPr="00B97E44">
        <w:rPr>
          <w:rFonts w:eastAsia="Times New Roman"/>
          <w:rtl/>
          <w:lang w:eastAsia="he-IL"/>
        </w:rPr>
        <w:t xml:space="preserve"> ו</w:t>
      </w:r>
      <w:r w:rsidRPr="00B97E44">
        <w:rPr>
          <w:rFonts w:eastAsia="Times New Roman" w:hint="cs"/>
          <w:rtl/>
          <w:lang w:eastAsia="he-IL"/>
        </w:rPr>
        <w:t>לה</w:t>
      </w:r>
      <w:r w:rsidRPr="00B97E44">
        <w:rPr>
          <w:rFonts w:eastAsia="Times New Roman"/>
          <w:rtl/>
          <w:lang w:eastAsia="he-IL"/>
        </w:rPr>
        <w:t>ביאה לאישור הממשלה בתוך 60 יום</w:t>
      </w:r>
      <w:r w:rsidRPr="00B97E44">
        <w:rPr>
          <w:rFonts w:eastAsia="Times New Roman" w:hint="cs"/>
          <w:rtl/>
          <w:lang w:eastAsia="he-IL"/>
        </w:rPr>
        <w:t xml:space="preserve">, </w:t>
      </w:r>
      <w:r w:rsidRPr="00B97E44">
        <w:rPr>
          <w:rFonts w:eastAsia="Times New Roman"/>
          <w:rtl/>
          <w:lang w:eastAsia="he-IL"/>
        </w:rPr>
        <w:t xml:space="preserve">קרי עד </w:t>
      </w:r>
      <w:r w:rsidRPr="00B97E44">
        <w:rPr>
          <w:rFonts w:eastAsia="Times New Roman" w:hint="cs"/>
          <w:rtl/>
          <w:lang w:eastAsia="he-IL"/>
        </w:rPr>
        <w:t>10.2.24</w:t>
      </w:r>
      <w:r w:rsidRPr="00B97E44">
        <w:rPr>
          <w:rFonts w:eastAsia="Times New Roman"/>
          <w:rtl/>
          <w:lang w:eastAsia="he-IL"/>
        </w:rPr>
        <w:t>.</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העיכוב בביצוע עבודת המטה האמורה לבחינת הגדרת החבל, שהוצג בהרחבה גם בדוח הביניים, עורר שיח ציבורי בנושא. הוא עלה בדיונים רבים בכנסת וכן בעתירות לבג"ץ שהגישו עיריות </w:t>
      </w:r>
      <w:r w:rsidRPr="00B97E44">
        <w:rPr>
          <w:rFonts w:hint="cs"/>
          <w:b/>
          <w:bCs/>
          <w:rtl/>
        </w:rPr>
        <w:t>אופקים</w:t>
      </w:r>
      <w:r w:rsidRPr="00B97E44">
        <w:rPr>
          <w:rFonts w:hint="cs"/>
          <w:rtl/>
        </w:rPr>
        <w:t xml:space="preserve"> </w:t>
      </w:r>
      <w:r w:rsidRPr="00B97E44">
        <w:rPr>
          <w:rFonts w:hint="eastAsia"/>
          <w:rtl/>
        </w:rPr>
        <w:t>ו</w:t>
      </w:r>
      <w:r w:rsidRPr="00B97E44">
        <w:rPr>
          <w:rFonts w:hint="cs"/>
          <w:b/>
          <w:bCs/>
          <w:rtl/>
        </w:rPr>
        <w:t>נתיבות</w:t>
      </w:r>
      <w:r w:rsidRPr="00B97E44">
        <w:rPr>
          <w:rFonts w:ascii="David" w:hAnsi="David" w:hint="cs"/>
          <w:b/>
          <w:bCs/>
          <w:rtl/>
        </w:rPr>
        <w:t xml:space="preserve"> </w:t>
      </w:r>
      <w:r w:rsidRPr="00B97E44">
        <w:rPr>
          <w:rFonts w:hint="cs"/>
          <w:rtl/>
        </w:rPr>
        <w:t xml:space="preserve">ותושבים ויישובים מהמועצה האזורית </w:t>
      </w:r>
      <w:r w:rsidRPr="00B97E44">
        <w:rPr>
          <w:rFonts w:hint="cs"/>
          <w:b/>
          <w:bCs/>
          <w:rtl/>
        </w:rPr>
        <w:t>אשכול</w:t>
      </w:r>
      <w:r w:rsidRPr="00B97E44">
        <w:rPr>
          <w:rFonts w:ascii="David" w:hAnsi="David" w:hint="cs"/>
          <w:rtl/>
        </w:rPr>
        <w:t xml:space="preserve"> להכללתם בגבולות חבל התקומה. </w:t>
      </w:r>
      <w:r w:rsidRPr="00B97E44">
        <w:rPr>
          <w:rFonts w:hint="cs"/>
          <w:rtl/>
        </w:rPr>
        <w:t xml:space="preserve">המועצות האזוריות נתקלו גם הן בקשיים בהתמודדות עם הנושא. כך מפרוטוקול מליאת המועצה האזורית </w:t>
      </w:r>
      <w:r w:rsidRPr="00B97E44">
        <w:rPr>
          <w:rFonts w:hint="cs"/>
          <w:b/>
          <w:bCs/>
          <w:rtl/>
        </w:rPr>
        <w:t>אשכול</w:t>
      </w:r>
      <w:r w:rsidRPr="00B97E44">
        <w:rPr>
          <w:rFonts w:hint="cs"/>
          <w:rtl/>
        </w:rPr>
        <w:t xml:space="preserve"> מינואר 2024 עולה עד כמה חשוב למועצה לכלול את כל יישוביה תחת מינהלת תקומה. גם </w:t>
      </w:r>
      <w:r w:rsidRPr="00B97E44">
        <w:rPr>
          <w:rFonts w:ascii="David" w:hAnsi="David"/>
          <w:rtl/>
        </w:rPr>
        <w:t xml:space="preserve">המועצה האזורית </w:t>
      </w:r>
      <w:r w:rsidRPr="00B97E44">
        <w:rPr>
          <w:rFonts w:ascii="David" w:hAnsi="David"/>
          <w:b/>
          <w:bCs/>
          <w:rtl/>
        </w:rPr>
        <w:t>שדות נגב</w:t>
      </w:r>
      <w:r w:rsidRPr="00B97E44">
        <w:rPr>
          <w:rFonts w:ascii="David" w:hAnsi="David"/>
          <w:rtl/>
        </w:rPr>
        <w:t xml:space="preserve"> ציינה</w:t>
      </w:r>
      <w:r w:rsidRPr="00B97E44">
        <w:rPr>
          <w:rFonts w:ascii="David" w:hAnsi="David" w:hint="cs"/>
          <w:rtl/>
        </w:rPr>
        <w:t xml:space="preserve"> בפני צוות הביקורת</w:t>
      </w:r>
      <w:r w:rsidRPr="00B97E44">
        <w:rPr>
          <w:rFonts w:ascii="David" w:hAnsi="David"/>
          <w:rtl/>
        </w:rPr>
        <w:t xml:space="preserve"> </w:t>
      </w:r>
      <w:r w:rsidRPr="00B97E44">
        <w:rPr>
          <w:rFonts w:ascii="David" w:hAnsi="David" w:hint="cs"/>
          <w:rtl/>
        </w:rPr>
        <w:t xml:space="preserve">ביולי 2024 </w:t>
      </w:r>
      <w:r w:rsidRPr="00B97E44">
        <w:rPr>
          <w:rFonts w:ascii="David" w:hAnsi="David"/>
          <w:rtl/>
        </w:rPr>
        <w:t xml:space="preserve">כי </w:t>
      </w:r>
      <w:r w:rsidRPr="00B97E44">
        <w:rPr>
          <w:rFonts w:ascii="David" w:hAnsi="David" w:hint="cs"/>
          <w:rtl/>
        </w:rPr>
        <w:t>תוכנית החומש</w:t>
      </w:r>
      <w:r w:rsidRPr="00B97E44">
        <w:rPr>
          <w:rFonts w:ascii="David" w:hAnsi="David"/>
          <w:rtl/>
        </w:rPr>
        <w:t xml:space="preserve"> הנוכחית</w:t>
      </w:r>
      <w:r w:rsidRPr="00B97E44">
        <w:rPr>
          <w:rFonts w:ascii="David" w:hAnsi="David" w:hint="cs"/>
          <w:rtl/>
        </w:rPr>
        <w:t xml:space="preserve"> מרחיבה מאוד </w:t>
      </w:r>
      <w:r w:rsidRPr="00B97E44">
        <w:rPr>
          <w:rFonts w:ascii="David" w:hAnsi="David"/>
          <w:rtl/>
        </w:rPr>
        <w:t>את הפערים בין מחצית היישובים שבחבל התקומה</w:t>
      </w:r>
      <w:r w:rsidRPr="00B97E44">
        <w:rPr>
          <w:rFonts w:ascii="David" w:hAnsi="David" w:hint="cs"/>
          <w:rtl/>
        </w:rPr>
        <w:t xml:space="preserve"> </w:t>
      </w:r>
      <w:r w:rsidRPr="00B97E44">
        <w:rPr>
          <w:rFonts w:ascii="David" w:hAnsi="David"/>
          <w:rtl/>
        </w:rPr>
        <w:t xml:space="preserve">למחצית היישובים שאינם </w:t>
      </w:r>
      <w:r w:rsidRPr="00B97E44">
        <w:rPr>
          <w:rFonts w:ascii="David" w:hAnsi="David" w:hint="cs"/>
          <w:rtl/>
        </w:rPr>
        <w:t>בו אך סבלו גם הם מ</w:t>
      </w:r>
      <w:r>
        <w:rPr>
          <w:rFonts w:ascii="David" w:hAnsi="David" w:hint="cs"/>
          <w:rtl/>
        </w:rPr>
        <w:t>מתקפת הטרור</w:t>
      </w:r>
      <w:r w:rsidRPr="00B97E44">
        <w:rPr>
          <w:rFonts w:ascii="David" w:hAnsi="David" w:hint="cs"/>
          <w:rtl/>
        </w:rPr>
        <w:t xml:space="preserve"> </w:t>
      </w:r>
      <w:r>
        <w:rPr>
          <w:rFonts w:ascii="David" w:hAnsi="David" w:hint="cs"/>
          <w:rtl/>
        </w:rPr>
        <w:t>ב</w:t>
      </w:r>
      <w:r w:rsidRPr="00B97E44">
        <w:rPr>
          <w:rFonts w:ascii="David" w:hAnsi="David" w:hint="cs"/>
          <w:rtl/>
        </w:rPr>
        <w:t>שבעה באוקטובר</w:t>
      </w:r>
      <w:r w:rsidRPr="00B97E44">
        <w:rPr>
          <w:rFonts w:ascii="David" w:hAnsi="David"/>
          <w:rtl/>
        </w:rPr>
        <w:t xml:space="preserve">. המועצה </w:t>
      </w:r>
      <w:r w:rsidRPr="00B97E44">
        <w:rPr>
          <w:rFonts w:ascii="David" w:hAnsi="David" w:hint="cs"/>
          <w:rtl/>
        </w:rPr>
        <w:t xml:space="preserve">הדגישה שהיא </w:t>
      </w:r>
      <w:r w:rsidRPr="00B97E44">
        <w:rPr>
          <w:rFonts w:ascii="David" w:hAnsi="David"/>
          <w:rtl/>
        </w:rPr>
        <w:t xml:space="preserve">מתקשה להתמודד עם העובדה </w:t>
      </w:r>
      <w:r w:rsidRPr="00B97E44">
        <w:rPr>
          <w:rFonts w:ascii="David" w:hAnsi="David" w:hint="cs"/>
          <w:rtl/>
        </w:rPr>
        <w:t xml:space="preserve">שבשטחה </w:t>
      </w:r>
      <w:r w:rsidRPr="00B97E44">
        <w:rPr>
          <w:rFonts w:ascii="David" w:hAnsi="David"/>
          <w:rtl/>
        </w:rPr>
        <w:t xml:space="preserve">יש </w:t>
      </w:r>
      <w:r w:rsidRPr="00B97E44">
        <w:rPr>
          <w:rFonts w:ascii="David" w:hAnsi="David" w:hint="cs"/>
          <w:rtl/>
        </w:rPr>
        <w:t>י</w:t>
      </w:r>
      <w:r w:rsidRPr="00B97E44">
        <w:rPr>
          <w:rFonts w:ascii="David" w:hAnsi="David"/>
          <w:rtl/>
        </w:rPr>
        <w:t xml:space="preserve">ישובים המרוחקים רק במעט מטווח 7 </w:t>
      </w:r>
      <w:r w:rsidRPr="00B97E44">
        <w:rPr>
          <w:rFonts w:ascii="David" w:hAnsi="David" w:hint="cs"/>
          <w:rtl/>
        </w:rPr>
        <w:t>ה</w:t>
      </w:r>
      <w:r w:rsidRPr="00B97E44">
        <w:rPr>
          <w:rFonts w:ascii="David" w:hAnsi="David"/>
          <w:rtl/>
        </w:rPr>
        <w:t xml:space="preserve">ק"מ </w:t>
      </w:r>
      <w:r w:rsidRPr="00B97E44">
        <w:rPr>
          <w:rFonts w:ascii="David" w:hAnsi="David" w:hint="cs"/>
          <w:rtl/>
        </w:rPr>
        <w:t xml:space="preserve">ואינם </w:t>
      </w:r>
      <w:r w:rsidRPr="00B97E44">
        <w:rPr>
          <w:rFonts w:ascii="David" w:hAnsi="David"/>
          <w:rtl/>
        </w:rPr>
        <w:t xml:space="preserve">זוכים לתקציבי הפיתוח </w:t>
      </w:r>
      <w:r w:rsidRPr="00B97E44">
        <w:rPr>
          <w:rFonts w:ascii="David" w:hAnsi="David" w:hint="cs"/>
          <w:rtl/>
        </w:rPr>
        <w:t>שלהם זוכים ה</w:t>
      </w:r>
      <w:r w:rsidRPr="00B97E44">
        <w:rPr>
          <w:rFonts w:ascii="David" w:hAnsi="David"/>
          <w:rtl/>
        </w:rPr>
        <w:t>יישובים שבטווח.</w:t>
      </w:r>
    </w:p>
    <w:p w:rsidR="005B126E" w:rsidP="001916A9">
      <w:pPr>
        <w:spacing w:line="269" w:lineRule="auto"/>
        <w:rPr>
          <w:rtl/>
          <w:lang w:eastAsia="he-IL"/>
        </w:rPr>
      </w:pPr>
    </w:p>
    <w:p w:rsidR="005B126E" w:rsidRPr="00B97E44" w:rsidP="001916A9">
      <w:pPr>
        <w:spacing w:line="269" w:lineRule="auto"/>
        <w:rPr>
          <w:rtl/>
          <w:lang w:eastAsia="he-IL"/>
        </w:rPr>
      </w:pPr>
      <w:r w:rsidRPr="00B97E44">
        <w:rPr>
          <w:rtl/>
          <w:lang w:eastAsia="he-IL"/>
        </w:rPr>
        <w:t>שישה חודשים</w:t>
      </w:r>
      <w:r w:rsidRPr="00B97E44">
        <w:rPr>
          <w:rFonts w:hint="cs"/>
          <w:rtl/>
          <w:lang w:eastAsia="he-IL"/>
        </w:rPr>
        <w:t xml:space="preserve"> לאחר שהושלם גיבושה של תוכנית החומש לחבל התקומה</w:t>
      </w:r>
      <w:r w:rsidRPr="00B97E44">
        <w:rPr>
          <w:rtl/>
          <w:lang w:eastAsia="he-IL"/>
        </w:rPr>
        <w:t xml:space="preserve">, </w:t>
      </w:r>
      <w:r w:rsidRPr="00B97E44">
        <w:rPr>
          <w:rFonts w:hint="cs"/>
          <w:rtl/>
          <w:lang w:eastAsia="he-IL"/>
        </w:rPr>
        <w:t>בהחלטת הממשלה 2336 מאוקטובר 2024</w:t>
      </w:r>
      <w:r>
        <w:rPr>
          <w:vertAlign w:val="superscript"/>
          <w:rtl/>
          <w:lang w:eastAsia="he-IL"/>
        </w:rPr>
        <w:footnoteReference w:id="122"/>
      </w:r>
      <w:r w:rsidRPr="00B97E44">
        <w:rPr>
          <w:rFonts w:hint="cs"/>
          <w:rtl/>
          <w:lang w:eastAsia="he-IL"/>
        </w:rPr>
        <w:t>,</w:t>
      </w:r>
      <w:r w:rsidRPr="00B97E44">
        <w:rPr>
          <w:rtl/>
          <w:lang w:eastAsia="he-IL"/>
        </w:rPr>
        <w:t xml:space="preserve"> נקבע כי </w:t>
      </w:r>
      <w:r w:rsidRPr="00B97E44">
        <w:rPr>
          <w:rFonts w:hint="eastAsia"/>
          <w:rtl/>
          <w:lang w:eastAsia="he-IL"/>
        </w:rPr>
        <w:t>חבל</w:t>
      </w:r>
      <w:r w:rsidRPr="00B97E44">
        <w:rPr>
          <w:rtl/>
          <w:lang w:eastAsia="he-IL"/>
        </w:rPr>
        <w:t xml:space="preserve"> </w:t>
      </w:r>
      <w:r w:rsidRPr="00B97E44">
        <w:rPr>
          <w:rFonts w:ascii="David" w:hAnsi="David"/>
          <w:rtl/>
        </w:rPr>
        <w:t>התקומה</w:t>
      </w:r>
      <w:r w:rsidRPr="00B97E44">
        <w:rPr>
          <w:rtl/>
          <w:lang w:eastAsia="he-IL"/>
        </w:rPr>
        <w:t xml:space="preserve"> </w:t>
      </w:r>
      <w:r w:rsidRPr="00B97E44">
        <w:rPr>
          <w:rFonts w:hint="eastAsia"/>
          <w:rtl/>
          <w:lang w:eastAsia="he-IL"/>
        </w:rPr>
        <w:t>כפי</w:t>
      </w:r>
      <w:r w:rsidRPr="00B97E44">
        <w:rPr>
          <w:rtl/>
          <w:lang w:eastAsia="he-IL"/>
        </w:rPr>
        <w:t xml:space="preserve"> </w:t>
      </w:r>
      <w:r w:rsidRPr="00B97E44">
        <w:rPr>
          <w:rFonts w:hint="eastAsia"/>
          <w:rtl/>
          <w:lang w:eastAsia="he-IL"/>
        </w:rPr>
        <w:t>שהוגדר</w:t>
      </w:r>
      <w:r w:rsidRPr="00B97E44">
        <w:rPr>
          <w:rtl/>
          <w:lang w:eastAsia="he-IL"/>
        </w:rPr>
        <w:t xml:space="preserve"> </w:t>
      </w:r>
      <w:r w:rsidRPr="00B97E44">
        <w:rPr>
          <w:rFonts w:hint="eastAsia"/>
          <w:rtl/>
          <w:lang w:eastAsia="he-IL"/>
        </w:rPr>
        <w:t>בהחלטת</w:t>
      </w:r>
      <w:r w:rsidRPr="00B97E44">
        <w:rPr>
          <w:rtl/>
          <w:lang w:eastAsia="he-IL"/>
        </w:rPr>
        <w:t xml:space="preserve"> </w:t>
      </w:r>
      <w:r w:rsidRPr="00B97E44">
        <w:rPr>
          <w:rFonts w:hint="eastAsia"/>
          <w:rtl/>
          <w:lang w:eastAsia="he-IL"/>
        </w:rPr>
        <w:t>ממשלה</w:t>
      </w:r>
      <w:r w:rsidRPr="00B97E44">
        <w:rPr>
          <w:rtl/>
          <w:lang w:eastAsia="he-IL"/>
        </w:rPr>
        <w:t xml:space="preserve"> 980</w:t>
      </w:r>
      <w:r w:rsidRPr="00B97E44">
        <w:rPr>
          <w:rFonts w:hint="cs"/>
          <w:rtl/>
          <w:lang w:eastAsia="he-IL"/>
        </w:rPr>
        <w:t xml:space="preserve">, </w:t>
      </w:r>
      <w:r w:rsidRPr="00B97E44">
        <w:rPr>
          <w:rtl/>
          <w:lang w:eastAsia="he-IL"/>
        </w:rPr>
        <w:t>בטווח של עד 7 ק"מ מגדר המערכת סביב רצועת עזה</w:t>
      </w:r>
      <w:r w:rsidRPr="00B97E44">
        <w:rPr>
          <w:rFonts w:hint="cs"/>
          <w:rtl/>
          <w:lang w:eastAsia="he-IL"/>
        </w:rPr>
        <w:t xml:space="preserve">, </w:t>
      </w:r>
      <w:r w:rsidRPr="00B97E44">
        <w:rPr>
          <w:rFonts w:hint="eastAsia"/>
          <w:rtl/>
          <w:lang w:eastAsia="he-IL"/>
        </w:rPr>
        <w:t>ייקבע</w:t>
      </w:r>
      <w:r w:rsidRPr="00B97E44">
        <w:rPr>
          <w:rtl/>
          <w:lang w:eastAsia="he-IL"/>
        </w:rPr>
        <w:t xml:space="preserve"> </w:t>
      </w:r>
      <w:r w:rsidRPr="00B97E44">
        <w:rPr>
          <w:rFonts w:hint="eastAsia"/>
          <w:rtl/>
          <w:lang w:eastAsia="he-IL"/>
        </w:rPr>
        <w:t>כאזור</w:t>
      </w:r>
      <w:r w:rsidRPr="00B97E44">
        <w:rPr>
          <w:rtl/>
          <w:lang w:eastAsia="he-IL"/>
        </w:rPr>
        <w:t xml:space="preserve"> </w:t>
      </w:r>
      <w:r w:rsidRPr="00B97E44">
        <w:rPr>
          <w:rFonts w:hint="eastAsia"/>
          <w:rtl/>
          <w:lang w:eastAsia="he-IL"/>
        </w:rPr>
        <w:t>מיקוד</w:t>
      </w:r>
      <w:r w:rsidRPr="00B97E44">
        <w:rPr>
          <w:rtl/>
          <w:lang w:eastAsia="he-IL"/>
        </w:rPr>
        <w:t xml:space="preserve"> </w:t>
      </w:r>
      <w:r w:rsidRPr="00B97E44">
        <w:rPr>
          <w:rFonts w:hint="eastAsia"/>
          <w:rtl/>
          <w:lang w:eastAsia="he-IL"/>
        </w:rPr>
        <w:t>לאומי</w:t>
      </w:r>
      <w:r w:rsidRPr="00B97E44">
        <w:rPr>
          <w:rtl/>
          <w:lang w:eastAsia="he-IL"/>
        </w:rPr>
        <w:t xml:space="preserve"> </w:t>
      </w:r>
      <w:r w:rsidRPr="00B97E44">
        <w:rPr>
          <w:rFonts w:hint="eastAsia"/>
          <w:rtl/>
          <w:lang w:eastAsia="he-IL"/>
        </w:rPr>
        <w:t>בחוק</w:t>
      </w:r>
      <w:r w:rsidRPr="00B97E44">
        <w:rPr>
          <w:rtl/>
          <w:lang w:eastAsia="he-IL"/>
        </w:rPr>
        <w:t xml:space="preserve"> </w:t>
      </w:r>
      <w:r w:rsidRPr="00B97E44">
        <w:rPr>
          <w:rFonts w:hint="eastAsia"/>
          <w:rtl/>
          <w:lang w:eastAsia="he-IL"/>
        </w:rPr>
        <w:t>עתידי</w:t>
      </w:r>
      <w:r w:rsidRPr="00B97E44">
        <w:rPr>
          <w:rtl/>
          <w:lang w:eastAsia="he-IL"/>
        </w:rPr>
        <w:t xml:space="preserve"> </w:t>
      </w:r>
      <w:r w:rsidRPr="00B97E44">
        <w:rPr>
          <w:rFonts w:hint="eastAsia"/>
          <w:rtl/>
          <w:lang w:eastAsia="he-IL"/>
        </w:rPr>
        <w:t>שתיזום</w:t>
      </w:r>
      <w:r w:rsidRPr="00B97E44">
        <w:rPr>
          <w:rtl/>
          <w:lang w:eastAsia="he-IL"/>
        </w:rPr>
        <w:t xml:space="preserve"> </w:t>
      </w:r>
      <w:r w:rsidRPr="00B97E44">
        <w:rPr>
          <w:rFonts w:hint="eastAsia"/>
          <w:rtl/>
          <w:lang w:eastAsia="he-IL"/>
        </w:rPr>
        <w:t>הממשלה</w:t>
      </w:r>
      <w:r w:rsidRPr="00B97E44">
        <w:rPr>
          <w:rFonts w:hint="cs"/>
          <w:rtl/>
          <w:lang w:eastAsia="he-IL"/>
        </w:rPr>
        <w:t>.</w:t>
      </w:r>
      <w:r w:rsidRPr="00B97E44">
        <w:rPr>
          <w:rtl/>
          <w:lang w:eastAsia="he-IL"/>
        </w:rPr>
        <w:t xml:space="preserve"> </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בהחלטה 2905 ממרץ 2025, הקצתה הממשלה לקראת חקיקת החוק האמור, מיליארד ש"ח מתוך התקציב של מינהלת תקומה וכן סך של 300 מיליוני ש"ח נוספים לתקצוב היישובים שמחוץ לחבל התקומה שייכללו במתווה השיקום. שבוע לאחר מכן, באפריל 2025, פורסם כאמור חוק השיקום הנרחב. החוק קיבע את הגדרת גבולות החבל לפי החלטת ממשלה 462, בטווח של עד 7 ק"מ מגדר המערכת סביב רצועת עזה ולפי רשימת היישובים שבתוספת לחוק ובפרק ד' שבחוק נקבע שבאחריות הממשלה לנקוט פעולות סיוע ליישובים הסמוכים לחבל התקומה </w:t>
      </w:r>
      <w:r w:rsidRPr="00B97E44">
        <w:rPr>
          <w:rFonts w:hint="eastAsia"/>
          <w:rtl/>
        </w:rPr>
        <w:t>בהתאם</w:t>
      </w:r>
      <w:r w:rsidRPr="00B97E44">
        <w:rPr>
          <w:rtl/>
        </w:rPr>
        <w:t xml:space="preserve"> </w:t>
      </w:r>
      <w:r w:rsidRPr="00B97E44">
        <w:rPr>
          <w:rFonts w:hint="eastAsia"/>
          <w:rtl/>
        </w:rPr>
        <w:t>לצורכיהם</w:t>
      </w:r>
      <w:r w:rsidRPr="00B97E44">
        <w:rPr>
          <w:rtl/>
        </w:rPr>
        <w:t xml:space="preserve"> </w:t>
      </w:r>
      <w:r w:rsidRPr="00B97E44">
        <w:rPr>
          <w:rFonts w:hint="eastAsia"/>
          <w:rtl/>
        </w:rPr>
        <w:t>ובהתאם</w:t>
      </w:r>
      <w:r w:rsidRPr="00B97E44">
        <w:rPr>
          <w:rtl/>
        </w:rPr>
        <w:t xml:space="preserve"> </w:t>
      </w:r>
      <w:r w:rsidRPr="00B97E44">
        <w:rPr>
          <w:rFonts w:hint="eastAsia"/>
          <w:rtl/>
        </w:rPr>
        <w:t>לרמת</w:t>
      </w:r>
      <w:r w:rsidRPr="00B97E44">
        <w:rPr>
          <w:rtl/>
        </w:rPr>
        <w:t xml:space="preserve"> </w:t>
      </w:r>
      <w:r w:rsidRPr="00B97E44">
        <w:rPr>
          <w:rFonts w:hint="eastAsia"/>
          <w:rtl/>
        </w:rPr>
        <w:t>הפגיעה</w:t>
      </w:r>
      <w:r w:rsidRPr="00B97E44">
        <w:rPr>
          <w:rFonts w:hint="cs"/>
          <w:rtl/>
        </w:rPr>
        <w:t xml:space="preserve"> בהם ב</w:t>
      </w:r>
      <w:r>
        <w:rPr>
          <w:rFonts w:hint="cs"/>
          <w:rtl/>
        </w:rPr>
        <w:t>מתקפת הטרור</w:t>
      </w:r>
      <w:r w:rsidRPr="00B97E44">
        <w:rPr>
          <w:rFonts w:hint="cs"/>
          <w:rtl/>
        </w:rPr>
        <w:t xml:space="preserve"> </w:t>
      </w:r>
      <w:r>
        <w:rPr>
          <w:rFonts w:hint="cs"/>
          <w:rtl/>
        </w:rPr>
        <w:t>ב</w:t>
      </w:r>
      <w:r w:rsidRPr="00B97E44">
        <w:rPr>
          <w:rFonts w:hint="cs"/>
          <w:rtl/>
        </w:rPr>
        <w:t>שבעה באוקטובר ולמאפייניהם הייחודיים. על פי החוק נדרשה הממשלה לקבוע בהחלטה את רשימת היישובים הסמוכים הזכאים לסיוע ואת פעולות הסיוע לפי לרמת הפגיעה בהם.</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לאחר חקיקת החוק קיבלה הממשלה באפריל 2025 החלטה נוספת (2973) ולפיה היא תאמץ את המלצותיה של עבודת המטה שביצע משרד ראש הממשלה בנושא הערכת רמות פגיעה ביישובי הדרום בשל </w:t>
      </w:r>
      <w:r>
        <w:rPr>
          <w:rFonts w:hint="cs"/>
          <w:rtl/>
        </w:rPr>
        <w:t>מתקפת הטרור</w:t>
      </w:r>
      <w:r w:rsidRPr="00B97E44">
        <w:rPr>
          <w:rFonts w:hint="cs"/>
          <w:rtl/>
        </w:rPr>
        <w:t xml:space="preserve"> וקביעת מסגרת המענה הממשלתי. </w:t>
      </w:r>
    </w:p>
    <w:p w:rsidR="005B126E" w:rsidP="001916A9">
      <w:pPr>
        <w:spacing w:line="269" w:lineRule="auto"/>
        <w:rPr>
          <w:rtl/>
        </w:rPr>
      </w:pPr>
    </w:p>
    <w:p w:rsidR="005B126E" w:rsidP="001916A9">
      <w:pPr>
        <w:spacing w:line="269" w:lineRule="auto"/>
        <w:rPr>
          <w:rtl/>
        </w:rPr>
      </w:pPr>
      <w:r w:rsidRPr="00B97E44">
        <w:rPr>
          <w:rFonts w:hint="cs"/>
          <w:rtl/>
        </w:rPr>
        <w:t xml:space="preserve">בעבודת המטה שאימצה הממשלה זוהו היישובים שבהם נצפתה פגיעה חריגה המצריכה התערבות ממשלתית נוכח האתגרים הצפויים לאוכלוסייה ביישובים אלה, ונמצא כי כ-25% מיישובי הדרום, שהם 72 יישובים, ספגו פגיעה כוללת חריגה - מתוכם 47 מוגדרים כיישובי חבל התקומה ומקבלים מענה </w:t>
      </w:r>
      <w:r w:rsidRPr="00B97E44">
        <w:rPr>
          <w:rFonts w:hint="cs"/>
          <w:rtl/>
        </w:rPr>
        <w:t>ממינהלת</w:t>
      </w:r>
      <w:r w:rsidRPr="00B97E44">
        <w:rPr>
          <w:rFonts w:hint="cs"/>
          <w:rtl/>
        </w:rPr>
        <w:t xml:space="preserve"> תקומה ו-25 יישובים נוספים שטרם זכו למענה ממשלתי כולל. על פי הנספח להחלטה, הערכת רמת הפגיעה הכוללת ביישובי הדרום נעשתה תוך שימוש במדדים מגוונים ששולבו לכדי מדד </w:t>
      </w:r>
      <w:r w:rsidRPr="00B97E44">
        <w:rPr>
          <w:rFonts w:hint="cs"/>
          <w:rtl/>
        </w:rPr>
        <w:t>מתכלל</w:t>
      </w:r>
      <w:r w:rsidRPr="00B97E44">
        <w:rPr>
          <w:rFonts w:hint="cs"/>
          <w:rtl/>
        </w:rPr>
        <w:t xml:space="preserve"> שאפשר השוואה רוחבית בין היישובים תוך התמקדות בפגיעה הכוללת והסתמכות על נתונים ניטרליים ורשמיים. לפי הנתונים הזמינים גובשו שלושה תחומים המרכיבים את המדד </w:t>
      </w:r>
      <w:r w:rsidRPr="00B97E44">
        <w:rPr>
          <w:rFonts w:hint="cs"/>
          <w:rtl/>
        </w:rPr>
        <w:t>המתכלל</w:t>
      </w:r>
      <w:r w:rsidRPr="00B97E44">
        <w:rPr>
          <w:rFonts w:hint="cs"/>
          <w:rtl/>
        </w:rPr>
        <w:t xml:space="preserve"> כך שיבטא פגיעה כוללת: פגיעה במוגנות ובתחושת הביטחון, פגיעה חברתית וקהילתית ופגיעה תפקודית-כלכלית. </w:t>
      </w:r>
    </w:p>
    <w:p w:rsidR="005B126E" w:rsidRPr="00B97E44" w:rsidP="001916A9">
      <w:pPr>
        <w:spacing w:line="269" w:lineRule="auto"/>
        <w:rPr>
          <w:rtl/>
        </w:rPr>
      </w:pPr>
    </w:p>
    <w:p w:rsidR="005B126E" w:rsidRPr="00B97E44" w:rsidP="001916A9">
      <w:pPr>
        <w:spacing w:line="269" w:lineRule="auto"/>
        <w:rPr>
          <w:rtl/>
        </w:rPr>
      </w:pPr>
      <w:r>
        <w:rPr>
          <w:rFonts w:hint="cs"/>
          <w:rtl/>
        </w:rPr>
        <w:t>ל</w:t>
      </w:r>
      <w:r w:rsidRPr="00B97E44">
        <w:rPr>
          <w:rFonts w:hint="cs"/>
          <w:rtl/>
        </w:rPr>
        <w:t xml:space="preserve">אור האמור הומלץ לממשלה בעבודת המטה לגבש מענה ליישובים שנפגעו פגיעה כוללת חריגה המצריכה התערבות ממשלתית ושאינם משויכים לחבל התקומה תחת מסגרת ניהולית אחת - עיריות </w:t>
      </w:r>
      <w:r w:rsidRPr="00B97E44">
        <w:rPr>
          <w:rFonts w:hint="cs"/>
          <w:b/>
          <w:bCs/>
          <w:rtl/>
        </w:rPr>
        <w:t xml:space="preserve">אופקים </w:t>
      </w:r>
      <w:r w:rsidRPr="00B97E44">
        <w:rPr>
          <w:rFonts w:hint="eastAsia"/>
          <w:rtl/>
        </w:rPr>
        <w:t>ו</w:t>
      </w:r>
      <w:r w:rsidRPr="00B97E44">
        <w:rPr>
          <w:rFonts w:hint="cs"/>
          <w:b/>
          <w:bCs/>
          <w:rtl/>
        </w:rPr>
        <w:t>נתיבות</w:t>
      </w:r>
      <w:r w:rsidRPr="00B97E44">
        <w:rPr>
          <w:rFonts w:hint="cs"/>
          <w:rtl/>
        </w:rPr>
        <w:t xml:space="preserve">, תשעת היישובים הנותרים מהמועצה האזורית </w:t>
      </w:r>
      <w:r w:rsidRPr="00B97E44">
        <w:rPr>
          <w:rFonts w:hint="cs"/>
          <w:b/>
          <w:bCs/>
          <w:rtl/>
        </w:rPr>
        <w:t>אשכול</w:t>
      </w:r>
      <w:r w:rsidRPr="00B97E44">
        <w:rPr>
          <w:rFonts w:hint="cs"/>
          <w:rtl/>
        </w:rPr>
        <w:t xml:space="preserve">, שמונת היישובים הנותרים מהמועצה האזורית </w:t>
      </w:r>
      <w:r w:rsidRPr="00B97E44">
        <w:rPr>
          <w:rFonts w:hint="cs"/>
          <w:b/>
          <w:bCs/>
          <w:rtl/>
        </w:rPr>
        <w:t>שדות נגב</w:t>
      </w:r>
      <w:r w:rsidRPr="00B97E44">
        <w:rPr>
          <w:rFonts w:hint="cs"/>
          <w:rtl/>
        </w:rPr>
        <w:t xml:space="preserve">, שניים מתוך שלושת היישובים הנותרים מהמועצה האזורית </w:t>
      </w:r>
      <w:r w:rsidRPr="00B97E44">
        <w:rPr>
          <w:rFonts w:hint="cs"/>
          <w:b/>
          <w:bCs/>
          <w:rtl/>
        </w:rPr>
        <w:t xml:space="preserve">שער הנגב </w:t>
      </w:r>
      <w:r w:rsidRPr="00B97E44">
        <w:rPr>
          <w:rFonts w:hint="cs"/>
          <w:rtl/>
        </w:rPr>
        <w:t xml:space="preserve">וכן שלושה יישובים מהמועצה האזורית </w:t>
      </w:r>
      <w:r w:rsidRPr="00B97E44">
        <w:rPr>
          <w:rFonts w:hint="cs"/>
          <w:b/>
          <w:bCs/>
          <w:rtl/>
        </w:rPr>
        <w:t>מרחבים</w:t>
      </w:r>
      <w:r w:rsidRPr="00B97E44">
        <w:rPr>
          <w:rFonts w:hint="cs"/>
          <w:rtl/>
        </w:rPr>
        <w:t xml:space="preserve"> - בתקציב של מיליארד ש"ח. עוד נקבע כי יינתן סיוע ממשלתי לעיר </w:t>
      </w:r>
      <w:r w:rsidRPr="00B97E44">
        <w:rPr>
          <w:rFonts w:hint="cs"/>
          <w:b/>
          <w:bCs/>
          <w:rtl/>
        </w:rPr>
        <w:t>אשקלון</w:t>
      </w:r>
      <w:r w:rsidRPr="00B97E44">
        <w:rPr>
          <w:rFonts w:hint="cs"/>
          <w:rtl/>
        </w:rPr>
        <w:t xml:space="preserve"> תחת מסגרת ניהולית נוספת, בשל גודלה המצריך פתרון ממוקד ומיקומה התפקודי המרחבי של העיר, שהוא נפרד ממרבית יישובי הנגב המערבי שספגו פגיעה חריגה. </w:t>
      </w:r>
    </w:p>
    <w:p w:rsidR="005B126E" w:rsidP="001916A9">
      <w:pPr>
        <w:spacing w:line="269" w:lineRule="auto"/>
        <w:rPr>
          <w:rtl/>
        </w:rPr>
      </w:pPr>
    </w:p>
    <w:p w:rsidR="005B126E" w:rsidP="001916A9">
      <w:pPr>
        <w:spacing w:line="269" w:lineRule="auto"/>
        <w:rPr>
          <w:rtl/>
        </w:rPr>
      </w:pPr>
      <w:r w:rsidRPr="00B97E44">
        <w:rPr>
          <w:rFonts w:hint="cs"/>
          <w:rtl/>
        </w:rPr>
        <w:t>בעבודת המטה הובהר כי התמיכה ביישובים במעגל הפגיעה השני תינתן במסגרת החלטות ממשלה לתקופה של ארבע שנים ובהיקף תקציבי מצומצם בהשוואה לתקציב של מינהלת תקומה, שנועד לתמוך במעגל הפגיעה הראשון. עוד צוין בעבודת המטה כי התמיכה תכלול כלי סיוע בשים לב לעקרונות השיקום שנקבעו בהחלטה 1699 מאפריל 2024 ובהתאם לרמת הפגיעה ביישובים, לצורכיהם ולמאפייניהם הייחודים ולתפקידם של היישובים במרחב.</w:t>
      </w:r>
    </w:p>
    <w:p w:rsidR="005B126E" w:rsidRPr="00B97E44" w:rsidP="001916A9">
      <w:pPr>
        <w:spacing w:line="269" w:lineRule="auto"/>
        <w:rPr>
          <w:rtl/>
        </w:rPr>
      </w:pPr>
    </w:p>
    <w:p w:rsidR="005B126E" w:rsidRPr="00B97E44" w:rsidP="001916A9">
      <w:pPr>
        <w:keepNext/>
        <w:keepLines/>
        <w:spacing w:line="269" w:lineRule="auto"/>
        <w:jc w:val="center"/>
        <w:rPr>
          <w:b/>
          <w:bCs/>
          <w:rtl/>
        </w:rPr>
      </w:pPr>
      <w:r w:rsidRPr="00B97E44">
        <w:rPr>
          <w:rFonts w:hint="cs"/>
          <w:rtl/>
        </w:rPr>
        <w:t xml:space="preserve">מפה 3: </w:t>
      </w:r>
      <w:r>
        <w:rPr>
          <w:rFonts w:hint="cs"/>
          <w:b/>
          <w:bCs/>
          <w:rtl/>
        </w:rPr>
        <w:t>יישובי הדרום בחלוקה לפי</w:t>
      </w:r>
      <w:r w:rsidRPr="00B97E44">
        <w:rPr>
          <w:b/>
          <w:bCs/>
          <w:rtl/>
        </w:rPr>
        <w:t xml:space="preserve"> רמת הפגיעה </w:t>
      </w:r>
    </w:p>
    <w:p w:rsidR="005B126E" w:rsidRPr="00B97E44" w:rsidP="001916A9">
      <w:pPr>
        <w:keepNext/>
        <w:keepLines/>
        <w:spacing w:line="269" w:lineRule="auto"/>
        <w:jc w:val="center"/>
        <w:rPr>
          <w:b/>
          <w:bCs/>
          <w:rtl/>
        </w:rPr>
      </w:pPr>
      <w:r w:rsidRPr="00B97E44">
        <w:rPr>
          <w:b/>
          <w:bCs/>
          <w:rtl/>
        </w:rPr>
        <w:t xml:space="preserve"> </w:t>
      </w:r>
      <w:r>
        <w:rPr>
          <w:rFonts w:hint="cs"/>
          <w:b/>
          <w:bCs/>
          <w:rtl/>
        </w:rPr>
        <w:t>בעקבות מתקפת הטרור, עבודת המטה במשרד ראש הממשלה</w:t>
      </w:r>
    </w:p>
    <w:p w:rsidR="005B126E" w:rsidRPr="00B97E44" w:rsidP="001916A9">
      <w:pPr>
        <w:spacing w:line="269" w:lineRule="auto"/>
        <w:jc w:val="center"/>
        <w:rPr>
          <w:rtl/>
        </w:rPr>
      </w:pPr>
      <w:r w:rsidRPr="00B97E44">
        <w:rPr>
          <w:noProof/>
        </w:rPr>
        <w:drawing>
          <wp:inline distT="0" distB="0" distL="0" distR="0">
            <wp:extent cx="4787482" cy="4775835"/>
            <wp:effectExtent l="0" t="0" r="0" b="5715"/>
            <wp:docPr id="7" name="תמונה 7" descr="מפה המתארת את רמת הפגיעה ביישובים במדינת ישראל בין רמה 1 לרמה 4. כל היישובים המסווגים ברמות 3 ו-4 נמצאים בחבל תקומ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xmlns:r="http://schemas.openxmlformats.org/officeDocument/2006/relationships" r:embed="rId39"/>
                    <a:stretch>
                      <a:fillRect/>
                    </a:stretch>
                  </pic:blipFill>
                  <pic:spPr>
                    <a:xfrm>
                      <a:off x="0" y="0"/>
                      <a:ext cx="4795247" cy="4783581"/>
                    </a:xfrm>
                    <a:prstGeom prst="rect">
                      <a:avLst/>
                    </a:prstGeom>
                  </pic:spPr>
                </pic:pic>
              </a:graphicData>
            </a:graphic>
          </wp:inline>
        </w:drawing>
      </w:r>
    </w:p>
    <w:p w:rsidR="005B126E" w:rsidP="001916A9">
      <w:pPr>
        <w:spacing w:line="269" w:lineRule="auto"/>
        <w:jc w:val="left"/>
        <w:rPr>
          <w:sz w:val="16"/>
          <w:szCs w:val="20"/>
          <w:rtl/>
        </w:rPr>
      </w:pPr>
      <w:r>
        <w:rPr>
          <w:rFonts w:hint="cs"/>
          <w:sz w:val="16"/>
          <w:szCs w:val="20"/>
          <w:rtl/>
        </w:rPr>
        <w:t>ה</w:t>
      </w:r>
      <w:r w:rsidRPr="00B97E44">
        <w:rPr>
          <w:rFonts w:hint="cs"/>
          <w:sz w:val="16"/>
          <w:szCs w:val="20"/>
          <w:rtl/>
        </w:rPr>
        <w:t>מקור: נספח ב' להחלטת הממשלה 2973 מאפריל 2025.</w:t>
      </w:r>
    </w:p>
    <w:p w:rsidR="005B126E" w:rsidRPr="00B97E44" w:rsidP="001916A9">
      <w:pPr>
        <w:spacing w:line="269" w:lineRule="auto"/>
        <w:jc w:val="left"/>
        <w:rPr>
          <w:sz w:val="16"/>
          <w:szCs w:val="20"/>
          <w:rtl/>
        </w:rPr>
      </w:pPr>
      <w:r>
        <w:rPr>
          <w:rFonts w:hint="cs"/>
          <w:sz w:val="16"/>
          <w:szCs w:val="20"/>
          <w:rtl/>
        </w:rPr>
        <w:t xml:space="preserve">בעבודת המטה דורגו רמות הפגיעה מ-1 עד 4; רמה 1 מציינת פגיעה שאינה חריגה, ופגיעה ברמה 4 - פגיעה חמורה. </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בהחלטת הממשלה 2973 מאפריל 2025 הונחה משרד ראש הממשלה לגבש במסגרת לוחות הזמנים הקבועים בחוק </w:t>
      </w:r>
      <w:r w:rsidR="007E1C6B">
        <w:rPr>
          <w:rFonts w:hint="cs"/>
          <w:rtl/>
        </w:rPr>
        <w:t>השיקום הנרחב</w:t>
      </w:r>
      <w:r w:rsidRPr="00B97E44">
        <w:rPr>
          <w:rFonts w:hint="cs"/>
          <w:rtl/>
        </w:rPr>
        <w:t xml:space="preserve"> הצעות להחלטות ממשלה לשיקום ולפיתוח לשנים 2025 - 2029 בשים לב לעקרונות השיקום שנקבעו בהחלטת </w:t>
      </w:r>
      <w:r>
        <w:rPr>
          <w:rFonts w:hint="cs"/>
          <w:rtl/>
        </w:rPr>
        <w:t>ה</w:t>
      </w:r>
      <w:r w:rsidRPr="00B97E44">
        <w:rPr>
          <w:rFonts w:hint="cs"/>
          <w:rtl/>
        </w:rPr>
        <w:t>ממשלה 1699 ובהתאם לרמת הפגיעה ביישובים, לצורכיהם ולמאפייניהם הייחודיים ולתפקידם של היישובים במרחב.</w:t>
      </w:r>
    </w:p>
    <w:p w:rsidR="005B126E" w:rsidP="001916A9">
      <w:pPr>
        <w:spacing w:line="269" w:lineRule="auto"/>
        <w:rPr>
          <w:rtl/>
        </w:rPr>
      </w:pPr>
    </w:p>
    <w:p w:rsidR="005B126E" w:rsidRPr="00B97E44" w:rsidP="001916A9">
      <w:pPr>
        <w:spacing w:line="269" w:lineRule="auto"/>
        <w:rPr>
          <w:rtl/>
        </w:rPr>
      </w:pPr>
      <w:r w:rsidRPr="00B97E44">
        <w:rPr>
          <w:rFonts w:hint="eastAsia"/>
          <w:rtl/>
        </w:rPr>
        <w:t>על</w:t>
      </w:r>
      <w:r w:rsidRPr="00B97E44">
        <w:rPr>
          <w:rtl/>
        </w:rPr>
        <w:t xml:space="preserve"> פי חוק </w:t>
      </w:r>
      <w:r w:rsidRPr="00B97E44">
        <w:rPr>
          <w:rFonts w:hint="eastAsia"/>
          <w:rtl/>
        </w:rPr>
        <w:t>השיקום</w:t>
      </w:r>
      <w:r w:rsidRPr="00B97E44">
        <w:rPr>
          <w:rtl/>
        </w:rPr>
        <w:t xml:space="preserve"> </w:t>
      </w:r>
      <w:r w:rsidRPr="00B97E44">
        <w:rPr>
          <w:rFonts w:hint="eastAsia"/>
          <w:rtl/>
        </w:rPr>
        <w:t>ה</w:t>
      </w:r>
      <w:r w:rsidRPr="00B97E44">
        <w:rPr>
          <w:rFonts w:hint="cs"/>
          <w:rtl/>
        </w:rPr>
        <w:t>נ</w:t>
      </w:r>
      <w:r w:rsidRPr="00B97E44">
        <w:rPr>
          <w:rFonts w:hint="eastAsia"/>
          <w:rtl/>
        </w:rPr>
        <w:t>רחב</w:t>
      </w:r>
      <w:r w:rsidRPr="00B97E44">
        <w:rPr>
          <w:rFonts w:hint="cs"/>
          <w:rtl/>
        </w:rPr>
        <w:t>,</w:t>
      </w:r>
      <w:r w:rsidRPr="00B97E44">
        <w:rPr>
          <w:rtl/>
        </w:rPr>
        <w:t xml:space="preserve"> </w:t>
      </w:r>
      <w:r w:rsidRPr="00B97E44">
        <w:rPr>
          <w:rFonts w:hint="cs"/>
          <w:rtl/>
        </w:rPr>
        <w:t xml:space="preserve">היה </w:t>
      </w:r>
      <w:r w:rsidRPr="00B97E44">
        <w:rPr>
          <w:rtl/>
        </w:rPr>
        <w:t xml:space="preserve">על הממשלה לקבל החלטה בעניין פעולות הסיוע </w:t>
      </w:r>
      <w:r w:rsidRPr="00B97E44">
        <w:rPr>
          <w:rFonts w:hint="eastAsia"/>
          <w:rtl/>
        </w:rPr>
        <w:t>ל</w:t>
      </w:r>
      <w:r w:rsidRPr="00B97E44">
        <w:rPr>
          <w:rtl/>
        </w:rPr>
        <w:t xml:space="preserve">יישובים בתוך שלושה חודשים מיום </w:t>
      </w:r>
      <w:r w:rsidRPr="00B97E44">
        <w:rPr>
          <w:rFonts w:hint="eastAsia"/>
          <w:rtl/>
        </w:rPr>
        <w:t>תחילת</w:t>
      </w:r>
      <w:r w:rsidRPr="00B97E44">
        <w:rPr>
          <w:rtl/>
        </w:rPr>
        <w:t xml:space="preserve"> </w:t>
      </w:r>
      <w:r w:rsidRPr="00B97E44">
        <w:rPr>
          <w:rFonts w:hint="eastAsia"/>
          <w:rtl/>
        </w:rPr>
        <w:t>החוק</w:t>
      </w:r>
      <w:r w:rsidRPr="00B97E44">
        <w:rPr>
          <w:rtl/>
        </w:rPr>
        <w:t xml:space="preserve">, </w:t>
      </w:r>
      <w:r w:rsidRPr="00B97E44">
        <w:rPr>
          <w:rFonts w:hint="eastAsia"/>
          <w:rtl/>
        </w:rPr>
        <w:t>קרי</w:t>
      </w:r>
      <w:r w:rsidRPr="00B97E44">
        <w:rPr>
          <w:rtl/>
        </w:rPr>
        <w:t xml:space="preserve"> </w:t>
      </w:r>
      <w:r w:rsidRPr="00B97E44">
        <w:rPr>
          <w:rFonts w:hint="eastAsia"/>
          <w:rtl/>
        </w:rPr>
        <w:t>תחילת</w:t>
      </w:r>
      <w:r w:rsidRPr="00B97E44">
        <w:rPr>
          <w:rtl/>
        </w:rPr>
        <w:t xml:space="preserve"> </w:t>
      </w:r>
      <w:r w:rsidRPr="00B97E44">
        <w:rPr>
          <w:rFonts w:hint="eastAsia"/>
          <w:rtl/>
        </w:rPr>
        <w:t>יולי</w:t>
      </w:r>
      <w:r w:rsidRPr="00B97E44">
        <w:rPr>
          <w:rtl/>
        </w:rPr>
        <w:t xml:space="preserve"> 2025.</w:t>
      </w:r>
    </w:p>
    <w:p w:rsidR="005B126E" w:rsidP="001916A9">
      <w:pPr>
        <w:spacing w:line="269" w:lineRule="auto"/>
        <w:rPr>
          <w:rtl/>
        </w:rPr>
      </w:pPr>
    </w:p>
    <w:p w:rsidR="005B126E" w:rsidRPr="00B97E44" w:rsidP="001916A9">
      <w:pPr>
        <w:spacing w:line="269" w:lineRule="auto"/>
      </w:pPr>
      <w:r w:rsidRPr="00B97E44">
        <w:rPr>
          <w:rFonts w:hint="cs"/>
          <w:rtl/>
        </w:rPr>
        <w:t>חודש לאחר המועד שנקבע בחוק, בתחילת אוגוסט 2025, קיבלה הממשלה החלטות בדבר דרכי הסיוע לאזורים אלה והגדילה את התקציב לשיקום ולפיתוח האזורים הסמוכים לחבל התקומה ל-3.22 מיליארד ש"ח</w:t>
      </w:r>
      <w:r>
        <w:rPr>
          <w:vertAlign w:val="superscript"/>
          <w:rtl/>
        </w:rPr>
        <w:footnoteReference w:id="123"/>
      </w:r>
      <w:r w:rsidRPr="00B97E44">
        <w:rPr>
          <w:rFonts w:hint="cs"/>
          <w:rtl/>
        </w:rPr>
        <w:t>. בהחלטותיה אישרה הממשלה את התוכנית לשיקום ופיתוח יישובי הנגב המערבי</w:t>
      </w:r>
      <w:r w:rsidR="00160279">
        <w:rPr>
          <w:rFonts w:hint="cs"/>
          <w:rtl/>
        </w:rPr>
        <w:t xml:space="preserve"> </w:t>
      </w:r>
      <w:r w:rsidRPr="00B97E44" w:rsidR="00160279">
        <w:rPr>
          <w:rtl/>
        </w:rPr>
        <w:t>לשנים 2025 - 2029</w:t>
      </w:r>
      <w:r w:rsidRPr="00B97E44">
        <w:rPr>
          <w:rFonts w:hint="cs"/>
          <w:rtl/>
        </w:rPr>
        <w:t xml:space="preserve"> ואת ה</w:t>
      </w:r>
      <w:r w:rsidRPr="00B97E44">
        <w:rPr>
          <w:rtl/>
        </w:rPr>
        <w:t xml:space="preserve">תוכנית לשיקום ופיתוח העיר </w:t>
      </w:r>
      <w:r w:rsidRPr="00B97E44">
        <w:rPr>
          <w:b/>
          <w:bCs/>
          <w:rtl/>
        </w:rPr>
        <w:t>אשקלון</w:t>
      </w:r>
      <w:r w:rsidRPr="00B97E44">
        <w:rPr>
          <w:rtl/>
        </w:rPr>
        <w:t xml:space="preserve"> </w:t>
      </w:r>
      <w:bookmarkStart w:id="62" w:name="_Hlk221015390"/>
      <w:r w:rsidRPr="00B97E44">
        <w:rPr>
          <w:rtl/>
        </w:rPr>
        <w:t>לשנים 2025 - 2029</w:t>
      </w:r>
      <w:bookmarkEnd w:id="62"/>
      <w:r>
        <w:rPr>
          <w:vertAlign w:val="superscript"/>
          <w:rtl/>
        </w:rPr>
        <w:footnoteReference w:id="124"/>
      </w:r>
      <w:r w:rsidRPr="00B97E44">
        <w:rPr>
          <w:rFonts w:hint="cs"/>
          <w:rtl/>
        </w:rPr>
        <w:t xml:space="preserve"> (להלן התוכניות לשיקום ופיתוח היישובים הסמוכים) שגיבש משרד ראש הממשלה לפי מתווה היישובים שאישרה הממשלה כבר באפריל 2025. בתוכניות ביקשה הממשלה להשיג כמה מטרות ביישובים הסמוכים לחבל התקומה:</w:t>
      </w:r>
      <w:r w:rsidRPr="00B97E44">
        <w:rPr>
          <w:rtl/>
        </w:rPr>
        <w:t xml:space="preserve"> הגברת תחושת הביטחון, החוסן האזרחי והמוגנות</w:t>
      </w:r>
      <w:r w:rsidRPr="00B97E44">
        <w:rPr>
          <w:rFonts w:hint="cs"/>
          <w:rtl/>
        </w:rPr>
        <w:t xml:space="preserve">, </w:t>
      </w:r>
      <w:r w:rsidRPr="00B97E44">
        <w:rPr>
          <w:rtl/>
        </w:rPr>
        <w:t>חיזוק וצמיחה כלכלית</w:t>
      </w:r>
      <w:r w:rsidRPr="00B97E44">
        <w:rPr>
          <w:rFonts w:hint="cs"/>
          <w:rtl/>
        </w:rPr>
        <w:t xml:space="preserve">, </w:t>
      </w:r>
      <w:r w:rsidRPr="00B97E44">
        <w:rPr>
          <w:rtl/>
        </w:rPr>
        <w:t>העצמה חברתית</w:t>
      </w:r>
      <w:r w:rsidRPr="00B97E44">
        <w:rPr>
          <w:rFonts w:hint="cs"/>
          <w:rtl/>
        </w:rPr>
        <w:t>-</w:t>
      </w:r>
      <w:r w:rsidRPr="00B97E44">
        <w:rPr>
          <w:rtl/>
        </w:rPr>
        <w:t>קהילתית וקידום איכות חיים</w:t>
      </w:r>
      <w:r w:rsidRPr="00B97E44">
        <w:rPr>
          <w:rFonts w:hint="cs"/>
          <w:rtl/>
        </w:rPr>
        <w:t>.</w:t>
      </w:r>
    </w:p>
    <w:p w:rsidR="005B126E" w:rsidP="001916A9">
      <w:pPr>
        <w:spacing w:line="269" w:lineRule="auto"/>
        <w:rPr>
          <w:b/>
          <w:bCs/>
          <w:rtl/>
          <w:lang w:eastAsia="he-IL"/>
        </w:rPr>
      </w:pPr>
    </w:p>
    <w:p w:rsidR="005B126E" w:rsidRPr="00B97E44" w:rsidP="001916A9">
      <w:pPr>
        <w:spacing w:line="269" w:lineRule="auto"/>
        <w:rPr>
          <w:b/>
          <w:bCs/>
          <w:rtl/>
        </w:rPr>
      </w:pPr>
      <w:r w:rsidRPr="00B97E44">
        <w:rPr>
          <w:rFonts w:hint="cs"/>
          <w:b/>
          <w:bCs/>
          <w:rtl/>
          <w:lang w:eastAsia="he-IL"/>
        </w:rPr>
        <w:t>משרד מבקר המדינה מציין לחיוב את הכרתה של הממשלה במחויבותה לסייע</w:t>
      </w:r>
      <w:r w:rsidRPr="00B97E44">
        <w:rPr>
          <w:b/>
          <w:bCs/>
          <w:rtl/>
          <w:lang w:eastAsia="he-IL"/>
        </w:rPr>
        <w:t xml:space="preserve"> </w:t>
      </w:r>
      <w:r w:rsidRPr="00B97E44">
        <w:rPr>
          <w:rFonts w:hint="cs"/>
          <w:b/>
          <w:bCs/>
          <w:rtl/>
          <w:lang w:eastAsia="he-IL"/>
        </w:rPr>
        <w:t>ל</w:t>
      </w:r>
      <w:r w:rsidRPr="00B97E44">
        <w:rPr>
          <w:b/>
          <w:bCs/>
          <w:rtl/>
          <w:lang w:eastAsia="he-IL"/>
        </w:rPr>
        <w:t>יישובים ו</w:t>
      </w:r>
      <w:r w:rsidRPr="00B97E44">
        <w:rPr>
          <w:rFonts w:hint="cs"/>
          <w:b/>
          <w:bCs/>
          <w:rtl/>
          <w:lang w:eastAsia="he-IL"/>
        </w:rPr>
        <w:t>ל</w:t>
      </w:r>
      <w:r w:rsidRPr="00B97E44">
        <w:rPr>
          <w:b/>
          <w:bCs/>
          <w:rtl/>
          <w:lang w:eastAsia="he-IL"/>
        </w:rPr>
        <w:t>אזורים הסמוכים לחבל התקומה שנפגעו ב</w:t>
      </w:r>
      <w:r>
        <w:rPr>
          <w:rFonts w:hint="cs"/>
          <w:b/>
          <w:bCs/>
          <w:rtl/>
          <w:lang w:eastAsia="he-IL"/>
        </w:rPr>
        <w:t>מתקפת הטרור ב</w:t>
      </w:r>
      <w:r w:rsidRPr="00B97E44">
        <w:rPr>
          <w:rFonts w:hint="cs"/>
          <w:b/>
          <w:bCs/>
          <w:rtl/>
          <w:lang w:eastAsia="he-IL"/>
        </w:rPr>
        <w:t>שבעה</w:t>
      </w:r>
      <w:r w:rsidRPr="00B97E44">
        <w:rPr>
          <w:b/>
          <w:bCs/>
          <w:rtl/>
          <w:lang w:eastAsia="he-IL"/>
        </w:rPr>
        <w:t xml:space="preserve"> באוקטובר </w:t>
      </w:r>
      <w:r w:rsidRPr="00B97E44">
        <w:rPr>
          <w:rFonts w:hint="cs"/>
          <w:b/>
          <w:bCs/>
          <w:rtl/>
          <w:lang w:eastAsia="he-IL"/>
        </w:rPr>
        <w:t xml:space="preserve">בפעולות </w:t>
      </w:r>
      <w:r w:rsidRPr="00B97E44">
        <w:rPr>
          <w:b/>
          <w:bCs/>
          <w:rtl/>
          <w:lang w:eastAsia="he-IL"/>
        </w:rPr>
        <w:t>שיקום ופיתוח, ובכלל זה מתן הטבות, הקצאת משאבים והשקעה במחוללי צמיחה ופיתוח</w:t>
      </w:r>
      <w:r w:rsidRPr="00B97E44">
        <w:rPr>
          <w:rFonts w:hint="cs"/>
          <w:b/>
          <w:bCs/>
          <w:rtl/>
        </w:rPr>
        <w:t>.</w:t>
      </w:r>
    </w:p>
    <w:p w:rsidR="005B126E" w:rsidP="001916A9">
      <w:pPr>
        <w:spacing w:line="269" w:lineRule="auto"/>
        <w:rPr>
          <w:sz w:val="24"/>
          <w:rtl/>
        </w:rPr>
      </w:pPr>
    </w:p>
    <w:p w:rsidR="005B126E" w:rsidRPr="00B97E44" w:rsidP="001916A9">
      <w:pPr>
        <w:spacing w:line="269" w:lineRule="auto"/>
        <w:rPr>
          <w:szCs w:val="20"/>
          <w:rtl/>
        </w:rPr>
      </w:pPr>
      <w:r w:rsidRPr="00B97E44">
        <w:rPr>
          <w:rFonts w:hint="eastAsia"/>
          <w:sz w:val="24"/>
          <w:rtl/>
        </w:rPr>
        <w:t>המועצה</w:t>
      </w:r>
      <w:r w:rsidRPr="00B97E44">
        <w:rPr>
          <w:sz w:val="24"/>
          <w:rtl/>
        </w:rPr>
        <w:t xml:space="preserve"> </w:t>
      </w:r>
      <w:r w:rsidRPr="00B97E44">
        <w:rPr>
          <w:rFonts w:hint="eastAsia"/>
          <w:sz w:val="24"/>
          <w:rtl/>
        </w:rPr>
        <w:t>האזורית</w:t>
      </w:r>
      <w:r w:rsidRPr="00B97E44">
        <w:rPr>
          <w:sz w:val="24"/>
          <w:rtl/>
        </w:rPr>
        <w:t xml:space="preserve"> </w:t>
      </w:r>
      <w:r w:rsidRPr="00B97E44">
        <w:rPr>
          <w:rFonts w:hint="eastAsia"/>
          <w:b/>
          <w:bCs/>
          <w:sz w:val="24"/>
          <w:rtl/>
        </w:rPr>
        <w:t>מרחבים</w:t>
      </w:r>
      <w:r w:rsidRPr="00B97E44">
        <w:rPr>
          <w:sz w:val="24"/>
          <w:rtl/>
        </w:rPr>
        <w:t xml:space="preserve"> </w:t>
      </w:r>
      <w:r w:rsidRPr="00B97E44">
        <w:rPr>
          <w:rFonts w:hint="eastAsia"/>
          <w:sz w:val="24"/>
          <w:rtl/>
        </w:rPr>
        <w:t>מסרה</w:t>
      </w:r>
      <w:r w:rsidRPr="00B97E44">
        <w:rPr>
          <w:sz w:val="24"/>
          <w:rtl/>
        </w:rPr>
        <w:t xml:space="preserve"> </w:t>
      </w:r>
      <w:r w:rsidRPr="00B97E44">
        <w:rPr>
          <w:rFonts w:hint="eastAsia"/>
          <w:sz w:val="24"/>
          <w:rtl/>
        </w:rPr>
        <w:t>בתשובתה</w:t>
      </w:r>
      <w:r w:rsidRPr="00B97E44">
        <w:rPr>
          <w:sz w:val="24"/>
          <w:rtl/>
        </w:rPr>
        <w:t xml:space="preserve"> מאוקטובר </w:t>
      </w:r>
      <w:r w:rsidRPr="00B97E44">
        <w:rPr>
          <w:rFonts w:hint="cs"/>
          <w:sz w:val="24"/>
          <w:rtl/>
        </w:rPr>
        <w:t xml:space="preserve">2025 כי </w:t>
      </w:r>
      <w:r w:rsidRPr="00B97E44">
        <w:rPr>
          <w:sz w:val="24"/>
          <w:rtl/>
        </w:rPr>
        <w:t xml:space="preserve">המלחמה פגעה </w:t>
      </w:r>
      <w:r w:rsidRPr="00B97E44">
        <w:rPr>
          <w:rFonts w:hint="cs"/>
          <w:sz w:val="24"/>
          <w:rtl/>
        </w:rPr>
        <w:t>בכל</w:t>
      </w:r>
      <w:r w:rsidRPr="00B97E44">
        <w:rPr>
          <w:sz w:val="24"/>
          <w:rtl/>
        </w:rPr>
        <w:t xml:space="preserve"> יישובי המועצה</w:t>
      </w:r>
      <w:r w:rsidRPr="00B97E44">
        <w:rPr>
          <w:rFonts w:hint="cs"/>
          <w:sz w:val="24"/>
          <w:rtl/>
        </w:rPr>
        <w:t xml:space="preserve"> ו</w:t>
      </w:r>
      <w:r w:rsidRPr="00B97E44">
        <w:rPr>
          <w:sz w:val="24"/>
          <w:rtl/>
        </w:rPr>
        <w:t xml:space="preserve">כי </w:t>
      </w:r>
      <w:r w:rsidRPr="00B97E44">
        <w:rPr>
          <w:rFonts w:hint="eastAsia"/>
          <w:sz w:val="24"/>
          <w:rtl/>
        </w:rPr>
        <w:t>על</w:t>
      </w:r>
      <w:r w:rsidRPr="00B97E44">
        <w:rPr>
          <w:sz w:val="24"/>
          <w:rtl/>
        </w:rPr>
        <w:t xml:space="preserve"> </w:t>
      </w:r>
      <w:r w:rsidRPr="00B97E44">
        <w:rPr>
          <w:rFonts w:hint="eastAsia"/>
          <w:sz w:val="24"/>
          <w:rtl/>
        </w:rPr>
        <w:t>הממשלה</w:t>
      </w:r>
      <w:r w:rsidRPr="00B97E44">
        <w:rPr>
          <w:sz w:val="24"/>
          <w:rtl/>
        </w:rPr>
        <w:t xml:space="preserve"> </w:t>
      </w:r>
      <w:r w:rsidRPr="00B97E44">
        <w:rPr>
          <w:rFonts w:hint="eastAsia"/>
          <w:sz w:val="24"/>
          <w:rtl/>
        </w:rPr>
        <w:t>להכליל</w:t>
      </w:r>
      <w:r w:rsidRPr="00B97E44">
        <w:rPr>
          <w:sz w:val="24"/>
          <w:rtl/>
        </w:rPr>
        <w:t xml:space="preserve"> </w:t>
      </w:r>
      <w:r w:rsidRPr="00B97E44">
        <w:rPr>
          <w:rFonts w:hint="eastAsia"/>
          <w:sz w:val="24"/>
          <w:rtl/>
        </w:rPr>
        <w:t>את</w:t>
      </w:r>
      <w:r w:rsidRPr="00B97E44">
        <w:rPr>
          <w:sz w:val="24"/>
          <w:rtl/>
        </w:rPr>
        <w:t xml:space="preserve"> </w:t>
      </w:r>
      <w:r w:rsidRPr="00B97E44">
        <w:rPr>
          <w:rFonts w:hint="cs"/>
          <w:sz w:val="24"/>
          <w:rtl/>
        </w:rPr>
        <w:t xml:space="preserve">כולם בתוכנית, בפרט כאשר חמישה מתוך 18 הנרצחים מתושבי המועצה </w:t>
      </w:r>
      <w:r>
        <w:rPr>
          <w:rFonts w:hint="cs"/>
          <w:sz w:val="24"/>
          <w:rtl/>
        </w:rPr>
        <w:t>במתקפת הטרור בשבעה באוקטובר</w:t>
      </w:r>
      <w:r w:rsidRPr="00B97E44">
        <w:rPr>
          <w:rFonts w:hint="cs"/>
          <w:sz w:val="24"/>
          <w:rtl/>
        </w:rPr>
        <w:t xml:space="preserve"> היו תושבים של ישוב </w:t>
      </w:r>
      <w:r w:rsidRPr="00B97E44">
        <w:rPr>
          <w:sz w:val="24"/>
          <w:rtl/>
        </w:rPr>
        <w:t>שאינו נכלל ב</w:t>
      </w:r>
      <w:r w:rsidRPr="00B97E44">
        <w:rPr>
          <w:rFonts w:hint="cs"/>
          <w:sz w:val="24"/>
          <w:rtl/>
        </w:rPr>
        <w:t>חבל התקומה.</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המועצה האזורית </w:t>
      </w:r>
      <w:r w:rsidRPr="00B97E44">
        <w:rPr>
          <w:rFonts w:hint="cs"/>
          <w:b/>
          <w:bCs/>
          <w:rtl/>
        </w:rPr>
        <w:t xml:space="preserve">אשכול </w:t>
      </w:r>
      <w:r w:rsidRPr="00B97E44">
        <w:rPr>
          <w:rFonts w:hint="eastAsia"/>
          <w:rtl/>
        </w:rPr>
        <w:t>ועירי</w:t>
      </w:r>
      <w:r w:rsidRPr="00B97E44">
        <w:rPr>
          <w:rFonts w:hint="cs"/>
          <w:rtl/>
        </w:rPr>
        <w:t>ו</w:t>
      </w:r>
      <w:r w:rsidRPr="00B97E44">
        <w:rPr>
          <w:rFonts w:hint="eastAsia"/>
          <w:rtl/>
        </w:rPr>
        <w:t>ת</w:t>
      </w:r>
      <w:r w:rsidRPr="00B97E44">
        <w:rPr>
          <w:rtl/>
        </w:rPr>
        <w:t xml:space="preserve"> </w:t>
      </w:r>
      <w:r w:rsidRPr="00B97E44">
        <w:rPr>
          <w:rFonts w:hint="cs"/>
          <w:b/>
          <w:bCs/>
          <w:rtl/>
        </w:rPr>
        <w:t xml:space="preserve">אופקים </w:t>
      </w:r>
      <w:r w:rsidRPr="00B97E44">
        <w:rPr>
          <w:rFonts w:hint="eastAsia"/>
          <w:rtl/>
        </w:rPr>
        <w:t>ו</w:t>
      </w:r>
      <w:r w:rsidRPr="00B97E44">
        <w:rPr>
          <w:rFonts w:hint="cs"/>
          <w:b/>
          <w:bCs/>
          <w:rtl/>
        </w:rPr>
        <w:t xml:space="preserve">נתיבות </w:t>
      </w:r>
      <w:r w:rsidRPr="00B97E44">
        <w:rPr>
          <w:rFonts w:hint="cs"/>
          <w:rtl/>
        </w:rPr>
        <w:t xml:space="preserve">ציינו בתשובותיהן כי ההחלטה האמורה התקבלה רק לאחר השקעת משאבים </w:t>
      </w:r>
      <w:r w:rsidRPr="00B97E44">
        <w:rPr>
          <w:rFonts w:hint="cs"/>
          <w:rtl/>
        </w:rPr>
        <w:t>מצידן</w:t>
      </w:r>
      <w:r w:rsidRPr="00B97E44">
        <w:rPr>
          <w:rFonts w:hint="cs"/>
          <w:rtl/>
        </w:rPr>
        <w:t xml:space="preserve"> במאבקים משפטיים מיותרים.</w:t>
      </w:r>
    </w:p>
    <w:p w:rsidR="005B126E" w:rsidRPr="00B97E44" w:rsidP="001916A9">
      <w:pPr>
        <w:spacing w:line="269" w:lineRule="auto"/>
        <w:rPr>
          <w:b/>
          <w:bCs/>
          <w:rtl/>
        </w:rPr>
      </w:pPr>
    </w:p>
    <w:p w:rsidR="005B126E" w:rsidRPr="00B97E44" w:rsidP="0018262A">
      <w:pPr>
        <w:pStyle w:val="Heading3"/>
        <w:rPr>
          <w:rtl/>
        </w:rPr>
      </w:pPr>
      <w:bookmarkStart w:id="63" w:name="_Hlk201429279"/>
      <w:r w:rsidRPr="00B97E44">
        <w:rPr>
          <w:rFonts w:hint="eastAsia"/>
          <w:rtl/>
        </w:rPr>
        <w:t>השפעת</w:t>
      </w:r>
      <w:r w:rsidRPr="00B97E44">
        <w:rPr>
          <w:rtl/>
        </w:rPr>
        <w:t xml:space="preserve"> השקעות המדינה בפיתוח הע</w:t>
      </w:r>
      <w:r w:rsidRPr="00B97E44">
        <w:rPr>
          <w:rFonts w:hint="eastAsia"/>
          <w:rtl/>
        </w:rPr>
        <w:t>רים</w:t>
      </w:r>
      <w:r w:rsidRPr="00B97E44">
        <w:rPr>
          <w:rtl/>
        </w:rPr>
        <w:t xml:space="preserve"> שדרות, </w:t>
      </w:r>
      <w:r w:rsidRPr="00B97E44">
        <w:rPr>
          <w:rFonts w:hint="eastAsia"/>
          <w:rtl/>
        </w:rPr>
        <w:t>אופקים</w:t>
      </w:r>
      <w:r w:rsidRPr="00B97E44">
        <w:rPr>
          <w:rtl/>
        </w:rPr>
        <w:t xml:space="preserve"> </w:t>
      </w:r>
      <w:r w:rsidRPr="00B97E44">
        <w:rPr>
          <w:rFonts w:hint="eastAsia"/>
          <w:rtl/>
        </w:rPr>
        <w:t>ונתיבות</w:t>
      </w:r>
      <w:r w:rsidRPr="00B97E44">
        <w:rPr>
          <w:rtl/>
        </w:rPr>
        <w:t xml:space="preserve"> על דירוג</w:t>
      </w:r>
      <w:r w:rsidRPr="00B97E44">
        <w:rPr>
          <w:rFonts w:hint="eastAsia"/>
          <w:rtl/>
        </w:rPr>
        <w:t>ן</w:t>
      </w:r>
      <w:r w:rsidRPr="00B97E44">
        <w:rPr>
          <w:rtl/>
        </w:rPr>
        <w:t xml:space="preserve"> במדד החברתי-כלכלי </w:t>
      </w:r>
    </w:p>
    <w:p w:rsidR="005B126E" w:rsidP="001916A9">
      <w:pPr>
        <w:spacing w:line="269" w:lineRule="auto"/>
        <w:rPr>
          <w:rtl/>
        </w:rPr>
      </w:pPr>
    </w:p>
    <w:p w:rsidR="005B126E" w:rsidRPr="00B97E44" w:rsidP="001916A9">
      <w:pPr>
        <w:spacing w:line="269" w:lineRule="auto"/>
        <w:rPr>
          <w:b/>
          <w:bCs/>
          <w:rtl/>
        </w:rPr>
      </w:pPr>
      <w:r w:rsidRPr="00B97E44">
        <w:rPr>
          <w:rFonts w:hint="cs"/>
          <w:rtl/>
        </w:rPr>
        <w:t xml:space="preserve">התוכנית שגיבש משרד ראש הממשלה לטובת השיקום והפיתוח של היישובים הסמוכים לחבל התקומה בהתאם לחוק השיקום הנרחב צפויה לסייע לשיקום מן הפגיעה ברשויות המקומיות וביישובים הסמוכים לחבל, אך יש להניח כי היא תהיה מוגבלת ותתקשה לפתור במלואן את הבעיות היסודיות </w:t>
      </w:r>
      <w:r w:rsidRPr="00B97E44">
        <w:rPr>
          <w:rFonts w:hint="cs"/>
          <w:rtl/>
        </w:rPr>
        <w:t>שעימן</w:t>
      </w:r>
      <w:r w:rsidRPr="00B97E44">
        <w:rPr>
          <w:rFonts w:hint="cs"/>
          <w:rtl/>
        </w:rPr>
        <w:t xml:space="preserve"> מתמודד האזור. </w:t>
      </w:r>
    </w:p>
    <w:p w:rsidR="005B126E" w:rsidP="001916A9">
      <w:pPr>
        <w:spacing w:line="269" w:lineRule="auto"/>
        <w:rPr>
          <w:rtl/>
        </w:rPr>
      </w:pPr>
    </w:p>
    <w:p w:rsidR="005B126E" w:rsidRPr="00B97E44" w:rsidP="001916A9">
      <w:pPr>
        <w:spacing w:line="269" w:lineRule="auto"/>
        <w:rPr>
          <w:rtl/>
        </w:rPr>
      </w:pPr>
      <w:r w:rsidRPr="00B97E44">
        <w:rPr>
          <w:rFonts w:hint="cs"/>
          <w:rtl/>
        </w:rPr>
        <w:t>ניתוח שביצע משרד מבקר המדינה בנוגע להשפעה אפשרית של השקעות המדינה ב</w:t>
      </w:r>
      <w:r w:rsidRPr="00B97E44">
        <w:rPr>
          <w:rFonts w:hint="cs"/>
          <w:b/>
          <w:bCs/>
          <w:rtl/>
        </w:rPr>
        <w:t xml:space="preserve">שדרות </w:t>
      </w:r>
      <w:r w:rsidRPr="00B97E44">
        <w:rPr>
          <w:rFonts w:hint="cs"/>
          <w:rtl/>
        </w:rPr>
        <w:t xml:space="preserve">על דירוגה במדד החברתי-כלכלי ביחס להשפעה אפשרית של השקעות המדינה על דירוגן של </w:t>
      </w:r>
      <w:r w:rsidRPr="00B97E44">
        <w:rPr>
          <w:rFonts w:hint="cs"/>
          <w:b/>
          <w:bCs/>
          <w:rtl/>
        </w:rPr>
        <w:t xml:space="preserve">אופקים </w:t>
      </w:r>
      <w:r w:rsidRPr="00B97E44">
        <w:rPr>
          <w:rFonts w:hint="cs"/>
          <w:rtl/>
        </w:rPr>
        <w:t>ו</w:t>
      </w:r>
      <w:r w:rsidRPr="00B97E44">
        <w:rPr>
          <w:rFonts w:hint="cs"/>
          <w:b/>
          <w:bCs/>
          <w:rtl/>
        </w:rPr>
        <w:t>נתיבות</w:t>
      </w:r>
      <w:r w:rsidRPr="00B97E44">
        <w:rPr>
          <w:rFonts w:hint="cs"/>
          <w:rtl/>
        </w:rPr>
        <w:t xml:space="preserve"> במדד, כפי שיוצג להלן, יכול להמחיש את הצפוי ביישובים הסמוכים לחבל התקומה בעקבות יישום תוכנית החומש לחבל התקומה והתוכניות לשיקום ופיתוח היישובים הסמוכים.</w:t>
      </w:r>
    </w:p>
    <w:p w:rsidR="005B126E" w:rsidP="001916A9">
      <w:pPr>
        <w:spacing w:line="269" w:lineRule="auto"/>
        <w:contextualSpacing/>
        <w:rPr>
          <w:rFonts w:ascii="David" w:hAnsi="David"/>
          <w:sz w:val="24"/>
          <w:rtl/>
        </w:rPr>
      </w:pPr>
    </w:p>
    <w:p w:rsidR="005B126E" w:rsidRPr="00B97E44" w:rsidP="001916A9">
      <w:pPr>
        <w:spacing w:line="269" w:lineRule="auto"/>
        <w:contextualSpacing/>
        <w:rPr>
          <w:rtl/>
        </w:rPr>
      </w:pPr>
      <w:r w:rsidRPr="00B97E44">
        <w:rPr>
          <w:rFonts w:ascii="David" w:hAnsi="David" w:hint="cs"/>
          <w:sz w:val="24"/>
          <w:rtl/>
        </w:rPr>
        <w:t>בשני העשורים הראשונים להקמת המדינה נוסדו ערים חדשות בצפון הארץ, בדרומה ובמרכזה, אשר דבק בהן הכינוי "עיירות פיתוח"</w:t>
      </w:r>
      <w:r>
        <w:rPr>
          <w:vertAlign w:val="superscript"/>
          <w:rtl/>
        </w:rPr>
        <w:footnoteReference w:id="125"/>
      </w:r>
      <w:r w:rsidRPr="00B97E44">
        <w:rPr>
          <w:rFonts w:ascii="David" w:hAnsi="David" w:hint="cs"/>
          <w:sz w:val="24"/>
          <w:rtl/>
        </w:rPr>
        <w:t xml:space="preserve">. עם הקמתן, שימשו עיירות הפיתוח - ובהן </w:t>
      </w:r>
      <w:r w:rsidRPr="00B97E44">
        <w:rPr>
          <w:rFonts w:ascii="David" w:hAnsi="David" w:hint="cs"/>
          <w:b/>
          <w:bCs/>
          <w:sz w:val="24"/>
          <w:rtl/>
        </w:rPr>
        <w:t>אופקים</w:t>
      </w:r>
      <w:r w:rsidRPr="00B97E44">
        <w:rPr>
          <w:rFonts w:ascii="David" w:hAnsi="David"/>
          <w:sz w:val="24"/>
          <w:rtl/>
        </w:rPr>
        <w:t>,</w:t>
      </w:r>
      <w:r w:rsidRPr="00B97E44">
        <w:rPr>
          <w:rFonts w:ascii="David" w:hAnsi="David" w:hint="cs"/>
          <w:b/>
          <w:bCs/>
          <w:sz w:val="24"/>
          <w:rtl/>
        </w:rPr>
        <w:t xml:space="preserve"> נתיבות </w:t>
      </w:r>
      <w:r w:rsidRPr="00B97E44">
        <w:rPr>
          <w:rFonts w:ascii="David" w:hAnsi="David" w:hint="eastAsia"/>
          <w:sz w:val="24"/>
          <w:rtl/>
        </w:rPr>
        <w:t>ו</w:t>
      </w:r>
      <w:r w:rsidRPr="00B97E44">
        <w:rPr>
          <w:rFonts w:ascii="David" w:hAnsi="David" w:hint="cs"/>
          <w:b/>
          <w:bCs/>
          <w:sz w:val="24"/>
          <w:rtl/>
        </w:rPr>
        <w:t>שדרות</w:t>
      </w:r>
      <w:r w:rsidRPr="00B97E44">
        <w:rPr>
          <w:rFonts w:ascii="David" w:hAnsi="David" w:hint="cs"/>
          <w:sz w:val="24"/>
          <w:rtl/>
        </w:rPr>
        <w:t xml:space="preserve"> - לקליטת גלי העלייה בשנות החמישים, </w:t>
      </w:r>
      <w:r w:rsidRPr="00B97E44">
        <w:rPr>
          <w:rFonts w:hint="cs"/>
          <w:rtl/>
        </w:rPr>
        <w:t>בעיקר עולים יוצאי צפון אפריקה</w:t>
      </w:r>
      <w:r>
        <w:rPr>
          <w:vertAlign w:val="superscript"/>
          <w:rtl/>
        </w:rPr>
        <w:footnoteReference w:id="126"/>
      </w:r>
      <w:r w:rsidRPr="00B97E44">
        <w:rPr>
          <w:rFonts w:ascii="David" w:hAnsi="David" w:hint="cs"/>
          <w:sz w:val="24"/>
          <w:rtl/>
        </w:rPr>
        <w:t>, ולפיזור האוכלוסיי</w:t>
      </w:r>
      <w:r w:rsidRPr="00B97E44">
        <w:rPr>
          <w:rFonts w:ascii="David" w:hAnsi="David" w:hint="eastAsia"/>
          <w:sz w:val="24"/>
          <w:rtl/>
        </w:rPr>
        <w:t>ה</w:t>
      </w:r>
      <w:r w:rsidRPr="00B97E44">
        <w:rPr>
          <w:rFonts w:ascii="David" w:hAnsi="David" w:hint="cs"/>
          <w:sz w:val="24"/>
          <w:rtl/>
        </w:rPr>
        <w:t xml:space="preserve"> באזורים לא מיושבים שאותם רצתה המדינה לפתח</w:t>
      </w:r>
      <w:r>
        <w:rPr>
          <w:rFonts w:ascii="David" w:hAnsi="David"/>
          <w:sz w:val="24"/>
          <w:vertAlign w:val="superscript"/>
          <w:rtl/>
        </w:rPr>
        <w:footnoteReference w:id="127"/>
      </w:r>
      <w:r w:rsidRPr="00B97E44">
        <w:rPr>
          <w:rFonts w:ascii="David" w:hAnsi="David" w:hint="cs"/>
          <w:sz w:val="24"/>
          <w:rtl/>
        </w:rPr>
        <w:t>. הערים החדשות קמו כמרכזים אזוריים שיוכלו לספק ליישובים הקטנים הסמוכים אליהן שירותים החסרים בהם</w:t>
      </w:r>
      <w:r>
        <w:rPr>
          <w:rFonts w:ascii="David" w:hAnsi="David"/>
          <w:sz w:val="24"/>
          <w:vertAlign w:val="superscript"/>
        </w:rPr>
        <w:footnoteReference w:id="128"/>
      </w:r>
      <w:r w:rsidRPr="00B97E44">
        <w:rPr>
          <w:rFonts w:ascii="David" w:hAnsi="David" w:hint="cs"/>
          <w:sz w:val="24"/>
          <w:rtl/>
        </w:rPr>
        <w:t>. ואולם בפועל הן לא יכלו למלא את תפקידן כמרכז אזורי מכיוון שהן נפרסו במרחב ללא בסיס מתאים למטרה זו ואילו היישובים הקטנים, שהיו חלק מהמועצות האזוריות, היו לרוב איתנים יותר מבחינה כלכלית ולא נזקקו לשירותים של עיירות הפיתוח</w:t>
      </w:r>
      <w:r>
        <w:rPr>
          <w:rFonts w:ascii="David" w:hAnsi="David"/>
          <w:sz w:val="24"/>
          <w:vertAlign w:val="superscript"/>
        </w:rPr>
        <w:footnoteReference w:id="129"/>
      </w:r>
      <w:r w:rsidRPr="00B97E44">
        <w:rPr>
          <w:rFonts w:ascii="David" w:hAnsi="David" w:hint="cs"/>
          <w:sz w:val="24"/>
          <w:rtl/>
        </w:rPr>
        <w:t>.</w:t>
      </w:r>
    </w:p>
    <w:p w:rsidR="005B126E" w:rsidP="001916A9">
      <w:pPr>
        <w:spacing w:line="269" w:lineRule="auto"/>
        <w:rPr>
          <w:rFonts w:ascii="David" w:hAnsi="David"/>
          <w:sz w:val="24"/>
          <w:rtl/>
        </w:rPr>
      </w:pPr>
    </w:p>
    <w:p w:rsidR="005B126E" w:rsidRPr="00B97E44" w:rsidP="001916A9">
      <w:pPr>
        <w:spacing w:line="269" w:lineRule="auto"/>
        <w:rPr>
          <w:rtl/>
        </w:rPr>
      </w:pPr>
      <w:r w:rsidRPr="00B97E44">
        <w:rPr>
          <w:rFonts w:ascii="David" w:hAnsi="David" w:hint="cs"/>
          <w:sz w:val="24"/>
          <w:rtl/>
        </w:rPr>
        <w:t xml:space="preserve">כשהחלה </w:t>
      </w:r>
      <w:r w:rsidRPr="00B97E44">
        <w:rPr>
          <w:rFonts w:ascii="David" w:hAnsi="David" w:hint="cs"/>
          <w:sz w:val="24"/>
          <w:rtl/>
        </w:rPr>
        <w:t>הלמ"ס</w:t>
      </w:r>
      <w:r w:rsidRPr="00B97E44">
        <w:rPr>
          <w:rFonts w:ascii="David" w:hAnsi="David" w:hint="cs"/>
          <w:sz w:val="24"/>
          <w:rtl/>
        </w:rPr>
        <w:t xml:space="preserve"> להשתמש במדד החברתי-כלכלי, המדרג את הרמה</w:t>
      </w:r>
      <w:r w:rsidRPr="00B97E44">
        <w:rPr>
          <w:rFonts w:ascii="David" w:hAnsi="David"/>
          <w:sz w:val="24"/>
          <w:rtl/>
        </w:rPr>
        <w:t xml:space="preserve"> </w:t>
      </w:r>
      <w:r w:rsidRPr="00B97E44">
        <w:rPr>
          <w:rFonts w:ascii="David" w:hAnsi="David" w:hint="cs"/>
          <w:sz w:val="24"/>
          <w:rtl/>
        </w:rPr>
        <w:t>החברתית</w:t>
      </w:r>
      <w:r w:rsidRPr="00B97E44">
        <w:rPr>
          <w:rFonts w:ascii="David" w:hAnsi="David"/>
          <w:sz w:val="24"/>
          <w:rtl/>
        </w:rPr>
        <w:t>-</w:t>
      </w:r>
      <w:r w:rsidRPr="00B97E44">
        <w:rPr>
          <w:rFonts w:ascii="David" w:hAnsi="David" w:hint="cs"/>
          <w:sz w:val="24"/>
          <w:rtl/>
        </w:rPr>
        <w:t>כלכלית</w:t>
      </w:r>
      <w:r w:rsidRPr="00B97E44">
        <w:rPr>
          <w:rFonts w:ascii="David" w:hAnsi="David"/>
          <w:sz w:val="24"/>
          <w:rtl/>
        </w:rPr>
        <w:t xml:space="preserve"> </w:t>
      </w:r>
      <w:r w:rsidRPr="00B97E44">
        <w:rPr>
          <w:rFonts w:ascii="David" w:hAnsi="David" w:hint="cs"/>
          <w:sz w:val="24"/>
          <w:rtl/>
        </w:rPr>
        <w:t>של</w:t>
      </w:r>
      <w:r w:rsidRPr="00B97E44">
        <w:rPr>
          <w:rFonts w:ascii="David" w:hAnsi="David"/>
          <w:sz w:val="24"/>
          <w:rtl/>
        </w:rPr>
        <w:t xml:space="preserve"> </w:t>
      </w:r>
      <w:r w:rsidRPr="00B97E44">
        <w:rPr>
          <w:rFonts w:ascii="David" w:hAnsi="David" w:hint="cs"/>
          <w:sz w:val="24"/>
          <w:rtl/>
        </w:rPr>
        <w:t>האוכלוסייה</w:t>
      </w:r>
      <w:r w:rsidRPr="00B97E44">
        <w:rPr>
          <w:rFonts w:ascii="David" w:hAnsi="David"/>
          <w:sz w:val="24"/>
          <w:rtl/>
        </w:rPr>
        <w:t xml:space="preserve"> </w:t>
      </w:r>
      <w:r w:rsidRPr="00B97E44">
        <w:rPr>
          <w:rFonts w:ascii="David" w:hAnsi="David" w:hint="cs"/>
          <w:sz w:val="24"/>
          <w:rtl/>
        </w:rPr>
        <w:t>באמצעות</w:t>
      </w:r>
      <w:r w:rsidRPr="00B97E44">
        <w:rPr>
          <w:rFonts w:ascii="David" w:hAnsi="David"/>
          <w:sz w:val="24"/>
          <w:rtl/>
        </w:rPr>
        <w:t xml:space="preserve"> </w:t>
      </w:r>
      <w:r w:rsidRPr="00B97E44">
        <w:rPr>
          <w:rFonts w:ascii="David" w:hAnsi="David" w:hint="cs"/>
          <w:sz w:val="24"/>
          <w:rtl/>
        </w:rPr>
        <w:t>שילוב</w:t>
      </w:r>
      <w:r w:rsidRPr="00B97E44">
        <w:rPr>
          <w:rFonts w:ascii="David" w:hAnsi="David"/>
          <w:sz w:val="24"/>
          <w:rtl/>
        </w:rPr>
        <w:t xml:space="preserve"> </w:t>
      </w:r>
      <w:r w:rsidRPr="00B97E44">
        <w:rPr>
          <w:rFonts w:ascii="David" w:hAnsi="David" w:hint="cs"/>
          <w:sz w:val="24"/>
          <w:rtl/>
        </w:rPr>
        <w:t>של</w:t>
      </w:r>
      <w:r w:rsidRPr="00B97E44">
        <w:rPr>
          <w:rFonts w:ascii="David" w:hAnsi="David"/>
          <w:sz w:val="24"/>
          <w:rtl/>
        </w:rPr>
        <w:t xml:space="preserve"> </w:t>
      </w:r>
      <w:r w:rsidRPr="00B97E44">
        <w:rPr>
          <w:rFonts w:ascii="David" w:hAnsi="David" w:hint="cs"/>
          <w:sz w:val="24"/>
          <w:rtl/>
        </w:rPr>
        <w:t>תכונותיה</w:t>
      </w:r>
      <w:r w:rsidRPr="00B97E44">
        <w:rPr>
          <w:rFonts w:ascii="David" w:hAnsi="David"/>
          <w:sz w:val="24"/>
          <w:rtl/>
        </w:rPr>
        <w:t xml:space="preserve"> </w:t>
      </w:r>
      <w:r w:rsidRPr="00B97E44">
        <w:rPr>
          <w:rFonts w:ascii="David" w:hAnsi="David" w:hint="cs"/>
          <w:sz w:val="24"/>
          <w:rtl/>
        </w:rPr>
        <w:t>הבסיסיות</w:t>
      </w:r>
      <w:r w:rsidRPr="00B97E44">
        <w:rPr>
          <w:rFonts w:ascii="David" w:hAnsi="David"/>
          <w:sz w:val="24"/>
          <w:rtl/>
        </w:rPr>
        <w:t xml:space="preserve"> </w:t>
      </w:r>
      <w:r w:rsidRPr="00B97E44">
        <w:rPr>
          <w:rFonts w:ascii="David" w:hAnsi="David" w:hint="cs"/>
          <w:sz w:val="24"/>
          <w:rtl/>
        </w:rPr>
        <w:t>בתחומים</w:t>
      </w:r>
      <w:r w:rsidRPr="00B97E44">
        <w:rPr>
          <w:rFonts w:ascii="David" w:hAnsi="David"/>
          <w:sz w:val="24"/>
          <w:rtl/>
        </w:rPr>
        <w:t xml:space="preserve"> </w:t>
      </w:r>
      <w:r w:rsidRPr="00B97E44">
        <w:rPr>
          <w:rFonts w:ascii="David" w:hAnsi="David" w:hint="cs"/>
          <w:sz w:val="24"/>
          <w:rtl/>
        </w:rPr>
        <w:t>הרכב</w:t>
      </w:r>
      <w:r w:rsidRPr="00B97E44">
        <w:rPr>
          <w:rFonts w:ascii="David" w:hAnsi="David"/>
          <w:sz w:val="24"/>
          <w:rtl/>
        </w:rPr>
        <w:t xml:space="preserve"> </w:t>
      </w:r>
      <w:r w:rsidRPr="00B97E44">
        <w:rPr>
          <w:rFonts w:ascii="David" w:hAnsi="David" w:hint="cs"/>
          <w:sz w:val="24"/>
          <w:rtl/>
        </w:rPr>
        <w:t>דמוגרפי</w:t>
      </w:r>
      <w:r w:rsidRPr="00B97E44">
        <w:rPr>
          <w:rFonts w:ascii="David" w:hAnsi="David"/>
          <w:sz w:val="24"/>
          <w:rtl/>
        </w:rPr>
        <w:t xml:space="preserve">, </w:t>
      </w:r>
      <w:r w:rsidRPr="00B97E44">
        <w:rPr>
          <w:rFonts w:ascii="David" w:hAnsi="David" w:hint="cs"/>
          <w:sz w:val="24"/>
          <w:rtl/>
        </w:rPr>
        <w:t>השכלה</w:t>
      </w:r>
      <w:r w:rsidRPr="00B97E44">
        <w:rPr>
          <w:rFonts w:ascii="David" w:hAnsi="David"/>
          <w:sz w:val="24"/>
          <w:rtl/>
        </w:rPr>
        <w:t xml:space="preserve"> </w:t>
      </w:r>
      <w:r w:rsidRPr="00B97E44">
        <w:rPr>
          <w:rFonts w:ascii="David" w:hAnsi="David" w:hint="cs"/>
          <w:sz w:val="24"/>
          <w:rtl/>
        </w:rPr>
        <w:t>וחינוך</w:t>
      </w:r>
      <w:r w:rsidRPr="00B97E44">
        <w:rPr>
          <w:rFonts w:ascii="David" w:hAnsi="David"/>
          <w:sz w:val="24"/>
          <w:rtl/>
        </w:rPr>
        <w:t xml:space="preserve">, </w:t>
      </w:r>
      <w:r w:rsidRPr="00B97E44">
        <w:rPr>
          <w:rFonts w:ascii="David" w:hAnsi="David" w:hint="cs"/>
          <w:sz w:val="24"/>
          <w:rtl/>
        </w:rPr>
        <w:t>רמת</w:t>
      </w:r>
      <w:r w:rsidRPr="00B97E44">
        <w:rPr>
          <w:rFonts w:ascii="David" w:hAnsi="David"/>
          <w:sz w:val="24"/>
          <w:rtl/>
        </w:rPr>
        <w:t xml:space="preserve"> </w:t>
      </w:r>
      <w:r w:rsidRPr="00B97E44">
        <w:rPr>
          <w:rFonts w:ascii="David" w:hAnsi="David" w:hint="cs"/>
          <w:sz w:val="24"/>
          <w:rtl/>
        </w:rPr>
        <w:t>חיים</w:t>
      </w:r>
      <w:r w:rsidRPr="00B97E44">
        <w:rPr>
          <w:rFonts w:ascii="David" w:hAnsi="David"/>
          <w:sz w:val="24"/>
          <w:rtl/>
        </w:rPr>
        <w:t xml:space="preserve">, </w:t>
      </w:r>
      <w:r w:rsidRPr="00B97E44">
        <w:rPr>
          <w:rFonts w:ascii="David" w:hAnsi="David" w:hint="cs"/>
          <w:sz w:val="24"/>
          <w:rtl/>
        </w:rPr>
        <w:t>תעסוקה</w:t>
      </w:r>
      <w:r w:rsidRPr="00B97E44">
        <w:rPr>
          <w:rFonts w:ascii="David" w:hAnsi="David"/>
          <w:sz w:val="24"/>
          <w:rtl/>
        </w:rPr>
        <w:t xml:space="preserve"> </w:t>
      </w:r>
      <w:r w:rsidRPr="00B97E44">
        <w:rPr>
          <w:rFonts w:ascii="David" w:hAnsi="David" w:hint="cs"/>
          <w:sz w:val="24"/>
          <w:rtl/>
        </w:rPr>
        <w:t xml:space="preserve">וגמלאות, דורגו </w:t>
      </w:r>
      <w:r w:rsidRPr="00B97E44">
        <w:rPr>
          <w:rFonts w:ascii="David" w:hAnsi="David" w:hint="cs"/>
          <w:b/>
          <w:bCs/>
          <w:sz w:val="24"/>
          <w:rtl/>
        </w:rPr>
        <w:t>אופקים</w:t>
      </w:r>
      <w:r w:rsidRPr="00B97E44">
        <w:rPr>
          <w:rFonts w:ascii="David" w:hAnsi="David"/>
          <w:sz w:val="24"/>
          <w:rtl/>
        </w:rPr>
        <w:t>,</w:t>
      </w:r>
      <w:r w:rsidRPr="00B97E44">
        <w:rPr>
          <w:rFonts w:ascii="David" w:hAnsi="David" w:hint="cs"/>
          <w:b/>
          <w:bCs/>
          <w:sz w:val="24"/>
          <w:rtl/>
        </w:rPr>
        <w:t xml:space="preserve"> נתיבות </w:t>
      </w:r>
      <w:r w:rsidRPr="00B97E44">
        <w:rPr>
          <w:rFonts w:ascii="David" w:hAnsi="David" w:hint="eastAsia"/>
          <w:sz w:val="24"/>
          <w:rtl/>
        </w:rPr>
        <w:t>ו</w:t>
      </w:r>
      <w:r w:rsidRPr="00B97E44">
        <w:rPr>
          <w:rFonts w:ascii="David" w:hAnsi="David" w:hint="cs"/>
          <w:b/>
          <w:bCs/>
          <w:sz w:val="24"/>
          <w:rtl/>
        </w:rPr>
        <w:t>שדרות</w:t>
      </w:r>
      <w:r w:rsidRPr="00B97E44">
        <w:rPr>
          <w:rFonts w:ascii="David" w:hAnsi="David" w:hint="cs"/>
          <w:sz w:val="24"/>
          <w:rtl/>
        </w:rPr>
        <w:t xml:space="preserve"> בדירוג נמוך מאוד בין כלל הרשויות המקומיות בישראל. מאז ועד המועד האחרון שבו פורסם המדד בשנת 2021 השתפר מיקומן של שלוש הרשויות המקומיות בדירוג, אך בעוד מיקומה של שדרות בדירוג השתפר באופן עקבי השיפור במיקומן של אופקים ונתיבות היה מתון בהרבה והחל משנת 2015 ניתן לזהות אף מגמת ירידה קלה.</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בתרשים ובלוח להלן ניתן לראות את ההתפתחות של שלוש הערים במדד החברתי-כלכלי מאז שנת 1995 ועד 2021. </w:t>
      </w:r>
    </w:p>
    <w:p w:rsidR="005B126E" w:rsidP="001916A9">
      <w:pPr>
        <w:spacing w:line="269" w:lineRule="auto"/>
        <w:jc w:val="center"/>
        <w:rPr>
          <w:rFonts w:ascii="David" w:hAnsi="David"/>
          <w:sz w:val="24"/>
          <w:rtl/>
        </w:rPr>
      </w:pPr>
    </w:p>
    <w:p w:rsidR="005B126E" w:rsidRPr="00B97E44" w:rsidP="001916A9">
      <w:pPr>
        <w:keepNext/>
        <w:keepLines/>
        <w:spacing w:line="269" w:lineRule="auto"/>
        <w:jc w:val="center"/>
        <w:rPr>
          <w:rFonts w:ascii="David" w:hAnsi="David"/>
          <w:b/>
          <w:bCs/>
          <w:sz w:val="24"/>
          <w:rtl/>
        </w:rPr>
      </w:pPr>
      <w:r w:rsidRPr="00B97E44">
        <w:rPr>
          <w:rFonts w:ascii="David" w:hAnsi="David" w:hint="cs"/>
          <w:sz w:val="24"/>
          <w:rtl/>
        </w:rPr>
        <w:t xml:space="preserve">תרשים </w:t>
      </w:r>
      <w:r>
        <w:rPr>
          <w:rFonts w:ascii="David" w:hAnsi="David" w:hint="cs"/>
          <w:sz w:val="24"/>
          <w:rtl/>
        </w:rPr>
        <w:t>7</w:t>
      </w:r>
      <w:r w:rsidRPr="00B97E44">
        <w:rPr>
          <w:rFonts w:ascii="David" w:hAnsi="David" w:hint="cs"/>
          <w:sz w:val="24"/>
          <w:rtl/>
        </w:rPr>
        <w:t xml:space="preserve"> ולוח </w:t>
      </w:r>
      <w:r>
        <w:rPr>
          <w:rFonts w:ascii="David" w:hAnsi="David" w:hint="cs"/>
          <w:sz w:val="24"/>
          <w:rtl/>
        </w:rPr>
        <w:t>7</w:t>
      </w:r>
      <w:r w:rsidRPr="00B97E44">
        <w:rPr>
          <w:rFonts w:ascii="David" w:hAnsi="David" w:hint="cs"/>
          <w:sz w:val="24"/>
          <w:rtl/>
        </w:rPr>
        <w:t xml:space="preserve">: </w:t>
      </w:r>
      <w:r w:rsidRPr="00B97E44">
        <w:rPr>
          <w:rFonts w:ascii="David" w:hAnsi="David" w:hint="cs"/>
          <w:b/>
          <w:bCs/>
          <w:sz w:val="24"/>
          <w:rtl/>
        </w:rPr>
        <w:t xml:space="preserve">התפתחות הדירוג </w:t>
      </w:r>
      <w:r>
        <w:rPr>
          <w:rFonts w:ascii="David" w:hAnsi="David" w:hint="cs"/>
          <w:b/>
          <w:bCs/>
          <w:sz w:val="24"/>
          <w:rtl/>
        </w:rPr>
        <w:t xml:space="preserve">במדד </w:t>
      </w:r>
      <w:r w:rsidRPr="00B97E44">
        <w:rPr>
          <w:rFonts w:ascii="David" w:hAnsi="David" w:hint="cs"/>
          <w:b/>
          <w:bCs/>
          <w:sz w:val="24"/>
          <w:rtl/>
        </w:rPr>
        <w:t xml:space="preserve">החברתי-כלכלי של אופקים, נתיבות ושדרות, </w:t>
      </w:r>
    </w:p>
    <w:p w:rsidR="005B126E" w:rsidRPr="00B97E44" w:rsidP="001916A9">
      <w:pPr>
        <w:spacing w:line="269" w:lineRule="auto"/>
        <w:jc w:val="center"/>
        <w:rPr>
          <w:rFonts w:ascii="David" w:hAnsi="David"/>
          <w:sz w:val="24"/>
          <w:rtl/>
        </w:rPr>
      </w:pPr>
      <w:r w:rsidRPr="00B97E44">
        <w:rPr>
          <w:rFonts w:ascii="David" w:hAnsi="David" w:hint="cs"/>
          <w:b/>
          <w:bCs/>
          <w:sz w:val="24"/>
          <w:rtl/>
        </w:rPr>
        <w:t>1995 - 2021 (דירוג רציף</w:t>
      </w:r>
      <w:r>
        <w:rPr>
          <w:rStyle w:val="FootnoteReference1"/>
          <w:rFonts w:ascii="David" w:hAnsi="David"/>
          <w:b/>
          <w:bCs/>
          <w:sz w:val="24"/>
          <w:rtl/>
        </w:rPr>
        <w:footnoteReference w:id="130"/>
      </w:r>
      <w:r w:rsidRPr="00B97E44">
        <w:rPr>
          <w:rFonts w:ascii="David" w:hAnsi="David" w:hint="cs"/>
          <w:b/>
          <w:bCs/>
          <w:sz w:val="24"/>
          <w:rtl/>
        </w:rPr>
        <w:t>)</w:t>
      </w:r>
      <w:r w:rsidRPr="00B97E44">
        <w:rPr>
          <w:sz w:val="24"/>
          <w:vertAlign w:val="superscript"/>
          <w:rtl/>
        </w:rPr>
        <w:t xml:space="preserve"> </w:t>
      </w:r>
      <w:r w:rsidRPr="00B97E44">
        <w:rPr>
          <w:rFonts w:ascii="David" w:hAnsi="David"/>
          <w:noProof/>
          <w:sz w:val="24"/>
        </w:rPr>
        <w:drawing>
          <wp:inline distT="0" distB="0" distL="0" distR="0">
            <wp:extent cx="4509726" cy="3002280"/>
            <wp:effectExtent l="0" t="0" r="5715" b="7620"/>
            <wp:docPr id="29" name="תמונה 29" descr="התפתחות הדירוג במדד החברתי-כלכלי של אופקים, נתיבות ושדרות, בין השנים 1995 ל-2021. על אף ששדרות החלה בנקודת פתיחה דומה לזו של אופקים, נתוניה במדד החברתי כלכלי בשנת 2021 היו גבוהים באופן משמעותי.&#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apture.JPG"/>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a:xfrm>
                      <a:off x="0" y="0"/>
                      <a:ext cx="4581584" cy="3050119"/>
                    </a:xfrm>
                    <a:prstGeom prst="rect">
                      <a:avLst/>
                    </a:prstGeom>
                  </pic:spPr>
                </pic:pic>
              </a:graphicData>
            </a:graphic>
          </wp:inline>
        </w:drawing>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19"/>
        <w:gridCol w:w="1928"/>
        <w:gridCol w:w="1928"/>
        <w:gridCol w:w="1928"/>
      </w:tblGrid>
      <w:tr w:rsidTr="00FF2A74">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20"/>
          <w:jc w:val="center"/>
        </w:trPr>
        <w:tc>
          <w:tcPr>
            <w:tcW w:w="1019" w:type="dxa"/>
            <w:shd w:val="clear" w:color="auto" w:fill="DBE5F1" w:themeFill="accent1" w:themeFillTint="33"/>
            <w:noWrap/>
            <w:hideMark/>
          </w:tcPr>
          <w:p w:rsidR="005B126E" w:rsidRPr="00B97E44" w:rsidP="001916A9">
            <w:pPr>
              <w:spacing w:line="269" w:lineRule="auto"/>
              <w:jc w:val="center"/>
              <w:rPr>
                <w:rFonts w:ascii="Tahoma" w:hAnsi="Tahoma" w:cs="Tahoma"/>
                <w:color w:val="95B3D7" w:themeColor="accent1" w:themeTint="99"/>
                <w:sz w:val="16"/>
                <w:szCs w:val="16"/>
              </w:rPr>
            </w:pPr>
            <w:r>
              <w:rPr>
                <w:rFonts w:ascii="Tahoma" w:hAnsi="Tahoma" w:cs="Tahoma" w:hint="cs"/>
                <w:color w:val="95B3D7" w:themeColor="accent1" w:themeTint="99"/>
                <w:sz w:val="16"/>
                <w:szCs w:val="16"/>
                <w:rtl/>
              </w:rPr>
              <w:t>ה</w:t>
            </w:r>
            <w:r>
              <w:rPr>
                <w:rFonts w:ascii="Tahoma" w:hAnsi="Tahoma" w:cs="Tahoma" w:hint="cs"/>
                <w:color w:val="95B3D7" w:themeColor="accent1" w:themeTint="99"/>
                <w:sz w:val="16"/>
                <w:szCs w:val="16"/>
                <w:rtl/>
              </w:rPr>
              <w:t>שנה</w:t>
            </w:r>
          </w:p>
        </w:tc>
        <w:tc>
          <w:tcPr>
            <w:tcW w:w="1928" w:type="dxa"/>
            <w:noWrap/>
            <w:hideMark/>
          </w:tcPr>
          <w:p w:rsidR="005B126E" w:rsidRPr="00B97E44" w:rsidP="001916A9">
            <w:pPr>
              <w:spacing w:line="269" w:lineRule="auto"/>
              <w:jc w:val="center"/>
              <w:rPr>
                <w:rFonts w:ascii="Tahoma" w:hAnsi="Tahoma" w:cs="Tahoma"/>
                <w:color w:val="95B3D7" w:themeColor="accent1" w:themeTint="99"/>
                <w:sz w:val="16"/>
                <w:szCs w:val="16"/>
                <w:rtl/>
              </w:rPr>
            </w:pPr>
            <w:r w:rsidRPr="00B97E44">
              <w:rPr>
                <w:rFonts w:ascii="Tahoma" w:hAnsi="Tahoma" w:cs="Tahoma"/>
                <w:color w:val="95B3D7" w:themeColor="accent1" w:themeTint="99"/>
                <w:sz w:val="16"/>
                <w:szCs w:val="16"/>
                <w:rtl/>
              </w:rPr>
              <w:t>אופקים</w:t>
            </w:r>
          </w:p>
        </w:tc>
        <w:tc>
          <w:tcPr>
            <w:tcW w:w="1928" w:type="dxa"/>
            <w:noWrap/>
            <w:hideMark/>
          </w:tcPr>
          <w:p w:rsidR="005B126E" w:rsidRPr="00B97E44" w:rsidP="001916A9">
            <w:pPr>
              <w:spacing w:line="269" w:lineRule="auto"/>
              <w:jc w:val="center"/>
              <w:rPr>
                <w:rFonts w:ascii="Tahoma" w:hAnsi="Tahoma" w:cs="Tahoma"/>
                <w:color w:val="95B3D7" w:themeColor="accent1" w:themeTint="99"/>
                <w:sz w:val="16"/>
                <w:szCs w:val="16"/>
                <w:rtl/>
              </w:rPr>
            </w:pPr>
            <w:r w:rsidRPr="00B97E44">
              <w:rPr>
                <w:rFonts w:ascii="Tahoma" w:hAnsi="Tahoma" w:cs="Tahoma"/>
                <w:color w:val="95B3D7" w:themeColor="accent1" w:themeTint="99"/>
                <w:sz w:val="16"/>
                <w:szCs w:val="16"/>
                <w:rtl/>
              </w:rPr>
              <w:t>נתיבות</w:t>
            </w:r>
          </w:p>
        </w:tc>
        <w:tc>
          <w:tcPr>
            <w:tcW w:w="1928" w:type="dxa"/>
            <w:noWrap/>
            <w:hideMark/>
          </w:tcPr>
          <w:p w:rsidR="005B126E" w:rsidRPr="00B97E44" w:rsidP="001916A9">
            <w:pPr>
              <w:spacing w:line="269" w:lineRule="auto"/>
              <w:jc w:val="center"/>
              <w:rPr>
                <w:rFonts w:ascii="Tahoma" w:hAnsi="Tahoma" w:cs="Tahoma"/>
                <w:color w:val="95B3D7" w:themeColor="accent1" w:themeTint="99"/>
                <w:sz w:val="16"/>
                <w:szCs w:val="16"/>
                <w:rtl/>
              </w:rPr>
            </w:pPr>
            <w:r w:rsidRPr="00B97E44">
              <w:rPr>
                <w:rFonts w:ascii="Tahoma" w:hAnsi="Tahoma" w:cs="Tahoma"/>
                <w:color w:val="95B3D7" w:themeColor="accent1" w:themeTint="99"/>
                <w:sz w:val="16"/>
                <w:szCs w:val="16"/>
                <w:rtl/>
              </w:rPr>
              <w:t>שדרות</w:t>
            </w:r>
          </w:p>
        </w:tc>
      </w:tr>
      <w:tr w:rsidTr="00FF2A74">
        <w:tblPrEx>
          <w:tblW w:w="0" w:type="auto"/>
          <w:jc w:val="center"/>
          <w:tblLayout w:type="fixed"/>
          <w:tblLook w:val="04A0"/>
        </w:tblPrEx>
        <w:trPr>
          <w:trHeight w:val="20"/>
          <w:jc w:val="center"/>
        </w:trPr>
        <w:tc>
          <w:tcPr>
            <w:tcW w:w="1019" w:type="dxa"/>
            <w:shd w:val="clear" w:color="auto" w:fill="DBE5F1" w:themeFill="accent1" w:themeFillTint="33"/>
            <w:noWrap/>
            <w:hideMark/>
          </w:tcPr>
          <w:p w:rsidR="005B126E" w:rsidRPr="00B97E44" w:rsidP="001916A9">
            <w:pPr>
              <w:spacing w:line="269" w:lineRule="auto"/>
              <w:jc w:val="center"/>
              <w:rPr>
                <w:rFonts w:ascii="Tahoma" w:hAnsi="Tahoma" w:cs="Tahoma"/>
                <w:color w:val="7F7F7F" w:themeColor="text1" w:themeTint="80"/>
                <w:sz w:val="16"/>
                <w:szCs w:val="16"/>
              </w:rPr>
            </w:pPr>
            <w:r w:rsidRPr="00B97E44">
              <w:rPr>
                <w:rFonts w:ascii="Tahoma" w:hAnsi="Tahoma" w:cs="Tahoma"/>
                <w:color w:val="7F7F7F" w:themeColor="text1" w:themeTint="80"/>
                <w:sz w:val="16"/>
                <w:szCs w:val="16"/>
              </w:rPr>
              <w:t>1995</w:t>
            </w:r>
          </w:p>
        </w:tc>
        <w:tc>
          <w:tcPr>
            <w:tcW w:w="1928" w:type="dxa"/>
            <w:noWrap/>
            <w:hideMark/>
          </w:tcPr>
          <w:p w:rsidR="005B126E" w:rsidRPr="00B97E44" w:rsidP="001916A9">
            <w:pPr>
              <w:spacing w:line="269" w:lineRule="auto"/>
              <w:jc w:val="center"/>
              <w:rPr>
                <w:rFonts w:ascii="Tahoma" w:hAnsi="Tahoma" w:cs="Tahoma"/>
                <w:color w:val="7F7F7F" w:themeColor="text1" w:themeTint="80"/>
                <w:sz w:val="16"/>
                <w:szCs w:val="16"/>
              </w:rPr>
            </w:pPr>
            <w:r w:rsidRPr="00B97E44">
              <w:rPr>
                <w:rFonts w:ascii="Tahoma" w:hAnsi="Tahoma" w:cs="Tahoma"/>
                <w:color w:val="7F7F7F" w:themeColor="text1" w:themeTint="80"/>
                <w:sz w:val="16"/>
                <w:szCs w:val="16"/>
              </w:rPr>
              <w:t>3</w:t>
            </w:r>
          </w:p>
        </w:tc>
        <w:tc>
          <w:tcPr>
            <w:tcW w:w="1928" w:type="dxa"/>
            <w:noWrap/>
            <w:hideMark/>
          </w:tcPr>
          <w:p w:rsidR="005B126E" w:rsidRPr="00B97E44" w:rsidP="001916A9">
            <w:pPr>
              <w:spacing w:line="269" w:lineRule="auto"/>
              <w:jc w:val="center"/>
              <w:rPr>
                <w:rFonts w:ascii="Tahoma" w:hAnsi="Tahoma" w:cs="Tahoma"/>
                <w:color w:val="7F7F7F" w:themeColor="text1" w:themeTint="80"/>
                <w:sz w:val="16"/>
                <w:szCs w:val="16"/>
              </w:rPr>
            </w:pPr>
            <w:r w:rsidRPr="00B97E44">
              <w:rPr>
                <w:rFonts w:ascii="Tahoma" w:hAnsi="Tahoma" w:cs="Tahoma"/>
                <w:color w:val="7F7F7F" w:themeColor="text1" w:themeTint="80"/>
                <w:sz w:val="16"/>
                <w:szCs w:val="16"/>
              </w:rPr>
              <w:t>27</w:t>
            </w:r>
          </w:p>
        </w:tc>
        <w:tc>
          <w:tcPr>
            <w:tcW w:w="1928" w:type="dxa"/>
            <w:noWrap/>
            <w:hideMark/>
          </w:tcPr>
          <w:p w:rsidR="005B126E" w:rsidRPr="00B97E44" w:rsidP="001916A9">
            <w:pPr>
              <w:spacing w:line="269" w:lineRule="auto"/>
              <w:jc w:val="center"/>
              <w:rPr>
                <w:rFonts w:ascii="Tahoma" w:hAnsi="Tahoma" w:cs="Tahoma"/>
                <w:color w:val="7F7F7F" w:themeColor="text1" w:themeTint="80"/>
                <w:sz w:val="16"/>
                <w:szCs w:val="16"/>
              </w:rPr>
            </w:pPr>
            <w:r w:rsidRPr="00B97E44">
              <w:rPr>
                <w:rFonts w:ascii="Tahoma" w:hAnsi="Tahoma" w:cs="Tahoma"/>
                <w:color w:val="7F7F7F" w:themeColor="text1" w:themeTint="80"/>
                <w:sz w:val="16"/>
                <w:szCs w:val="16"/>
              </w:rPr>
              <w:t>5</w:t>
            </w:r>
          </w:p>
        </w:tc>
      </w:tr>
      <w:tr w:rsidTr="00FF2A74">
        <w:tblPrEx>
          <w:tblW w:w="0" w:type="auto"/>
          <w:jc w:val="center"/>
          <w:tblLayout w:type="fixed"/>
          <w:tblLook w:val="04A0"/>
        </w:tblPrEx>
        <w:trPr>
          <w:trHeight w:val="20"/>
          <w:jc w:val="center"/>
        </w:trPr>
        <w:tc>
          <w:tcPr>
            <w:tcW w:w="1019" w:type="dxa"/>
            <w:shd w:val="clear" w:color="auto" w:fill="DBE5F1" w:themeFill="accent1" w:themeFillTint="33"/>
            <w:noWrap/>
            <w:hideMark/>
          </w:tcPr>
          <w:p w:rsidR="005B126E" w:rsidRPr="00B97E44" w:rsidP="001916A9">
            <w:pPr>
              <w:spacing w:line="269" w:lineRule="auto"/>
              <w:jc w:val="center"/>
              <w:rPr>
                <w:rFonts w:ascii="Tahoma" w:hAnsi="Tahoma" w:cs="Tahoma"/>
                <w:color w:val="7F7F7F" w:themeColor="text1" w:themeTint="80"/>
                <w:sz w:val="16"/>
                <w:szCs w:val="16"/>
              </w:rPr>
            </w:pPr>
            <w:r w:rsidRPr="00B97E44">
              <w:rPr>
                <w:rFonts w:ascii="Tahoma" w:hAnsi="Tahoma" w:cs="Tahoma"/>
                <w:color w:val="7F7F7F" w:themeColor="text1" w:themeTint="80"/>
                <w:sz w:val="16"/>
                <w:szCs w:val="16"/>
              </w:rPr>
              <w:t>1998</w:t>
            </w:r>
          </w:p>
        </w:tc>
        <w:tc>
          <w:tcPr>
            <w:tcW w:w="1928" w:type="dxa"/>
            <w:noWrap/>
            <w:hideMark/>
          </w:tcPr>
          <w:p w:rsidR="005B126E" w:rsidRPr="00B97E44" w:rsidP="001916A9">
            <w:pPr>
              <w:spacing w:line="269" w:lineRule="auto"/>
              <w:jc w:val="center"/>
              <w:rPr>
                <w:rFonts w:ascii="Tahoma" w:hAnsi="Tahoma" w:cs="Tahoma"/>
                <w:color w:val="7F7F7F" w:themeColor="text1" w:themeTint="80"/>
                <w:sz w:val="16"/>
                <w:szCs w:val="16"/>
                <w:rtl/>
              </w:rPr>
            </w:pPr>
            <w:r w:rsidRPr="00B97E44">
              <w:rPr>
                <w:rFonts w:ascii="Tahoma" w:hAnsi="Tahoma" w:cs="Tahoma"/>
                <w:color w:val="7F7F7F" w:themeColor="text1" w:themeTint="80"/>
                <w:sz w:val="16"/>
                <w:szCs w:val="16"/>
              </w:rPr>
              <w:t>21</w:t>
            </w:r>
          </w:p>
        </w:tc>
        <w:tc>
          <w:tcPr>
            <w:tcW w:w="1928" w:type="dxa"/>
            <w:noWrap/>
            <w:hideMark/>
          </w:tcPr>
          <w:p w:rsidR="005B126E" w:rsidRPr="00B97E44" w:rsidP="001916A9">
            <w:pPr>
              <w:spacing w:line="269" w:lineRule="auto"/>
              <w:jc w:val="center"/>
              <w:rPr>
                <w:rFonts w:ascii="Tahoma" w:hAnsi="Tahoma" w:cs="Tahoma"/>
                <w:color w:val="7F7F7F" w:themeColor="text1" w:themeTint="80"/>
                <w:sz w:val="16"/>
                <w:szCs w:val="16"/>
              </w:rPr>
            </w:pPr>
            <w:r w:rsidRPr="00B97E44">
              <w:rPr>
                <w:rFonts w:ascii="Tahoma" w:hAnsi="Tahoma" w:cs="Tahoma"/>
                <w:color w:val="7F7F7F" w:themeColor="text1" w:themeTint="80"/>
                <w:sz w:val="16"/>
                <w:szCs w:val="16"/>
              </w:rPr>
              <w:t>39</w:t>
            </w:r>
          </w:p>
        </w:tc>
        <w:tc>
          <w:tcPr>
            <w:tcW w:w="1928" w:type="dxa"/>
            <w:noWrap/>
            <w:hideMark/>
          </w:tcPr>
          <w:p w:rsidR="005B126E" w:rsidRPr="00B97E44" w:rsidP="001916A9">
            <w:pPr>
              <w:spacing w:line="269" w:lineRule="auto"/>
              <w:jc w:val="center"/>
              <w:rPr>
                <w:rFonts w:ascii="Tahoma" w:hAnsi="Tahoma" w:cs="Tahoma"/>
                <w:color w:val="7F7F7F" w:themeColor="text1" w:themeTint="80"/>
                <w:sz w:val="16"/>
                <w:szCs w:val="16"/>
              </w:rPr>
            </w:pPr>
            <w:r w:rsidRPr="00B97E44">
              <w:rPr>
                <w:rFonts w:ascii="Tahoma" w:hAnsi="Tahoma" w:cs="Tahoma"/>
                <w:color w:val="7F7F7F" w:themeColor="text1" w:themeTint="80"/>
                <w:sz w:val="16"/>
                <w:szCs w:val="16"/>
              </w:rPr>
              <w:t>50</w:t>
            </w:r>
          </w:p>
        </w:tc>
      </w:tr>
      <w:tr w:rsidTr="00FF2A74">
        <w:tblPrEx>
          <w:tblW w:w="0" w:type="auto"/>
          <w:jc w:val="center"/>
          <w:tblLayout w:type="fixed"/>
          <w:tblLook w:val="04A0"/>
        </w:tblPrEx>
        <w:trPr>
          <w:trHeight w:val="20"/>
          <w:jc w:val="center"/>
        </w:trPr>
        <w:tc>
          <w:tcPr>
            <w:tcW w:w="1019" w:type="dxa"/>
            <w:shd w:val="clear" w:color="auto" w:fill="DBE5F1" w:themeFill="accent1" w:themeFillTint="33"/>
            <w:noWrap/>
            <w:hideMark/>
          </w:tcPr>
          <w:p w:rsidR="005B126E" w:rsidRPr="00B97E44" w:rsidP="001916A9">
            <w:pPr>
              <w:spacing w:line="269" w:lineRule="auto"/>
              <w:jc w:val="center"/>
              <w:rPr>
                <w:rFonts w:ascii="Tahoma" w:hAnsi="Tahoma" w:cs="Tahoma"/>
                <w:color w:val="7F7F7F" w:themeColor="text1" w:themeTint="80"/>
                <w:sz w:val="16"/>
                <w:szCs w:val="16"/>
              </w:rPr>
            </w:pPr>
            <w:r w:rsidRPr="00B97E44">
              <w:rPr>
                <w:rFonts w:ascii="Tahoma" w:hAnsi="Tahoma" w:cs="Tahoma"/>
                <w:color w:val="7F7F7F" w:themeColor="text1" w:themeTint="80"/>
                <w:sz w:val="16"/>
                <w:szCs w:val="16"/>
              </w:rPr>
              <w:t>1999</w:t>
            </w:r>
          </w:p>
        </w:tc>
        <w:tc>
          <w:tcPr>
            <w:tcW w:w="1928" w:type="dxa"/>
            <w:noWrap/>
            <w:hideMark/>
          </w:tcPr>
          <w:p w:rsidR="005B126E" w:rsidRPr="00B97E44" w:rsidP="001916A9">
            <w:pPr>
              <w:spacing w:line="269" w:lineRule="auto"/>
              <w:jc w:val="center"/>
              <w:rPr>
                <w:rFonts w:ascii="Tahoma" w:hAnsi="Tahoma" w:cs="Tahoma"/>
                <w:color w:val="7F7F7F" w:themeColor="text1" w:themeTint="80"/>
                <w:sz w:val="16"/>
                <w:szCs w:val="16"/>
              </w:rPr>
            </w:pPr>
            <w:r w:rsidRPr="00B97E44">
              <w:rPr>
                <w:rFonts w:ascii="Tahoma" w:hAnsi="Tahoma" w:cs="Tahoma"/>
                <w:color w:val="7F7F7F" w:themeColor="text1" w:themeTint="80"/>
                <w:sz w:val="16"/>
                <w:szCs w:val="16"/>
              </w:rPr>
              <w:t>39</w:t>
            </w:r>
          </w:p>
        </w:tc>
        <w:tc>
          <w:tcPr>
            <w:tcW w:w="1928" w:type="dxa"/>
            <w:noWrap/>
            <w:hideMark/>
          </w:tcPr>
          <w:p w:rsidR="005B126E" w:rsidRPr="00B97E44" w:rsidP="001916A9">
            <w:pPr>
              <w:spacing w:line="269" w:lineRule="auto"/>
              <w:jc w:val="center"/>
              <w:rPr>
                <w:rFonts w:ascii="Tahoma" w:hAnsi="Tahoma" w:cs="Tahoma"/>
                <w:color w:val="7F7F7F" w:themeColor="text1" w:themeTint="80"/>
                <w:sz w:val="16"/>
                <w:szCs w:val="16"/>
              </w:rPr>
            </w:pPr>
            <w:r w:rsidRPr="00B97E44">
              <w:rPr>
                <w:rFonts w:ascii="Tahoma" w:hAnsi="Tahoma" w:cs="Tahoma"/>
                <w:color w:val="7F7F7F" w:themeColor="text1" w:themeTint="80"/>
                <w:sz w:val="16"/>
                <w:szCs w:val="16"/>
              </w:rPr>
              <w:t>37</w:t>
            </w:r>
          </w:p>
        </w:tc>
        <w:tc>
          <w:tcPr>
            <w:tcW w:w="1928" w:type="dxa"/>
            <w:noWrap/>
            <w:hideMark/>
          </w:tcPr>
          <w:p w:rsidR="005B126E" w:rsidRPr="00B97E44" w:rsidP="001916A9">
            <w:pPr>
              <w:spacing w:line="269" w:lineRule="auto"/>
              <w:jc w:val="center"/>
              <w:rPr>
                <w:rFonts w:ascii="Tahoma" w:hAnsi="Tahoma" w:cs="Tahoma"/>
                <w:color w:val="7F7F7F" w:themeColor="text1" w:themeTint="80"/>
                <w:sz w:val="16"/>
                <w:szCs w:val="16"/>
              </w:rPr>
            </w:pPr>
            <w:r w:rsidRPr="00B97E44">
              <w:rPr>
                <w:rFonts w:ascii="Tahoma" w:hAnsi="Tahoma" w:cs="Tahoma"/>
                <w:color w:val="7F7F7F" w:themeColor="text1" w:themeTint="80"/>
                <w:sz w:val="16"/>
                <w:szCs w:val="16"/>
              </w:rPr>
              <w:t>60</w:t>
            </w:r>
          </w:p>
        </w:tc>
      </w:tr>
      <w:tr w:rsidTr="00FF2A74">
        <w:tblPrEx>
          <w:tblW w:w="0" w:type="auto"/>
          <w:jc w:val="center"/>
          <w:tblLayout w:type="fixed"/>
          <w:tblLook w:val="04A0"/>
        </w:tblPrEx>
        <w:trPr>
          <w:trHeight w:val="20"/>
          <w:jc w:val="center"/>
        </w:trPr>
        <w:tc>
          <w:tcPr>
            <w:tcW w:w="1019" w:type="dxa"/>
            <w:shd w:val="clear" w:color="auto" w:fill="DBE5F1" w:themeFill="accent1" w:themeFillTint="33"/>
            <w:noWrap/>
            <w:hideMark/>
          </w:tcPr>
          <w:p w:rsidR="005B126E" w:rsidRPr="00B97E44" w:rsidP="001916A9">
            <w:pPr>
              <w:spacing w:line="269" w:lineRule="auto"/>
              <w:jc w:val="center"/>
              <w:rPr>
                <w:rFonts w:ascii="Tahoma" w:hAnsi="Tahoma" w:cs="Tahoma"/>
                <w:color w:val="7F7F7F" w:themeColor="text1" w:themeTint="80"/>
                <w:sz w:val="16"/>
                <w:szCs w:val="16"/>
              </w:rPr>
            </w:pPr>
            <w:r w:rsidRPr="00B97E44">
              <w:rPr>
                <w:rFonts w:ascii="Tahoma" w:hAnsi="Tahoma" w:cs="Tahoma"/>
                <w:color w:val="7F7F7F" w:themeColor="text1" w:themeTint="80"/>
                <w:sz w:val="16"/>
                <w:szCs w:val="16"/>
              </w:rPr>
              <w:t>2001</w:t>
            </w:r>
          </w:p>
        </w:tc>
        <w:tc>
          <w:tcPr>
            <w:tcW w:w="1928" w:type="dxa"/>
            <w:noWrap/>
            <w:hideMark/>
          </w:tcPr>
          <w:p w:rsidR="005B126E" w:rsidRPr="00B97E44" w:rsidP="001916A9">
            <w:pPr>
              <w:spacing w:line="269" w:lineRule="auto"/>
              <w:jc w:val="center"/>
              <w:rPr>
                <w:rFonts w:ascii="Tahoma" w:hAnsi="Tahoma" w:cs="Tahoma"/>
                <w:color w:val="7F7F7F" w:themeColor="text1" w:themeTint="80"/>
                <w:sz w:val="16"/>
                <w:szCs w:val="16"/>
              </w:rPr>
            </w:pPr>
            <w:r w:rsidRPr="00B97E44">
              <w:rPr>
                <w:rFonts w:ascii="Tahoma" w:hAnsi="Tahoma" w:cs="Tahoma"/>
                <w:color w:val="7F7F7F" w:themeColor="text1" w:themeTint="80"/>
                <w:sz w:val="16"/>
                <w:szCs w:val="16"/>
              </w:rPr>
              <w:t>71</w:t>
            </w:r>
          </w:p>
        </w:tc>
        <w:tc>
          <w:tcPr>
            <w:tcW w:w="1928" w:type="dxa"/>
            <w:noWrap/>
            <w:hideMark/>
          </w:tcPr>
          <w:p w:rsidR="005B126E" w:rsidRPr="00B97E44" w:rsidP="001916A9">
            <w:pPr>
              <w:spacing w:line="269" w:lineRule="auto"/>
              <w:jc w:val="center"/>
              <w:rPr>
                <w:rFonts w:ascii="Tahoma" w:hAnsi="Tahoma" w:cs="Tahoma"/>
                <w:color w:val="7F7F7F" w:themeColor="text1" w:themeTint="80"/>
                <w:sz w:val="16"/>
                <w:szCs w:val="16"/>
              </w:rPr>
            </w:pPr>
            <w:r w:rsidRPr="00B97E44">
              <w:rPr>
                <w:rFonts w:ascii="Tahoma" w:hAnsi="Tahoma" w:cs="Tahoma"/>
                <w:color w:val="7F7F7F" w:themeColor="text1" w:themeTint="80"/>
                <w:sz w:val="16"/>
                <w:szCs w:val="16"/>
              </w:rPr>
              <w:t>60</w:t>
            </w:r>
          </w:p>
        </w:tc>
        <w:tc>
          <w:tcPr>
            <w:tcW w:w="1928" w:type="dxa"/>
            <w:noWrap/>
            <w:hideMark/>
          </w:tcPr>
          <w:p w:rsidR="005B126E" w:rsidRPr="00B97E44" w:rsidP="001916A9">
            <w:pPr>
              <w:spacing w:line="269" w:lineRule="auto"/>
              <w:jc w:val="center"/>
              <w:rPr>
                <w:rFonts w:ascii="Tahoma" w:hAnsi="Tahoma" w:cs="Tahoma"/>
                <w:color w:val="7F7F7F" w:themeColor="text1" w:themeTint="80"/>
                <w:sz w:val="16"/>
                <w:szCs w:val="16"/>
              </w:rPr>
            </w:pPr>
            <w:r w:rsidRPr="00B97E44">
              <w:rPr>
                <w:rFonts w:ascii="Tahoma" w:hAnsi="Tahoma" w:cs="Tahoma"/>
                <w:color w:val="7F7F7F" w:themeColor="text1" w:themeTint="80"/>
                <w:sz w:val="16"/>
                <w:szCs w:val="16"/>
              </w:rPr>
              <w:t>87</w:t>
            </w:r>
          </w:p>
        </w:tc>
      </w:tr>
      <w:tr w:rsidTr="00FF2A74">
        <w:tblPrEx>
          <w:tblW w:w="0" w:type="auto"/>
          <w:jc w:val="center"/>
          <w:tblLayout w:type="fixed"/>
          <w:tblLook w:val="04A0"/>
        </w:tblPrEx>
        <w:trPr>
          <w:trHeight w:val="20"/>
          <w:jc w:val="center"/>
        </w:trPr>
        <w:tc>
          <w:tcPr>
            <w:tcW w:w="1019" w:type="dxa"/>
            <w:shd w:val="clear" w:color="auto" w:fill="DBE5F1" w:themeFill="accent1" w:themeFillTint="33"/>
            <w:noWrap/>
            <w:hideMark/>
          </w:tcPr>
          <w:p w:rsidR="005B126E" w:rsidRPr="00B97E44" w:rsidP="001916A9">
            <w:pPr>
              <w:spacing w:line="269" w:lineRule="auto"/>
              <w:jc w:val="center"/>
              <w:rPr>
                <w:rFonts w:ascii="Tahoma" w:hAnsi="Tahoma" w:cs="Tahoma"/>
                <w:color w:val="7F7F7F" w:themeColor="text1" w:themeTint="80"/>
                <w:sz w:val="16"/>
                <w:szCs w:val="16"/>
              </w:rPr>
            </w:pPr>
            <w:r w:rsidRPr="00B97E44">
              <w:rPr>
                <w:rFonts w:ascii="Tahoma" w:hAnsi="Tahoma" w:cs="Tahoma"/>
                <w:color w:val="7F7F7F" w:themeColor="text1" w:themeTint="80"/>
                <w:sz w:val="16"/>
                <w:szCs w:val="16"/>
              </w:rPr>
              <w:t>2003</w:t>
            </w:r>
          </w:p>
        </w:tc>
        <w:tc>
          <w:tcPr>
            <w:tcW w:w="1928" w:type="dxa"/>
            <w:noWrap/>
            <w:hideMark/>
          </w:tcPr>
          <w:p w:rsidR="005B126E" w:rsidRPr="00B97E44" w:rsidP="001916A9">
            <w:pPr>
              <w:spacing w:line="269" w:lineRule="auto"/>
              <w:jc w:val="center"/>
              <w:rPr>
                <w:rFonts w:ascii="Tahoma" w:hAnsi="Tahoma" w:cs="Tahoma"/>
                <w:color w:val="7F7F7F" w:themeColor="text1" w:themeTint="80"/>
                <w:sz w:val="16"/>
                <w:szCs w:val="16"/>
              </w:rPr>
            </w:pPr>
            <w:r w:rsidRPr="00B97E44">
              <w:rPr>
                <w:rFonts w:ascii="Tahoma" w:hAnsi="Tahoma" w:cs="Tahoma"/>
                <w:color w:val="7F7F7F" w:themeColor="text1" w:themeTint="80"/>
                <w:sz w:val="16"/>
                <w:szCs w:val="16"/>
              </w:rPr>
              <w:t>70</w:t>
            </w:r>
          </w:p>
        </w:tc>
        <w:tc>
          <w:tcPr>
            <w:tcW w:w="1928" w:type="dxa"/>
            <w:noWrap/>
            <w:hideMark/>
          </w:tcPr>
          <w:p w:rsidR="005B126E" w:rsidRPr="00B97E44" w:rsidP="001916A9">
            <w:pPr>
              <w:spacing w:line="269" w:lineRule="auto"/>
              <w:jc w:val="center"/>
              <w:rPr>
                <w:rFonts w:ascii="Tahoma" w:hAnsi="Tahoma" w:cs="Tahoma"/>
                <w:color w:val="7F7F7F" w:themeColor="text1" w:themeTint="80"/>
                <w:sz w:val="16"/>
                <w:szCs w:val="16"/>
              </w:rPr>
            </w:pPr>
            <w:r w:rsidRPr="00B97E44">
              <w:rPr>
                <w:rFonts w:ascii="Tahoma" w:hAnsi="Tahoma" w:cs="Tahoma"/>
                <w:color w:val="7F7F7F" w:themeColor="text1" w:themeTint="80"/>
                <w:sz w:val="16"/>
                <w:szCs w:val="16"/>
              </w:rPr>
              <w:t>64</w:t>
            </w:r>
          </w:p>
        </w:tc>
        <w:tc>
          <w:tcPr>
            <w:tcW w:w="1928" w:type="dxa"/>
            <w:noWrap/>
            <w:hideMark/>
          </w:tcPr>
          <w:p w:rsidR="005B126E" w:rsidRPr="00B97E44" w:rsidP="001916A9">
            <w:pPr>
              <w:spacing w:line="269" w:lineRule="auto"/>
              <w:jc w:val="center"/>
              <w:rPr>
                <w:rFonts w:ascii="Tahoma" w:hAnsi="Tahoma" w:cs="Tahoma"/>
                <w:color w:val="7F7F7F" w:themeColor="text1" w:themeTint="80"/>
                <w:sz w:val="16"/>
                <w:szCs w:val="16"/>
              </w:rPr>
            </w:pPr>
            <w:r w:rsidRPr="00B97E44">
              <w:rPr>
                <w:rFonts w:ascii="Tahoma" w:hAnsi="Tahoma" w:cs="Tahoma"/>
                <w:color w:val="7F7F7F" w:themeColor="text1" w:themeTint="80"/>
                <w:sz w:val="16"/>
                <w:szCs w:val="16"/>
              </w:rPr>
              <w:t>91</w:t>
            </w:r>
          </w:p>
        </w:tc>
      </w:tr>
      <w:tr w:rsidTr="00FF2A74">
        <w:tblPrEx>
          <w:tblW w:w="0" w:type="auto"/>
          <w:jc w:val="center"/>
          <w:tblLayout w:type="fixed"/>
          <w:tblLook w:val="04A0"/>
        </w:tblPrEx>
        <w:trPr>
          <w:trHeight w:val="20"/>
          <w:jc w:val="center"/>
        </w:trPr>
        <w:tc>
          <w:tcPr>
            <w:tcW w:w="1019" w:type="dxa"/>
            <w:shd w:val="clear" w:color="auto" w:fill="DBE5F1" w:themeFill="accent1" w:themeFillTint="33"/>
            <w:noWrap/>
            <w:hideMark/>
          </w:tcPr>
          <w:p w:rsidR="005B126E" w:rsidRPr="00B97E44" w:rsidP="001916A9">
            <w:pPr>
              <w:spacing w:line="269" w:lineRule="auto"/>
              <w:jc w:val="center"/>
              <w:rPr>
                <w:rFonts w:ascii="Tahoma" w:hAnsi="Tahoma" w:cs="Tahoma"/>
                <w:color w:val="7F7F7F" w:themeColor="text1" w:themeTint="80"/>
                <w:sz w:val="16"/>
                <w:szCs w:val="16"/>
              </w:rPr>
            </w:pPr>
            <w:r w:rsidRPr="00B97E44">
              <w:rPr>
                <w:rFonts w:ascii="Tahoma" w:hAnsi="Tahoma" w:cs="Tahoma"/>
                <w:color w:val="7F7F7F" w:themeColor="text1" w:themeTint="80"/>
                <w:sz w:val="16"/>
                <w:szCs w:val="16"/>
              </w:rPr>
              <w:t>2006</w:t>
            </w:r>
          </w:p>
        </w:tc>
        <w:tc>
          <w:tcPr>
            <w:tcW w:w="1928" w:type="dxa"/>
            <w:noWrap/>
            <w:hideMark/>
          </w:tcPr>
          <w:p w:rsidR="005B126E" w:rsidRPr="00B97E44" w:rsidP="001916A9">
            <w:pPr>
              <w:spacing w:line="269" w:lineRule="auto"/>
              <w:jc w:val="center"/>
              <w:rPr>
                <w:rFonts w:ascii="Tahoma" w:hAnsi="Tahoma" w:cs="Tahoma"/>
                <w:color w:val="7F7F7F" w:themeColor="text1" w:themeTint="80"/>
                <w:sz w:val="16"/>
                <w:szCs w:val="16"/>
                <w:rtl/>
              </w:rPr>
            </w:pPr>
            <w:r w:rsidRPr="00B97E44">
              <w:rPr>
                <w:rFonts w:ascii="Tahoma" w:hAnsi="Tahoma" w:cs="Tahoma"/>
                <w:color w:val="7F7F7F" w:themeColor="text1" w:themeTint="80"/>
                <w:sz w:val="16"/>
                <w:szCs w:val="16"/>
              </w:rPr>
              <w:t>73</w:t>
            </w:r>
          </w:p>
        </w:tc>
        <w:tc>
          <w:tcPr>
            <w:tcW w:w="1928" w:type="dxa"/>
            <w:noWrap/>
            <w:hideMark/>
          </w:tcPr>
          <w:p w:rsidR="005B126E" w:rsidRPr="00B97E44" w:rsidP="001916A9">
            <w:pPr>
              <w:spacing w:line="269" w:lineRule="auto"/>
              <w:jc w:val="center"/>
              <w:rPr>
                <w:rFonts w:ascii="Tahoma" w:hAnsi="Tahoma" w:cs="Tahoma"/>
                <w:color w:val="7F7F7F" w:themeColor="text1" w:themeTint="80"/>
                <w:sz w:val="16"/>
                <w:szCs w:val="16"/>
              </w:rPr>
            </w:pPr>
            <w:r w:rsidRPr="00B97E44">
              <w:rPr>
                <w:rFonts w:ascii="Tahoma" w:hAnsi="Tahoma" w:cs="Tahoma"/>
                <w:color w:val="7F7F7F" w:themeColor="text1" w:themeTint="80"/>
                <w:sz w:val="16"/>
                <w:szCs w:val="16"/>
              </w:rPr>
              <w:t>65</w:t>
            </w:r>
          </w:p>
        </w:tc>
        <w:tc>
          <w:tcPr>
            <w:tcW w:w="1928" w:type="dxa"/>
            <w:noWrap/>
            <w:hideMark/>
          </w:tcPr>
          <w:p w:rsidR="005B126E" w:rsidRPr="00B97E44" w:rsidP="001916A9">
            <w:pPr>
              <w:spacing w:line="269" w:lineRule="auto"/>
              <w:jc w:val="center"/>
              <w:rPr>
                <w:rFonts w:ascii="Tahoma" w:hAnsi="Tahoma" w:cs="Tahoma"/>
                <w:color w:val="7F7F7F" w:themeColor="text1" w:themeTint="80"/>
                <w:sz w:val="16"/>
                <w:szCs w:val="16"/>
              </w:rPr>
            </w:pPr>
            <w:r w:rsidRPr="00B97E44">
              <w:rPr>
                <w:rFonts w:ascii="Tahoma" w:hAnsi="Tahoma" w:cs="Tahoma"/>
                <w:color w:val="7F7F7F" w:themeColor="text1" w:themeTint="80"/>
                <w:sz w:val="16"/>
                <w:szCs w:val="16"/>
              </w:rPr>
              <w:t>103</w:t>
            </w:r>
          </w:p>
        </w:tc>
      </w:tr>
      <w:tr w:rsidTr="00FF2A74">
        <w:tblPrEx>
          <w:tblW w:w="0" w:type="auto"/>
          <w:jc w:val="center"/>
          <w:tblLayout w:type="fixed"/>
          <w:tblLook w:val="04A0"/>
        </w:tblPrEx>
        <w:trPr>
          <w:trHeight w:val="20"/>
          <w:jc w:val="center"/>
        </w:trPr>
        <w:tc>
          <w:tcPr>
            <w:tcW w:w="1019" w:type="dxa"/>
            <w:shd w:val="clear" w:color="auto" w:fill="DBE5F1" w:themeFill="accent1" w:themeFillTint="33"/>
            <w:noWrap/>
            <w:hideMark/>
          </w:tcPr>
          <w:p w:rsidR="005B126E" w:rsidRPr="00B97E44" w:rsidP="001916A9">
            <w:pPr>
              <w:spacing w:line="269" w:lineRule="auto"/>
              <w:jc w:val="center"/>
              <w:rPr>
                <w:rFonts w:ascii="Tahoma" w:hAnsi="Tahoma" w:cs="Tahoma"/>
                <w:color w:val="7F7F7F" w:themeColor="text1" w:themeTint="80"/>
                <w:sz w:val="16"/>
                <w:szCs w:val="16"/>
              </w:rPr>
            </w:pPr>
            <w:r w:rsidRPr="00B97E44">
              <w:rPr>
                <w:rFonts w:ascii="Tahoma" w:hAnsi="Tahoma" w:cs="Tahoma"/>
                <w:color w:val="7F7F7F" w:themeColor="text1" w:themeTint="80"/>
                <w:sz w:val="16"/>
                <w:szCs w:val="16"/>
              </w:rPr>
              <w:t>2008</w:t>
            </w:r>
          </w:p>
        </w:tc>
        <w:tc>
          <w:tcPr>
            <w:tcW w:w="1928" w:type="dxa"/>
            <w:noWrap/>
            <w:hideMark/>
          </w:tcPr>
          <w:p w:rsidR="005B126E" w:rsidRPr="00B97E44" w:rsidP="001916A9">
            <w:pPr>
              <w:spacing w:line="269" w:lineRule="auto"/>
              <w:jc w:val="center"/>
              <w:rPr>
                <w:rFonts w:ascii="Tahoma" w:hAnsi="Tahoma" w:cs="Tahoma"/>
                <w:color w:val="7F7F7F" w:themeColor="text1" w:themeTint="80"/>
                <w:sz w:val="16"/>
                <w:szCs w:val="16"/>
              </w:rPr>
            </w:pPr>
            <w:r w:rsidRPr="00B97E44">
              <w:rPr>
                <w:rFonts w:ascii="Tahoma" w:hAnsi="Tahoma" w:cs="Tahoma"/>
                <w:color w:val="7F7F7F" w:themeColor="text1" w:themeTint="80"/>
                <w:sz w:val="16"/>
                <w:szCs w:val="16"/>
              </w:rPr>
              <w:t>75</w:t>
            </w:r>
          </w:p>
        </w:tc>
        <w:tc>
          <w:tcPr>
            <w:tcW w:w="1928" w:type="dxa"/>
            <w:noWrap/>
            <w:hideMark/>
          </w:tcPr>
          <w:p w:rsidR="005B126E" w:rsidRPr="00B97E44" w:rsidP="001916A9">
            <w:pPr>
              <w:spacing w:line="269" w:lineRule="auto"/>
              <w:jc w:val="center"/>
              <w:rPr>
                <w:rFonts w:ascii="Tahoma" w:hAnsi="Tahoma" w:cs="Tahoma"/>
                <w:color w:val="7F7F7F" w:themeColor="text1" w:themeTint="80"/>
                <w:sz w:val="16"/>
                <w:szCs w:val="16"/>
              </w:rPr>
            </w:pPr>
            <w:r w:rsidRPr="00B97E44">
              <w:rPr>
                <w:rFonts w:ascii="Tahoma" w:hAnsi="Tahoma" w:cs="Tahoma"/>
                <w:color w:val="7F7F7F" w:themeColor="text1" w:themeTint="80"/>
                <w:sz w:val="16"/>
                <w:szCs w:val="16"/>
              </w:rPr>
              <w:t>76</w:t>
            </w:r>
          </w:p>
        </w:tc>
        <w:tc>
          <w:tcPr>
            <w:tcW w:w="1928" w:type="dxa"/>
            <w:noWrap/>
            <w:hideMark/>
          </w:tcPr>
          <w:p w:rsidR="005B126E" w:rsidRPr="00B97E44" w:rsidP="001916A9">
            <w:pPr>
              <w:spacing w:line="269" w:lineRule="auto"/>
              <w:jc w:val="center"/>
              <w:rPr>
                <w:rFonts w:ascii="Tahoma" w:hAnsi="Tahoma" w:cs="Tahoma"/>
                <w:color w:val="7F7F7F" w:themeColor="text1" w:themeTint="80"/>
                <w:sz w:val="16"/>
                <w:szCs w:val="16"/>
              </w:rPr>
            </w:pPr>
            <w:r w:rsidRPr="00B97E44">
              <w:rPr>
                <w:rFonts w:ascii="Tahoma" w:hAnsi="Tahoma" w:cs="Tahoma"/>
                <w:color w:val="7F7F7F" w:themeColor="text1" w:themeTint="80"/>
                <w:sz w:val="16"/>
                <w:szCs w:val="16"/>
              </w:rPr>
              <w:t>98</w:t>
            </w:r>
          </w:p>
        </w:tc>
      </w:tr>
      <w:tr w:rsidTr="00FF2A74">
        <w:tblPrEx>
          <w:tblW w:w="0" w:type="auto"/>
          <w:jc w:val="center"/>
          <w:tblLayout w:type="fixed"/>
          <w:tblLook w:val="04A0"/>
        </w:tblPrEx>
        <w:trPr>
          <w:trHeight w:val="20"/>
          <w:jc w:val="center"/>
        </w:trPr>
        <w:tc>
          <w:tcPr>
            <w:tcW w:w="1019" w:type="dxa"/>
            <w:shd w:val="clear" w:color="auto" w:fill="DBE5F1" w:themeFill="accent1" w:themeFillTint="33"/>
            <w:noWrap/>
            <w:hideMark/>
          </w:tcPr>
          <w:p w:rsidR="005B126E" w:rsidRPr="00B97E44" w:rsidP="001916A9">
            <w:pPr>
              <w:spacing w:line="269" w:lineRule="auto"/>
              <w:jc w:val="center"/>
              <w:rPr>
                <w:rFonts w:ascii="Tahoma" w:hAnsi="Tahoma" w:cs="Tahoma"/>
                <w:color w:val="7F7F7F" w:themeColor="text1" w:themeTint="80"/>
                <w:sz w:val="16"/>
                <w:szCs w:val="16"/>
              </w:rPr>
            </w:pPr>
            <w:r w:rsidRPr="00B97E44">
              <w:rPr>
                <w:rFonts w:ascii="Tahoma" w:hAnsi="Tahoma" w:cs="Tahoma"/>
                <w:color w:val="7F7F7F" w:themeColor="text1" w:themeTint="80"/>
                <w:sz w:val="16"/>
                <w:szCs w:val="16"/>
              </w:rPr>
              <w:t>2013</w:t>
            </w:r>
          </w:p>
        </w:tc>
        <w:tc>
          <w:tcPr>
            <w:tcW w:w="1928" w:type="dxa"/>
            <w:noWrap/>
            <w:hideMark/>
          </w:tcPr>
          <w:p w:rsidR="005B126E" w:rsidRPr="00B97E44" w:rsidP="001916A9">
            <w:pPr>
              <w:spacing w:line="269" w:lineRule="auto"/>
              <w:jc w:val="center"/>
              <w:rPr>
                <w:rFonts w:ascii="Tahoma" w:hAnsi="Tahoma" w:cs="Tahoma"/>
                <w:color w:val="7F7F7F" w:themeColor="text1" w:themeTint="80"/>
                <w:sz w:val="16"/>
                <w:szCs w:val="16"/>
              </w:rPr>
            </w:pPr>
            <w:r w:rsidRPr="00B97E44">
              <w:rPr>
                <w:rFonts w:ascii="Tahoma" w:hAnsi="Tahoma" w:cs="Tahoma"/>
                <w:color w:val="7F7F7F" w:themeColor="text1" w:themeTint="80"/>
                <w:sz w:val="16"/>
                <w:szCs w:val="16"/>
              </w:rPr>
              <w:t>72</w:t>
            </w:r>
          </w:p>
        </w:tc>
        <w:tc>
          <w:tcPr>
            <w:tcW w:w="1928" w:type="dxa"/>
            <w:noWrap/>
            <w:hideMark/>
          </w:tcPr>
          <w:p w:rsidR="005B126E" w:rsidRPr="00B97E44" w:rsidP="001916A9">
            <w:pPr>
              <w:spacing w:line="269" w:lineRule="auto"/>
              <w:jc w:val="center"/>
              <w:rPr>
                <w:rFonts w:ascii="Tahoma" w:hAnsi="Tahoma" w:cs="Tahoma"/>
                <w:color w:val="7F7F7F" w:themeColor="text1" w:themeTint="80"/>
                <w:sz w:val="16"/>
                <w:szCs w:val="16"/>
              </w:rPr>
            </w:pPr>
            <w:r w:rsidRPr="00B97E44">
              <w:rPr>
                <w:rFonts w:ascii="Tahoma" w:hAnsi="Tahoma" w:cs="Tahoma"/>
                <w:color w:val="7F7F7F" w:themeColor="text1" w:themeTint="80"/>
                <w:sz w:val="16"/>
                <w:szCs w:val="16"/>
              </w:rPr>
              <w:t>71</w:t>
            </w:r>
          </w:p>
        </w:tc>
        <w:tc>
          <w:tcPr>
            <w:tcW w:w="1928" w:type="dxa"/>
            <w:noWrap/>
            <w:hideMark/>
          </w:tcPr>
          <w:p w:rsidR="005B126E" w:rsidRPr="00B97E44" w:rsidP="001916A9">
            <w:pPr>
              <w:spacing w:line="269" w:lineRule="auto"/>
              <w:jc w:val="center"/>
              <w:rPr>
                <w:rFonts w:ascii="Tahoma" w:hAnsi="Tahoma" w:cs="Tahoma"/>
                <w:color w:val="7F7F7F" w:themeColor="text1" w:themeTint="80"/>
                <w:sz w:val="16"/>
                <w:szCs w:val="16"/>
              </w:rPr>
            </w:pPr>
            <w:r w:rsidRPr="00B97E44">
              <w:rPr>
                <w:rFonts w:ascii="Tahoma" w:hAnsi="Tahoma" w:cs="Tahoma"/>
                <w:color w:val="7F7F7F" w:themeColor="text1" w:themeTint="80"/>
                <w:sz w:val="16"/>
                <w:szCs w:val="16"/>
              </w:rPr>
              <w:t>112</w:t>
            </w:r>
          </w:p>
        </w:tc>
      </w:tr>
      <w:tr w:rsidTr="00FF2A74">
        <w:tblPrEx>
          <w:tblW w:w="0" w:type="auto"/>
          <w:jc w:val="center"/>
          <w:tblLayout w:type="fixed"/>
          <w:tblLook w:val="04A0"/>
        </w:tblPrEx>
        <w:trPr>
          <w:trHeight w:val="20"/>
          <w:jc w:val="center"/>
        </w:trPr>
        <w:tc>
          <w:tcPr>
            <w:tcW w:w="1019" w:type="dxa"/>
            <w:shd w:val="clear" w:color="auto" w:fill="DBE5F1" w:themeFill="accent1" w:themeFillTint="33"/>
            <w:noWrap/>
            <w:hideMark/>
          </w:tcPr>
          <w:p w:rsidR="005B126E" w:rsidRPr="00B97E44" w:rsidP="001916A9">
            <w:pPr>
              <w:spacing w:line="269" w:lineRule="auto"/>
              <w:jc w:val="center"/>
              <w:rPr>
                <w:rFonts w:ascii="Tahoma" w:hAnsi="Tahoma" w:cs="Tahoma"/>
                <w:color w:val="7F7F7F" w:themeColor="text1" w:themeTint="80"/>
                <w:sz w:val="16"/>
                <w:szCs w:val="16"/>
              </w:rPr>
            </w:pPr>
            <w:r w:rsidRPr="00B97E44">
              <w:rPr>
                <w:rFonts w:ascii="Tahoma" w:hAnsi="Tahoma" w:cs="Tahoma"/>
                <w:color w:val="7F7F7F" w:themeColor="text1" w:themeTint="80"/>
                <w:sz w:val="16"/>
                <w:szCs w:val="16"/>
              </w:rPr>
              <w:t>2015</w:t>
            </w:r>
          </w:p>
        </w:tc>
        <w:tc>
          <w:tcPr>
            <w:tcW w:w="1928" w:type="dxa"/>
            <w:noWrap/>
            <w:hideMark/>
          </w:tcPr>
          <w:p w:rsidR="005B126E" w:rsidRPr="00B97E44" w:rsidP="001916A9">
            <w:pPr>
              <w:spacing w:line="269" w:lineRule="auto"/>
              <w:jc w:val="center"/>
              <w:rPr>
                <w:rFonts w:ascii="Tahoma" w:hAnsi="Tahoma" w:cs="Tahoma"/>
                <w:color w:val="7F7F7F" w:themeColor="text1" w:themeTint="80"/>
                <w:sz w:val="16"/>
                <w:szCs w:val="16"/>
              </w:rPr>
            </w:pPr>
            <w:r w:rsidRPr="00B97E44">
              <w:rPr>
                <w:rFonts w:ascii="Tahoma" w:hAnsi="Tahoma" w:cs="Tahoma"/>
                <w:color w:val="7F7F7F" w:themeColor="text1" w:themeTint="80"/>
                <w:sz w:val="16"/>
                <w:szCs w:val="16"/>
              </w:rPr>
              <w:t>76</w:t>
            </w:r>
          </w:p>
        </w:tc>
        <w:tc>
          <w:tcPr>
            <w:tcW w:w="1928" w:type="dxa"/>
            <w:noWrap/>
            <w:hideMark/>
          </w:tcPr>
          <w:p w:rsidR="005B126E" w:rsidRPr="00B97E44" w:rsidP="001916A9">
            <w:pPr>
              <w:spacing w:line="269" w:lineRule="auto"/>
              <w:jc w:val="center"/>
              <w:rPr>
                <w:rFonts w:ascii="Tahoma" w:hAnsi="Tahoma" w:cs="Tahoma"/>
                <w:color w:val="7F7F7F" w:themeColor="text1" w:themeTint="80"/>
                <w:sz w:val="16"/>
                <w:szCs w:val="16"/>
              </w:rPr>
            </w:pPr>
            <w:r w:rsidRPr="00B97E44">
              <w:rPr>
                <w:rFonts w:ascii="Tahoma" w:hAnsi="Tahoma" w:cs="Tahoma"/>
                <w:color w:val="7F7F7F" w:themeColor="text1" w:themeTint="80"/>
                <w:sz w:val="16"/>
                <w:szCs w:val="16"/>
              </w:rPr>
              <w:t>77</w:t>
            </w:r>
          </w:p>
        </w:tc>
        <w:tc>
          <w:tcPr>
            <w:tcW w:w="1928" w:type="dxa"/>
            <w:noWrap/>
            <w:hideMark/>
          </w:tcPr>
          <w:p w:rsidR="005B126E" w:rsidRPr="00B97E44" w:rsidP="001916A9">
            <w:pPr>
              <w:spacing w:line="269" w:lineRule="auto"/>
              <w:jc w:val="center"/>
              <w:rPr>
                <w:rFonts w:ascii="Tahoma" w:hAnsi="Tahoma" w:cs="Tahoma"/>
                <w:color w:val="7F7F7F" w:themeColor="text1" w:themeTint="80"/>
                <w:sz w:val="16"/>
                <w:szCs w:val="16"/>
              </w:rPr>
            </w:pPr>
            <w:r w:rsidRPr="00B97E44">
              <w:rPr>
                <w:rFonts w:ascii="Tahoma" w:hAnsi="Tahoma" w:cs="Tahoma"/>
                <w:color w:val="7F7F7F" w:themeColor="text1" w:themeTint="80"/>
                <w:sz w:val="16"/>
                <w:szCs w:val="16"/>
              </w:rPr>
              <w:t>110</w:t>
            </w:r>
          </w:p>
        </w:tc>
      </w:tr>
      <w:tr w:rsidTr="00FF2A74">
        <w:tblPrEx>
          <w:tblW w:w="0" w:type="auto"/>
          <w:jc w:val="center"/>
          <w:tblLayout w:type="fixed"/>
          <w:tblLook w:val="04A0"/>
        </w:tblPrEx>
        <w:trPr>
          <w:trHeight w:val="20"/>
          <w:jc w:val="center"/>
        </w:trPr>
        <w:tc>
          <w:tcPr>
            <w:tcW w:w="1019" w:type="dxa"/>
            <w:shd w:val="clear" w:color="auto" w:fill="DBE5F1" w:themeFill="accent1" w:themeFillTint="33"/>
            <w:noWrap/>
            <w:hideMark/>
          </w:tcPr>
          <w:p w:rsidR="005B126E" w:rsidRPr="00B97E44" w:rsidP="001916A9">
            <w:pPr>
              <w:spacing w:line="269" w:lineRule="auto"/>
              <w:jc w:val="center"/>
              <w:rPr>
                <w:rFonts w:ascii="Tahoma" w:hAnsi="Tahoma" w:cs="Tahoma"/>
                <w:color w:val="7F7F7F" w:themeColor="text1" w:themeTint="80"/>
                <w:sz w:val="16"/>
                <w:szCs w:val="16"/>
              </w:rPr>
            </w:pPr>
            <w:r w:rsidRPr="00B97E44">
              <w:rPr>
                <w:rFonts w:ascii="Tahoma" w:hAnsi="Tahoma" w:cs="Tahoma"/>
                <w:color w:val="7F7F7F" w:themeColor="text1" w:themeTint="80"/>
                <w:sz w:val="16"/>
                <w:szCs w:val="16"/>
              </w:rPr>
              <w:t>2017</w:t>
            </w:r>
          </w:p>
        </w:tc>
        <w:tc>
          <w:tcPr>
            <w:tcW w:w="1928" w:type="dxa"/>
            <w:noWrap/>
            <w:hideMark/>
          </w:tcPr>
          <w:p w:rsidR="005B126E" w:rsidRPr="00B97E44" w:rsidP="001916A9">
            <w:pPr>
              <w:spacing w:line="269" w:lineRule="auto"/>
              <w:jc w:val="center"/>
              <w:rPr>
                <w:rFonts w:ascii="Tahoma" w:hAnsi="Tahoma" w:cs="Tahoma"/>
                <w:color w:val="7F7F7F" w:themeColor="text1" w:themeTint="80"/>
                <w:sz w:val="16"/>
                <w:szCs w:val="16"/>
              </w:rPr>
            </w:pPr>
            <w:r w:rsidRPr="00B97E44">
              <w:rPr>
                <w:rFonts w:ascii="Tahoma" w:hAnsi="Tahoma" w:cs="Tahoma"/>
                <w:color w:val="7F7F7F" w:themeColor="text1" w:themeTint="80"/>
                <w:sz w:val="16"/>
                <w:szCs w:val="16"/>
              </w:rPr>
              <w:t>73</w:t>
            </w:r>
          </w:p>
        </w:tc>
        <w:tc>
          <w:tcPr>
            <w:tcW w:w="1928" w:type="dxa"/>
            <w:noWrap/>
            <w:hideMark/>
          </w:tcPr>
          <w:p w:rsidR="005B126E" w:rsidRPr="00B97E44" w:rsidP="001916A9">
            <w:pPr>
              <w:spacing w:line="269" w:lineRule="auto"/>
              <w:jc w:val="center"/>
              <w:rPr>
                <w:rFonts w:ascii="Tahoma" w:hAnsi="Tahoma" w:cs="Tahoma"/>
                <w:color w:val="7F7F7F" w:themeColor="text1" w:themeTint="80"/>
                <w:sz w:val="16"/>
                <w:szCs w:val="16"/>
              </w:rPr>
            </w:pPr>
            <w:r w:rsidRPr="00B97E44">
              <w:rPr>
                <w:rFonts w:ascii="Tahoma" w:hAnsi="Tahoma" w:cs="Tahoma"/>
                <w:color w:val="7F7F7F" w:themeColor="text1" w:themeTint="80"/>
                <w:sz w:val="16"/>
                <w:szCs w:val="16"/>
              </w:rPr>
              <w:t>72</w:t>
            </w:r>
          </w:p>
        </w:tc>
        <w:tc>
          <w:tcPr>
            <w:tcW w:w="1928" w:type="dxa"/>
            <w:noWrap/>
            <w:hideMark/>
          </w:tcPr>
          <w:p w:rsidR="005B126E" w:rsidRPr="00B97E44" w:rsidP="001916A9">
            <w:pPr>
              <w:spacing w:line="269" w:lineRule="auto"/>
              <w:jc w:val="center"/>
              <w:rPr>
                <w:rFonts w:ascii="Tahoma" w:hAnsi="Tahoma" w:cs="Tahoma"/>
                <w:color w:val="7F7F7F" w:themeColor="text1" w:themeTint="80"/>
                <w:sz w:val="16"/>
                <w:szCs w:val="16"/>
              </w:rPr>
            </w:pPr>
            <w:r w:rsidRPr="00B97E44">
              <w:rPr>
                <w:rFonts w:ascii="Tahoma" w:hAnsi="Tahoma" w:cs="Tahoma"/>
                <w:color w:val="7F7F7F" w:themeColor="text1" w:themeTint="80"/>
                <w:sz w:val="16"/>
                <w:szCs w:val="16"/>
              </w:rPr>
              <w:t>109</w:t>
            </w:r>
          </w:p>
        </w:tc>
      </w:tr>
      <w:tr w:rsidTr="00FF2A74">
        <w:tblPrEx>
          <w:tblW w:w="0" w:type="auto"/>
          <w:jc w:val="center"/>
          <w:tblLayout w:type="fixed"/>
          <w:tblLook w:val="04A0"/>
        </w:tblPrEx>
        <w:trPr>
          <w:trHeight w:val="20"/>
          <w:jc w:val="center"/>
        </w:trPr>
        <w:tc>
          <w:tcPr>
            <w:tcW w:w="1019" w:type="dxa"/>
            <w:shd w:val="clear" w:color="auto" w:fill="DBE5F1" w:themeFill="accent1" w:themeFillTint="33"/>
            <w:noWrap/>
            <w:hideMark/>
          </w:tcPr>
          <w:p w:rsidR="005B126E" w:rsidRPr="00B97E44" w:rsidP="001916A9">
            <w:pPr>
              <w:spacing w:line="269" w:lineRule="auto"/>
              <w:jc w:val="center"/>
              <w:rPr>
                <w:rFonts w:ascii="Tahoma" w:hAnsi="Tahoma" w:cs="Tahoma"/>
                <w:color w:val="7F7F7F" w:themeColor="text1" w:themeTint="80"/>
                <w:sz w:val="16"/>
                <w:szCs w:val="16"/>
              </w:rPr>
            </w:pPr>
            <w:r w:rsidRPr="00B97E44">
              <w:rPr>
                <w:rFonts w:ascii="Tahoma" w:hAnsi="Tahoma" w:cs="Tahoma"/>
                <w:color w:val="7F7F7F" w:themeColor="text1" w:themeTint="80"/>
                <w:sz w:val="16"/>
                <w:szCs w:val="16"/>
              </w:rPr>
              <w:t>2019</w:t>
            </w:r>
          </w:p>
        </w:tc>
        <w:tc>
          <w:tcPr>
            <w:tcW w:w="1928" w:type="dxa"/>
            <w:noWrap/>
            <w:hideMark/>
          </w:tcPr>
          <w:p w:rsidR="005B126E" w:rsidRPr="00B97E44" w:rsidP="001916A9">
            <w:pPr>
              <w:spacing w:line="269" w:lineRule="auto"/>
              <w:jc w:val="center"/>
              <w:rPr>
                <w:rFonts w:ascii="Tahoma" w:hAnsi="Tahoma" w:cs="Tahoma"/>
                <w:color w:val="7F7F7F" w:themeColor="text1" w:themeTint="80"/>
                <w:sz w:val="16"/>
                <w:szCs w:val="16"/>
              </w:rPr>
            </w:pPr>
            <w:r w:rsidRPr="00B97E44">
              <w:rPr>
                <w:rFonts w:ascii="Tahoma" w:hAnsi="Tahoma" w:cs="Tahoma"/>
                <w:color w:val="7F7F7F" w:themeColor="text1" w:themeTint="80"/>
                <w:sz w:val="16"/>
                <w:szCs w:val="16"/>
              </w:rPr>
              <w:t>72</w:t>
            </w:r>
          </w:p>
        </w:tc>
        <w:tc>
          <w:tcPr>
            <w:tcW w:w="1928" w:type="dxa"/>
            <w:noWrap/>
            <w:hideMark/>
          </w:tcPr>
          <w:p w:rsidR="005B126E" w:rsidRPr="00B97E44" w:rsidP="001916A9">
            <w:pPr>
              <w:spacing w:line="269" w:lineRule="auto"/>
              <w:jc w:val="center"/>
              <w:rPr>
                <w:rFonts w:ascii="Tahoma" w:hAnsi="Tahoma" w:cs="Tahoma"/>
                <w:color w:val="7F7F7F" w:themeColor="text1" w:themeTint="80"/>
                <w:sz w:val="16"/>
                <w:szCs w:val="16"/>
              </w:rPr>
            </w:pPr>
            <w:r w:rsidRPr="00B97E44">
              <w:rPr>
                <w:rFonts w:ascii="Tahoma" w:hAnsi="Tahoma" w:cs="Tahoma"/>
                <w:color w:val="7F7F7F" w:themeColor="text1" w:themeTint="80"/>
                <w:sz w:val="16"/>
                <w:szCs w:val="16"/>
              </w:rPr>
              <w:t>69</w:t>
            </w:r>
          </w:p>
        </w:tc>
        <w:tc>
          <w:tcPr>
            <w:tcW w:w="1928" w:type="dxa"/>
            <w:noWrap/>
            <w:hideMark/>
          </w:tcPr>
          <w:p w:rsidR="005B126E" w:rsidRPr="00B97E44" w:rsidP="001916A9">
            <w:pPr>
              <w:spacing w:line="269" w:lineRule="auto"/>
              <w:jc w:val="center"/>
              <w:rPr>
                <w:rFonts w:ascii="Tahoma" w:hAnsi="Tahoma" w:cs="Tahoma"/>
                <w:color w:val="7F7F7F" w:themeColor="text1" w:themeTint="80"/>
                <w:sz w:val="16"/>
                <w:szCs w:val="16"/>
              </w:rPr>
            </w:pPr>
            <w:r w:rsidRPr="00B97E44">
              <w:rPr>
                <w:rFonts w:ascii="Tahoma" w:hAnsi="Tahoma" w:cs="Tahoma"/>
                <w:color w:val="7F7F7F" w:themeColor="text1" w:themeTint="80"/>
                <w:sz w:val="16"/>
                <w:szCs w:val="16"/>
              </w:rPr>
              <w:t>113</w:t>
            </w:r>
          </w:p>
        </w:tc>
      </w:tr>
      <w:tr w:rsidTr="00FF2A74">
        <w:tblPrEx>
          <w:tblW w:w="0" w:type="auto"/>
          <w:jc w:val="center"/>
          <w:tblLayout w:type="fixed"/>
          <w:tblLook w:val="04A0"/>
        </w:tblPrEx>
        <w:trPr>
          <w:trHeight w:val="20"/>
          <w:jc w:val="center"/>
        </w:trPr>
        <w:tc>
          <w:tcPr>
            <w:tcW w:w="1019" w:type="dxa"/>
            <w:shd w:val="clear" w:color="auto" w:fill="DBE5F1" w:themeFill="accent1" w:themeFillTint="33"/>
            <w:noWrap/>
            <w:hideMark/>
          </w:tcPr>
          <w:p w:rsidR="005B126E" w:rsidRPr="00B97E44" w:rsidP="001916A9">
            <w:pPr>
              <w:spacing w:line="269" w:lineRule="auto"/>
              <w:jc w:val="center"/>
              <w:rPr>
                <w:rFonts w:ascii="Tahoma" w:hAnsi="Tahoma" w:cs="Tahoma"/>
                <w:color w:val="7F7F7F" w:themeColor="text1" w:themeTint="80"/>
                <w:sz w:val="16"/>
                <w:szCs w:val="16"/>
              </w:rPr>
            </w:pPr>
            <w:r w:rsidRPr="00B97E44">
              <w:rPr>
                <w:rFonts w:ascii="Tahoma" w:hAnsi="Tahoma" w:cs="Tahoma"/>
                <w:color w:val="7F7F7F" w:themeColor="text1" w:themeTint="80"/>
                <w:sz w:val="16"/>
                <w:szCs w:val="16"/>
              </w:rPr>
              <w:t>2021</w:t>
            </w:r>
          </w:p>
        </w:tc>
        <w:tc>
          <w:tcPr>
            <w:tcW w:w="1928" w:type="dxa"/>
            <w:noWrap/>
            <w:hideMark/>
          </w:tcPr>
          <w:p w:rsidR="005B126E" w:rsidRPr="00B97E44" w:rsidP="001916A9">
            <w:pPr>
              <w:spacing w:line="269" w:lineRule="auto"/>
              <w:jc w:val="center"/>
              <w:rPr>
                <w:rFonts w:ascii="Tahoma" w:hAnsi="Tahoma" w:cs="Tahoma"/>
                <w:color w:val="7F7F7F" w:themeColor="text1" w:themeTint="80"/>
                <w:sz w:val="16"/>
                <w:szCs w:val="16"/>
              </w:rPr>
            </w:pPr>
            <w:r w:rsidRPr="00B97E44">
              <w:rPr>
                <w:rFonts w:ascii="Tahoma" w:hAnsi="Tahoma" w:cs="Tahoma"/>
                <w:color w:val="7F7F7F" w:themeColor="text1" w:themeTint="80"/>
                <w:sz w:val="16"/>
                <w:szCs w:val="16"/>
              </w:rPr>
              <w:t>63</w:t>
            </w:r>
          </w:p>
        </w:tc>
        <w:tc>
          <w:tcPr>
            <w:tcW w:w="1928" w:type="dxa"/>
            <w:noWrap/>
            <w:hideMark/>
          </w:tcPr>
          <w:p w:rsidR="005B126E" w:rsidRPr="00B97E44" w:rsidP="001916A9">
            <w:pPr>
              <w:spacing w:line="269" w:lineRule="auto"/>
              <w:jc w:val="center"/>
              <w:rPr>
                <w:rFonts w:ascii="Tahoma" w:hAnsi="Tahoma" w:cs="Tahoma"/>
                <w:color w:val="7F7F7F" w:themeColor="text1" w:themeTint="80"/>
                <w:sz w:val="16"/>
                <w:szCs w:val="16"/>
              </w:rPr>
            </w:pPr>
            <w:r w:rsidRPr="00B97E44">
              <w:rPr>
                <w:rFonts w:ascii="Tahoma" w:hAnsi="Tahoma" w:cs="Tahoma"/>
                <w:color w:val="7F7F7F" w:themeColor="text1" w:themeTint="80"/>
                <w:sz w:val="16"/>
                <w:szCs w:val="16"/>
              </w:rPr>
              <w:t>58</w:t>
            </w:r>
          </w:p>
        </w:tc>
        <w:tc>
          <w:tcPr>
            <w:tcW w:w="1928" w:type="dxa"/>
            <w:noWrap/>
            <w:hideMark/>
          </w:tcPr>
          <w:p w:rsidR="005B126E" w:rsidRPr="00B97E44" w:rsidP="001916A9">
            <w:pPr>
              <w:spacing w:line="269" w:lineRule="auto"/>
              <w:jc w:val="center"/>
              <w:rPr>
                <w:rFonts w:ascii="Tahoma" w:hAnsi="Tahoma" w:cs="Tahoma"/>
                <w:color w:val="7F7F7F" w:themeColor="text1" w:themeTint="80"/>
                <w:sz w:val="16"/>
                <w:szCs w:val="16"/>
              </w:rPr>
            </w:pPr>
            <w:r w:rsidRPr="00B97E44">
              <w:rPr>
                <w:rFonts w:ascii="Tahoma" w:hAnsi="Tahoma" w:cs="Tahoma"/>
                <w:color w:val="7F7F7F" w:themeColor="text1" w:themeTint="80"/>
                <w:sz w:val="16"/>
                <w:szCs w:val="16"/>
              </w:rPr>
              <w:t>115</w:t>
            </w:r>
          </w:p>
        </w:tc>
      </w:tr>
    </w:tbl>
    <w:p w:rsidR="005B126E" w:rsidRPr="00B97E44" w:rsidP="001916A9">
      <w:pPr>
        <w:spacing w:line="269" w:lineRule="auto"/>
        <w:ind w:hanging="1"/>
        <w:jc w:val="left"/>
        <w:rPr>
          <w:rFonts w:ascii="David" w:hAnsi="David"/>
          <w:szCs w:val="20"/>
          <w:rtl/>
        </w:rPr>
      </w:pPr>
      <w:r w:rsidRPr="00B97E44">
        <w:rPr>
          <w:rFonts w:ascii="David" w:hAnsi="David" w:hint="cs"/>
          <w:szCs w:val="20"/>
          <w:rtl/>
        </w:rPr>
        <w:t xml:space="preserve">על פי נתוני </w:t>
      </w:r>
      <w:r w:rsidRPr="00B97E44">
        <w:rPr>
          <w:rFonts w:ascii="David" w:hAnsi="David" w:hint="cs"/>
          <w:szCs w:val="20"/>
          <w:rtl/>
        </w:rPr>
        <w:t>ה</w:t>
      </w:r>
      <w:r w:rsidRPr="00B97E44">
        <w:rPr>
          <w:rFonts w:ascii="David" w:hAnsi="David"/>
          <w:szCs w:val="20"/>
          <w:rtl/>
        </w:rPr>
        <w:t>למ"ס</w:t>
      </w:r>
      <w:r w:rsidRPr="00B97E44">
        <w:rPr>
          <w:rFonts w:ascii="David" w:hAnsi="David" w:hint="cs"/>
          <w:szCs w:val="20"/>
          <w:rtl/>
        </w:rPr>
        <w:t>, בעיבוד משרד מבקר המדינה.</w:t>
      </w:r>
    </w:p>
    <w:p w:rsidR="005B126E" w:rsidP="001916A9">
      <w:pPr>
        <w:spacing w:line="269" w:lineRule="auto"/>
        <w:rPr>
          <w:rFonts w:ascii="David" w:hAnsi="David"/>
          <w:sz w:val="24"/>
          <w:rtl/>
        </w:rPr>
      </w:pPr>
    </w:p>
    <w:p w:rsidR="005B126E" w:rsidRPr="00B97E44" w:rsidP="001916A9">
      <w:pPr>
        <w:spacing w:line="269" w:lineRule="auto"/>
        <w:rPr>
          <w:rtl/>
        </w:rPr>
      </w:pPr>
      <w:r w:rsidRPr="00B97E44">
        <w:rPr>
          <w:rFonts w:ascii="David" w:hAnsi="David" w:hint="cs"/>
          <w:sz w:val="24"/>
          <w:rtl/>
        </w:rPr>
        <w:t>משנת 2003 קיבלו ממשלות ישראל החלטות להשקעת מיליארדי שקלים בתוכניות לחיזוק ולפיתוח האזור הסמוך לגבול עם רצועת עזה עקב המצב הביטחוני המורכב באזור ובמטרה למשוך אליו אוכלוסייה</w:t>
      </w:r>
      <w:r>
        <w:rPr>
          <w:rFonts w:ascii="David" w:hAnsi="David"/>
          <w:sz w:val="24"/>
          <w:vertAlign w:val="superscript"/>
          <w:rtl/>
        </w:rPr>
        <w:footnoteReference w:id="131"/>
      </w:r>
      <w:r w:rsidRPr="00B97E44">
        <w:rPr>
          <w:rFonts w:ascii="David" w:hAnsi="David" w:hint="cs"/>
          <w:sz w:val="24"/>
          <w:rtl/>
        </w:rPr>
        <w:t xml:space="preserve">. </w:t>
      </w:r>
      <w:r w:rsidRPr="00B97E44">
        <w:rPr>
          <w:rFonts w:hint="cs"/>
          <w:sz w:val="24"/>
          <w:rtl/>
        </w:rPr>
        <w:t>בבסיס התוכניות שנלוו ל</w:t>
      </w:r>
      <w:r w:rsidRPr="00B97E44">
        <w:rPr>
          <w:rFonts w:ascii="David" w:hAnsi="David" w:hint="cs"/>
          <w:sz w:val="24"/>
          <w:rtl/>
        </w:rPr>
        <w:t xml:space="preserve">החלטות הממשלה למתן עדיפות בהשקעה באזור זה </w:t>
      </w:r>
      <w:r w:rsidRPr="00B97E44">
        <w:rPr>
          <w:rFonts w:hint="cs"/>
          <w:sz w:val="24"/>
          <w:rtl/>
        </w:rPr>
        <w:t xml:space="preserve">עמדו המטרות של </w:t>
      </w:r>
      <w:r w:rsidRPr="00B97E44">
        <w:rPr>
          <w:rFonts w:ascii="David" w:hAnsi="David" w:hint="cs"/>
          <w:sz w:val="24"/>
          <w:rtl/>
        </w:rPr>
        <w:t>העצמת התושבים וחיזוק רשתות התמיכה הקהילתיות וכן חיזוק ופיתוח הכלכלה המקומית והאזורית. גבולות האזור, שהוגדר בתחילה כאזור "שדרות רבתי", לאחר מכן "עוטף עזה" והיום "חבל התקומה", התרחבו לאורך השנים בהתאם לחוות דעת ביטחוניות, ומאז שנת 2012 החבל מוגדר בשטח שעד 7 ק"מ מגבול הרצועה</w:t>
      </w:r>
      <w:r>
        <w:rPr>
          <w:rFonts w:ascii="David" w:hAnsi="David"/>
          <w:sz w:val="24"/>
          <w:vertAlign w:val="superscript"/>
          <w:rtl/>
        </w:rPr>
        <w:footnoteReference w:id="132"/>
      </w:r>
      <w:r w:rsidRPr="00B97E44">
        <w:rPr>
          <w:rFonts w:ascii="David" w:hAnsi="David" w:hint="cs"/>
          <w:sz w:val="24"/>
          <w:rtl/>
        </w:rPr>
        <w:t>.</w:t>
      </w:r>
    </w:p>
    <w:p w:rsidR="005B126E" w:rsidP="001916A9">
      <w:pPr>
        <w:spacing w:line="269" w:lineRule="auto"/>
        <w:rPr>
          <w:rtl/>
        </w:rPr>
      </w:pPr>
    </w:p>
    <w:p w:rsidR="005B126E" w:rsidRPr="00B97E44" w:rsidP="001916A9">
      <w:pPr>
        <w:spacing w:line="269" w:lineRule="auto"/>
        <w:rPr>
          <w:rtl/>
        </w:rPr>
      </w:pPr>
      <w:r w:rsidRPr="00B97E44">
        <w:rPr>
          <w:rFonts w:hint="cs"/>
          <w:rtl/>
        </w:rPr>
        <w:t>החשיבות הרבה בגיבוש תוכניות לפיתוח הרשויות הסמוכות לחבל התקומה לשיפור מעמדם החברתי-כלכלי של התושבים מתבררת מניתוח התקדמותה של העיר</w:t>
      </w:r>
      <w:r w:rsidRPr="00B97E44">
        <w:rPr>
          <w:rFonts w:hint="cs"/>
          <w:b/>
          <w:bCs/>
          <w:rtl/>
        </w:rPr>
        <w:t xml:space="preserve"> שדרות</w:t>
      </w:r>
      <w:r w:rsidRPr="00B97E44">
        <w:rPr>
          <w:rFonts w:hint="cs"/>
          <w:rtl/>
        </w:rPr>
        <w:t xml:space="preserve"> במדד החברתי-כלכלי מאז החלו ממשלות ישראל בקבלת החלטות ותוכניות לפיתוח האזור </w:t>
      </w:r>
      <w:r w:rsidRPr="00AB6523">
        <w:rPr>
          <w:rFonts w:hint="cs"/>
          <w:rtl/>
        </w:rPr>
        <w:t xml:space="preserve">לעומת </w:t>
      </w:r>
      <w:r w:rsidRPr="00AB6523">
        <w:rPr>
          <w:rFonts w:hint="eastAsia"/>
          <w:rtl/>
        </w:rPr>
        <w:t>התקדמות</w:t>
      </w:r>
      <w:r w:rsidRPr="00B97E44">
        <w:rPr>
          <w:rFonts w:hint="cs"/>
          <w:rtl/>
        </w:rPr>
        <w:t xml:space="preserve"> הערים </w:t>
      </w:r>
      <w:r w:rsidRPr="00B97E44">
        <w:rPr>
          <w:rFonts w:hint="cs"/>
          <w:b/>
          <w:bCs/>
          <w:rtl/>
        </w:rPr>
        <w:t xml:space="preserve">אופקים </w:t>
      </w:r>
      <w:r w:rsidRPr="00B97E44">
        <w:rPr>
          <w:rFonts w:hint="cs"/>
          <w:rtl/>
        </w:rPr>
        <w:t>ו</w:t>
      </w:r>
      <w:r w:rsidRPr="00B97E44">
        <w:rPr>
          <w:rFonts w:hint="cs"/>
          <w:b/>
          <w:bCs/>
          <w:rtl/>
        </w:rPr>
        <w:t>נתיבות</w:t>
      </w:r>
      <w:r w:rsidRPr="00B97E44">
        <w:rPr>
          <w:rFonts w:hint="cs"/>
          <w:rtl/>
        </w:rPr>
        <w:t>, שלא זכו לתוכניות פיתוח לאורך השנים.</w:t>
      </w:r>
    </w:p>
    <w:p w:rsidR="005B126E" w:rsidP="001916A9">
      <w:pPr>
        <w:spacing w:line="269" w:lineRule="auto"/>
        <w:contextualSpacing/>
        <w:rPr>
          <w:rFonts w:ascii="David" w:hAnsi="David"/>
          <w:sz w:val="24"/>
          <w:rtl/>
        </w:rPr>
      </w:pPr>
    </w:p>
    <w:p w:rsidR="005B126E" w:rsidRPr="00B97E44" w:rsidP="007E1C6B">
      <w:pPr>
        <w:spacing w:line="269" w:lineRule="auto"/>
        <w:contextualSpacing/>
        <w:rPr>
          <w:rFonts w:ascii="David" w:hAnsi="David"/>
          <w:sz w:val="24"/>
          <w:rtl/>
        </w:rPr>
      </w:pPr>
      <w:r w:rsidRPr="00B97E44">
        <w:rPr>
          <w:rFonts w:ascii="David" w:hAnsi="David" w:hint="cs"/>
          <w:sz w:val="24"/>
          <w:rtl/>
        </w:rPr>
        <w:t>במחקר משנת 2009 נבחן</w:t>
      </w:r>
      <w:r w:rsidRPr="00B97E44">
        <w:rPr>
          <w:rFonts w:ascii="David" w:hAnsi="David"/>
          <w:sz w:val="24"/>
          <w:rtl/>
        </w:rPr>
        <w:t xml:space="preserve"> הקשר בין האשכול החברתי</w:t>
      </w:r>
      <w:r w:rsidRPr="00B97E44">
        <w:rPr>
          <w:rFonts w:ascii="David" w:hAnsi="David" w:hint="cs"/>
          <w:sz w:val="24"/>
          <w:rtl/>
        </w:rPr>
        <w:t>-</w:t>
      </w:r>
      <w:r w:rsidRPr="00B97E44">
        <w:rPr>
          <w:rFonts w:ascii="David" w:hAnsi="David"/>
          <w:sz w:val="24"/>
          <w:rtl/>
        </w:rPr>
        <w:t>כלכלי של הרשות לבין ההוצאות שלה</w:t>
      </w:r>
      <w:r w:rsidRPr="00B97E44">
        <w:rPr>
          <w:rFonts w:ascii="David" w:hAnsi="David" w:hint="cs"/>
          <w:sz w:val="24"/>
          <w:rtl/>
        </w:rPr>
        <w:t xml:space="preserve"> </w:t>
      </w:r>
      <w:r w:rsidRPr="00B97E44">
        <w:rPr>
          <w:rFonts w:ascii="David" w:hAnsi="David"/>
          <w:sz w:val="24"/>
          <w:rtl/>
        </w:rPr>
        <w:t>לתושב לשנה</w:t>
      </w:r>
      <w:r w:rsidRPr="00B97E44">
        <w:rPr>
          <w:rFonts w:ascii="David" w:hAnsi="David" w:hint="cs"/>
          <w:sz w:val="24"/>
          <w:rtl/>
        </w:rPr>
        <w:t>. נמצא</w:t>
      </w:r>
      <w:r w:rsidRPr="00B97E44">
        <w:rPr>
          <w:rFonts w:ascii="David" w:hAnsi="David"/>
          <w:sz w:val="24"/>
          <w:rtl/>
        </w:rPr>
        <w:t xml:space="preserve"> שהוצאות הרשות </w:t>
      </w:r>
      <w:r w:rsidRPr="00B97E44">
        <w:rPr>
          <w:rFonts w:ascii="David" w:hAnsi="David" w:hint="cs"/>
          <w:sz w:val="24"/>
          <w:rtl/>
        </w:rPr>
        <w:t xml:space="preserve">המקומית </w:t>
      </w:r>
      <w:r w:rsidRPr="00B97E44">
        <w:rPr>
          <w:rFonts w:ascii="David" w:hAnsi="David"/>
          <w:sz w:val="24"/>
          <w:rtl/>
        </w:rPr>
        <w:t>פוחתות ככל שהאשכול</w:t>
      </w:r>
      <w:r w:rsidRPr="00B97E44">
        <w:rPr>
          <w:rFonts w:ascii="David" w:hAnsi="David" w:hint="cs"/>
          <w:sz w:val="24"/>
          <w:rtl/>
        </w:rPr>
        <w:t xml:space="preserve"> </w:t>
      </w:r>
      <w:r w:rsidRPr="00B97E44">
        <w:rPr>
          <w:rFonts w:ascii="David" w:hAnsi="David"/>
          <w:sz w:val="24"/>
          <w:rtl/>
        </w:rPr>
        <w:t>החברתי</w:t>
      </w:r>
      <w:r w:rsidRPr="00B97E44">
        <w:rPr>
          <w:rFonts w:ascii="David" w:hAnsi="David" w:hint="cs"/>
          <w:sz w:val="24"/>
          <w:rtl/>
        </w:rPr>
        <w:t>-</w:t>
      </w:r>
      <w:r w:rsidRPr="00B97E44">
        <w:rPr>
          <w:rFonts w:ascii="David" w:hAnsi="David"/>
          <w:sz w:val="24"/>
          <w:rtl/>
        </w:rPr>
        <w:t>כלכלי של התושבים נמוך יותר</w:t>
      </w:r>
      <w:r>
        <w:rPr>
          <w:rFonts w:ascii="David" w:hAnsi="David"/>
          <w:sz w:val="24"/>
          <w:vertAlign w:val="superscript"/>
          <w:rtl/>
        </w:rPr>
        <w:footnoteReference w:id="133"/>
      </w:r>
      <w:r w:rsidRPr="00B97E44">
        <w:rPr>
          <w:rFonts w:ascii="David" w:hAnsi="David"/>
          <w:sz w:val="24"/>
        </w:rPr>
        <w:t>.</w:t>
      </w:r>
      <w:r w:rsidR="007E1C6B">
        <w:rPr>
          <w:rFonts w:ascii="David" w:hAnsi="David" w:hint="cs"/>
          <w:sz w:val="24"/>
          <w:rtl/>
        </w:rPr>
        <w:t xml:space="preserve"> </w:t>
      </w:r>
      <w:r w:rsidRPr="00B97E44">
        <w:rPr>
          <w:rFonts w:ascii="David" w:hAnsi="David"/>
          <w:sz w:val="24"/>
          <w:rtl/>
        </w:rPr>
        <w:t xml:space="preserve">חוסר </w:t>
      </w:r>
      <w:r w:rsidRPr="00B97E44">
        <w:rPr>
          <w:rFonts w:ascii="David" w:hAnsi="David" w:hint="cs"/>
          <w:sz w:val="24"/>
          <w:rtl/>
        </w:rPr>
        <w:t>ה</w:t>
      </w:r>
      <w:r w:rsidRPr="00B97E44">
        <w:rPr>
          <w:rFonts w:ascii="David" w:hAnsi="David"/>
          <w:sz w:val="24"/>
          <w:rtl/>
        </w:rPr>
        <w:t>יכולת של</w:t>
      </w:r>
      <w:r w:rsidRPr="00B97E44">
        <w:rPr>
          <w:rFonts w:ascii="David" w:hAnsi="David" w:hint="cs"/>
          <w:sz w:val="24"/>
          <w:rtl/>
        </w:rPr>
        <w:t xml:space="preserve"> הרשויות המקומיות </w:t>
      </w:r>
      <w:r w:rsidRPr="00B97E44">
        <w:rPr>
          <w:rFonts w:ascii="David" w:hAnsi="David"/>
          <w:sz w:val="24"/>
          <w:rtl/>
        </w:rPr>
        <w:t>לספק שירותים נובע מרמת</w:t>
      </w:r>
      <w:r w:rsidRPr="00B97E44">
        <w:rPr>
          <w:rFonts w:ascii="David" w:hAnsi="David" w:hint="cs"/>
          <w:sz w:val="24"/>
          <w:rtl/>
        </w:rPr>
        <w:t xml:space="preserve"> </w:t>
      </w:r>
      <w:r w:rsidRPr="00B97E44">
        <w:rPr>
          <w:rFonts w:ascii="David" w:hAnsi="David"/>
          <w:sz w:val="24"/>
          <w:rtl/>
        </w:rPr>
        <w:t xml:space="preserve">ההכנסות הנמוכה שלהן, </w:t>
      </w:r>
      <w:r w:rsidRPr="00B97E44">
        <w:rPr>
          <w:rFonts w:ascii="David" w:hAnsi="David" w:hint="cs"/>
          <w:sz w:val="24"/>
          <w:rtl/>
        </w:rPr>
        <w:t>דבר ה</w:t>
      </w:r>
      <w:r w:rsidRPr="00B97E44">
        <w:rPr>
          <w:rFonts w:ascii="David" w:hAnsi="David"/>
          <w:sz w:val="24"/>
          <w:rtl/>
        </w:rPr>
        <w:t>מגדיל את הפערים החברתיים</w:t>
      </w:r>
      <w:r w:rsidRPr="00B97E44">
        <w:rPr>
          <w:rFonts w:ascii="David" w:hAnsi="David" w:hint="cs"/>
          <w:sz w:val="24"/>
          <w:rtl/>
        </w:rPr>
        <w:t xml:space="preserve"> </w:t>
      </w:r>
      <w:r w:rsidRPr="00B97E44">
        <w:rPr>
          <w:rFonts w:ascii="David" w:hAnsi="David"/>
          <w:sz w:val="24"/>
          <w:rtl/>
        </w:rPr>
        <w:t>והכלכליים בישראל</w:t>
      </w:r>
      <w:r>
        <w:rPr>
          <w:rFonts w:ascii="David" w:hAnsi="David"/>
          <w:sz w:val="24"/>
          <w:vertAlign w:val="superscript"/>
          <w:rtl/>
        </w:rPr>
        <w:footnoteReference w:id="134"/>
      </w:r>
      <w:r w:rsidRPr="00B97E44">
        <w:rPr>
          <w:rFonts w:ascii="David" w:hAnsi="David"/>
          <w:sz w:val="24"/>
          <w:rtl/>
        </w:rPr>
        <w:t>. המצב החברתי</w:t>
      </w:r>
      <w:r w:rsidRPr="00B97E44">
        <w:rPr>
          <w:rFonts w:ascii="David" w:hAnsi="David" w:hint="cs"/>
          <w:sz w:val="24"/>
          <w:rtl/>
        </w:rPr>
        <w:t>-כלכלי</w:t>
      </w:r>
      <w:r w:rsidRPr="00B97E44">
        <w:rPr>
          <w:rFonts w:ascii="David" w:hAnsi="David"/>
          <w:sz w:val="24"/>
          <w:rtl/>
        </w:rPr>
        <w:t xml:space="preserve"> של תושבי הרשות משפיע על גבי</w:t>
      </w:r>
      <w:r w:rsidRPr="00B97E44">
        <w:rPr>
          <w:rFonts w:ascii="David" w:hAnsi="David" w:hint="cs"/>
          <w:sz w:val="24"/>
          <w:rtl/>
        </w:rPr>
        <w:t>י</w:t>
      </w:r>
      <w:r w:rsidRPr="00B97E44">
        <w:rPr>
          <w:rFonts w:ascii="David" w:hAnsi="David"/>
          <w:sz w:val="24"/>
          <w:rtl/>
        </w:rPr>
        <w:t>ת הארנונה ממגורים וכן על</w:t>
      </w:r>
      <w:r w:rsidRPr="00B97E44">
        <w:rPr>
          <w:rFonts w:ascii="David" w:hAnsi="David"/>
          <w:sz w:val="24"/>
        </w:rPr>
        <w:t xml:space="preserve"> </w:t>
      </w:r>
      <w:r w:rsidRPr="00B97E44">
        <w:rPr>
          <w:rFonts w:ascii="David" w:hAnsi="David" w:hint="cs"/>
          <w:sz w:val="24"/>
          <w:rtl/>
        </w:rPr>
        <w:t>ה</w:t>
      </w:r>
      <w:r w:rsidRPr="00B97E44">
        <w:rPr>
          <w:rFonts w:ascii="David" w:hAnsi="David"/>
          <w:sz w:val="24"/>
          <w:rtl/>
        </w:rPr>
        <w:t>אטרקטיביות של הרשות לעסקים. לכן צפוי כי מצב זה ישפיע על גובה ההכנסות העצמיות של</w:t>
      </w:r>
      <w:r w:rsidRPr="00B97E44">
        <w:rPr>
          <w:rFonts w:ascii="David" w:hAnsi="David" w:hint="cs"/>
          <w:sz w:val="24"/>
          <w:rtl/>
        </w:rPr>
        <w:t xml:space="preserve"> </w:t>
      </w:r>
      <w:r w:rsidRPr="00B97E44">
        <w:rPr>
          <w:rFonts w:ascii="David" w:hAnsi="David"/>
          <w:sz w:val="24"/>
          <w:rtl/>
        </w:rPr>
        <w:t>הרשות מארנונה ועל מצבה הכלכלי של הרשות</w:t>
      </w:r>
      <w:r w:rsidRPr="00B97E44">
        <w:rPr>
          <w:rFonts w:ascii="David" w:hAnsi="David" w:hint="cs"/>
          <w:szCs w:val="20"/>
          <w:rtl/>
        </w:rPr>
        <w:t>.</w:t>
      </w:r>
    </w:p>
    <w:p w:rsidR="005B126E" w:rsidP="001916A9">
      <w:pPr>
        <w:spacing w:line="269" w:lineRule="auto"/>
        <w:contextualSpacing/>
        <w:rPr>
          <w:sz w:val="24"/>
          <w:rtl/>
        </w:rPr>
      </w:pPr>
    </w:p>
    <w:p w:rsidR="005B126E" w:rsidRPr="00B97E44" w:rsidP="001916A9">
      <w:pPr>
        <w:spacing w:line="269" w:lineRule="auto"/>
        <w:contextualSpacing/>
        <w:rPr>
          <w:sz w:val="24"/>
          <w:rtl/>
        </w:rPr>
      </w:pPr>
      <w:r w:rsidRPr="00B97E44">
        <w:rPr>
          <w:rFonts w:hint="cs"/>
          <w:sz w:val="24"/>
          <w:rtl/>
        </w:rPr>
        <w:t>איגום כלל ההכנסות של שלוש העיריות מהממשלה בשנים 1995 - 2021</w:t>
      </w:r>
      <w:r w:rsidRPr="00B97E44">
        <w:rPr>
          <w:rFonts w:ascii="David" w:hAnsi="David" w:hint="cs"/>
          <w:szCs w:val="20"/>
          <w:rtl/>
        </w:rPr>
        <w:t xml:space="preserve"> </w:t>
      </w:r>
      <w:r w:rsidRPr="00B97E44">
        <w:rPr>
          <w:rFonts w:hint="cs"/>
          <w:sz w:val="24"/>
          <w:rtl/>
        </w:rPr>
        <w:t xml:space="preserve">לתושב מוצג בתרשים ובלוח </w:t>
      </w:r>
      <w:r>
        <w:rPr>
          <w:rFonts w:hint="cs"/>
          <w:sz w:val="24"/>
          <w:rtl/>
        </w:rPr>
        <w:t>ש</w:t>
      </w:r>
      <w:r w:rsidRPr="00B97E44">
        <w:rPr>
          <w:rFonts w:hint="cs"/>
          <w:sz w:val="24"/>
          <w:rtl/>
        </w:rPr>
        <w:t>להלן:</w:t>
      </w:r>
    </w:p>
    <w:p w:rsidR="005B126E" w:rsidP="001916A9">
      <w:pPr>
        <w:spacing w:line="269" w:lineRule="auto"/>
        <w:ind w:left="-46"/>
        <w:contextualSpacing/>
        <w:jc w:val="center"/>
        <w:rPr>
          <w:sz w:val="24"/>
          <w:rtl/>
        </w:rPr>
      </w:pPr>
    </w:p>
    <w:p w:rsidR="00945AA0" w:rsidP="00C10FE4">
      <w:pPr>
        <w:keepNext/>
        <w:keepLines/>
        <w:spacing w:line="269" w:lineRule="auto"/>
        <w:ind w:left="-45"/>
        <w:contextualSpacing/>
        <w:jc w:val="center"/>
        <w:rPr>
          <w:b/>
          <w:bCs/>
          <w:sz w:val="24"/>
          <w:rtl/>
        </w:rPr>
      </w:pPr>
      <w:r w:rsidRPr="00B97E44">
        <w:rPr>
          <w:rFonts w:hint="cs"/>
          <w:sz w:val="24"/>
          <w:rtl/>
        </w:rPr>
        <w:t xml:space="preserve">תרשים </w:t>
      </w:r>
      <w:r>
        <w:rPr>
          <w:rFonts w:hint="cs"/>
          <w:sz w:val="24"/>
          <w:rtl/>
        </w:rPr>
        <w:t>8</w:t>
      </w:r>
      <w:r w:rsidRPr="00B97E44">
        <w:rPr>
          <w:rFonts w:hint="cs"/>
          <w:sz w:val="24"/>
          <w:rtl/>
        </w:rPr>
        <w:t xml:space="preserve"> ולוח </w:t>
      </w:r>
      <w:r>
        <w:rPr>
          <w:rFonts w:hint="cs"/>
          <w:sz w:val="24"/>
          <w:rtl/>
        </w:rPr>
        <w:t>8</w:t>
      </w:r>
      <w:r w:rsidRPr="00B97E44">
        <w:rPr>
          <w:rFonts w:hint="cs"/>
          <w:sz w:val="24"/>
          <w:rtl/>
        </w:rPr>
        <w:t xml:space="preserve">: </w:t>
      </w:r>
      <w:r w:rsidRPr="00B97E44">
        <w:rPr>
          <w:rFonts w:hint="cs"/>
          <w:b/>
          <w:bCs/>
          <w:sz w:val="24"/>
          <w:rtl/>
        </w:rPr>
        <w:t>הכנסות עיריות אופקים, נתיבות ושדרות ממשרדי הממשלה ל</w:t>
      </w:r>
      <w:r>
        <w:rPr>
          <w:rFonts w:hint="cs"/>
          <w:b/>
          <w:bCs/>
          <w:sz w:val="24"/>
          <w:rtl/>
        </w:rPr>
        <w:t>תושב</w:t>
      </w:r>
      <w:r w:rsidRPr="00B97E44">
        <w:rPr>
          <w:rFonts w:hint="cs"/>
          <w:b/>
          <w:bCs/>
          <w:sz w:val="24"/>
          <w:rtl/>
        </w:rPr>
        <w:t xml:space="preserve">, </w:t>
      </w:r>
      <w:r w:rsidR="00C10FE4">
        <w:rPr>
          <w:b/>
          <w:bCs/>
          <w:sz w:val="24"/>
          <w:rtl/>
        </w:rPr>
        <w:br/>
      </w:r>
      <w:r w:rsidRPr="00B97E44">
        <w:rPr>
          <w:rFonts w:hint="cs"/>
          <w:b/>
          <w:bCs/>
          <w:sz w:val="24"/>
          <w:rtl/>
        </w:rPr>
        <w:t>1995 - 2021</w:t>
      </w:r>
      <w:r w:rsidRPr="00B97E44">
        <w:rPr>
          <w:rFonts w:hint="cs"/>
          <w:sz w:val="24"/>
          <w:rtl/>
        </w:rPr>
        <w:t xml:space="preserve"> </w:t>
      </w:r>
      <w:r>
        <w:rPr>
          <w:rFonts w:hint="cs"/>
          <w:sz w:val="24"/>
          <w:rtl/>
        </w:rPr>
        <w:t>(</w:t>
      </w:r>
      <w:r w:rsidRPr="00B97E44">
        <w:rPr>
          <w:rFonts w:hint="cs"/>
          <w:b/>
          <w:bCs/>
          <w:sz w:val="24"/>
          <w:rtl/>
        </w:rPr>
        <w:t>בש"ח</w:t>
      </w:r>
      <w:r>
        <w:rPr>
          <w:rFonts w:hint="cs"/>
          <w:b/>
          <w:bCs/>
          <w:sz w:val="24"/>
          <w:rtl/>
        </w:rPr>
        <w:t>)</w:t>
      </w:r>
    </w:p>
    <w:p w:rsidR="00945AA0" w:rsidP="001916A9">
      <w:pPr>
        <w:spacing w:line="269" w:lineRule="auto"/>
        <w:ind w:left="-1276"/>
        <w:contextualSpacing/>
        <w:jc w:val="center"/>
        <w:rPr>
          <w:b/>
          <w:bCs/>
          <w:sz w:val="24"/>
          <w:rtl/>
        </w:rPr>
      </w:pPr>
      <w:r w:rsidRPr="00B97E44">
        <w:rPr>
          <w:noProof/>
        </w:rPr>
        <w:drawing>
          <wp:anchor distT="0" distB="0" distL="114300" distR="114300" simplePos="0" relativeHeight="251673600" behindDoc="1" locked="0" layoutInCell="1" allowOverlap="1">
            <wp:simplePos x="0" y="0"/>
            <wp:positionH relativeFrom="margin">
              <wp:align>center</wp:align>
            </wp:positionH>
            <wp:positionV relativeFrom="paragraph">
              <wp:posOffset>5080</wp:posOffset>
            </wp:positionV>
            <wp:extent cx="4078605" cy="2668270"/>
            <wp:effectExtent l="0" t="0" r="0" b="0"/>
            <wp:wrapTight wrapText="bothSides">
              <wp:wrapPolygon>
                <wp:start x="0" y="0"/>
                <wp:lineTo x="0" y="21436"/>
                <wp:lineTo x="21489" y="21436"/>
                <wp:lineTo x="21489" y="0"/>
                <wp:lineTo x="0" y="0"/>
              </wp:wrapPolygon>
            </wp:wrapTight>
            <wp:docPr id="28" name="תמונה 28" descr="התרשים מציג את הכנסות עיריות אופקים, נתיבות ושדרות ממשרדי הממשלה לתושב, בין השנים 1995 - 2021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tretch>
                      <a:fillRect/>
                    </a:stretch>
                  </pic:blipFill>
                  <pic:spPr>
                    <a:xfrm>
                      <a:off x="0" y="0"/>
                      <a:ext cx="4078605" cy="2668270"/>
                    </a:xfrm>
                    <a:prstGeom prst="rect">
                      <a:avLst/>
                    </a:prstGeom>
                  </pic:spPr>
                </pic:pic>
              </a:graphicData>
            </a:graphic>
            <wp14:sizeRelH relativeFrom="margin">
              <wp14:pctWidth>0</wp14:pctWidth>
            </wp14:sizeRelH>
            <wp14:sizeRelV relativeFrom="margin">
              <wp14:pctHeight>0</wp14:pctHeight>
            </wp14:sizeRelV>
          </wp:anchor>
        </w:drawing>
      </w:r>
    </w:p>
    <w:p w:rsidR="00945AA0" w:rsidP="001916A9">
      <w:pPr>
        <w:spacing w:line="269" w:lineRule="auto"/>
        <w:ind w:left="-1276"/>
        <w:contextualSpacing/>
        <w:jc w:val="center"/>
        <w:rPr>
          <w:b/>
          <w:bCs/>
          <w:sz w:val="24"/>
          <w:rtl/>
        </w:rPr>
      </w:pPr>
    </w:p>
    <w:p w:rsidR="00945AA0" w:rsidP="001916A9">
      <w:pPr>
        <w:spacing w:line="269" w:lineRule="auto"/>
        <w:ind w:left="-1276"/>
        <w:contextualSpacing/>
        <w:jc w:val="center"/>
        <w:rPr>
          <w:b/>
          <w:bCs/>
          <w:sz w:val="24"/>
          <w:rtl/>
        </w:rPr>
      </w:pPr>
    </w:p>
    <w:p w:rsidR="00945AA0" w:rsidP="001916A9">
      <w:pPr>
        <w:spacing w:line="269" w:lineRule="auto"/>
        <w:ind w:left="-1276"/>
        <w:contextualSpacing/>
        <w:jc w:val="center"/>
        <w:rPr>
          <w:b/>
          <w:bCs/>
          <w:sz w:val="24"/>
          <w:rtl/>
        </w:rPr>
      </w:pPr>
    </w:p>
    <w:p w:rsidR="00945AA0" w:rsidP="001916A9">
      <w:pPr>
        <w:spacing w:line="269" w:lineRule="auto"/>
        <w:ind w:left="-1276"/>
        <w:contextualSpacing/>
        <w:jc w:val="center"/>
        <w:rPr>
          <w:b/>
          <w:bCs/>
          <w:sz w:val="24"/>
          <w:rtl/>
        </w:rPr>
      </w:pPr>
    </w:p>
    <w:p w:rsidR="00945AA0" w:rsidP="001916A9">
      <w:pPr>
        <w:spacing w:line="269" w:lineRule="auto"/>
        <w:ind w:left="-1276"/>
        <w:contextualSpacing/>
        <w:jc w:val="center"/>
        <w:rPr>
          <w:sz w:val="24"/>
          <w:u w:val="single"/>
          <w:rtl/>
        </w:rPr>
      </w:pPr>
    </w:p>
    <w:p w:rsidR="00945AA0" w:rsidP="001916A9">
      <w:pPr>
        <w:spacing w:line="269" w:lineRule="auto"/>
        <w:ind w:left="-1276"/>
        <w:contextualSpacing/>
        <w:jc w:val="center"/>
        <w:rPr>
          <w:sz w:val="24"/>
          <w:u w:val="single"/>
          <w:rtl/>
        </w:rPr>
      </w:pPr>
    </w:p>
    <w:p w:rsidR="00945AA0" w:rsidP="001916A9">
      <w:pPr>
        <w:spacing w:line="269" w:lineRule="auto"/>
        <w:ind w:left="-1276"/>
        <w:contextualSpacing/>
        <w:jc w:val="center"/>
        <w:rPr>
          <w:sz w:val="24"/>
          <w:u w:val="single"/>
          <w:rtl/>
        </w:rPr>
      </w:pPr>
    </w:p>
    <w:p w:rsidR="00945AA0" w:rsidP="001916A9">
      <w:pPr>
        <w:spacing w:line="269" w:lineRule="auto"/>
        <w:ind w:left="-1276"/>
        <w:contextualSpacing/>
        <w:jc w:val="center"/>
        <w:rPr>
          <w:sz w:val="24"/>
          <w:u w:val="single"/>
          <w:rtl/>
        </w:rPr>
      </w:pPr>
    </w:p>
    <w:p w:rsidR="00945AA0" w:rsidP="001916A9">
      <w:pPr>
        <w:spacing w:line="269" w:lineRule="auto"/>
        <w:ind w:left="-1276"/>
        <w:contextualSpacing/>
        <w:jc w:val="center"/>
        <w:rPr>
          <w:sz w:val="24"/>
          <w:u w:val="single"/>
          <w:rtl/>
        </w:rPr>
      </w:pPr>
    </w:p>
    <w:p w:rsidR="00945AA0" w:rsidP="001916A9">
      <w:pPr>
        <w:spacing w:line="269" w:lineRule="auto"/>
        <w:ind w:left="-1276"/>
        <w:contextualSpacing/>
        <w:jc w:val="center"/>
        <w:rPr>
          <w:sz w:val="24"/>
          <w:u w:val="single"/>
          <w:rtl/>
        </w:rPr>
      </w:pPr>
    </w:p>
    <w:p w:rsidR="00945AA0" w:rsidP="001916A9">
      <w:pPr>
        <w:spacing w:line="269" w:lineRule="auto"/>
        <w:ind w:left="-1276"/>
        <w:contextualSpacing/>
        <w:jc w:val="center"/>
        <w:rPr>
          <w:sz w:val="24"/>
          <w:u w:val="single"/>
          <w:rtl/>
        </w:rPr>
      </w:pPr>
    </w:p>
    <w:p w:rsidR="00945AA0" w:rsidP="001916A9">
      <w:pPr>
        <w:spacing w:line="269" w:lineRule="auto"/>
        <w:ind w:left="-1276"/>
        <w:contextualSpacing/>
        <w:jc w:val="center"/>
        <w:rPr>
          <w:sz w:val="24"/>
          <w:u w:val="single"/>
          <w:rtl/>
        </w:rPr>
      </w:pPr>
    </w:p>
    <w:p w:rsidR="00945AA0" w:rsidP="001916A9">
      <w:pPr>
        <w:spacing w:line="269" w:lineRule="auto"/>
        <w:ind w:left="-1276"/>
        <w:contextualSpacing/>
        <w:jc w:val="center"/>
        <w:rPr>
          <w:sz w:val="24"/>
          <w:u w:val="single"/>
          <w:rtl/>
        </w:rPr>
      </w:pPr>
    </w:p>
    <w:p w:rsidR="00945AA0" w:rsidP="001916A9">
      <w:pPr>
        <w:spacing w:line="269" w:lineRule="auto"/>
        <w:ind w:left="-1276"/>
        <w:contextualSpacing/>
        <w:jc w:val="center"/>
        <w:rPr>
          <w:sz w:val="24"/>
          <w:u w:val="single"/>
          <w:rtl/>
        </w:rPr>
      </w:pPr>
    </w:p>
    <w:p w:rsidR="00945AA0" w:rsidP="001916A9">
      <w:pPr>
        <w:spacing w:line="269" w:lineRule="auto"/>
        <w:ind w:left="-1276"/>
        <w:contextualSpacing/>
        <w:jc w:val="center"/>
        <w:rPr>
          <w:sz w:val="24"/>
          <w:u w:val="single"/>
          <w:rtl/>
        </w:rPr>
      </w:pPr>
    </w:p>
    <w:p w:rsidR="00945AA0" w:rsidRPr="00B97E44" w:rsidP="001916A9">
      <w:pPr>
        <w:spacing w:line="269" w:lineRule="auto"/>
        <w:ind w:left="-1276"/>
        <w:contextualSpacing/>
        <w:jc w:val="center"/>
        <w:rPr>
          <w:sz w:val="24"/>
          <w:u w:val="single"/>
        </w:rPr>
      </w:pPr>
    </w:p>
    <w:tbl>
      <w:tblPr>
        <w:bidiVisual/>
        <w:tblW w:w="6373" w:type="dxa"/>
        <w:jc w:val="center"/>
        <w:tblLayout w:type="fixed"/>
        <w:tblLook w:val="04A0"/>
      </w:tblPr>
      <w:tblGrid>
        <w:gridCol w:w="1593"/>
        <w:gridCol w:w="1593"/>
        <w:gridCol w:w="1593"/>
        <w:gridCol w:w="1594"/>
      </w:tblGrid>
      <w:tr w:rsidTr="00945AA0">
        <w:tblPrEx>
          <w:tblW w:w="6373" w:type="dxa"/>
          <w:jc w:val="center"/>
          <w:tblLayout w:type="fixed"/>
          <w:tblLook w:val="04A0"/>
        </w:tblPrEx>
        <w:trPr>
          <w:trHeight w:val="20"/>
          <w:tblHeader/>
          <w:jc w:val="center"/>
        </w:trPr>
        <w:tc>
          <w:tcPr>
            <w:tcW w:w="1593" w:type="dxa"/>
            <w:tcBorders>
              <w:top w:val="single" w:sz="4" w:space="0" w:color="auto"/>
              <w:left w:val="single" w:sz="4" w:space="0" w:color="auto"/>
              <w:bottom w:val="single" w:sz="4" w:space="0" w:color="auto"/>
              <w:right w:val="single" w:sz="4" w:space="0" w:color="auto"/>
            </w:tcBorders>
            <w:noWrap/>
            <w:vAlign w:val="bottom"/>
            <w:hideMark/>
          </w:tcPr>
          <w:p w:rsidR="005B126E" w:rsidRPr="00AB6523" w:rsidP="001916A9">
            <w:pPr>
              <w:spacing w:line="269" w:lineRule="auto"/>
              <w:jc w:val="center"/>
              <w:rPr>
                <w:rFonts w:ascii="Tahoma" w:eastAsia="Times New Roman" w:hAnsi="Tahoma" w:cs="Tahoma"/>
                <w:color w:val="95B3D7" w:themeColor="accent1" w:themeTint="99"/>
                <w:sz w:val="16"/>
                <w:szCs w:val="16"/>
                <w:rtl/>
              </w:rPr>
            </w:pPr>
            <w:r w:rsidRPr="00AB6523">
              <w:rPr>
                <w:rFonts w:ascii="Tahoma" w:eastAsia="Times New Roman" w:hAnsi="Tahoma" w:cs="Tahoma"/>
                <w:color w:val="95B3D7" w:themeColor="accent1" w:themeTint="99"/>
                <w:sz w:val="16"/>
                <w:szCs w:val="16"/>
              </w:rPr>
              <w:t> </w:t>
            </w:r>
            <w:r w:rsidR="00945AA0">
              <w:rPr>
                <w:rFonts w:ascii="Tahoma" w:eastAsia="Times New Roman" w:hAnsi="Tahoma" w:cs="Tahoma" w:hint="cs"/>
                <w:color w:val="95B3D7" w:themeColor="accent1" w:themeTint="99"/>
                <w:sz w:val="16"/>
                <w:szCs w:val="16"/>
                <w:rtl/>
              </w:rPr>
              <w:t>ה</w:t>
            </w:r>
            <w:r w:rsidRPr="00AB6523">
              <w:rPr>
                <w:rFonts w:ascii="Tahoma" w:eastAsia="Times New Roman" w:hAnsi="Tahoma" w:cs="Tahoma" w:hint="eastAsia"/>
                <w:color w:val="95B3D7" w:themeColor="accent1" w:themeTint="99"/>
                <w:sz w:val="16"/>
                <w:szCs w:val="16"/>
                <w:rtl/>
              </w:rPr>
              <w:t>שנה</w:t>
            </w:r>
          </w:p>
        </w:tc>
        <w:tc>
          <w:tcPr>
            <w:tcW w:w="1593" w:type="dxa"/>
            <w:tcBorders>
              <w:top w:val="single" w:sz="4" w:space="0" w:color="auto"/>
              <w:left w:val="single" w:sz="4" w:space="0" w:color="auto"/>
              <w:bottom w:val="single" w:sz="4" w:space="0" w:color="auto"/>
              <w:right w:val="single" w:sz="4" w:space="0" w:color="auto"/>
            </w:tcBorders>
            <w:noWrap/>
            <w:vAlign w:val="center"/>
            <w:hideMark/>
          </w:tcPr>
          <w:p w:rsidR="005B126E" w:rsidRPr="00AB6523" w:rsidP="001916A9">
            <w:pPr>
              <w:spacing w:line="269" w:lineRule="auto"/>
              <w:jc w:val="center"/>
              <w:rPr>
                <w:rFonts w:ascii="Tahoma" w:eastAsia="Times New Roman" w:hAnsi="Tahoma" w:cs="Tahoma"/>
                <w:color w:val="95B3D7" w:themeColor="accent1" w:themeTint="99"/>
                <w:sz w:val="16"/>
                <w:szCs w:val="16"/>
              </w:rPr>
            </w:pPr>
            <w:r w:rsidRPr="00AB6523">
              <w:rPr>
                <w:rFonts w:ascii="Tahoma" w:eastAsia="Times New Roman" w:hAnsi="Tahoma" w:cs="Tahoma"/>
                <w:color w:val="95B3D7" w:themeColor="accent1" w:themeTint="99"/>
                <w:sz w:val="16"/>
                <w:szCs w:val="16"/>
                <w:rtl/>
              </w:rPr>
              <w:t>אופקים</w:t>
            </w:r>
          </w:p>
        </w:tc>
        <w:tc>
          <w:tcPr>
            <w:tcW w:w="1593" w:type="dxa"/>
            <w:tcBorders>
              <w:top w:val="single" w:sz="4" w:space="0" w:color="auto"/>
              <w:left w:val="single" w:sz="4" w:space="0" w:color="auto"/>
              <w:bottom w:val="single" w:sz="4" w:space="0" w:color="auto"/>
              <w:right w:val="single" w:sz="4" w:space="0" w:color="auto"/>
            </w:tcBorders>
            <w:noWrap/>
            <w:vAlign w:val="center"/>
            <w:hideMark/>
          </w:tcPr>
          <w:p w:rsidR="005B126E" w:rsidRPr="00AB6523" w:rsidP="001916A9">
            <w:pPr>
              <w:spacing w:line="269" w:lineRule="auto"/>
              <w:jc w:val="center"/>
              <w:rPr>
                <w:rFonts w:ascii="Tahoma" w:eastAsia="Times New Roman" w:hAnsi="Tahoma" w:cs="Tahoma"/>
                <w:color w:val="95B3D7" w:themeColor="accent1" w:themeTint="99"/>
                <w:sz w:val="16"/>
                <w:szCs w:val="16"/>
                <w:rtl/>
              </w:rPr>
            </w:pPr>
            <w:r w:rsidRPr="00AB6523">
              <w:rPr>
                <w:rFonts w:ascii="Tahoma" w:eastAsia="Times New Roman" w:hAnsi="Tahoma" w:cs="Tahoma"/>
                <w:color w:val="95B3D7" w:themeColor="accent1" w:themeTint="99"/>
                <w:sz w:val="16"/>
                <w:szCs w:val="16"/>
                <w:rtl/>
              </w:rPr>
              <w:t>נתיבות</w:t>
            </w:r>
          </w:p>
        </w:tc>
        <w:tc>
          <w:tcPr>
            <w:tcW w:w="1594" w:type="dxa"/>
            <w:tcBorders>
              <w:top w:val="single" w:sz="4" w:space="0" w:color="auto"/>
              <w:left w:val="single" w:sz="4" w:space="0" w:color="auto"/>
              <w:bottom w:val="single" w:sz="4" w:space="0" w:color="auto"/>
              <w:right w:val="single" w:sz="4" w:space="0" w:color="auto"/>
            </w:tcBorders>
            <w:noWrap/>
            <w:vAlign w:val="center"/>
            <w:hideMark/>
          </w:tcPr>
          <w:p w:rsidR="005B126E" w:rsidRPr="00AB6523" w:rsidP="001916A9">
            <w:pPr>
              <w:spacing w:line="269" w:lineRule="auto"/>
              <w:jc w:val="center"/>
              <w:rPr>
                <w:rFonts w:ascii="Tahoma" w:eastAsia="Times New Roman" w:hAnsi="Tahoma" w:cs="Tahoma"/>
                <w:color w:val="95B3D7" w:themeColor="accent1" w:themeTint="99"/>
                <w:sz w:val="16"/>
                <w:szCs w:val="16"/>
                <w:rtl/>
              </w:rPr>
            </w:pPr>
            <w:r w:rsidRPr="00AB6523">
              <w:rPr>
                <w:rFonts w:ascii="Tahoma" w:eastAsia="Times New Roman" w:hAnsi="Tahoma" w:cs="Tahoma"/>
                <w:color w:val="95B3D7" w:themeColor="accent1" w:themeTint="99"/>
                <w:sz w:val="16"/>
                <w:szCs w:val="16"/>
                <w:rtl/>
              </w:rPr>
              <w:t>שדרות</w:t>
            </w:r>
          </w:p>
        </w:tc>
      </w:tr>
      <w:tr w:rsidTr="00FF2A74">
        <w:tblPrEx>
          <w:tblW w:w="6373" w:type="dxa"/>
          <w:jc w:val="center"/>
          <w:tblLayout w:type="fixed"/>
          <w:tblLook w:val="04A0"/>
        </w:tblPrEx>
        <w:trPr>
          <w:trHeight w:val="20"/>
          <w:jc w:val="center"/>
        </w:trPr>
        <w:tc>
          <w:tcPr>
            <w:tcW w:w="159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B126E" w:rsidRPr="00AB6523" w:rsidP="001916A9">
            <w:pPr>
              <w:spacing w:line="269" w:lineRule="auto"/>
              <w:jc w:val="center"/>
              <w:rPr>
                <w:rFonts w:ascii="Tahoma" w:eastAsia="Times New Roman" w:hAnsi="Tahoma" w:cs="Tahoma"/>
                <w:color w:val="95B3D7" w:themeColor="accent1" w:themeTint="99"/>
                <w:sz w:val="16"/>
                <w:szCs w:val="16"/>
              </w:rPr>
            </w:pPr>
            <w:r w:rsidRPr="00ED2833">
              <w:rPr>
                <w:rFonts w:ascii="Tahoma" w:eastAsia="Times New Roman" w:hAnsi="Tahoma" w:cs="Tahoma"/>
                <w:b/>
                <w:bCs/>
                <w:color w:val="7F7F7F" w:themeColor="text1" w:themeTint="80"/>
                <w:sz w:val="16"/>
                <w:szCs w:val="16"/>
              </w:rPr>
              <w:t>1995</w:t>
            </w:r>
          </w:p>
        </w:tc>
        <w:tc>
          <w:tcPr>
            <w:tcW w:w="1593"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2,472</w:t>
            </w:r>
          </w:p>
        </w:tc>
        <w:tc>
          <w:tcPr>
            <w:tcW w:w="1593"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2,580</w:t>
            </w:r>
          </w:p>
        </w:tc>
        <w:tc>
          <w:tcPr>
            <w:tcW w:w="1594"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2,540</w:t>
            </w:r>
          </w:p>
        </w:tc>
      </w:tr>
      <w:tr w:rsidTr="00FF2A74">
        <w:tblPrEx>
          <w:tblW w:w="6373" w:type="dxa"/>
          <w:jc w:val="center"/>
          <w:tblLayout w:type="fixed"/>
          <w:tblLook w:val="04A0"/>
        </w:tblPrEx>
        <w:trPr>
          <w:trHeight w:val="20"/>
          <w:jc w:val="center"/>
        </w:trPr>
        <w:tc>
          <w:tcPr>
            <w:tcW w:w="159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B126E" w:rsidRPr="00B97E44" w:rsidP="001916A9">
            <w:pPr>
              <w:spacing w:line="269" w:lineRule="auto"/>
              <w:jc w:val="center"/>
              <w:rPr>
                <w:rFonts w:ascii="Tahoma" w:eastAsia="Times New Roman" w:hAnsi="Tahoma" w:cs="Tahoma"/>
                <w:b/>
                <w:bCs/>
                <w:color w:val="7F7F7F" w:themeColor="text1" w:themeTint="80"/>
                <w:sz w:val="16"/>
                <w:szCs w:val="16"/>
              </w:rPr>
            </w:pPr>
            <w:r w:rsidRPr="00B97E44">
              <w:rPr>
                <w:rFonts w:ascii="Tahoma" w:eastAsia="Times New Roman" w:hAnsi="Tahoma" w:cs="Tahoma"/>
                <w:b/>
                <w:bCs/>
                <w:color w:val="7F7F7F" w:themeColor="text1" w:themeTint="80"/>
                <w:sz w:val="16"/>
                <w:szCs w:val="16"/>
              </w:rPr>
              <w:t>1996</w:t>
            </w:r>
          </w:p>
        </w:tc>
        <w:tc>
          <w:tcPr>
            <w:tcW w:w="1593"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tl/>
              </w:rPr>
            </w:pPr>
            <w:r w:rsidRPr="00B97E44">
              <w:rPr>
                <w:rFonts w:ascii="Tahoma" w:eastAsia="Times New Roman" w:hAnsi="Tahoma" w:cs="Tahoma"/>
                <w:color w:val="7F7F7F" w:themeColor="text1" w:themeTint="80"/>
                <w:sz w:val="16"/>
                <w:szCs w:val="16"/>
              </w:rPr>
              <w:t>3,095</w:t>
            </w:r>
          </w:p>
        </w:tc>
        <w:tc>
          <w:tcPr>
            <w:tcW w:w="1593"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2,823</w:t>
            </w:r>
          </w:p>
        </w:tc>
        <w:tc>
          <w:tcPr>
            <w:tcW w:w="1594"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tl/>
              </w:rPr>
            </w:pPr>
            <w:r w:rsidRPr="00B97E44">
              <w:rPr>
                <w:rFonts w:ascii="Tahoma" w:eastAsia="Times New Roman" w:hAnsi="Tahoma" w:cs="Tahoma"/>
                <w:color w:val="7F7F7F" w:themeColor="text1" w:themeTint="80"/>
                <w:sz w:val="16"/>
                <w:szCs w:val="16"/>
              </w:rPr>
              <w:t>3,239</w:t>
            </w:r>
          </w:p>
        </w:tc>
      </w:tr>
      <w:tr w:rsidTr="00FF2A74">
        <w:tblPrEx>
          <w:tblW w:w="6373" w:type="dxa"/>
          <w:jc w:val="center"/>
          <w:tblLayout w:type="fixed"/>
          <w:tblLook w:val="04A0"/>
        </w:tblPrEx>
        <w:trPr>
          <w:trHeight w:val="20"/>
          <w:jc w:val="center"/>
        </w:trPr>
        <w:tc>
          <w:tcPr>
            <w:tcW w:w="159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B126E" w:rsidRPr="00B97E44" w:rsidP="001916A9">
            <w:pPr>
              <w:spacing w:line="269" w:lineRule="auto"/>
              <w:jc w:val="center"/>
              <w:rPr>
                <w:rFonts w:ascii="Tahoma" w:eastAsia="Times New Roman" w:hAnsi="Tahoma" w:cs="Tahoma"/>
                <w:b/>
                <w:bCs/>
                <w:color w:val="7F7F7F" w:themeColor="text1" w:themeTint="80"/>
                <w:sz w:val="16"/>
                <w:szCs w:val="16"/>
              </w:rPr>
            </w:pPr>
            <w:r w:rsidRPr="00B97E44">
              <w:rPr>
                <w:rFonts w:ascii="Tahoma" w:eastAsia="Times New Roman" w:hAnsi="Tahoma" w:cs="Tahoma"/>
                <w:b/>
                <w:bCs/>
                <w:color w:val="7F7F7F" w:themeColor="text1" w:themeTint="80"/>
                <w:sz w:val="16"/>
                <w:szCs w:val="16"/>
              </w:rPr>
              <w:t>1997</w:t>
            </w:r>
          </w:p>
        </w:tc>
        <w:tc>
          <w:tcPr>
            <w:tcW w:w="1593"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2,990</w:t>
            </w:r>
          </w:p>
        </w:tc>
        <w:tc>
          <w:tcPr>
            <w:tcW w:w="1593"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3,644</w:t>
            </w:r>
          </w:p>
        </w:tc>
        <w:tc>
          <w:tcPr>
            <w:tcW w:w="1594"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3,393</w:t>
            </w:r>
          </w:p>
        </w:tc>
      </w:tr>
      <w:tr w:rsidTr="00FF2A74">
        <w:tblPrEx>
          <w:tblW w:w="6373" w:type="dxa"/>
          <w:jc w:val="center"/>
          <w:tblLayout w:type="fixed"/>
          <w:tblLook w:val="04A0"/>
        </w:tblPrEx>
        <w:trPr>
          <w:trHeight w:val="20"/>
          <w:jc w:val="center"/>
        </w:trPr>
        <w:tc>
          <w:tcPr>
            <w:tcW w:w="159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B126E" w:rsidRPr="00B97E44" w:rsidP="001916A9">
            <w:pPr>
              <w:spacing w:line="269" w:lineRule="auto"/>
              <w:jc w:val="center"/>
              <w:rPr>
                <w:rFonts w:ascii="Tahoma" w:eastAsia="Times New Roman" w:hAnsi="Tahoma" w:cs="Tahoma"/>
                <w:b/>
                <w:bCs/>
                <w:color w:val="7F7F7F" w:themeColor="text1" w:themeTint="80"/>
                <w:sz w:val="16"/>
                <w:szCs w:val="16"/>
              </w:rPr>
            </w:pPr>
            <w:r w:rsidRPr="00B97E44">
              <w:rPr>
                <w:rFonts w:ascii="Tahoma" w:eastAsia="Times New Roman" w:hAnsi="Tahoma" w:cs="Tahoma"/>
                <w:b/>
                <w:bCs/>
                <w:color w:val="7F7F7F" w:themeColor="text1" w:themeTint="80"/>
                <w:sz w:val="16"/>
                <w:szCs w:val="16"/>
              </w:rPr>
              <w:t>1999</w:t>
            </w:r>
          </w:p>
        </w:tc>
        <w:tc>
          <w:tcPr>
            <w:tcW w:w="1593"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3,525</w:t>
            </w:r>
          </w:p>
        </w:tc>
        <w:tc>
          <w:tcPr>
            <w:tcW w:w="1593"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2,979</w:t>
            </w:r>
          </w:p>
        </w:tc>
        <w:tc>
          <w:tcPr>
            <w:tcW w:w="1594"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3,869</w:t>
            </w:r>
          </w:p>
        </w:tc>
      </w:tr>
      <w:tr w:rsidTr="00FF2A74">
        <w:tblPrEx>
          <w:tblW w:w="6373" w:type="dxa"/>
          <w:jc w:val="center"/>
          <w:tblLayout w:type="fixed"/>
          <w:tblLook w:val="04A0"/>
        </w:tblPrEx>
        <w:trPr>
          <w:trHeight w:val="20"/>
          <w:jc w:val="center"/>
        </w:trPr>
        <w:tc>
          <w:tcPr>
            <w:tcW w:w="159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B126E" w:rsidRPr="00B97E44" w:rsidP="001916A9">
            <w:pPr>
              <w:spacing w:line="269" w:lineRule="auto"/>
              <w:jc w:val="center"/>
              <w:rPr>
                <w:rFonts w:ascii="Tahoma" w:eastAsia="Times New Roman" w:hAnsi="Tahoma" w:cs="Tahoma"/>
                <w:b/>
                <w:bCs/>
                <w:color w:val="7F7F7F" w:themeColor="text1" w:themeTint="80"/>
                <w:sz w:val="16"/>
                <w:szCs w:val="16"/>
                <w:rtl/>
              </w:rPr>
            </w:pPr>
            <w:r w:rsidRPr="00B97E44">
              <w:rPr>
                <w:rFonts w:ascii="Tahoma" w:eastAsia="Times New Roman" w:hAnsi="Tahoma" w:cs="Tahoma"/>
                <w:b/>
                <w:bCs/>
                <w:color w:val="7F7F7F" w:themeColor="text1" w:themeTint="80"/>
                <w:sz w:val="16"/>
                <w:szCs w:val="16"/>
              </w:rPr>
              <w:t>2000</w:t>
            </w:r>
          </w:p>
        </w:tc>
        <w:tc>
          <w:tcPr>
            <w:tcW w:w="1593"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3,843</w:t>
            </w:r>
          </w:p>
        </w:tc>
        <w:tc>
          <w:tcPr>
            <w:tcW w:w="1593"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2,917</w:t>
            </w:r>
          </w:p>
        </w:tc>
        <w:tc>
          <w:tcPr>
            <w:tcW w:w="1594"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3,903</w:t>
            </w:r>
          </w:p>
        </w:tc>
      </w:tr>
      <w:tr w:rsidTr="00FF2A74">
        <w:tblPrEx>
          <w:tblW w:w="6373" w:type="dxa"/>
          <w:jc w:val="center"/>
          <w:tblLayout w:type="fixed"/>
          <w:tblLook w:val="04A0"/>
        </w:tblPrEx>
        <w:trPr>
          <w:trHeight w:val="20"/>
          <w:jc w:val="center"/>
        </w:trPr>
        <w:tc>
          <w:tcPr>
            <w:tcW w:w="159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B126E" w:rsidRPr="00B97E44" w:rsidP="001916A9">
            <w:pPr>
              <w:spacing w:line="269" w:lineRule="auto"/>
              <w:jc w:val="center"/>
              <w:rPr>
                <w:rFonts w:ascii="Tahoma" w:eastAsia="Times New Roman" w:hAnsi="Tahoma" w:cs="Tahoma"/>
                <w:b/>
                <w:bCs/>
                <w:color w:val="7F7F7F" w:themeColor="text1" w:themeTint="80"/>
                <w:sz w:val="16"/>
                <w:szCs w:val="16"/>
              </w:rPr>
            </w:pPr>
            <w:r w:rsidRPr="00B97E44">
              <w:rPr>
                <w:rFonts w:ascii="Tahoma" w:eastAsia="Times New Roman" w:hAnsi="Tahoma" w:cs="Tahoma"/>
                <w:b/>
                <w:bCs/>
                <w:color w:val="7F7F7F" w:themeColor="text1" w:themeTint="80"/>
                <w:sz w:val="16"/>
                <w:szCs w:val="16"/>
              </w:rPr>
              <w:t>2001</w:t>
            </w:r>
          </w:p>
        </w:tc>
        <w:tc>
          <w:tcPr>
            <w:tcW w:w="1593"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4,315</w:t>
            </w:r>
          </w:p>
        </w:tc>
        <w:tc>
          <w:tcPr>
            <w:tcW w:w="1593"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3,282</w:t>
            </w:r>
          </w:p>
        </w:tc>
        <w:tc>
          <w:tcPr>
            <w:tcW w:w="1594"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4,413</w:t>
            </w:r>
          </w:p>
        </w:tc>
      </w:tr>
      <w:tr w:rsidTr="00FF2A74">
        <w:tblPrEx>
          <w:tblW w:w="6373" w:type="dxa"/>
          <w:jc w:val="center"/>
          <w:tblLayout w:type="fixed"/>
          <w:tblLook w:val="04A0"/>
        </w:tblPrEx>
        <w:trPr>
          <w:trHeight w:val="20"/>
          <w:jc w:val="center"/>
        </w:trPr>
        <w:tc>
          <w:tcPr>
            <w:tcW w:w="159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B126E" w:rsidRPr="00B97E44" w:rsidP="001916A9">
            <w:pPr>
              <w:spacing w:line="269" w:lineRule="auto"/>
              <w:jc w:val="center"/>
              <w:rPr>
                <w:rFonts w:ascii="Tahoma" w:eastAsia="Times New Roman" w:hAnsi="Tahoma" w:cs="Tahoma"/>
                <w:b/>
                <w:bCs/>
                <w:color w:val="7F7F7F" w:themeColor="text1" w:themeTint="80"/>
                <w:sz w:val="16"/>
                <w:szCs w:val="16"/>
              </w:rPr>
            </w:pPr>
            <w:r w:rsidRPr="00B97E44">
              <w:rPr>
                <w:rFonts w:ascii="Tahoma" w:eastAsia="Times New Roman" w:hAnsi="Tahoma" w:cs="Tahoma"/>
                <w:b/>
                <w:bCs/>
                <w:color w:val="7F7F7F" w:themeColor="text1" w:themeTint="80"/>
                <w:sz w:val="16"/>
                <w:szCs w:val="16"/>
              </w:rPr>
              <w:t>2002</w:t>
            </w:r>
          </w:p>
        </w:tc>
        <w:tc>
          <w:tcPr>
            <w:tcW w:w="1593"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3,990</w:t>
            </w:r>
          </w:p>
        </w:tc>
        <w:tc>
          <w:tcPr>
            <w:tcW w:w="1593"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3,388</w:t>
            </w:r>
          </w:p>
        </w:tc>
        <w:tc>
          <w:tcPr>
            <w:tcW w:w="1594"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4,941</w:t>
            </w:r>
          </w:p>
        </w:tc>
      </w:tr>
      <w:tr w:rsidTr="00FF2A74">
        <w:tblPrEx>
          <w:tblW w:w="6373" w:type="dxa"/>
          <w:jc w:val="center"/>
          <w:tblLayout w:type="fixed"/>
          <w:tblLook w:val="04A0"/>
        </w:tblPrEx>
        <w:trPr>
          <w:trHeight w:val="20"/>
          <w:jc w:val="center"/>
        </w:trPr>
        <w:tc>
          <w:tcPr>
            <w:tcW w:w="159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B126E" w:rsidRPr="00B97E44" w:rsidP="001916A9">
            <w:pPr>
              <w:spacing w:line="269" w:lineRule="auto"/>
              <w:jc w:val="center"/>
              <w:rPr>
                <w:rFonts w:ascii="Tahoma" w:eastAsia="Times New Roman" w:hAnsi="Tahoma" w:cs="Tahoma"/>
                <w:b/>
                <w:bCs/>
                <w:color w:val="7F7F7F" w:themeColor="text1" w:themeTint="80"/>
                <w:sz w:val="16"/>
                <w:szCs w:val="16"/>
              </w:rPr>
            </w:pPr>
            <w:r w:rsidRPr="00B97E44">
              <w:rPr>
                <w:rFonts w:ascii="Tahoma" w:eastAsia="Times New Roman" w:hAnsi="Tahoma" w:cs="Tahoma"/>
                <w:b/>
                <w:bCs/>
                <w:color w:val="7F7F7F" w:themeColor="text1" w:themeTint="80"/>
                <w:sz w:val="16"/>
                <w:szCs w:val="16"/>
              </w:rPr>
              <w:t>2003</w:t>
            </w:r>
          </w:p>
        </w:tc>
        <w:tc>
          <w:tcPr>
            <w:tcW w:w="1593"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3,904</w:t>
            </w:r>
          </w:p>
        </w:tc>
        <w:tc>
          <w:tcPr>
            <w:tcW w:w="1593"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3,892</w:t>
            </w:r>
          </w:p>
        </w:tc>
        <w:tc>
          <w:tcPr>
            <w:tcW w:w="1594"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4,907</w:t>
            </w:r>
          </w:p>
        </w:tc>
      </w:tr>
      <w:tr w:rsidTr="00FF2A74">
        <w:tblPrEx>
          <w:tblW w:w="6373" w:type="dxa"/>
          <w:jc w:val="center"/>
          <w:tblLayout w:type="fixed"/>
          <w:tblLook w:val="04A0"/>
        </w:tblPrEx>
        <w:trPr>
          <w:trHeight w:val="20"/>
          <w:jc w:val="center"/>
        </w:trPr>
        <w:tc>
          <w:tcPr>
            <w:tcW w:w="1593" w:type="dxa"/>
            <w:tcBorders>
              <w:top w:val="single" w:sz="4" w:space="0" w:color="auto"/>
              <w:left w:val="single" w:sz="4" w:space="0" w:color="auto"/>
              <w:bottom w:val="single" w:sz="4" w:space="0" w:color="auto"/>
              <w:right w:val="nil"/>
            </w:tcBorders>
            <w:shd w:val="clear" w:color="auto" w:fill="DBE5F1" w:themeFill="accent1" w:themeFillTint="33"/>
            <w:noWrap/>
            <w:vAlign w:val="center"/>
            <w:hideMark/>
          </w:tcPr>
          <w:p w:rsidR="005B126E" w:rsidRPr="00B97E44" w:rsidP="001916A9">
            <w:pPr>
              <w:spacing w:line="269" w:lineRule="auto"/>
              <w:jc w:val="center"/>
              <w:rPr>
                <w:rFonts w:ascii="Tahoma" w:eastAsia="Times New Roman" w:hAnsi="Tahoma" w:cs="Tahoma"/>
                <w:b/>
                <w:bCs/>
                <w:color w:val="7F7F7F" w:themeColor="text1" w:themeTint="80"/>
                <w:sz w:val="16"/>
                <w:szCs w:val="16"/>
              </w:rPr>
            </w:pPr>
            <w:r w:rsidRPr="00B97E44">
              <w:rPr>
                <w:rFonts w:ascii="Tahoma" w:eastAsia="Times New Roman" w:hAnsi="Tahoma" w:cs="Tahoma"/>
                <w:b/>
                <w:bCs/>
                <w:color w:val="7F7F7F" w:themeColor="text1" w:themeTint="80"/>
                <w:sz w:val="16"/>
                <w:szCs w:val="16"/>
              </w:rPr>
              <w:t>2004</w:t>
            </w:r>
          </w:p>
        </w:tc>
        <w:tc>
          <w:tcPr>
            <w:tcW w:w="1593"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3,527</w:t>
            </w:r>
          </w:p>
        </w:tc>
        <w:tc>
          <w:tcPr>
            <w:tcW w:w="1593"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2,873</w:t>
            </w:r>
          </w:p>
        </w:tc>
        <w:tc>
          <w:tcPr>
            <w:tcW w:w="1594"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4,123</w:t>
            </w:r>
          </w:p>
        </w:tc>
      </w:tr>
      <w:tr w:rsidTr="00FF2A74">
        <w:tblPrEx>
          <w:tblW w:w="6373" w:type="dxa"/>
          <w:jc w:val="center"/>
          <w:tblLayout w:type="fixed"/>
          <w:tblLook w:val="04A0"/>
        </w:tblPrEx>
        <w:trPr>
          <w:trHeight w:val="20"/>
          <w:jc w:val="center"/>
        </w:trPr>
        <w:tc>
          <w:tcPr>
            <w:tcW w:w="159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B126E" w:rsidRPr="00B97E44" w:rsidP="001916A9">
            <w:pPr>
              <w:spacing w:line="269" w:lineRule="auto"/>
              <w:jc w:val="center"/>
              <w:rPr>
                <w:rFonts w:ascii="Tahoma" w:eastAsia="Times New Roman" w:hAnsi="Tahoma" w:cs="Tahoma"/>
                <w:b/>
                <w:bCs/>
                <w:color w:val="7F7F7F" w:themeColor="text1" w:themeTint="80"/>
                <w:sz w:val="16"/>
                <w:szCs w:val="16"/>
              </w:rPr>
            </w:pPr>
            <w:r w:rsidRPr="00B97E44">
              <w:rPr>
                <w:rFonts w:ascii="Tahoma" w:eastAsia="Times New Roman" w:hAnsi="Tahoma" w:cs="Tahoma"/>
                <w:b/>
                <w:bCs/>
                <w:color w:val="7F7F7F" w:themeColor="text1" w:themeTint="80"/>
                <w:sz w:val="16"/>
                <w:szCs w:val="16"/>
              </w:rPr>
              <w:t>2005</w:t>
            </w:r>
          </w:p>
        </w:tc>
        <w:tc>
          <w:tcPr>
            <w:tcW w:w="1593"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3,488</w:t>
            </w:r>
          </w:p>
        </w:tc>
        <w:tc>
          <w:tcPr>
            <w:tcW w:w="1593"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3,447</w:t>
            </w:r>
          </w:p>
        </w:tc>
        <w:tc>
          <w:tcPr>
            <w:tcW w:w="1594"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6,266</w:t>
            </w:r>
          </w:p>
        </w:tc>
      </w:tr>
      <w:tr w:rsidTr="00FF2A74">
        <w:tblPrEx>
          <w:tblW w:w="6373" w:type="dxa"/>
          <w:jc w:val="center"/>
          <w:tblLayout w:type="fixed"/>
          <w:tblLook w:val="04A0"/>
        </w:tblPrEx>
        <w:trPr>
          <w:trHeight w:val="20"/>
          <w:jc w:val="center"/>
        </w:trPr>
        <w:tc>
          <w:tcPr>
            <w:tcW w:w="159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B126E" w:rsidRPr="00B97E44" w:rsidP="001916A9">
            <w:pPr>
              <w:spacing w:line="269" w:lineRule="auto"/>
              <w:jc w:val="center"/>
              <w:rPr>
                <w:rFonts w:ascii="Tahoma" w:eastAsia="Times New Roman" w:hAnsi="Tahoma" w:cs="Tahoma"/>
                <w:b/>
                <w:bCs/>
                <w:color w:val="7F7F7F" w:themeColor="text1" w:themeTint="80"/>
                <w:sz w:val="16"/>
                <w:szCs w:val="16"/>
              </w:rPr>
            </w:pPr>
            <w:r w:rsidRPr="00B97E44">
              <w:rPr>
                <w:rFonts w:ascii="Tahoma" w:eastAsia="Times New Roman" w:hAnsi="Tahoma" w:cs="Tahoma"/>
                <w:b/>
                <w:bCs/>
                <w:color w:val="7F7F7F" w:themeColor="text1" w:themeTint="80"/>
                <w:sz w:val="16"/>
                <w:szCs w:val="16"/>
              </w:rPr>
              <w:t>2006</w:t>
            </w:r>
          </w:p>
        </w:tc>
        <w:tc>
          <w:tcPr>
            <w:tcW w:w="1593"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3,352</w:t>
            </w:r>
          </w:p>
        </w:tc>
        <w:tc>
          <w:tcPr>
            <w:tcW w:w="1593"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3,478</w:t>
            </w:r>
          </w:p>
        </w:tc>
        <w:tc>
          <w:tcPr>
            <w:tcW w:w="1594"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5,117</w:t>
            </w:r>
          </w:p>
        </w:tc>
      </w:tr>
      <w:tr w:rsidTr="00FF2A74">
        <w:tblPrEx>
          <w:tblW w:w="6373" w:type="dxa"/>
          <w:jc w:val="center"/>
          <w:tblLayout w:type="fixed"/>
          <w:tblLook w:val="04A0"/>
        </w:tblPrEx>
        <w:trPr>
          <w:trHeight w:val="20"/>
          <w:jc w:val="center"/>
        </w:trPr>
        <w:tc>
          <w:tcPr>
            <w:tcW w:w="159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B126E" w:rsidRPr="00B97E44" w:rsidP="001916A9">
            <w:pPr>
              <w:spacing w:line="269" w:lineRule="auto"/>
              <w:jc w:val="center"/>
              <w:rPr>
                <w:rFonts w:ascii="Tahoma" w:eastAsia="Times New Roman" w:hAnsi="Tahoma" w:cs="Tahoma"/>
                <w:b/>
                <w:bCs/>
                <w:color w:val="7F7F7F" w:themeColor="text1" w:themeTint="80"/>
                <w:sz w:val="16"/>
                <w:szCs w:val="16"/>
              </w:rPr>
            </w:pPr>
            <w:r w:rsidRPr="00B97E44">
              <w:rPr>
                <w:rFonts w:ascii="Tahoma" w:eastAsia="Times New Roman" w:hAnsi="Tahoma" w:cs="Tahoma"/>
                <w:b/>
                <w:bCs/>
                <w:color w:val="7F7F7F" w:themeColor="text1" w:themeTint="80"/>
                <w:sz w:val="16"/>
                <w:szCs w:val="16"/>
              </w:rPr>
              <w:t>2007</w:t>
            </w:r>
          </w:p>
        </w:tc>
        <w:tc>
          <w:tcPr>
            <w:tcW w:w="1593"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3,472</w:t>
            </w:r>
          </w:p>
        </w:tc>
        <w:tc>
          <w:tcPr>
            <w:tcW w:w="1593"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3,558</w:t>
            </w:r>
          </w:p>
        </w:tc>
        <w:tc>
          <w:tcPr>
            <w:tcW w:w="1594"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5,475</w:t>
            </w:r>
          </w:p>
        </w:tc>
      </w:tr>
      <w:tr w:rsidTr="00FF2A74">
        <w:tblPrEx>
          <w:tblW w:w="6373" w:type="dxa"/>
          <w:jc w:val="center"/>
          <w:tblLayout w:type="fixed"/>
          <w:tblLook w:val="04A0"/>
        </w:tblPrEx>
        <w:trPr>
          <w:trHeight w:val="20"/>
          <w:jc w:val="center"/>
        </w:trPr>
        <w:tc>
          <w:tcPr>
            <w:tcW w:w="159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B126E" w:rsidRPr="00B97E44" w:rsidP="001916A9">
            <w:pPr>
              <w:spacing w:line="269" w:lineRule="auto"/>
              <w:jc w:val="center"/>
              <w:rPr>
                <w:rFonts w:ascii="Tahoma" w:eastAsia="Times New Roman" w:hAnsi="Tahoma" w:cs="Tahoma"/>
                <w:b/>
                <w:bCs/>
                <w:color w:val="7F7F7F" w:themeColor="text1" w:themeTint="80"/>
                <w:sz w:val="16"/>
                <w:szCs w:val="16"/>
              </w:rPr>
            </w:pPr>
            <w:r w:rsidRPr="00B97E44">
              <w:rPr>
                <w:rFonts w:ascii="Tahoma" w:eastAsia="Times New Roman" w:hAnsi="Tahoma" w:cs="Tahoma"/>
                <w:b/>
                <w:bCs/>
                <w:color w:val="7F7F7F" w:themeColor="text1" w:themeTint="80"/>
                <w:sz w:val="16"/>
                <w:szCs w:val="16"/>
              </w:rPr>
              <w:t>2008</w:t>
            </w:r>
          </w:p>
        </w:tc>
        <w:tc>
          <w:tcPr>
            <w:tcW w:w="1593"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3,043</w:t>
            </w:r>
          </w:p>
        </w:tc>
        <w:tc>
          <w:tcPr>
            <w:tcW w:w="1593"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3,133</w:t>
            </w:r>
          </w:p>
        </w:tc>
        <w:tc>
          <w:tcPr>
            <w:tcW w:w="1594"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4,759</w:t>
            </w:r>
          </w:p>
        </w:tc>
      </w:tr>
      <w:tr w:rsidTr="00FF2A74">
        <w:tblPrEx>
          <w:tblW w:w="6373" w:type="dxa"/>
          <w:jc w:val="center"/>
          <w:tblLayout w:type="fixed"/>
          <w:tblLook w:val="04A0"/>
        </w:tblPrEx>
        <w:trPr>
          <w:trHeight w:val="20"/>
          <w:jc w:val="center"/>
        </w:trPr>
        <w:tc>
          <w:tcPr>
            <w:tcW w:w="159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B126E" w:rsidRPr="00B97E44" w:rsidP="001916A9">
            <w:pPr>
              <w:spacing w:line="269" w:lineRule="auto"/>
              <w:jc w:val="center"/>
              <w:rPr>
                <w:rFonts w:ascii="Tahoma" w:eastAsia="Times New Roman" w:hAnsi="Tahoma" w:cs="Tahoma"/>
                <w:b/>
                <w:bCs/>
                <w:color w:val="7F7F7F" w:themeColor="text1" w:themeTint="80"/>
                <w:sz w:val="16"/>
                <w:szCs w:val="16"/>
              </w:rPr>
            </w:pPr>
            <w:r w:rsidRPr="00B97E44">
              <w:rPr>
                <w:rFonts w:ascii="Tahoma" w:eastAsia="Times New Roman" w:hAnsi="Tahoma" w:cs="Tahoma"/>
                <w:b/>
                <w:bCs/>
                <w:color w:val="7F7F7F" w:themeColor="text1" w:themeTint="80"/>
                <w:sz w:val="16"/>
                <w:szCs w:val="16"/>
              </w:rPr>
              <w:t>2009</w:t>
            </w:r>
          </w:p>
        </w:tc>
        <w:tc>
          <w:tcPr>
            <w:tcW w:w="1593"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2,813</w:t>
            </w:r>
          </w:p>
        </w:tc>
        <w:tc>
          <w:tcPr>
            <w:tcW w:w="1593"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3,007</w:t>
            </w:r>
          </w:p>
        </w:tc>
        <w:tc>
          <w:tcPr>
            <w:tcW w:w="1594"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4,233</w:t>
            </w:r>
          </w:p>
        </w:tc>
      </w:tr>
      <w:tr w:rsidTr="00FF2A74">
        <w:tblPrEx>
          <w:tblW w:w="6373" w:type="dxa"/>
          <w:jc w:val="center"/>
          <w:tblLayout w:type="fixed"/>
          <w:tblLook w:val="04A0"/>
        </w:tblPrEx>
        <w:trPr>
          <w:trHeight w:val="20"/>
          <w:jc w:val="center"/>
        </w:trPr>
        <w:tc>
          <w:tcPr>
            <w:tcW w:w="159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B126E" w:rsidRPr="00B97E44" w:rsidP="001916A9">
            <w:pPr>
              <w:spacing w:line="269" w:lineRule="auto"/>
              <w:jc w:val="center"/>
              <w:rPr>
                <w:rFonts w:ascii="Tahoma" w:eastAsia="Times New Roman" w:hAnsi="Tahoma" w:cs="Tahoma"/>
                <w:b/>
                <w:bCs/>
                <w:color w:val="7F7F7F" w:themeColor="text1" w:themeTint="80"/>
                <w:sz w:val="16"/>
                <w:szCs w:val="16"/>
              </w:rPr>
            </w:pPr>
            <w:r w:rsidRPr="00B97E44">
              <w:rPr>
                <w:rFonts w:ascii="Tahoma" w:eastAsia="Times New Roman" w:hAnsi="Tahoma" w:cs="Tahoma"/>
                <w:b/>
                <w:bCs/>
                <w:color w:val="7F7F7F" w:themeColor="text1" w:themeTint="80"/>
                <w:sz w:val="16"/>
                <w:szCs w:val="16"/>
              </w:rPr>
              <w:t>2010</w:t>
            </w:r>
          </w:p>
        </w:tc>
        <w:tc>
          <w:tcPr>
            <w:tcW w:w="1593"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2,771</w:t>
            </w:r>
          </w:p>
        </w:tc>
        <w:tc>
          <w:tcPr>
            <w:tcW w:w="1593"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2,912</w:t>
            </w:r>
          </w:p>
        </w:tc>
        <w:tc>
          <w:tcPr>
            <w:tcW w:w="1594"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3,681</w:t>
            </w:r>
          </w:p>
        </w:tc>
      </w:tr>
      <w:tr w:rsidTr="00FF2A74">
        <w:tblPrEx>
          <w:tblW w:w="6373" w:type="dxa"/>
          <w:jc w:val="center"/>
          <w:tblLayout w:type="fixed"/>
          <w:tblLook w:val="04A0"/>
        </w:tblPrEx>
        <w:trPr>
          <w:trHeight w:val="20"/>
          <w:jc w:val="center"/>
        </w:trPr>
        <w:tc>
          <w:tcPr>
            <w:tcW w:w="159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B126E" w:rsidRPr="00B97E44" w:rsidP="001916A9">
            <w:pPr>
              <w:spacing w:line="269" w:lineRule="auto"/>
              <w:jc w:val="center"/>
              <w:rPr>
                <w:rFonts w:ascii="Tahoma" w:eastAsia="Times New Roman" w:hAnsi="Tahoma" w:cs="Tahoma"/>
                <w:b/>
                <w:bCs/>
                <w:color w:val="7F7F7F" w:themeColor="text1" w:themeTint="80"/>
                <w:sz w:val="16"/>
                <w:szCs w:val="16"/>
              </w:rPr>
            </w:pPr>
            <w:r w:rsidRPr="00B97E44">
              <w:rPr>
                <w:rFonts w:ascii="Tahoma" w:eastAsia="Times New Roman" w:hAnsi="Tahoma" w:cs="Tahoma"/>
                <w:b/>
                <w:bCs/>
                <w:color w:val="7F7F7F" w:themeColor="text1" w:themeTint="80"/>
                <w:sz w:val="16"/>
                <w:szCs w:val="16"/>
              </w:rPr>
              <w:t>2011</w:t>
            </w:r>
          </w:p>
        </w:tc>
        <w:tc>
          <w:tcPr>
            <w:tcW w:w="1593"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2,877</w:t>
            </w:r>
          </w:p>
        </w:tc>
        <w:tc>
          <w:tcPr>
            <w:tcW w:w="1593"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2,986</w:t>
            </w:r>
          </w:p>
        </w:tc>
        <w:tc>
          <w:tcPr>
            <w:tcW w:w="1594"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3,490</w:t>
            </w:r>
          </w:p>
        </w:tc>
      </w:tr>
      <w:tr w:rsidTr="00FF2A74">
        <w:tblPrEx>
          <w:tblW w:w="6373" w:type="dxa"/>
          <w:jc w:val="center"/>
          <w:tblLayout w:type="fixed"/>
          <w:tblLook w:val="04A0"/>
        </w:tblPrEx>
        <w:trPr>
          <w:trHeight w:val="20"/>
          <w:jc w:val="center"/>
        </w:trPr>
        <w:tc>
          <w:tcPr>
            <w:tcW w:w="159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B126E" w:rsidRPr="00B97E44" w:rsidP="001916A9">
            <w:pPr>
              <w:spacing w:line="269" w:lineRule="auto"/>
              <w:jc w:val="center"/>
              <w:rPr>
                <w:rFonts w:ascii="Tahoma" w:eastAsia="Times New Roman" w:hAnsi="Tahoma" w:cs="Tahoma"/>
                <w:b/>
                <w:bCs/>
                <w:color w:val="7F7F7F" w:themeColor="text1" w:themeTint="80"/>
                <w:sz w:val="16"/>
                <w:szCs w:val="16"/>
              </w:rPr>
            </w:pPr>
            <w:r w:rsidRPr="00B97E44">
              <w:rPr>
                <w:rFonts w:ascii="Tahoma" w:eastAsia="Times New Roman" w:hAnsi="Tahoma" w:cs="Tahoma"/>
                <w:b/>
                <w:bCs/>
                <w:color w:val="7F7F7F" w:themeColor="text1" w:themeTint="80"/>
                <w:sz w:val="16"/>
                <w:szCs w:val="16"/>
              </w:rPr>
              <w:t>2012</w:t>
            </w:r>
          </w:p>
        </w:tc>
        <w:tc>
          <w:tcPr>
            <w:tcW w:w="1593"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3,117</w:t>
            </w:r>
          </w:p>
        </w:tc>
        <w:tc>
          <w:tcPr>
            <w:tcW w:w="1593"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3,177</w:t>
            </w:r>
          </w:p>
        </w:tc>
        <w:tc>
          <w:tcPr>
            <w:tcW w:w="1594"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4,225</w:t>
            </w:r>
          </w:p>
        </w:tc>
      </w:tr>
      <w:tr w:rsidTr="00FF2A74">
        <w:tblPrEx>
          <w:tblW w:w="6373" w:type="dxa"/>
          <w:jc w:val="center"/>
          <w:tblLayout w:type="fixed"/>
          <w:tblLook w:val="04A0"/>
        </w:tblPrEx>
        <w:trPr>
          <w:trHeight w:val="20"/>
          <w:jc w:val="center"/>
        </w:trPr>
        <w:tc>
          <w:tcPr>
            <w:tcW w:w="159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B126E" w:rsidRPr="00B97E44" w:rsidP="001916A9">
            <w:pPr>
              <w:spacing w:line="269" w:lineRule="auto"/>
              <w:jc w:val="center"/>
              <w:rPr>
                <w:rFonts w:ascii="Tahoma" w:eastAsia="Times New Roman" w:hAnsi="Tahoma" w:cs="Tahoma"/>
                <w:b/>
                <w:bCs/>
                <w:color w:val="7F7F7F" w:themeColor="text1" w:themeTint="80"/>
                <w:sz w:val="16"/>
                <w:szCs w:val="16"/>
              </w:rPr>
            </w:pPr>
            <w:r w:rsidRPr="00B97E44">
              <w:rPr>
                <w:rFonts w:ascii="Tahoma" w:eastAsia="Times New Roman" w:hAnsi="Tahoma" w:cs="Tahoma"/>
                <w:b/>
                <w:bCs/>
                <w:color w:val="7F7F7F" w:themeColor="text1" w:themeTint="80"/>
                <w:sz w:val="16"/>
                <w:szCs w:val="16"/>
              </w:rPr>
              <w:t>2013</w:t>
            </w:r>
          </w:p>
        </w:tc>
        <w:tc>
          <w:tcPr>
            <w:tcW w:w="1593"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3,261</w:t>
            </w:r>
          </w:p>
        </w:tc>
        <w:tc>
          <w:tcPr>
            <w:tcW w:w="1593"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3,112</w:t>
            </w:r>
          </w:p>
        </w:tc>
        <w:tc>
          <w:tcPr>
            <w:tcW w:w="1594"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4,027</w:t>
            </w:r>
          </w:p>
        </w:tc>
      </w:tr>
      <w:tr w:rsidTr="00FF2A74">
        <w:tblPrEx>
          <w:tblW w:w="6373" w:type="dxa"/>
          <w:jc w:val="center"/>
          <w:tblLayout w:type="fixed"/>
          <w:tblLook w:val="04A0"/>
        </w:tblPrEx>
        <w:trPr>
          <w:trHeight w:val="20"/>
          <w:jc w:val="center"/>
        </w:trPr>
        <w:tc>
          <w:tcPr>
            <w:tcW w:w="159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B126E" w:rsidRPr="00B97E44" w:rsidP="001916A9">
            <w:pPr>
              <w:spacing w:line="269" w:lineRule="auto"/>
              <w:jc w:val="center"/>
              <w:rPr>
                <w:rFonts w:ascii="Tahoma" w:eastAsia="Times New Roman" w:hAnsi="Tahoma" w:cs="Tahoma"/>
                <w:b/>
                <w:bCs/>
                <w:color w:val="7F7F7F" w:themeColor="text1" w:themeTint="80"/>
                <w:sz w:val="16"/>
                <w:szCs w:val="16"/>
              </w:rPr>
            </w:pPr>
            <w:r w:rsidRPr="00B97E44">
              <w:rPr>
                <w:rFonts w:ascii="Tahoma" w:eastAsia="Times New Roman" w:hAnsi="Tahoma" w:cs="Tahoma"/>
                <w:b/>
                <w:bCs/>
                <w:color w:val="7F7F7F" w:themeColor="text1" w:themeTint="80"/>
                <w:sz w:val="16"/>
                <w:szCs w:val="16"/>
              </w:rPr>
              <w:t>2014</w:t>
            </w:r>
          </w:p>
        </w:tc>
        <w:tc>
          <w:tcPr>
            <w:tcW w:w="1593"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3,385</w:t>
            </w:r>
          </w:p>
        </w:tc>
        <w:tc>
          <w:tcPr>
            <w:tcW w:w="1593"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3,254</w:t>
            </w:r>
          </w:p>
        </w:tc>
        <w:tc>
          <w:tcPr>
            <w:tcW w:w="1594"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5,408</w:t>
            </w:r>
          </w:p>
        </w:tc>
      </w:tr>
      <w:tr w:rsidTr="00FF2A74">
        <w:tblPrEx>
          <w:tblW w:w="6373" w:type="dxa"/>
          <w:jc w:val="center"/>
          <w:tblLayout w:type="fixed"/>
          <w:tblLook w:val="04A0"/>
        </w:tblPrEx>
        <w:trPr>
          <w:trHeight w:val="20"/>
          <w:jc w:val="center"/>
        </w:trPr>
        <w:tc>
          <w:tcPr>
            <w:tcW w:w="159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B126E" w:rsidRPr="00B97E44" w:rsidP="001916A9">
            <w:pPr>
              <w:spacing w:line="269" w:lineRule="auto"/>
              <w:jc w:val="center"/>
              <w:rPr>
                <w:rFonts w:ascii="Tahoma" w:eastAsia="Times New Roman" w:hAnsi="Tahoma" w:cs="Tahoma"/>
                <w:b/>
                <w:bCs/>
                <w:color w:val="7F7F7F" w:themeColor="text1" w:themeTint="80"/>
                <w:sz w:val="16"/>
                <w:szCs w:val="16"/>
              </w:rPr>
            </w:pPr>
            <w:r w:rsidRPr="00B97E44">
              <w:rPr>
                <w:rFonts w:ascii="Tahoma" w:eastAsia="Times New Roman" w:hAnsi="Tahoma" w:cs="Tahoma"/>
                <w:b/>
                <w:bCs/>
                <w:color w:val="7F7F7F" w:themeColor="text1" w:themeTint="80"/>
                <w:sz w:val="16"/>
                <w:szCs w:val="16"/>
              </w:rPr>
              <w:t>2015</w:t>
            </w:r>
          </w:p>
        </w:tc>
        <w:tc>
          <w:tcPr>
            <w:tcW w:w="1593"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3,552</w:t>
            </w:r>
          </w:p>
        </w:tc>
        <w:tc>
          <w:tcPr>
            <w:tcW w:w="1593"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3,133</w:t>
            </w:r>
          </w:p>
        </w:tc>
        <w:tc>
          <w:tcPr>
            <w:tcW w:w="1594"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6,065</w:t>
            </w:r>
          </w:p>
        </w:tc>
      </w:tr>
      <w:tr w:rsidTr="00FF2A74">
        <w:tblPrEx>
          <w:tblW w:w="6373" w:type="dxa"/>
          <w:jc w:val="center"/>
          <w:tblLayout w:type="fixed"/>
          <w:tblLook w:val="04A0"/>
        </w:tblPrEx>
        <w:trPr>
          <w:trHeight w:val="20"/>
          <w:jc w:val="center"/>
        </w:trPr>
        <w:tc>
          <w:tcPr>
            <w:tcW w:w="159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B126E" w:rsidRPr="00B97E44" w:rsidP="001916A9">
            <w:pPr>
              <w:spacing w:line="269" w:lineRule="auto"/>
              <w:jc w:val="center"/>
              <w:rPr>
                <w:rFonts w:ascii="Tahoma" w:eastAsia="Times New Roman" w:hAnsi="Tahoma" w:cs="Tahoma"/>
                <w:b/>
                <w:bCs/>
                <w:color w:val="7F7F7F" w:themeColor="text1" w:themeTint="80"/>
                <w:sz w:val="16"/>
                <w:szCs w:val="16"/>
              </w:rPr>
            </w:pPr>
            <w:r w:rsidRPr="00B97E44">
              <w:rPr>
                <w:rFonts w:ascii="Tahoma" w:eastAsia="Times New Roman" w:hAnsi="Tahoma" w:cs="Tahoma"/>
                <w:b/>
                <w:bCs/>
                <w:color w:val="7F7F7F" w:themeColor="text1" w:themeTint="80"/>
                <w:sz w:val="16"/>
                <w:szCs w:val="16"/>
              </w:rPr>
              <w:t>2016</w:t>
            </w:r>
          </w:p>
        </w:tc>
        <w:tc>
          <w:tcPr>
            <w:tcW w:w="1593"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3,740</w:t>
            </w:r>
          </w:p>
        </w:tc>
        <w:tc>
          <w:tcPr>
            <w:tcW w:w="1593"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2,962</w:t>
            </w:r>
          </w:p>
        </w:tc>
        <w:tc>
          <w:tcPr>
            <w:tcW w:w="1594"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6,604</w:t>
            </w:r>
          </w:p>
        </w:tc>
      </w:tr>
      <w:tr w:rsidTr="00FF2A74">
        <w:tblPrEx>
          <w:tblW w:w="6373" w:type="dxa"/>
          <w:jc w:val="center"/>
          <w:tblLayout w:type="fixed"/>
          <w:tblLook w:val="04A0"/>
        </w:tblPrEx>
        <w:trPr>
          <w:trHeight w:val="20"/>
          <w:jc w:val="center"/>
        </w:trPr>
        <w:tc>
          <w:tcPr>
            <w:tcW w:w="159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B126E" w:rsidRPr="00B97E44" w:rsidP="001916A9">
            <w:pPr>
              <w:spacing w:line="269" w:lineRule="auto"/>
              <w:jc w:val="center"/>
              <w:rPr>
                <w:rFonts w:ascii="Tahoma" w:eastAsia="Times New Roman" w:hAnsi="Tahoma" w:cs="Tahoma"/>
                <w:b/>
                <w:bCs/>
                <w:color w:val="7F7F7F" w:themeColor="text1" w:themeTint="80"/>
                <w:sz w:val="16"/>
                <w:szCs w:val="16"/>
              </w:rPr>
            </w:pPr>
            <w:r w:rsidRPr="00B97E44">
              <w:rPr>
                <w:rFonts w:ascii="Tahoma" w:eastAsia="Times New Roman" w:hAnsi="Tahoma" w:cs="Tahoma"/>
                <w:b/>
                <w:bCs/>
                <w:color w:val="7F7F7F" w:themeColor="text1" w:themeTint="80"/>
                <w:sz w:val="16"/>
                <w:szCs w:val="16"/>
              </w:rPr>
              <w:t>2017</w:t>
            </w:r>
          </w:p>
        </w:tc>
        <w:tc>
          <w:tcPr>
            <w:tcW w:w="1593"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3,962</w:t>
            </w:r>
          </w:p>
        </w:tc>
        <w:tc>
          <w:tcPr>
            <w:tcW w:w="1593"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3,181</w:t>
            </w:r>
          </w:p>
        </w:tc>
        <w:tc>
          <w:tcPr>
            <w:tcW w:w="1594"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6,087</w:t>
            </w:r>
          </w:p>
        </w:tc>
      </w:tr>
      <w:tr w:rsidTr="00FF2A74">
        <w:tblPrEx>
          <w:tblW w:w="6373" w:type="dxa"/>
          <w:jc w:val="center"/>
          <w:tblLayout w:type="fixed"/>
          <w:tblLook w:val="04A0"/>
        </w:tblPrEx>
        <w:trPr>
          <w:trHeight w:val="20"/>
          <w:jc w:val="center"/>
        </w:trPr>
        <w:tc>
          <w:tcPr>
            <w:tcW w:w="159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B126E" w:rsidRPr="00B97E44" w:rsidP="001916A9">
            <w:pPr>
              <w:spacing w:line="269" w:lineRule="auto"/>
              <w:jc w:val="center"/>
              <w:rPr>
                <w:rFonts w:ascii="Tahoma" w:eastAsia="Times New Roman" w:hAnsi="Tahoma" w:cs="Tahoma"/>
                <w:b/>
                <w:bCs/>
                <w:color w:val="7F7F7F" w:themeColor="text1" w:themeTint="80"/>
                <w:sz w:val="16"/>
                <w:szCs w:val="16"/>
              </w:rPr>
            </w:pPr>
            <w:r w:rsidRPr="00B97E44">
              <w:rPr>
                <w:rFonts w:ascii="Tahoma" w:eastAsia="Times New Roman" w:hAnsi="Tahoma" w:cs="Tahoma"/>
                <w:b/>
                <w:bCs/>
                <w:color w:val="7F7F7F" w:themeColor="text1" w:themeTint="80"/>
                <w:sz w:val="16"/>
                <w:szCs w:val="16"/>
              </w:rPr>
              <w:t>2018</w:t>
            </w:r>
          </w:p>
        </w:tc>
        <w:tc>
          <w:tcPr>
            <w:tcW w:w="1593"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4,788</w:t>
            </w:r>
          </w:p>
        </w:tc>
        <w:tc>
          <w:tcPr>
            <w:tcW w:w="1593"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3,533</w:t>
            </w:r>
          </w:p>
        </w:tc>
        <w:tc>
          <w:tcPr>
            <w:tcW w:w="1594"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6,420</w:t>
            </w:r>
          </w:p>
        </w:tc>
      </w:tr>
      <w:tr w:rsidTr="00FF2A74">
        <w:tblPrEx>
          <w:tblW w:w="6373" w:type="dxa"/>
          <w:jc w:val="center"/>
          <w:tblLayout w:type="fixed"/>
          <w:tblLook w:val="04A0"/>
        </w:tblPrEx>
        <w:trPr>
          <w:trHeight w:val="20"/>
          <w:jc w:val="center"/>
        </w:trPr>
        <w:tc>
          <w:tcPr>
            <w:tcW w:w="159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B126E" w:rsidRPr="00B97E44" w:rsidP="001916A9">
            <w:pPr>
              <w:spacing w:line="269" w:lineRule="auto"/>
              <w:jc w:val="center"/>
              <w:rPr>
                <w:rFonts w:ascii="Tahoma" w:eastAsia="Times New Roman" w:hAnsi="Tahoma" w:cs="Tahoma"/>
                <w:b/>
                <w:bCs/>
                <w:color w:val="7F7F7F" w:themeColor="text1" w:themeTint="80"/>
                <w:sz w:val="16"/>
                <w:szCs w:val="16"/>
              </w:rPr>
            </w:pPr>
            <w:r w:rsidRPr="00B97E44">
              <w:rPr>
                <w:rFonts w:ascii="Tahoma" w:eastAsia="Times New Roman" w:hAnsi="Tahoma" w:cs="Tahoma"/>
                <w:b/>
                <w:bCs/>
                <w:color w:val="7F7F7F" w:themeColor="text1" w:themeTint="80"/>
                <w:sz w:val="16"/>
                <w:szCs w:val="16"/>
              </w:rPr>
              <w:t>2019</w:t>
            </w:r>
          </w:p>
        </w:tc>
        <w:tc>
          <w:tcPr>
            <w:tcW w:w="1593"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4,815</w:t>
            </w:r>
          </w:p>
        </w:tc>
        <w:tc>
          <w:tcPr>
            <w:tcW w:w="1593"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3,642</w:t>
            </w:r>
          </w:p>
        </w:tc>
        <w:tc>
          <w:tcPr>
            <w:tcW w:w="1594"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7,042</w:t>
            </w:r>
          </w:p>
        </w:tc>
      </w:tr>
      <w:tr w:rsidTr="00FF2A74">
        <w:tblPrEx>
          <w:tblW w:w="6373" w:type="dxa"/>
          <w:jc w:val="center"/>
          <w:tblLayout w:type="fixed"/>
          <w:tblLook w:val="04A0"/>
        </w:tblPrEx>
        <w:trPr>
          <w:trHeight w:val="20"/>
          <w:jc w:val="center"/>
        </w:trPr>
        <w:tc>
          <w:tcPr>
            <w:tcW w:w="159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B126E" w:rsidRPr="00B97E44" w:rsidP="001916A9">
            <w:pPr>
              <w:spacing w:line="269" w:lineRule="auto"/>
              <w:jc w:val="center"/>
              <w:rPr>
                <w:rFonts w:ascii="Tahoma" w:eastAsia="Times New Roman" w:hAnsi="Tahoma" w:cs="Tahoma"/>
                <w:b/>
                <w:bCs/>
                <w:color w:val="7F7F7F" w:themeColor="text1" w:themeTint="80"/>
                <w:sz w:val="16"/>
                <w:szCs w:val="16"/>
              </w:rPr>
            </w:pPr>
            <w:r w:rsidRPr="00B97E44">
              <w:rPr>
                <w:rFonts w:ascii="Tahoma" w:eastAsia="Times New Roman" w:hAnsi="Tahoma" w:cs="Tahoma"/>
                <w:b/>
                <w:bCs/>
                <w:color w:val="7F7F7F" w:themeColor="text1" w:themeTint="80"/>
                <w:sz w:val="16"/>
                <w:szCs w:val="16"/>
              </w:rPr>
              <w:t>2020</w:t>
            </w:r>
          </w:p>
        </w:tc>
        <w:tc>
          <w:tcPr>
            <w:tcW w:w="1593"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4,692</w:t>
            </w:r>
          </w:p>
        </w:tc>
        <w:tc>
          <w:tcPr>
            <w:tcW w:w="1593"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3,825</w:t>
            </w:r>
          </w:p>
        </w:tc>
        <w:tc>
          <w:tcPr>
            <w:tcW w:w="1594" w:type="dxa"/>
            <w:tcBorders>
              <w:top w:val="nil"/>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6,234</w:t>
            </w:r>
          </w:p>
        </w:tc>
      </w:tr>
      <w:tr w:rsidTr="00FF2A74">
        <w:tblPrEx>
          <w:tblW w:w="6373" w:type="dxa"/>
          <w:jc w:val="center"/>
          <w:tblLayout w:type="fixed"/>
          <w:tblLook w:val="04A0"/>
        </w:tblPrEx>
        <w:trPr>
          <w:trHeight w:val="20"/>
          <w:jc w:val="center"/>
        </w:trPr>
        <w:tc>
          <w:tcPr>
            <w:tcW w:w="159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B126E" w:rsidRPr="00B97E44" w:rsidP="001916A9">
            <w:pPr>
              <w:spacing w:line="269" w:lineRule="auto"/>
              <w:jc w:val="center"/>
              <w:rPr>
                <w:rFonts w:ascii="Tahoma" w:eastAsia="Times New Roman" w:hAnsi="Tahoma" w:cs="Tahoma"/>
                <w:b/>
                <w:bCs/>
                <w:color w:val="7F7F7F" w:themeColor="text1" w:themeTint="80"/>
                <w:sz w:val="16"/>
                <w:szCs w:val="16"/>
              </w:rPr>
            </w:pPr>
            <w:r w:rsidRPr="00B97E44">
              <w:rPr>
                <w:rFonts w:ascii="Tahoma" w:eastAsia="Times New Roman" w:hAnsi="Tahoma" w:cs="Tahoma"/>
                <w:b/>
                <w:bCs/>
                <w:color w:val="7F7F7F" w:themeColor="text1" w:themeTint="80"/>
                <w:sz w:val="16"/>
                <w:szCs w:val="16"/>
              </w:rPr>
              <w:t>2021</w:t>
            </w:r>
          </w:p>
        </w:tc>
        <w:tc>
          <w:tcPr>
            <w:tcW w:w="1593" w:type="dxa"/>
            <w:tcBorders>
              <w:top w:val="single" w:sz="4" w:space="0" w:color="auto"/>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4,259</w:t>
            </w:r>
          </w:p>
        </w:tc>
        <w:tc>
          <w:tcPr>
            <w:tcW w:w="1593" w:type="dxa"/>
            <w:tcBorders>
              <w:top w:val="single" w:sz="4" w:space="0" w:color="auto"/>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3,550</w:t>
            </w:r>
          </w:p>
        </w:tc>
        <w:tc>
          <w:tcPr>
            <w:tcW w:w="1594" w:type="dxa"/>
            <w:tcBorders>
              <w:top w:val="single" w:sz="4" w:space="0" w:color="auto"/>
              <w:left w:val="single" w:sz="4" w:space="0" w:color="auto"/>
              <w:bottom w:val="single" w:sz="4" w:space="0" w:color="auto"/>
              <w:right w:val="single" w:sz="4" w:space="0" w:color="auto"/>
            </w:tcBorders>
            <w:noWrap/>
            <w:vAlign w:val="center"/>
            <w:hideMark/>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color w:val="7F7F7F" w:themeColor="text1" w:themeTint="80"/>
                <w:sz w:val="16"/>
                <w:szCs w:val="16"/>
              </w:rPr>
              <w:t>6,603</w:t>
            </w:r>
          </w:p>
        </w:tc>
      </w:tr>
      <w:tr w:rsidTr="00FF2A74">
        <w:tblPrEx>
          <w:tblW w:w="6373" w:type="dxa"/>
          <w:jc w:val="center"/>
          <w:tblLayout w:type="fixed"/>
          <w:tblLook w:val="04A0"/>
        </w:tblPrEx>
        <w:trPr>
          <w:trHeight w:val="20"/>
          <w:jc w:val="center"/>
        </w:trPr>
        <w:tc>
          <w:tcPr>
            <w:tcW w:w="159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5B126E" w:rsidRPr="00B97E44" w:rsidP="001916A9">
            <w:pPr>
              <w:spacing w:line="269" w:lineRule="auto"/>
              <w:jc w:val="center"/>
              <w:rPr>
                <w:rFonts w:ascii="Tahoma" w:eastAsia="Times New Roman" w:hAnsi="Tahoma" w:cs="Tahoma"/>
                <w:b/>
                <w:bCs/>
                <w:color w:val="7F7F7F" w:themeColor="text1" w:themeTint="80"/>
                <w:sz w:val="16"/>
                <w:szCs w:val="16"/>
              </w:rPr>
            </w:pPr>
            <w:r w:rsidRPr="00B97E44">
              <w:rPr>
                <w:rFonts w:ascii="Tahoma" w:eastAsia="Times New Roman" w:hAnsi="Tahoma" w:cs="Tahoma" w:hint="cs"/>
                <w:b/>
                <w:bCs/>
                <w:color w:val="7F7F7F" w:themeColor="text1" w:themeTint="80"/>
                <w:sz w:val="16"/>
                <w:szCs w:val="16"/>
                <w:rtl/>
              </w:rPr>
              <w:t xml:space="preserve">עליה שנתית ממוצעת </w:t>
            </w:r>
          </w:p>
        </w:tc>
        <w:tc>
          <w:tcPr>
            <w:tcW w:w="1593" w:type="dxa"/>
            <w:tcBorders>
              <w:top w:val="single" w:sz="4" w:space="0" w:color="auto"/>
              <w:left w:val="single" w:sz="4" w:space="0" w:color="auto"/>
              <w:bottom w:val="single" w:sz="4" w:space="0" w:color="auto"/>
              <w:right w:val="single" w:sz="4" w:space="0" w:color="auto"/>
            </w:tcBorders>
            <w:noWrap/>
            <w:vAlign w:val="center"/>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hint="cs"/>
                <w:color w:val="7F7F7F" w:themeColor="text1" w:themeTint="80"/>
                <w:sz w:val="16"/>
                <w:szCs w:val="16"/>
                <w:rtl/>
              </w:rPr>
              <w:t xml:space="preserve">66 </w:t>
            </w:r>
          </w:p>
        </w:tc>
        <w:tc>
          <w:tcPr>
            <w:tcW w:w="1593" w:type="dxa"/>
            <w:tcBorders>
              <w:top w:val="single" w:sz="4" w:space="0" w:color="auto"/>
              <w:left w:val="single" w:sz="4" w:space="0" w:color="auto"/>
              <w:bottom w:val="single" w:sz="4" w:space="0" w:color="auto"/>
              <w:right w:val="single" w:sz="4" w:space="0" w:color="auto"/>
            </w:tcBorders>
            <w:noWrap/>
            <w:vAlign w:val="center"/>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hint="cs"/>
                <w:color w:val="7F7F7F" w:themeColor="text1" w:themeTint="80"/>
                <w:sz w:val="16"/>
                <w:szCs w:val="16"/>
                <w:rtl/>
              </w:rPr>
              <w:t>35</w:t>
            </w:r>
          </w:p>
        </w:tc>
        <w:tc>
          <w:tcPr>
            <w:tcW w:w="1594" w:type="dxa"/>
            <w:tcBorders>
              <w:top w:val="single" w:sz="4" w:space="0" w:color="auto"/>
              <w:left w:val="single" w:sz="4" w:space="0" w:color="auto"/>
              <w:bottom w:val="single" w:sz="4" w:space="0" w:color="auto"/>
              <w:right w:val="single" w:sz="4" w:space="0" w:color="auto"/>
            </w:tcBorders>
            <w:noWrap/>
            <w:vAlign w:val="center"/>
          </w:tcPr>
          <w:p w:rsidR="005B126E" w:rsidRPr="00B97E44" w:rsidP="001916A9">
            <w:pPr>
              <w:spacing w:line="269" w:lineRule="auto"/>
              <w:jc w:val="center"/>
              <w:rPr>
                <w:rFonts w:ascii="Tahoma" w:eastAsia="Times New Roman" w:hAnsi="Tahoma" w:cs="Tahoma"/>
                <w:color w:val="7F7F7F" w:themeColor="text1" w:themeTint="80"/>
                <w:sz w:val="16"/>
                <w:szCs w:val="16"/>
              </w:rPr>
            </w:pPr>
            <w:r w:rsidRPr="00B97E44">
              <w:rPr>
                <w:rFonts w:ascii="Tahoma" w:eastAsia="Times New Roman" w:hAnsi="Tahoma" w:cs="Tahoma" w:hint="cs"/>
                <w:color w:val="7F7F7F" w:themeColor="text1" w:themeTint="80"/>
                <w:sz w:val="16"/>
                <w:szCs w:val="16"/>
                <w:rtl/>
              </w:rPr>
              <w:t>150</w:t>
            </w:r>
          </w:p>
        </w:tc>
      </w:tr>
    </w:tbl>
    <w:p w:rsidR="005B126E" w:rsidRPr="00B97E44" w:rsidP="00C10FE4">
      <w:pPr>
        <w:spacing w:before="120" w:line="269" w:lineRule="auto"/>
        <w:jc w:val="left"/>
        <w:rPr>
          <w:sz w:val="24"/>
          <w:rtl/>
        </w:rPr>
      </w:pPr>
      <w:r w:rsidRPr="00B97E44">
        <w:rPr>
          <w:rFonts w:hint="cs"/>
          <w:szCs w:val="20"/>
          <w:rtl/>
        </w:rPr>
        <w:t xml:space="preserve">על פי נתוני </w:t>
      </w:r>
      <w:r w:rsidRPr="00B97E44">
        <w:rPr>
          <w:rFonts w:hint="cs"/>
          <w:szCs w:val="20"/>
          <w:rtl/>
        </w:rPr>
        <w:t>הלמ"ס</w:t>
      </w:r>
      <w:r w:rsidRPr="00B97E44">
        <w:rPr>
          <w:rFonts w:hint="cs"/>
          <w:szCs w:val="20"/>
          <w:rtl/>
        </w:rPr>
        <w:t xml:space="preserve"> בעיבוד משרד מבקר המדינה.</w:t>
      </w:r>
    </w:p>
    <w:p w:rsidR="005B126E" w:rsidP="001916A9">
      <w:pPr>
        <w:spacing w:line="269" w:lineRule="auto"/>
        <w:contextualSpacing/>
        <w:rPr>
          <w:b/>
          <w:bCs/>
          <w:sz w:val="24"/>
          <w:rtl/>
        </w:rPr>
      </w:pPr>
    </w:p>
    <w:p w:rsidR="005B126E" w:rsidP="001916A9">
      <w:pPr>
        <w:spacing w:line="269" w:lineRule="auto"/>
        <w:contextualSpacing/>
        <w:rPr>
          <w:b/>
          <w:bCs/>
          <w:sz w:val="24"/>
          <w:rtl/>
        </w:rPr>
      </w:pPr>
      <w:r w:rsidRPr="00B97E44">
        <w:rPr>
          <w:rFonts w:hint="cs"/>
          <w:b/>
          <w:bCs/>
          <w:sz w:val="24"/>
          <w:rtl/>
        </w:rPr>
        <w:t>מהנתונים ניתן לראות בבירור כי עד השנים 2002 - 2003 התנודות בהכנסות לתושב מהממשלה בקרב שלוש העיריות היו קלות בלבד, אולם מאז החלטות הממשלה להשקיע בפיתוח היישובים הסמוכים לרצועת עזה חלה עלייה משמעותית בהכנסות העירייה לתושב בשדרות. כך העלייה הממוצעת של הכנסות הרשות לתושב עמדה בנתיבות על 35 ש"ח, באופקים על 66 ש"ח ובשדרות על 150 ש"ח.</w:t>
      </w:r>
    </w:p>
    <w:p w:rsidR="005B126E" w:rsidRPr="00B97E44" w:rsidP="001916A9">
      <w:pPr>
        <w:spacing w:line="269" w:lineRule="auto"/>
        <w:contextualSpacing/>
        <w:rPr>
          <w:b/>
          <w:bCs/>
          <w:sz w:val="24"/>
          <w:rtl/>
        </w:rPr>
      </w:pPr>
    </w:p>
    <w:p w:rsidR="005B126E" w:rsidRPr="00B97E44" w:rsidP="001916A9">
      <w:pPr>
        <w:spacing w:line="269" w:lineRule="auto"/>
        <w:contextualSpacing/>
        <w:rPr>
          <w:sz w:val="24"/>
          <w:rtl/>
        </w:rPr>
      </w:pPr>
      <w:r w:rsidRPr="00B97E44">
        <w:rPr>
          <w:rFonts w:hint="cs"/>
          <w:sz w:val="24"/>
          <w:rtl/>
        </w:rPr>
        <w:t xml:space="preserve">שילוב נתוני הדירוג החברתי-כלכלי של </w:t>
      </w:r>
      <w:r w:rsidRPr="00B97E44">
        <w:rPr>
          <w:rFonts w:hint="cs"/>
          <w:b/>
          <w:bCs/>
          <w:sz w:val="24"/>
          <w:rtl/>
        </w:rPr>
        <w:t xml:space="preserve">שדרות </w:t>
      </w:r>
      <w:r w:rsidRPr="00B97E44">
        <w:rPr>
          <w:rFonts w:hint="cs"/>
          <w:sz w:val="24"/>
          <w:rtl/>
        </w:rPr>
        <w:t>עם נתוני השקעות המדינה לתושב בעיר מאפשר לראות את ההתאמה ביניהם.</w:t>
      </w:r>
    </w:p>
    <w:p w:rsidR="005B126E" w:rsidP="001916A9">
      <w:pPr>
        <w:spacing w:line="269" w:lineRule="auto"/>
        <w:contextualSpacing/>
        <w:jc w:val="center"/>
        <w:rPr>
          <w:sz w:val="24"/>
          <w:rtl/>
        </w:rPr>
      </w:pPr>
    </w:p>
    <w:p w:rsidR="005B126E" w:rsidRPr="00B97E44" w:rsidP="001916A9">
      <w:pPr>
        <w:keepNext/>
        <w:keepLines/>
        <w:spacing w:line="269" w:lineRule="auto"/>
        <w:contextualSpacing/>
        <w:jc w:val="center"/>
        <w:rPr>
          <w:b/>
          <w:bCs/>
          <w:sz w:val="24"/>
          <w:rtl/>
        </w:rPr>
      </w:pPr>
      <w:r w:rsidRPr="00B97E44">
        <w:rPr>
          <w:rFonts w:hint="cs"/>
          <w:sz w:val="24"/>
          <w:rtl/>
        </w:rPr>
        <w:t xml:space="preserve">תרשים </w:t>
      </w:r>
      <w:r>
        <w:rPr>
          <w:rFonts w:hint="cs"/>
          <w:sz w:val="24"/>
          <w:rtl/>
        </w:rPr>
        <w:t>9</w:t>
      </w:r>
      <w:r w:rsidRPr="00B97E44">
        <w:rPr>
          <w:rFonts w:hint="cs"/>
          <w:sz w:val="24"/>
          <w:rtl/>
        </w:rPr>
        <w:t xml:space="preserve">: </w:t>
      </w:r>
      <w:r w:rsidRPr="00B97E44">
        <w:rPr>
          <w:rFonts w:hint="cs"/>
          <w:b/>
          <w:bCs/>
          <w:sz w:val="24"/>
          <w:rtl/>
        </w:rPr>
        <w:t>ה</w:t>
      </w:r>
      <w:r>
        <w:rPr>
          <w:rFonts w:hint="cs"/>
          <w:b/>
          <w:bCs/>
          <w:sz w:val="24"/>
          <w:rtl/>
        </w:rPr>
        <w:t>דירוג ב</w:t>
      </w:r>
      <w:r w:rsidRPr="00B97E44">
        <w:rPr>
          <w:rFonts w:hint="cs"/>
          <w:b/>
          <w:bCs/>
          <w:sz w:val="24"/>
          <w:rtl/>
        </w:rPr>
        <w:t>מדד החברתי-כלכלי הרציף והכנסות ממשרדי הממשלה לתושב בשדרות,</w:t>
      </w:r>
    </w:p>
    <w:p w:rsidR="005B126E" w:rsidRPr="00B97E44" w:rsidP="001916A9">
      <w:pPr>
        <w:spacing w:line="269" w:lineRule="auto"/>
        <w:contextualSpacing/>
        <w:jc w:val="center"/>
        <w:rPr>
          <w:sz w:val="24"/>
          <w:rtl/>
        </w:rPr>
      </w:pPr>
      <w:r w:rsidRPr="00B97E44">
        <w:rPr>
          <w:rFonts w:hint="cs"/>
          <w:b/>
          <w:bCs/>
          <w:sz w:val="24"/>
          <w:rtl/>
        </w:rPr>
        <w:t xml:space="preserve"> 1995 - 202</w:t>
      </w:r>
      <w:r>
        <w:rPr>
          <w:rFonts w:hint="cs"/>
          <w:b/>
          <w:bCs/>
          <w:sz w:val="24"/>
          <w:rtl/>
        </w:rPr>
        <w:t>1</w:t>
      </w:r>
    </w:p>
    <w:p w:rsidR="005B126E" w:rsidRPr="00B97E44" w:rsidP="001916A9">
      <w:pPr>
        <w:spacing w:line="269" w:lineRule="auto"/>
        <w:contextualSpacing/>
        <w:jc w:val="center"/>
        <w:rPr>
          <w:sz w:val="24"/>
          <w:rtl/>
        </w:rPr>
      </w:pPr>
      <w:r w:rsidRPr="00B97E44">
        <w:rPr>
          <w:noProof/>
        </w:rPr>
        <w:drawing>
          <wp:inline distT="0" distB="0" distL="0" distR="0">
            <wp:extent cx="4625340" cy="3248594"/>
            <wp:effectExtent l="0" t="0" r="3810" b="9525"/>
            <wp:docPr id="40" name="תמונה 40" descr="התרשים מציג את הדירוג במדד החברתי-כלכלי הרציף והכנסות ממשרדי הממשלה לתושב בשדרות, בין השנים&#10; 1995 - 20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xmlns:r="http://schemas.openxmlformats.org/officeDocument/2006/relationships" r:embed="rId42"/>
                    <a:stretch>
                      <a:fillRect/>
                    </a:stretch>
                  </pic:blipFill>
                  <pic:spPr>
                    <a:xfrm>
                      <a:off x="0" y="0"/>
                      <a:ext cx="4636103" cy="3256153"/>
                    </a:xfrm>
                    <a:prstGeom prst="rect">
                      <a:avLst/>
                    </a:prstGeom>
                  </pic:spPr>
                </pic:pic>
              </a:graphicData>
            </a:graphic>
          </wp:inline>
        </w:drawing>
      </w:r>
    </w:p>
    <w:p w:rsidR="005B126E" w:rsidP="001916A9">
      <w:pPr>
        <w:spacing w:line="269" w:lineRule="auto"/>
        <w:contextualSpacing/>
        <w:rPr>
          <w:sz w:val="24"/>
          <w:rtl/>
        </w:rPr>
      </w:pPr>
      <w:r w:rsidRPr="00B97E44">
        <w:rPr>
          <w:rFonts w:hint="cs"/>
          <w:szCs w:val="20"/>
          <w:rtl/>
        </w:rPr>
        <w:t xml:space="preserve">על פי נתוני </w:t>
      </w:r>
      <w:r w:rsidRPr="00B97E44">
        <w:rPr>
          <w:rFonts w:hint="cs"/>
          <w:szCs w:val="20"/>
          <w:rtl/>
        </w:rPr>
        <w:t>הלמ"ס</w:t>
      </w:r>
      <w:r w:rsidRPr="00B97E44">
        <w:rPr>
          <w:rFonts w:hint="cs"/>
          <w:szCs w:val="20"/>
          <w:rtl/>
        </w:rPr>
        <w:t xml:space="preserve"> בעיבוד משרד מבקר המדינה.</w:t>
      </w:r>
    </w:p>
    <w:p w:rsidR="005B126E" w:rsidRPr="00B97E44" w:rsidP="001916A9">
      <w:pPr>
        <w:spacing w:line="269" w:lineRule="auto"/>
        <w:contextualSpacing/>
        <w:rPr>
          <w:sz w:val="24"/>
          <w:rtl/>
        </w:rPr>
      </w:pPr>
      <w:r w:rsidRPr="00B97E44">
        <w:rPr>
          <w:rFonts w:hint="cs"/>
          <w:sz w:val="24"/>
          <w:rtl/>
        </w:rPr>
        <w:t xml:space="preserve">לפי תרשים </w:t>
      </w:r>
      <w:r>
        <w:rPr>
          <w:rFonts w:hint="cs"/>
          <w:sz w:val="24"/>
          <w:rtl/>
        </w:rPr>
        <w:t>9</w:t>
      </w:r>
      <w:r w:rsidRPr="00B97E44">
        <w:rPr>
          <w:rFonts w:hint="cs"/>
          <w:sz w:val="24"/>
          <w:rtl/>
        </w:rPr>
        <w:t xml:space="preserve"> לעיל, בשנים 1995 - 2021 ההכנסה מהממשלה לתושב ב</w:t>
      </w:r>
      <w:r w:rsidRPr="00B97E44">
        <w:rPr>
          <w:rFonts w:hint="cs"/>
          <w:b/>
          <w:bCs/>
          <w:sz w:val="24"/>
          <w:rtl/>
        </w:rPr>
        <w:t>שדרות</w:t>
      </w:r>
      <w:r w:rsidRPr="00B97E44">
        <w:rPr>
          <w:rFonts w:hint="cs"/>
          <w:sz w:val="24"/>
          <w:rtl/>
        </w:rPr>
        <w:t xml:space="preserve"> עלתה באופן עקבי וכך גם הדירוג של שדרות במדד החברתי-כלכלי הרציף. בצד זאת התמונה שונה ב</w:t>
      </w:r>
      <w:r w:rsidRPr="00B97E44">
        <w:rPr>
          <w:rFonts w:hint="cs"/>
          <w:b/>
          <w:bCs/>
          <w:sz w:val="24"/>
          <w:rtl/>
        </w:rPr>
        <w:t>נתיבות</w:t>
      </w:r>
      <w:r w:rsidRPr="00B97E44">
        <w:rPr>
          <w:rFonts w:hint="cs"/>
          <w:sz w:val="24"/>
          <w:rtl/>
        </w:rPr>
        <w:t>, שם, כפי שעולה מתרשים 1</w:t>
      </w:r>
      <w:r>
        <w:rPr>
          <w:rFonts w:hint="cs"/>
          <w:sz w:val="24"/>
          <w:rtl/>
        </w:rPr>
        <w:t>0</w:t>
      </w:r>
      <w:r w:rsidRPr="00B97E44">
        <w:rPr>
          <w:rFonts w:hint="cs"/>
          <w:sz w:val="24"/>
          <w:rtl/>
        </w:rPr>
        <w:t xml:space="preserve"> שלהלן, לא חלה תנודה של ממש במשך כעשרים שנים - משנת 2001 ועד שנת 2021 - הן במדד החברתי-כלכלי הרציף של העיר והן בשיעור ההכנסות מהממשלה לתושב. ניתן אף להבחין שהנתונים לשנת 2021 נמוכים מנתוני 2003 על אף פיתוח מואץ שחל בעיר וחתימת העיר על הסכמי גג שהבטיחו השקעה תקציבית אדירה מצד הממשלה</w:t>
      </w:r>
      <w:r>
        <w:rPr>
          <w:sz w:val="24"/>
          <w:vertAlign w:val="superscript"/>
          <w:rtl/>
        </w:rPr>
        <w:footnoteReference w:id="135"/>
      </w:r>
      <w:r w:rsidRPr="00B97E44">
        <w:rPr>
          <w:rFonts w:hint="cs"/>
          <w:sz w:val="24"/>
          <w:rtl/>
        </w:rPr>
        <w:t xml:space="preserve">. </w:t>
      </w:r>
    </w:p>
    <w:p w:rsidR="005B126E" w:rsidP="001916A9">
      <w:pPr>
        <w:spacing w:line="269" w:lineRule="auto"/>
        <w:ind w:left="720"/>
        <w:contextualSpacing/>
        <w:jc w:val="center"/>
        <w:rPr>
          <w:sz w:val="24"/>
          <w:rtl/>
        </w:rPr>
      </w:pPr>
    </w:p>
    <w:p w:rsidR="005B126E" w:rsidRPr="00A12A6A" w:rsidP="00C10FE4">
      <w:pPr>
        <w:spacing w:line="269" w:lineRule="auto"/>
        <w:ind w:left="-1"/>
        <w:contextualSpacing/>
        <w:jc w:val="center"/>
        <w:rPr>
          <w:b/>
          <w:bCs/>
          <w:sz w:val="24"/>
          <w:rtl/>
        </w:rPr>
      </w:pPr>
      <w:r w:rsidRPr="00B97E44">
        <w:rPr>
          <w:rFonts w:hint="cs"/>
          <w:sz w:val="24"/>
          <w:rtl/>
        </w:rPr>
        <w:t>תרשים 1</w:t>
      </w:r>
      <w:r>
        <w:rPr>
          <w:rFonts w:hint="cs"/>
          <w:sz w:val="24"/>
          <w:rtl/>
        </w:rPr>
        <w:t>0</w:t>
      </w:r>
      <w:r w:rsidRPr="00B97E44">
        <w:rPr>
          <w:rFonts w:hint="cs"/>
          <w:sz w:val="24"/>
          <w:rtl/>
        </w:rPr>
        <w:t>:</w:t>
      </w:r>
      <w:r w:rsidRPr="00B97E44">
        <w:rPr>
          <w:rFonts w:hint="cs"/>
          <w:b/>
          <w:bCs/>
          <w:sz w:val="24"/>
          <w:rtl/>
        </w:rPr>
        <w:t xml:space="preserve"> ה</w:t>
      </w:r>
      <w:r>
        <w:rPr>
          <w:rFonts w:hint="cs"/>
          <w:b/>
          <w:bCs/>
          <w:sz w:val="24"/>
          <w:rtl/>
        </w:rPr>
        <w:t>דירוג ב</w:t>
      </w:r>
      <w:r w:rsidRPr="00B97E44">
        <w:rPr>
          <w:rFonts w:hint="cs"/>
          <w:b/>
          <w:bCs/>
          <w:sz w:val="24"/>
          <w:rtl/>
        </w:rPr>
        <w:t xml:space="preserve">מדד החברתי-כלכלי הרציף והכנסות ממשרדי הממשלה לתושב בנתיבות, </w:t>
      </w:r>
      <w:r w:rsidR="00C10FE4">
        <w:rPr>
          <w:b/>
          <w:bCs/>
          <w:sz w:val="24"/>
          <w:rtl/>
        </w:rPr>
        <w:br/>
      </w:r>
      <w:r w:rsidRPr="00B97E44">
        <w:rPr>
          <w:rFonts w:hint="cs"/>
          <w:b/>
          <w:bCs/>
          <w:sz w:val="24"/>
          <w:rtl/>
        </w:rPr>
        <w:t>1995 - 2021</w:t>
      </w:r>
    </w:p>
    <w:p w:rsidR="005B126E" w:rsidRPr="00B97E44" w:rsidP="00C10FE4">
      <w:pPr>
        <w:spacing w:line="269" w:lineRule="auto"/>
        <w:ind w:left="-1"/>
        <w:contextualSpacing/>
        <w:jc w:val="center"/>
        <w:rPr>
          <w:szCs w:val="20"/>
          <w:rtl/>
        </w:rPr>
      </w:pPr>
      <w:r w:rsidRPr="00B97E44">
        <w:rPr>
          <w:noProof/>
        </w:rPr>
        <w:drawing>
          <wp:inline distT="0" distB="0" distL="0" distR="0">
            <wp:extent cx="4950343" cy="3348000"/>
            <wp:effectExtent l="0" t="0" r="3175" b="5080"/>
            <wp:docPr id="44" name="תמונה 44" descr="התרשים מציג את הדירוג במדד החברתי-כלכלי הרציף והכנסות ממשרדי הממשלה לתושב בנתיבות, בין השנים 1995 - 2021&#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xmlns:r="http://schemas.openxmlformats.org/officeDocument/2006/relationships" r:embed="rId43"/>
                    <a:stretch>
                      <a:fillRect/>
                    </a:stretch>
                  </pic:blipFill>
                  <pic:spPr>
                    <a:xfrm>
                      <a:off x="0" y="0"/>
                      <a:ext cx="4950343" cy="3348000"/>
                    </a:xfrm>
                    <a:prstGeom prst="rect">
                      <a:avLst/>
                    </a:prstGeom>
                  </pic:spPr>
                </pic:pic>
              </a:graphicData>
            </a:graphic>
          </wp:inline>
        </w:drawing>
      </w:r>
    </w:p>
    <w:p w:rsidR="005B126E" w:rsidRPr="00B97E44" w:rsidP="001916A9">
      <w:pPr>
        <w:spacing w:line="269" w:lineRule="auto"/>
        <w:contextualSpacing/>
        <w:jc w:val="left"/>
        <w:rPr>
          <w:sz w:val="24"/>
          <w:rtl/>
        </w:rPr>
      </w:pPr>
      <w:r w:rsidRPr="00B97E44">
        <w:rPr>
          <w:rFonts w:hint="cs"/>
          <w:szCs w:val="20"/>
          <w:rtl/>
        </w:rPr>
        <w:t xml:space="preserve">על פי נתוני </w:t>
      </w:r>
      <w:r w:rsidRPr="00B97E44">
        <w:rPr>
          <w:rFonts w:hint="cs"/>
          <w:szCs w:val="20"/>
          <w:rtl/>
        </w:rPr>
        <w:t>הלמ"ס</w:t>
      </w:r>
      <w:r w:rsidRPr="00B97E44">
        <w:rPr>
          <w:rFonts w:hint="cs"/>
          <w:szCs w:val="20"/>
          <w:rtl/>
        </w:rPr>
        <w:t xml:space="preserve"> בעיבוד משרד מבקר המדינה.</w:t>
      </w:r>
    </w:p>
    <w:p w:rsidR="005B126E" w:rsidRPr="00B97E44" w:rsidP="001916A9">
      <w:pPr>
        <w:spacing w:line="269" w:lineRule="auto"/>
        <w:ind w:left="720"/>
        <w:contextualSpacing/>
        <w:rPr>
          <w:sz w:val="24"/>
          <w:rtl/>
        </w:rPr>
      </w:pPr>
    </w:p>
    <w:p w:rsidR="005B126E" w:rsidRPr="00B97E44" w:rsidP="001916A9">
      <w:pPr>
        <w:spacing w:line="269" w:lineRule="auto"/>
        <w:contextualSpacing/>
        <w:rPr>
          <w:sz w:val="24"/>
          <w:rtl/>
        </w:rPr>
      </w:pPr>
      <w:r w:rsidRPr="00B97E44">
        <w:rPr>
          <w:rFonts w:hint="eastAsia"/>
          <w:sz w:val="24"/>
          <w:rtl/>
        </w:rPr>
        <w:t>תמונה</w:t>
      </w:r>
      <w:r w:rsidRPr="00B97E44">
        <w:rPr>
          <w:sz w:val="24"/>
          <w:rtl/>
        </w:rPr>
        <w:t xml:space="preserve"> דומה </w:t>
      </w:r>
      <w:r w:rsidRPr="00B97E44">
        <w:rPr>
          <w:rFonts w:hint="cs"/>
          <w:sz w:val="24"/>
          <w:rtl/>
        </w:rPr>
        <w:t>לזו שמתקבלת ב</w:t>
      </w:r>
      <w:r w:rsidRPr="00AB6523">
        <w:rPr>
          <w:rFonts w:hint="eastAsia"/>
          <w:b/>
          <w:bCs/>
          <w:sz w:val="24"/>
          <w:rtl/>
        </w:rPr>
        <w:t>נתיבות</w:t>
      </w:r>
      <w:r w:rsidRPr="00B97E44">
        <w:rPr>
          <w:rFonts w:hint="cs"/>
          <w:sz w:val="24"/>
          <w:rtl/>
        </w:rPr>
        <w:t xml:space="preserve"> </w:t>
      </w:r>
      <w:r w:rsidRPr="00B97E44">
        <w:rPr>
          <w:sz w:val="24"/>
          <w:rtl/>
        </w:rPr>
        <w:t xml:space="preserve">מתקבלת גם מניתוח הנתונים של עיריית </w:t>
      </w:r>
      <w:r w:rsidRPr="00AB6523">
        <w:rPr>
          <w:rFonts w:hint="eastAsia"/>
          <w:b/>
          <w:bCs/>
          <w:sz w:val="24"/>
          <w:rtl/>
        </w:rPr>
        <w:t>אופקים</w:t>
      </w:r>
      <w:r w:rsidRPr="00B97E44">
        <w:rPr>
          <w:sz w:val="24"/>
          <w:rtl/>
        </w:rPr>
        <w:t>:</w:t>
      </w:r>
    </w:p>
    <w:p w:rsidR="005B126E" w:rsidRPr="00B97E44" w:rsidP="001916A9">
      <w:pPr>
        <w:spacing w:line="269" w:lineRule="auto"/>
        <w:contextualSpacing/>
        <w:rPr>
          <w:sz w:val="24"/>
          <w:rtl/>
        </w:rPr>
      </w:pPr>
    </w:p>
    <w:p w:rsidR="005B126E" w:rsidRPr="00B97E44" w:rsidP="001916A9">
      <w:pPr>
        <w:keepNext/>
        <w:keepLines/>
        <w:spacing w:line="269" w:lineRule="auto"/>
        <w:contextualSpacing/>
        <w:jc w:val="center"/>
        <w:rPr>
          <w:sz w:val="24"/>
          <w:rtl/>
        </w:rPr>
      </w:pPr>
      <w:r w:rsidRPr="00B97E44">
        <w:rPr>
          <w:rFonts w:hint="cs"/>
          <w:sz w:val="24"/>
          <w:rtl/>
        </w:rPr>
        <w:t>תרשים 1</w:t>
      </w:r>
      <w:r>
        <w:rPr>
          <w:rFonts w:hint="cs"/>
          <w:sz w:val="24"/>
          <w:rtl/>
        </w:rPr>
        <w:t>1</w:t>
      </w:r>
      <w:r w:rsidRPr="00B97E44">
        <w:rPr>
          <w:rFonts w:hint="cs"/>
          <w:sz w:val="24"/>
          <w:rtl/>
        </w:rPr>
        <w:t xml:space="preserve">: </w:t>
      </w:r>
      <w:r w:rsidRPr="00B97E44">
        <w:rPr>
          <w:rFonts w:hint="cs"/>
          <w:b/>
          <w:bCs/>
          <w:sz w:val="24"/>
          <w:rtl/>
        </w:rPr>
        <w:t>המדד החברתי-כלכלי הרציף והכנסות ממשרדי הממשלה לתושב באופקים,</w:t>
      </w:r>
      <w:r>
        <w:rPr>
          <w:b/>
          <w:bCs/>
          <w:sz w:val="24"/>
          <w:rtl/>
        </w:rPr>
        <w:br/>
      </w:r>
      <w:r w:rsidRPr="00B97E44">
        <w:rPr>
          <w:rFonts w:hint="cs"/>
          <w:b/>
          <w:bCs/>
          <w:sz w:val="24"/>
          <w:rtl/>
        </w:rPr>
        <w:t xml:space="preserve"> 1995 - 2021</w:t>
      </w:r>
    </w:p>
    <w:p w:rsidR="005B126E" w:rsidRPr="00B97E44" w:rsidP="001916A9">
      <w:pPr>
        <w:spacing w:line="269" w:lineRule="auto"/>
        <w:contextualSpacing/>
        <w:jc w:val="center"/>
        <w:rPr>
          <w:sz w:val="24"/>
          <w:rtl/>
        </w:rPr>
      </w:pPr>
      <w:r w:rsidRPr="00B97E44">
        <w:rPr>
          <w:noProof/>
        </w:rPr>
        <w:drawing>
          <wp:inline distT="0" distB="0" distL="0" distR="0">
            <wp:extent cx="5010241" cy="3348000"/>
            <wp:effectExtent l="0" t="0" r="0" b="5080"/>
            <wp:docPr id="45" name="תמונה 45" descr="התרשים מציג את המדד החברתי-כלכלי הרציף והכנסות ממשרדי הממשלה לתושב באופקים, בין השנים 1995 -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xmlns:r="http://schemas.openxmlformats.org/officeDocument/2006/relationships" r:embed="rId44"/>
                    <a:stretch>
                      <a:fillRect/>
                    </a:stretch>
                  </pic:blipFill>
                  <pic:spPr>
                    <a:xfrm>
                      <a:off x="0" y="0"/>
                      <a:ext cx="5010241" cy="3348000"/>
                    </a:xfrm>
                    <a:prstGeom prst="rect">
                      <a:avLst/>
                    </a:prstGeom>
                  </pic:spPr>
                </pic:pic>
              </a:graphicData>
            </a:graphic>
          </wp:inline>
        </w:drawing>
      </w:r>
    </w:p>
    <w:p w:rsidR="005B126E" w:rsidRPr="00B97E44" w:rsidP="001916A9">
      <w:pPr>
        <w:spacing w:line="269" w:lineRule="auto"/>
        <w:jc w:val="left"/>
        <w:rPr>
          <w:sz w:val="24"/>
          <w:rtl/>
        </w:rPr>
      </w:pPr>
      <w:r w:rsidRPr="00B97E44">
        <w:rPr>
          <w:rFonts w:hint="cs"/>
          <w:szCs w:val="20"/>
          <w:rtl/>
        </w:rPr>
        <w:t xml:space="preserve">על פי נתוני </w:t>
      </w:r>
      <w:r w:rsidRPr="00B97E44">
        <w:rPr>
          <w:rFonts w:hint="cs"/>
          <w:szCs w:val="20"/>
          <w:rtl/>
        </w:rPr>
        <w:t>הלמ"ס</w:t>
      </w:r>
      <w:r w:rsidRPr="00B97E44">
        <w:rPr>
          <w:rFonts w:hint="cs"/>
          <w:szCs w:val="20"/>
          <w:rtl/>
        </w:rPr>
        <w:t>, בעיבוד משרד מבקר המדינה.</w:t>
      </w:r>
    </w:p>
    <w:p w:rsidR="005B126E" w:rsidP="001916A9">
      <w:pPr>
        <w:spacing w:line="269" w:lineRule="auto"/>
        <w:ind w:left="-46"/>
        <w:contextualSpacing/>
        <w:rPr>
          <w:sz w:val="24"/>
          <w:rtl/>
        </w:rPr>
      </w:pPr>
    </w:p>
    <w:p w:rsidR="005B126E" w:rsidRPr="00B97E44" w:rsidP="001916A9">
      <w:pPr>
        <w:spacing w:line="269" w:lineRule="auto"/>
        <w:ind w:left="-46"/>
        <w:contextualSpacing/>
        <w:rPr>
          <w:sz w:val="24"/>
          <w:highlight w:val="yellow"/>
          <w:rtl/>
        </w:rPr>
      </w:pPr>
      <w:r w:rsidRPr="00B97E44">
        <w:rPr>
          <w:rFonts w:hint="cs"/>
          <w:sz w:val="24"/>
          <w:rtl/>
        </w:rPr>
        <w:t>גם מתרשים 1</w:t>
      </w:r>
      <w:r>
        <w:rPr>
          <w:rFonts w:hint="cs"/>
          <w:sz w:val="24"/>
          <w:rtl/>
        </w:rPr>
        <w:t>1</w:t>
      </w:r>
      <w:r w:rsidRPr="00B97E44">
        <w:rPr>
          <w:rFonts w:hint="cs"/>
          <w:sz w:val="24"/>
          <w:rtl/>
        </w:rPr>
        <w:t xml:space="preserve"> לעיל עולה כי משנת 2001 לא חלה התפתחות של ממש בדירוג של </w:t>
      </w:r>
      <w:r w:rsidRPr="00B97E44">
        <w:rPr>
          <w:rFonts w:hint="cs"/>
          <w:b/>
          <w:bCs/>
          <w:sz w:val="24"/>
          <w:rtl/>
        </w:rPr>
        <w:t>אופקים</w:t>
      </w:r>
      <w:r w:rsidRPr="00B97E44">
        <w:rPr>
          <w:rFonts w:hint="cs"/>
          <w:sz w:val="24"/>
          <w:rtl/>
        </w:rPr>
        <w:t xml:space="preserve"> במדד החברתי-כלכלי הרציף וניתן אף להבחין בירידה מסוימת בדירוג בין שנת 2019 ל-2021. גם בשיעור הכנסות מהממשלה לתושב באופקים לא חלו תמורות של ממש מאז שנת 2001, אך דווקא בפרמטר זה ניתן להבחין מאותה שנה בעלייה מתונה אך עקבית עד שנת 2019 שייתכן שנובעת גם היא מהסכמי הגג שחתמה עליהם העירייה עם המדינה כדי להקים אלפי יחידות דיור חדשות בעיר והשקעת תקציבים מצד המדינה בעיר לצורכי פיתוח בעבור התושבים שיתגוררו באותן יחידות.</w:t>
      </w:r>
    </w:p>
    <w:p w:rsidR="005B126E" w:rsidP="001916A9">
      <w:pPr>
        <w:spacing w:line="269" w:lineRule="auto"/>
        <w:contextualSpacing/>
        <w:rPr>
          <w:b/>
          <w:bCs/>
          <w:sz w:val="24"/>
          <w:rtl/>
        </w:rPr>
      </w:pPr>
    </w:p>
    <w:p w:rsidR="005B126E" w:rsidRPr="00B97E44" w:rsidP="001916A9">
      <w:pPr>
        <w:spacing w:line="269" w:lineRule="auto"/>
        <w:contextualSpacing/>
        <w:rPr>
          <w:b/>
          <w:bCs/>
          <w:sz w:val="24"/>
          <w:rtl/>
        </w:rPr>
      </w:pPr>
      <w:r w:rsidRPr="00B97E44">
        <w:rPr>
          <w:rFonts w:hint="cs"/>
          <w:b/>
          <w:bCs/>
          <w:sz w:val="24"/>
          <w:rtl/>
        </w:rPr>
        <w:t>מהצגת ניתוח הנתונים לעיל ניתן להבחין בהתאמה יחסית בין הכנסות הרשות מהממשלה לתושב ובין דירוגה במדד החברתי-כלכלי. כספי הממשלה שהושקעו בשדרות לתושב עלו באופן עקבי לאורך השנים וכך גם דירוגה החברתי-כלכלי; וכספי הממשלה שהושקעו באופקים ונתיבות לאורך השנים עלו באופן מתון וכך גם דירוגן במדד החברתי-כלכלי.</w:t>
      </w:r>
    </w:p>
    <w:p w:rsidR="005B126E" w:rsidP="001916A9">
      <w:pPr>
        <w:spacing w:line="269" w:lineRule="auto"/>
        <w:rPr>
          <w:rFonts w:ascii="David" w:hAnsi="David"/>
          <w:color w:val="000000" w:themeColor="text1"/>
          <w:rtl/>
        </w:rPr>
      </w:pPr>
    </w:p>
    <w:p w:rsidR="005B126E" w:rsidP="001916A9">
      <w:pPr>
        <w:spacing w:line="269" w:lineRule="auto"/>
        <w:rPr>
          <w:rtl/>
        </w:rPr>
      </w:pPr>
      <w:r w:rsidRPr="00B97E44">
        <w:rPr>
          <w:rFonts w:ascii="David" w:hAnsi="David" w:hint="eastAsia"/>
          <w:color w:val="000000" w:themeColor="text1"/>
          <w:rtl/>
        </w:rPr>
        <w:t>עיריית</w:t>
      </w:r>
      <w:r w:rsidRPr="00B97E44">
        <w:rPr>
          <w:rFonts w:ascii="David" w:hAnsi="David"/>
          <w:color w:val="000000" w:themeColor="text1"/>
          <w:rtl/>
        </w:rPr>
        <w:t xml:space="preserve"> </w:t>
      </w:r>
      <w:r w:rsidRPr="00B97E44">
        <w:rPr>
          <w:rFonts w:ascii="David" w:hAnsi="David"/>
          <w:b/>
          <w:bCs/>
          <w:color w:val="000000" w:themeColor="text1"/>
          <w:rtl/>
        </w:rPr>
        <w:t>שדרות</w:t>
      </w:r>
      <w:r w:rsidRPr="00B97E44">
        <w:rPr>
          <w:rFonts w:ascii="David" w:hAnsi="David"/>
          <w:color w:val="000000" w:themeColor="text1"/>
          <w:rtl/>
        </w:rPr>
        <w:t xml:space="preserve"> מסרה בתשובתה כי ההשקעה העירונית לתושב עלתה באופן </w:t>
      </w:r>
      <w:r w:rsidRPr="00B97E44">
        <w:rPr>
          <w:rFonts w:ascii="David" w:hAnsi="David" w:hint="cs"/>
          <w:color w:val="000000" w:themeColor="text1"/>
          <w:rtl/>
        </w:rPr>
        <w:t>ניכר</w:t>
      </w:r>
      <w:r w:rsidRPr="00B97E44">
        <w:rPr>
          <w:rFonts w:ascii="David" w:hAnsi="David"/>
          <w:color w:val="000000" w:themeColor="text1"/>
          <w:rtl/>
        </w:rPr>
        <w:t xml:space="preserve"> בשנים האחרונות במקביל להשקעות ממשלתיות נרחבות במסגרת תוכניות תקומה ותוכניות הפיתוח העירוניות. </w:t>
      </w:r>
      <w:r w:rsidRPr="00B97E44">
        <w:rPr>
          <w:rFonts w:ascii="David" w:hAnsi="David" w:hint="cs"/>
          <w:color w:val="000000" w:themeColor="text1"/>
          <w:rtl/>
        </w:rPr>
        <w:t>השקעות אלה הובילו לתנופת צמיחה ותרמו ל</w:t>
      </w:r>
      <w:r w:rsidRPr="00B97E44">
        <w:rPr>
          <w:rFonts w:ascii="David" w:hAnsi="David"/>
          <w:color w:val="000000" w:themeColor="text1"/>
          <w:rtl/>
        </w:rPr>
        <w:t>חיזוק האיתנות הפיננסית של העיר ולמיצוב שדרות כעיר מתפתחת ובעלת השפעה אזורית</w:t>
      </w:r>
      <w:r w:rsidRPr="00B97E44">
        <w:rPr>
          <w:rFonts w:ascii="David" w:hAnsi="David"/>
          <w:color w:val="000000" w:themeColor="text1"/>
        </w:rPr>
        <w:t>.</w:t>
      </w:r>
      <w:r w:rsidRPr="00B97E44">
        <w:rPr>
          <w:rFonts w:ascii="David" w:hAnsi="David"/>
          <w:color w:val="000000" w:themeColor="text1"/>
          <w:rtl/>
        </w:rPr>
        <w:t xml:space="preserve"> </w:t>
      </w:r>
      <w:r w:rsidRPr="00B97E44">
        <w:rPr>
          <w:rFonts w:ascii="David" w:hAnsi="David" w:hint="eastAsia"/>
          <w:color w:val="000000" w:themeColor="text1"/>
          <w:rtl/>
        </w:rPr>
        <w:t>העירייה</w:t>
      </w:r>
      <w:r w:rsidRPr="00B97E44">
        <w:rPr>
          <w:rFonts w:ascii="David" w:hAnsi="David"/>
          <w:color w:val="000000" w:themeColor="text1"/>
          <w:rtl/>
        </w:rPr>
        <w:t xml:space="preserve"> </w:t>
      </w:r>
      <w:r w:rsidRPr="00B97E44">
        <w:rPr>
          <w:rFonts w:ascii="David" w:hAnsi="David" w:hint="eastAsia"/>
          <w:color w:val="000000" w:themeColor="text1"/>
          <w:rtl/>
        </w:rPr>
        <w:t>הוסיפה</w:t>
      </w:r>
      <w:r w:rsidRPr="00B97E44">
        <w:rPr>
          <w:rFonts w:ascii="David" w:hAnsi="David"/>
          <w:color w:val="000000" w:themeColor="text1"/>
          <w:rtl/>
        </w:rPr>
        <w:t xml:space="preserve"> </w:t>
      </w:r>
      <w:r w:rsidRPr="00B97E44">
        <w:rPr>
          <w:rFonts w:ascii="David" w:hAnsi="David" w:hint="eastAsia"/>
          <w:color w:val="000000" w:themeColor="text1"/>
          <w:rtl/>
        </w:rPr>
        <w:t>וציינה</w:t>
      </w:r>
      <w:r w:rsidRPr="00B97E44">
        <w:rPr>
          <w:rFonts w:ascii="David" w:hAnsi="David"/>
          <w:color w:val="000000" w:themeColor="text1"/>
          <w:rtl/>
        </w:rPr>
        <w:t xml:space="preserve"> כי ההשקעות המתמשכות והפיתוח העירוני הביאו גם להגירה חיובית לעיר, חרף אתגרי הביטחון והמציאות המורכבת בשני העשורים האחרונים. </w:t>
      </w:r>
      <w:r w:rsidRPr="00B97E44">
        <w:rPr>
          <w:rFonts w:ascii="David" w:hAnsi="David" w:hint="eastAsia"/>
          <w:color w:val="000000" w:themeColor="text1"/>
          <w:rtl/>
        </w:rPr>
        <w:t>עוד</w:t>
      </w:r>
      <w:r w:rsidRPr="00B97E44">
        <w:rPr>
          <w:rFonts w:ascii="David" w:hAnsi="David"/>
          <w:color w:val="000000" w:themeColor="text1"/>
          <w:rtl/>
        </w:rPr>
        <w:t xml:space="preserve"> ציינה העירייה כי </w:t>
      </w:r>
      <w:r w:rsidRPr="00B97E44">
        <w:rPr>
          <w:rFonts w:ascii="David" w:hAnsi="David" w:hint="eastAsia"/>
          <w:rtl/>
        </w:rPr>
        <w:t>בכל</w:t>
      </w:r>
      <w:r w:rsidRPr="00B97E44">
        <w:rPr>
          <w:rFonts w:ascii="David" w:hAnsi="David"/>
          <w:rtl/>
        </w:rPr>
        <w:t xml:space="preserve"> חלוקה תקציבית שמחולקת עקב משבר או אסון </w:t>
      </w:r>
      <w:r w:rsidRPr="00B97E44">
        <w:rPr>
          <w:rFonts w:ascii="David" w:hAnsi="David" w:hint="eastAsia"/>
          <w:rtl/>
        </w:rPr>
        <w:t>ניתן</w:t>
      </w:r>
      <w:r w:rsidRPr="00B97E44">
        <w:rPr>
          <w:rFonts w:ascii="David" w:hAnsi="David"/>
          <w:rtl/>
        </w:rPr>
        <w:t xml:space="preserve"> דגש </w:t>
      </w:r>
      <w:r w:rsidRPr="00B97E44">
        <w:rPr>
          <w:rFonts w:ascii="David" w:hAnsi="David" w:hint="eastAsia"/>
          <w:rtl/>
        </w:rPr>
        <w:t>לחלוקה</w:t>
      </w:r>
      <w:r w:rsidRPr="00B97E44">
        <w:rPr>
          <w:rFonts w:ascii="David" w:hAnsi="David"/>
          <w:rtl/>
        </w:rPr>
        <w:t xml:space="preserve"> </w:t>
      </w:r>
      <w:r w:rsidRPr="00B97E44">
        <w:rPr>
          <w:rFonts w:ascii="David" w:hAnsi="David" w:hint="eastAsia"/>
          <w:rtl/>
        </w:rPr>
        <w:t>צודקת</w:t>
      </w:r>
      <w:r w:rsidRPr="00B97E44">
        <w:rPr>
          <w:rFonts w:ascii="David" w:hAnsi="David"/>
          <w:rtl/>
        </w:rPr>
        <w:t xml:space="preserve"> </w:t>
      </w:r>
      <w:r w:rsidRPr="00B97E44">
        <w:rPr>
          <w:rFonts w:ascii="David" w:hAnsi="David" w:hint="eastAsia"/>
          <w:rtl/>
        </w:rPr>
        <w:t>ושוויונית</w:t>
      </w:r>
      <w:r w:rsidRPr="00B97E44">
        <w:rPr>
          <w:rFonts w:ascii="David" w:hAnsi="David"/>
          <w:rtl/>
        </w:rPr>
        <w:t xml:space="preserve"> </w:t>
      </w:r>
      <w:r w:rsidRPr="00B97E44">
        <w:rPr>
          <w:rFonts w:ascii="David" w:hAnsi="David" w:hint="eastAsia"/>
          <w:rtl/>
        </w:rPr>
        <w:t>בין</w:t>
      </w:r>
      <w:r w:rsidRPr="00B97E44">
        <w:rPr>
          <w:rFonts w:ascii="David" w:hAnsi="David"/>
          <w:rtl/>
        </w:rPr>
        <w:t xml:space="preserve"> </w:t>
      </w:r>
      <w:r w:rsidRPr="00B97E44">
        <w:rPr>
          <w:rFonts w:ascii="David" w:hAnsi="David" w:hint="eastAsia"/>
          <w:rtl/>
        </w:rPr>
        <w:t>הכפר</w:t>
      </w:r>
      <w:r w:rsidRPr="00B97E44">
        <w:rPr>
          <w:rFonts w:ascii="David" w:hAnsi="David"/>
          <w:rtl/>
        </w:rPr>
        <w:t xml:space="preserve"> </w:t>
      </w:r>
      <w:r w:rsidRPr="00B97E44">
        <w:rPr>
          <w:rFonts w:ascii="David" w:hAnsi="David" w:hint="eastAsia"/>
          <w:rtl/>
        </w:rPr>
        <w:t>לעיר</w:t>
      </w:r>
      <w:r w:rsidRPr="00B97E44">
        <w:rPr>
          <w:rFonts w:ascii="David" w:hAnsi="David" w:hint="cs"/>
          <w:rtl/>
        </w:rPr>
        <w:t>,</w:t>
      </w:r>
      <w:r w:rsidRPr="00B97E44">
        <w:rPr>
          <w:rFonts w:ascii="David" w:hAnsi="David"/>
          <w:rtl/>
        </w:rPr>
        <w:t xml:space="preserve"> </w:t>
      </w:r>
      <w:r w:rsidRPr="00B97E44">
        <w:rPr>
          <w:rFonts w:ascii="David" w:hAnsi="David" w:hint="eastAsia"/>
          <w:rtl/>
        </w:rPr>
        <w:t>הן</w:t>
      </w:r>
      <w:r w:rsidRPr="00B97E44">
        <w:rPr>
          <w:rFonts w:ascii="David" w:hAnsi="David"/>
          <w:rtl/>
        </w:rPr>
        <w:t xml:space="preserve"> </w:t>
      </w:r>
      <w:r w:rsidRPr="00B97E44">
        <w:rPr>
          <w:rFonts w:ascii="David" w:hAnsi="David" w:hint="eastAsia"/>
          <w:rtl/>
        </w:rPr>
        <w:t>לתושב</w:t>
      </w:r>
      <w:r w:rsidRPr="00B97E44">
        <w:rPr>
          <w:rFonts w:ascii="David" w:hAnsi="David"/>
          <w:rtl/>
        </w:rPr>
        <w:t xml:space="preserve"> </w:t>
      </w:r>
      <w:r w:rsidRPr="00B97E44">
        <w:rPr>
          <w:rFonts w:ascii="David" w:hAnsi="David" w:hint="eastAsia"/>
          <w:rtl/>
        </w:rPr>
        <w:t>ברמת</w:t>
      </w:r>
      <w:r w:rsidRPr="00B97E44">
        <w:rPr>
          <w:rFonts w:ascii="David" w:hAnsi="David"/>
          <w:rtl/>
        </w:rPr>
        <w:t xml:space="preserve"> </w:t>
      </w:r>
      <w:r w:rsidRPr="00B97E44">
        <w:rPr>
          <w:rFonts w:ascii="David" w:hAnsi="David" w:hint="eastAsia"/>
          <w:rtl/>
        </w:rPr>
        <w:t>הפרט</w:t>
      </w:r>
      <w:r w:rsidRPr="00B97E44">
        <w:rPr>
          <w:rFonts w:ascii="David" w:hAnsi="David"/>
          <w:rtl/>
        </w:rPr>
        <w:t xml:space="preserve"> </w:t>
      </w:r>
      <w:r w:rsidRPr="00B97E44">
        <w:rPr>
          <w:rFonts w:ascii="David" w:hAnsi="David" w:hint="eastAsia"/>
          <w:rtl/>
        </w:rPr>
        <w:t>והן</w:t>
      </w:r>
      <w:r w:rsidRPr="00B97E44">
        <w:rPr>
          <w:rFonts w:ascii="David" w:hAnsi="David"/>
          <w:rtl/>
        </w:rPr>
        <w:t xml:space="preserve"> </w:t>
      </w:r>
      <w:r w:rsidRPr="00B97E44">
        <w:rPr>
          <w:rFonts w:ascii="David" w:hAnsi="David" w:hint="eastAsia"/>
          <w:rtl/>
        </w:rPr>
        <w:t>לרשות</w:t>
      </w:r>
      <w:r w:rsidRPr="00B97E44">
        <w:rPr>
          <w:rFonts w:ascii="David" w:hAnsi="David"/>
          <w:rtl/>
        </w:rPr>
        <w:t xml:space="preserve"> </w:t>
      </w:r>
      <w:r w:rsidRPr="00B97E44">
        <w:rPr>
          <w:rFonts w:ascii="David" w:hAnsi="David" w:hint="cs"/>
          <w:rtl/>
        </w:rPr>
        <w:t xml:space="preserve">המקומית </w:t>
      </w:r>
      <w:r w:rsidRPr="00B97E44">
        <w:rPr>
          <w:rFonts w:ascii="David" w:hAnsi="David" w:hint="eastAsia"/>
          <w:rtl/>
        </w:rPr>
        <w:t>המנהלת</w:t>
      </w:r>
      <w:r w:rsidRPr="00B97E44">
        <w:rPr>
          <w:rFonts w:ascii="David" w:hAnsi="David"/>
          <w:rtl/>
        </w:rPr>
        <w:t xml:space="preserve"> </w:t>
      </w:r>
      <w:r w:rsidRPr="00B97E44">
        <w:rPr>
          <w:rFonts w:ascii="David" w:hAnsi="David" w:hint="eastAsia"/>
          <w:rtl/>
        </w:rPr>
        <w:t>את</w:t>
      </w:r>
      <w:r w:rsidRPr="00B97E44">
        <w:rPr>
          <w:rFonts w:ascii="David" w:hAnsi="David"/>
          <w:rtl/>
        </w:rPr>
        <w:t xml:space="preserve"> </w:t>
      </w:r>
      <w:r w:rsidRPr="00B97E44">
        <w:rPr>
          <w:rFonts w:ascii="David" w:hAnsi="David" w:hint="eastAsia"/>
          <w:rtl/>
        </w:rPr>
        <w:t>חיי</w:t>
      </w:r>
      <w:r w:rsidRPr="00B97E44">
        <w:rPr>
          <w:rFonts w:ascii="David" w:hAnsi="David"/>
          <w:rtl/>
        </w:rPr>
        <w:t xml:space="preserve"> </w:t>
      </w:r>
      <w:r w:rsidRPr="00B97E44">
        <w:rPr>
          <w:rFonts w:ascii="David" w:hAnsi="David" w:hint="eastAsia"/>
          <w:rtl/>
        </w:rPr>
        <w:t>התושבים</w:t>
      </w:r>
      <w:r w:rsidRPr="00B97E44">
        <w:rPr>
          <w:rFonts w:ascii="David" w:hAnsi="David"/>
          <w:rtl/>
        </w:rPr>
        <w:t xml:space="preserve">, </w:t>
      </w:r>
      <w:r w:rsidRPr="00B97E44">
        <w:rPr>
          <w:rFonts w:ascii="David" w:hAnsi="David" w:hint="cs"/>
          <w:rtl/>
        </w:rPr>
        <w:t>כדי</w:t>
      </w:r>
      <w:r w:rsidRPr="00B97E44">
        <w:rPr>
          <w:rFonts w:ascii="David" w:hAnsi="David"/>
          <w:rtl/>
        </w:rPr>
        <w:t xml:space="preserve"> </w:t>
      </w:r>
      <w:r w:rsidRPr="00B97E44">
        <w:rPr>
          <w:rFonts w:ascii="David" w:hAnsi="David" w:hint="eastAsia"/>
          <w:rtl/>
        </w:rPr>
        <w:t>לבסס</w:t>
      </w:r>
      <w:r w:rsidRPr="00B97E44">
        <w:rPr>
          <w:rFonts w:ascii="David" w:hAnsi="David"/>
          <w:rtl/>
        </w:rPr>
        <w:t xml:space="preserve"> </w:t>
      </w:r>
      <w:r w:rsidRPr="00B97E44">
        <w:rPr>
          <w:rFonts w:ascii="David" w:hAnsi="David" w:hint="eastAsia"/>
          <w:rtl/>
        </w:rPr>
        <w:t>את</w:t>
      </w:r>
      <w:r w:rsidRPr="00B97E44">
        <w:rPr>
          <w:rFonts w:ascii="David" w:hAnsi="David"/>
          <w:rtl/>
        </w:rPr>
        <w:t xml:space="preserve"> </w:t>
      </w:r>
      <w:r w:rsidRPr="00B97E44">
        <w:rPr>
          <w:rFonts w:ascii="David" w:hAnsi="David" w:hint="eastAsia"/>
          <w:rtl/>
        </w:rPr>
        <w:t>חוסנה</w:t>
      </w:r>
      <w:r w:rsidRPr="00B97E44">
        <w:rPr>
          <w:rFonts w:ascii="David" w:hAnsi="David"/>
          <w:rtl/>
        </w:rPr>
        <w:t xml:space="preserve"> </w:t>
      </w:r>
      <w:r w:rsidRPr="00B97E44">
        <w:rPr>
          <w:rFonts w:ascii="David" w:hAnsi="David" w:hint="eastAsia"/>
          <w:rtl/>
        </w:rPr>
        <w:t>הכלכלי</w:t>
      </w:r>
      <w:r w:rsidRPr="00B97E44">
        <w:rPr>
          <w:rFonts w:ascii="David" w:hAnsi="David"/>
          <w:rtl/>
        </w:rPr>
        <w:t xml:space="preserve"> </w:t>
      </w:r>
      <w:r w:rsidRPr="00B97E44">
        <w:rPr>
          <w:rFonts w:ascii="David" w:hAnsi="David" w:hint="eastAsia"/>
          <w:rtl/>
        </w:rPr>
        <w:t>והשירותים</w:t>
      </w:r>
      <w:r w:rsidRPr="00B97E44">
        <w:rPr>
          <w:rFonts w:ascii="David" w:hAnsi="David"/>
          <w:rtl/>
        </w:rPr>
        <w:t xml:space="preserve"> </w:t>
      </w:r>
      <w:r w:rsidRPr="00B97E44">
        <w:rPr>
          <w:rFonts w:ascii="David" w:hAnsi="David" w:hint="eastAsia"/>
          <w:rtl/>
        </w:rPr>
        <w:t>הניתנים</w:t>
      </w:r>
      <w:r w:rsidRPr="00B97E44">
        <w:rPr>
          <w:rFonts w:ascii="David" w:hAnsi="David"/>
          <w:rtl/>
        </w:rPr>
        <w:t xml:space="preserve"> </w:t>
      </w:r>
      <w:r w:rsidRPr="00B97E44">
        <w:rPr>
          <w:rFonts w:ascii="David" w:hAnsi="David" w:hint="eastAsia"/>
          <w:rtl/>
        </w:rPr>
        <w:t>לתושב</w:t>
      </w:r>
      <w:r w:rsidRPr="00B97E44">
        <w:rPr>
          <w:rFonts w:ascii="David" w:hAnsi="David"/>
          <w:rtl/>
        </w:rPr>
        <w:t>.</w:t>
      </w:r>
    </w:p>
    <w:p w:rsidR="005B126E" w:rsidRPr="00B97E44" w:rsidP="001916A9">
      <w:pPr>
        <w:spacing w:line="269" w:lineRule="auto"/>
        <w:rPr>
          <w:rtl/>
        </w:rPr>
      </w:pPr>
    </w:p>
    <w:p w:rsidR="005B126E" w:rsidRPr="00B97E44" w:rsidP="001916A9">
      <w:pPr>
        <w:spacing w:line="269" w:lineRule="auto"/>
        <w:contextualSpacing/>
        <w:rPr>
          <w:b/>
          <w:bCs/>
          <w:sz w:val="24"/>
          <w:rtl/>
        </w:rPr>
      </w:pPr>
      <w:r w:rsidRPr="00B97E44">
        <w:rPr>
          <w:rFonts w:hint="cs"/>
          <w:rtl/>
        </w:rPr>
        <w:t xml:space="preserve">עיריית </w:t>
      </w:r>
      <w:r w:rsidRPr="00B97E44">
        <w:rPr>
          <w:rFonts w:hint="eastAsia"/>
          <w:b/>
          <w:bCs/>
          <w:rtl/>
        </w:rPr>
        <w:t>נתיבות</w:t>
      </w:r>
      <w:r w:rsidRPr="00B97E44">
        <w:rPr>
          <w:rFonts w:hint="cs"/>
          <w:rtl/>
        </w:rPr>
        <w:t xml:space="preserve"> מסרה בתשובתה למשרד מבקר המדינה מאוקטובר 2025, כי כבר לפני </w:t>
      </w:r>
      <w:r>
        <w:rPr>
          <w:rFonts w:hint="cs"/>
          <w:rtl/>
        </w:rPr>
        <w:t>מתקפת הטרור ב</w:t>
      </w:r>
      <w:r w:rsidRPr="00B97E44">
        <w:rPr>
          <w:rFonts w:hint="cs"/>
          <w:rtl/>
        </w:rPr>
        <w:t>שבעה באוקטובר היא פנתה לממשלה וטענה כי יש פגיעה בחוסן הביטחוני, הכלכלי והחברתי בהדרתה מתקציבים שניתנו ליישובים במרחק של 7 ק"מ עם גבול רצועת עזה בעוד היא ממוקמת במרחק של 7.5 ק"מ.</w:t>
      </w:r>
      <w:r w:rsidRPr="00B97E44">
        <w:rPr>
          <w:rFonts w:hint="cs"/>
          <w:b/>
          <w:bCs/>
          <w:sz w:val="24"/>
          <w:rtl/>
        </w:rPr>
        <w:t xml:space="preserve"> </w:t>
      </w:r>
      <w:r w:rsidRPr="00B97E44">
        <w:rPr>
          <w:rFonts w:hint="eastAsia"/>
          <w:sz w:val="24"/>
          <w:rtl/>
        </w:rPr>
        <w:t>מציאות</w:t>
      </w:r>
      <w:r w:rsidRPr="00B97E44">
        <w:rPr>
          <w:sz w:val="24"/>
          <w:rtl/>
        </w:rPr>
        <w:t xml:space="preserve"> זו, על פי התשובה, ייצרה עוולות המקרינות על החוסן הביטחוני-כלכלי-</w:t>
      </w:r>
      <w:r w:rsidRPr="00B97E44">
        <w:rPr>
          <w:rFonts w:hint="eastAsia"/>
          <w:sz w:val="24"/>
          <w:rtl/>
        </w:rPr>
        <w:t>חברתי</w:t>
      </w:r>
      <w:r w:rsidRPr="00B97E44">
        <w:rPr>
          <w:sz w:val="24"/>
          <w:rtl/>
        </w:rPr>
        <w:t xml:space="preserve"> </w:t>
      </w:r>
      <w:r w:rsidRPr="00B97E44">
        <w:rPr>
          <w:rFonts w:hint="eastAsia"/>
          <w:sz w:val="24"/>
          <w:rtl/>
        </w:rPr>
        <w:t>של</w:t>
      </w:r>
      <w:r w:rsidRPr="00B97E44">
        <w:rPr>
          <w:sz w:val="24"/>
          <w:rtl/>
        </w:rPr>
        <w:t xml:space="preserve"> </w:t>
      </w:r>
      <w:r w:rsidRPr="00B97E44">
        <w:rPr>
          <w:rFonts w:hint="eastAsia"/>
          <w:sz w:val="24"/>
          <w:rtl/>
        </w:rPr>
        <w:t>התושבים</w:t>
      </w:r>
      <w:r w:rsidRPr="00B97E44">
        <w:rPr>
          <w:sz w:val="24"/>
          <w:rtl/>
        </w:rPr>
        <w:t xml:space="preserve"> </w:t>
      </w:r>
      <w:r w:rsidRPr="00B97E44">
        <w:rPr>
          <w:rFonts w:hint="eastAsia"/>
          <w:sz w:val="24"/>
          <w:rtl/>
        </w:rPr>
        <w:t>בה</w:t>
      </w:r>
      <w:r w:rsidRPr="00B97E44">
        <w:rPr>
          <w:rFonts w:hint="cs"/>
          <w:sz w:val="24"/>
          <w:rtl/>
        </w:rPr>
        <w:t>י</w:t>
      </w:r>
      <w:r w:rsidRPr="00B97E44">
        <w:rPr>
          <w:rFonts w:hint="eastAsia"/>
          <w:sz w:val="24"/>
          <w:rtl/>
        </w:rPr>
        <w:t>עדר</w:t>
      </w:r>
      <w:r w:rsidRPr="00B97E44">
        <w:rPr>
          <w:sz w:val="24"/>
          <w:rtl/>
        </w:rPr>
        <w:t xml:space="preserve"> </w:t>
      </w:r>
      <w:r w:rsidRPr="00B97E44">
        <w:rPr>
          <w:rFonts w:hint="eastAsia"/>
          <w:sz w:val="24"/>
          <w:rtl/>
        </w:rPr>
        <w:t>תקציבי</w:t>
      </w:r>
      <w:r w:rsidRPr="00B97E44">
        <w:rPr>
          <w:sz w:val="24"/>
          <w:rtl/>
        </w:rPr>
        <w:t xml:space="preserve"> </w:t>
      </w:r>
      <w:r w:rsidRPr="00B97E44">
        <w:rPr>
          <w:rFonts w:hint="eastAsia"/>
          <w:sz w:val="24"/>
          <w:rtl/>
        </w:rPr>
        <w:t>סיוע</w:t>
      </w:r>
      <w:r w:rsidRPr="00B97E44">
        <w:rPr>
          <w:sz w:val="24"/>
          <w:rtl/>
        </w:rPr>
        <w:t xml:space="preserve"> </w:t>
      </w:r>
      <w:r w:rsidRPr="00B97E44">
        <w:rPr>
          <w:rFonts w:hint="eastAsia"/>
          <w:sz w:val="24"/>
          <w:rtl/>
        </w:rPr>
        <w:t>לשיפור</w:t>
      </w:r>
      <w:r w:rsidRPr="00B97E44">
        <w:rPr>
          <w:sz w:val="24"/>
          <w:rtl/>
        </w:rPr>
        <w:t xml:space="preserve"> </w:t>
      </w:r>
      <w:r w:rsidRPr="00B97E44">
        <w:rPr>
          <w:rFonts w:hint="eastAsia"/>
          <w:sz w:val="24"/>
          <w:rtl/>
        </w:rPr>
        <w:t>המענים</w:t>
      </w:r>
      <w:r w:rsidRPr="00B97E44">
        <w:rPr>
          <w:sz w:val="24"/>
          <w:rtl/>
        </w:rPr>
        <w:t xml:space="preserve"> </w:t>
      </w:r>
      <w:r w:rsidRPr="00B97E44">
        <w:rPr>
          <w:rFonts w:hint="eastAsia"/>
          <w:sz w:val="24"/>
          <w:rtl/>
        </w:rPr>
        <w:t>לתושבים</w:t>
      </w:r>
      <w:r w:rsidRPr="00B97E44">
        <w:rPr>
          <w:sz w:val="24"/>
          <w:rtl/>
        </w:rPr>
        <w:t>.</w:t>
      </w:r>
    </w:p>
    <w:p w:rsidR="005B126E" w:rsidP="001916A9">
      <w:pPr>
        <w:spacing w:line="269" w:lineRule="auto"/>
        <w:contextualSpacing/>
        <w:rPr>
          <w:b/>
          <w:bCs/>
          <w:sz w:val="24"/>
          <w:rtl/>
        </w:rPr>
      </w:pPr>
    </w:p>
    <w:p w:rsidR="005B126E" w:rsidRPr="00B97E44" w:rsidP="001916A9">
      <w:pPr>
        <w:spacing w:line="269" w:lineRule="auto"/>
        <w:contextualSpacing/>
        <w:rPr>
          <w:b/>
          <w:bCs/>
          <w:sz w:val="24"/>
          <w:rtl/>
        </w:rPr>
      </w:pPr>
      <w:r w:rsidRPr="00B97E44">
        <w:rPr>
          <w:b/>
          <w:bCs/>
          <w:sz w:val="24"/>
          <w:rtl/>
        </w:rPr>
        <w:t>מומלץ למ</w:t>
      </w:r>
      <w:r w:rsidRPr="00B97E44">
        <w:rPr>
          <w:rFonts w:hint="cs"/>
          <w:b/>
          <w:bCs/>
          <w:sz w:val="24"/>
          <w:rtl/>
        </w:rPr>
        <w:t xml:space="preserve">שרד ראש הממשלה </w:t>
      </w:r>
      <w:r w:rsidRPr="00B97E44">
        <w:rPr>
          <w:b/>
          <w:bCs/>
          <w:sz w:val="24"/>
          <w:rtl/>
        </w:rPr>
        <w:t xml:space="preserve">לבחון באופן עיתי את השפעת התוכניות לקידום ופיתוח היישובים </w:t>
      </w:r>
      <w:r w:rsidRPr="00B97E44">
        <w:rPr>
          <w:rFonts w:hint="cs"/>
          <w:b/>
          <w:bCs/>
          <w:sz w:val="24"/>
          <w:rtl/>
        </w:rPr>
        <w:t>הסמוכים ל</w:t>
      </w:r>
      <w:r w:rsidRPr="00B97E44">
        <w:rPr>
          <w:rFonts w:hint="eastAsia"/>
          <w:b/>
          <w:bCs/>
          <w:sz w:val="24"/>
          <w:rtl/>
        </w:rPr>
        <w:t>חבל</w:t>
      </w:r>
      <w:r w:rsidRPr="00B97E44">
        <w:rPr>
          <w:b/>
          <w:bCs/>
          <w:sz w:val="24"/>
          <w:rtl/>
        </w:rPr>
        <w:t xml:space="preserve"> </w:t>
      </w:r>
      <w:r w:rsidRPr="00B97E44">
        <w:rPr>
          <w:rFonts w:hint="cs"/>
          <w:b/>
          <w:bCs/>
          <w:sz w:val="24"/>
          <w:rtl/>
        </w:rPr>
        <w:t>ה</w:t>
      </w:r>
      <w:r w:rsidRPr="00B97E44">
        <w:rPr>
          <w:b/>
          <w:bCs/>
          <w:sz w:val="24"/>
          <w:rtl/>
        </w:rPr>
        <w:t>תקומה על המוביליות החברתית בקרבן.</w:t>
      </w:r>
    </w:p>
    <w:p w:rsidR="005B126E" w:rsidRPr="00B97E44" w:rsidP="001916A9">
      <w:pPr>
        <w:spacing w:line="269" w:lineRule="auto"/>
        <w:contextualSpacing/>
        <w:rPr>
          <w:b/>
          <w:bCs/>
          <w:sz w:val="24"/>
          <w:rtl/>
        </w:rPr>
      </w:pPr>
    </w:p>
    <w:p w:rsidR="005B126E" w:rsidRPr="00B97E44" w:rsidP="0018262A">
      <w:pPr>
        <w:pStyle w:val="Heading3"/>
        <w:rPr>
          <w:rtl/>
        </w:rPr>
      </w:pPr>
      <w:bookmarkStart w:id="64" w:name="_Hlk208478501"/>
      <w:r w:rsidRPr="00B97E44">
        <w:rPr>
          <w:rFonts w:hint="cs"/>
          <w:rtl/>
        </w:rPr>
        <w:t>ההשפעה האפשרית של תוכנית החומש על החינוך ברשויות הסמוכות לחבל התקומה</w:t>
      </w:r>
    </w:p>
    <w:bookmarkEnd w:id="64"/>
    <w:p w:rsidR="005B126E" w:rsidP="001916A9">
      <w:pPr>
        <w:spacing w:line="269" w:lineRule="auto"/>
        <w:rPr>
          <w:rtl/>
        </w:rPr>
      </w:pPr>
    </w:p>
    <w:p w:rsidR="005B126E" w:rsidRPr="00B97E44" w:rsidP="001916A9">
      <w:pPr>
        <w:spacing w:line="269" w:lineRule="auto"/>
        <w:rPr>
          <w:rtl/>
        </w:rPr>
      </w:pPr>
      <w:r w:rsidRPr="00B97E44">
        <w:rPr>
          <w:rFonts w:hint="cs"/>
          <w:rtl/>
        </w:rPr>
        <w:t xml:space="preserve">כפי שהוצג לעיל, לתוכנית החומש לחינוך של מינהלת תקומה הוקצה התקציב הגבוה ביותר בתוכנית החומש והוא עומד על כ-2 מיליארדי ש"ח. לתוכנית יכולה להיות השפעה עצומה על ילדי חבל התקומה. התוכנית לשיקום ולפיתוח היישובים הסמוכים לחבל התקומה, ובהם </w:t>
      </w:r>
      <w:r w:rsidRPr="00B97E44">
        <w:rPr>
          <w:rFonts w:hint="eastAsia"/>
          <w:b/>
          <w:bCs/>
          <w:rtl/>
        </w:rPr>
        <w:t>אופקים</w:t>
      </w:r>
      <w:r w:rsidRPr="00B97E44">
        <w:rPr>
          <w:b/>
          <w:bCs/>
          <w:rtl/>
        </w:rPr>
        <w:t xml:space="preserve"> </w:t>
      </w:r>
      <w:r w:rsidRPr="00B97E44">
        <w:rPr>
          <w:rFonts w:hint="eastAsia"/>
          <w:rtl/>
        </w:rPr>
        <w:t>ו</w:t>
      </w:r>
      <w:r w:rsidRPr="00B97E44">
        <w:rPr>
          <w:rFonts w:hint="eastAsia"/>
          <w:b/>
          <w:bCs/>
          <w:rtl/>
        </w:rPr>
        <w:t>נתיבות</w:t>
      </w:r>
      <w:r w:rsidRPr="00B97E44">
        <w:rPr>
          <w:rFonts w:hint="cs"/>
          <w:b/>
          <w:bCs/>
          <w:rtl/>
        </w:rPr>
        <w:t>,</w:t>
      </w:r>
      <w:r w:rsidRPr="00B97E44">
        <w:rPr>
          <w:rFonts w:hint="cs"/>
          <w:rtl/>
        </w:rPr>
        <w:t xml:space="preserve"> כוללת גם תוכניות בתחום החינוך, אך המשאבים שהוקצו לה מצומצמים יותר ועומדים על 250 מיליוני ש"ח: 41 מיליוני ש"ח לפעילויות חוסן לתלמידים, 85 מיליוני ש"ח לעידוד מצוינות חינוכית, 34 מיליוני ש"ח לחידוש, התאמה והצטיידות למבני חינוך ו-90 מיליוני ש"ח עבור הרחבת</w:t>
      </w:r>
      <w:r w:rsidRPr="00B97E44">
        <w:rPr>
          <w:rtl/>
        </w:rPr>
        <w:t xml:space="preserve"> </w:t>
      </w:r>
      <w:r w:rsidRPr="00B97E44">
        <w:rPr>
          <w:rFonts w:hint="cs"/>
          <w:rtl/>
        </w:rPr>
        <w:t>פעילויות</w:t>
      </w:r>
      <w:r w:rsidRPr="00B97E44">
        <w:rPr>
          <w:rtl/>
        </w:rPr>
        <w:t xml:space="preserve"> </w:t>
      </w:r>
      <w:r w:rsidRPr="00B97E44">
        <w:rPr>
          <w:rFonts w:hint="cs"/>
          <w:rtl/>
        </w:rPr>
        <w:t>החינוך</w:t>
      </w:r>
      <w:r w:rsidRPr="00B97E44">
        <w:rPr>
          <w:rtl/>
        </w:rPr>
        <w:t xml:space="preserve"> </w:t>
      </w:r>
      <w:r w:rsidRPr="00B97E44">
        <w:rPr>
          <w:rFonts w:hint="cs"/>
          <w:rtl/>
        </w:rPr>
        <w:t>הבלתי</w:t>
      </w:r>
      <w:r w:rsidRPr="00B97E44">
        <w:rPr>
          <w:rtl/>
        </w:rPr>
        <w:t xml:space="preserve"> </w:t>
      </w:r>
      <w:r w:rsidRPr="00B97E44">
        <w:rPr>
          <w:rFonts w:hint="cs"/>
          <w:rtl/>
        </w:rPr>
        <w:t>פורמלית</w:t>
      </w:r>
      <w:r w:rsidRPr="00B97E44">
        <w:rPr>
          <w:rtl/>
        </w:rPr>
        <w:t xml:space="preserve">, </w:t>
      </w:r>
      <w:r w:rsidRPr="00B97E44">
        <w:rPr>
          <w:rFonts w:hint="cs"/>
          <w:rtl/>
        </w:rPr>
        <w:t>התרבות</w:t>
      </w:r>
      <w:r w:rsidRPr="00B97E44">
        <w:rPr>
          <w:rtl/>
        </w:rPr>
        <w:t xml:space="preserve"> </w:t>
      </w:r>
      <w:r w:rsidRPr="00B97E44">
        <w:rPr>
          <w:rFonts w:hint="cs"/>
          <w:rtl/>
        </w:rPr>
        <w:t>והספורט.</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משרד מבקר המדינה בחן </w:t>
      </w:r>
      <w:r>
        <w:rPr>
          <w:rFonts w:hint="cs"/>
          <w:rtl/>
        </w:rPr>
        <w:t>שישה</w:t>
      </w:r>
      <w:r w:rsidRPr="00B97E44">
        <w:rPr>
          <w:rFonts w:hint="cs"/>
          <w:rtl/>
        </w:rPr>
        <w:t xml:space="preserve"> פרמטרים המעידים על תמונת המצב של מערכת החינוך ברשויות המקומיות הנבדקות. להלן בלוח </w:t>
      </w:r>
      <w:r>
        <w:rPr>
          <w:rFonts w:hint="cs"/>
          <w:rtl/>
        </w:rPr>
        <w:t>9</w:t>
      </w:r>
      <w:r w:rsidRPr="00B97E44">
        <w:rPr>
          <w:rFonts w:hint="cs"/>
          <w:rtl/>
        </w:rPr>
        <w:t xml:space="preserve"> מוצגות תוצאות הבחינה: </w:t>
      </w:r>
    </w:p>
    <w:p w:rsidR="005B126E" w:rsidP="001916A9">
      <w:pPr>
        <w:spacing w:line="269" w:lineRule="auto"/>
        <w:jc w:val="center"/>
        <w:rPr>
          <w:rtl/>
        </w:rPr>
      </w:pPr>
    </w:p>
    <w:p w:rsidR="00945AA0" w:rsidP="001916A9">
      <w:pPr>
        <w:bidi w:val="0"/>
        <w:spacing w:line="269" w:lineRule="auto"/>
        <w:rPr>
          <w:rtl/>
        </w:rPr>
      </w:pPr>
      <w:r>
        <w:rPr>
          <w:rtl/>
        </w:rPr>
        <w:br w:type="page"/>
      </w:r>
    </w:p>
    <w:p w:rsidR="005B126E" w:rsidRPr="00A12A6A" w:rsidP="001916A9">
      <w:pPr>
        <w:spacing w:line="269" w:lineRule="auto"/>
        <w:jc w:val="center"/>
        <w:rPr>
          <w:rtl/>
        </w:rPr>
      </w:pPr>
      <w:r w:rsidRPr="00B97E44">
        <w:rPr>
          <w:rFonts w:hint="cs"/>
          <w:rtl/>
        </w:rPr>
        <w:t xml:space="preserve">לוח </w:t>
      </w:r>
      <w:r>
        <w:rPr>
          <w:rFonts w:hint="cs"/>
          <w:rtl/>
        </w:rPr>
        <w:t>9</w:t>
      </w:r>
      <w:r w:rsidRPr="00B97E44">
        <w:rPr>
          <w:rFonts w:hint="cs"/>
          <w:rtl/>
        </w:rPr>
        <w:t xml:space="preserve">: </w:t>
      </w:r>
      <w:r w:rsidRPr="00B97E44">
        <w:rPr>
          <w:rFonts w:hint="cs"/>
          <w:b/>
          <w:bCs/>
          <w:rtl/>
        </w:rPr>
        <w:t>תמונת מצב החינוך ברשויות מקומיות בנגב המערבי, 2023</w:t>
      </w:r>
    </w:p>
    <w:tbl>
      <w:tblPr>
        <w:bidiVisual/>
        <w:tblW w:w="8329" w:type="dxa"/>
        <w:tblInd w:w="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0"/>
        <w:gridCol w:w="1011"/>
        <w:gridCol w:w="1028"/>
        <w:gridCol w:w="953"/>
        <w:gridCol w:w="1422"/>
        <w:gridCol w:w="1849"/>
        <w:gridCol w:w="1270"/>
      </w:tblGrid>
      <w:tr w:rsidTr="00FF2A74">
        <w:tblPrEx>
          <w:tblW w:w="8329" w:type="dxa"/>
          <w:tblInd w:w="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1390"/>
        </w:trPr>
        <w:tc>
          <w:tcPr>
            <w:tcW w:w="940" w:type="dxa"/>
            <w:noWrap/>
            <w:vAlign w:val="center"/>
            <w:hideMark/>
          </w:tcPr>
          <w:p w:rsidR="005B126E" w:rsidRPr="00340B52" w:rsidP="001916A9">
            <w:pPr>
              <w:spacing w:line="269" w:lineRule="auto"/>
              <w:jc w:val="center"/>
              <w:rPr>
                <w:rFonts w:ascii="David" w:hAnsi="David"/>
                <w:b/>
                <w:bCs/>
                <w:sz w:val="22"/>
                <w:szCs w:val="22"/>
              </w:rPr>
            </w:pPr>
            <w:r w:rsidRPr="00340B52">
              <w:rPr>
                <w:rFonts w:ascii="David" w:hAnsi="David"/>
                <w:b/>
                <w:bCs/>
                <w:sz w:val="22"/>
                <w:szCs w:val="22"/>
                <w:rtl/>
              </w:rPr>
              <w:t>הרשות המקומית</w:t>
            </w:r>
          </w:p>
        </w:tc>
        <w:tc>
          <w:tcPr>
            <w:tcW w:w="1011" w:type="dxa"/>
            <w:vAlign w:val="center"/>
            <w:hideMark/>
          </w:tcPr>
          <w:p w:rsidR="005B126E" w:rsidRPr="00340B52" w:rsidP="001916A9">
            <w:pPr>
              <w:spacing w:line="269" w:lineRule="auto"/>
              <w:jc w:val="center"/>
              <w:rPr>
                <w:rFonts w:ascii="David" w:hAnsi="David"/>
                <w:b/>
                <w:bCs/>
                <w:sz w:val="22"/>
                <w:szCs w:val="22"/>
              </w:rPr>
            </w:pPr>
            <w:r w:rsidRPr="00340B52">
              <w:rPr>
                <w:rFonts w:ascii="David" w:hAnsi="David"/>
                <w:b/>
                <w:bCs/>
                <w:sz w:val="22"/>
                <w:szCs w:val="22"/>
                <w:rtl/>
              </w:rPr>
              <w:t>ממוצע תלמידים לכיתה בבתי ספר יסודיים</w:t>
            </w:r>
          </w:p>
        </w:tc>
        <w:tc>
          <w:tcPr>
            <w:tcW w:w="1028" w:type="dxa"/>
            <w:vAlign w:val="center"/>
            <w:hideMark/>
          </w:tcPr>
          <w:p w:rsidR="005B126E" w:rsidRPr="00340B52" w:rsidP="001916A9">
            <w:pPr>
              <w:spacing w:line="269" w:lineRule="auto"/>
              <w:jc w:val="center"/>
              <w:rPr>
                <w:rFonts w:ascii="David" w:hAnsi="David"/>
                <w:b/>
                <w:bCs/>
                <w:sz w:val="22"/>
                <w:szCs w:val="22"/>
                <w:rtl/>
              </w:rPr>
            </w:pPr>
            <w:r w:rsidRPr="00340B52">
              <w:rPr>
                <w:rFonts w:ascii="David" w:hAnsi="David"/>
                <w:b/>
                <w:bCs/>
                <w:sz w:val="22"/>
                <w:szCs w:val="22"/>
                <w:rtl/>
              </w:rPr>
              <w:t>עלות ממוצעת לתלמיד בש"ח</w:t>
            </w:r>
          </w:p>
        </w:tc>
        <w:tc>
          <w:tcPr>
            <w:tcW w:w="809" w:type="dxa"/>
            <w:vAlign w:val="center"/>
          </w:tcPr>
          <w:p w:rsidR="005B126E" w:rsidRPr="00340B52" w:rsidP="001916A9">
            <w:pPr>
              <w:spacing w:line="269" w:lineRule="auto"/>
              <w:jc w:val="center"/>
              <w:rPr>
                <w:rFonts w:ascii="David" w:hAnsi="David"/>
                <w:b/>
                <w:bCs/>
                <w:sz w:val="22"/>
                <w:szCs w:val="22"/>
                <w:rtl/>
              </w:rPr>
            </w:pPr>
            <w:r w:rsidRPr="00340B52">
              <w:rPr>
                <w:rFonts w:ascii="David" w:hAnsi="David"/>
                <w:b/>
                <w:bCs/>
                <w:sz w:val="22"/>
                <w:szCs w:val="22"/>
                <w:rtl/>
              </w:rPr>
              <w:t>שיעור תלמידים נושרים</w:t>
            </w:r>
          </w:p>
        </w:tc>
        <w:tc>
          <w:tcPr>
            <w:tcW w:w="1422" w:type="dxa"/>
            <w:vAlign w:val="center"/>
            <w:hideMark/>
          </w:tcPr>
          <w:p w:rsidR="005B126E" w:rsidRPr="00340B52" w:rsidP="001916A9">
            <w:pPr>
              <w:spacing w:line="269" w:lineRule="auto"/>
              <w:jc w:val="center"/>
              <w:rPr>
                <w:rFonts w:ascii="David" w:hAnsi="David"/>
                <w:b/>
                <w:bCs/>
                <w:sz w:val="22"/>
                <w:szCs w:val="22"/>
                <w:rtl/>
              </w:rPr>
            </w:pPr>
            <w:r w:rsidRPr="00340B52">
              <w:rPr>
                <w:rFonts w:ascii="David" w:hAnsi="David"/>
                <w:b/>
                <w:bCs/>
                <w:sz w:val="22"/>
                <w:szCs w:val="22"/>
                <w:rtl/>
              </w:rPr>
              <w:t>שיעור זכאים לתעודת בגרות מבין תלמידי כיתות י"ב</w:t>
            </w:r>
          </w:p>
        </w:tc>
        <w:tc>
          <w:tcPr>
            <w:tcW w:w="1849" w:type="dxa"/>
            <w:vAlign w:val="center"/>
            <w:hideMark/>
          </w:tcPr>
          <w:p w:rsidR="005B126E" w:rsidRPr="00340B52" w:rsidP="001916A9">
            <w:pPr>
              <w:spacing w:line="269" w:lineRule="auto"/>
              <w:jc w:val="center"/>
              <w:rPr>
                <w:rFonts w:ascii="David" w:hAnsi="David"/>
                <w:b/>
                <w:bCs/>
                <w:sz w:val="22"/>
                <w:szCs w:val="22"/>
                <w:rtl/>
              </w:rPr>
            </w:pPr>
            <w:r w:rsidRPr="00340B52">
              <w:rPr>
                <w:rFonts w:ascii="David" w:hAnsi="David"/>
                <w:b/>
                <w:bCs/>
                <w:sz w:val="22"/>
                <w:szCs w:val="22"/>
                <w:rtl/>
              </w:rPr>
              <w:t>שיעור זכאים לתעודת בגרות שעמדו בדרישות הסף של האוניברסיטאות מבין תלמידי כיתות י"ב</w:t>
            </w:r>
          </w:p>
        </w:tc>
        <w:tc>
          <w:tcPr>
            <w:tcW w:w="1270" w:type="dxa"/>
            <w:vAlign w:val="center"/>
            <w:hideMark/>
          </w:tcPr>
          <w:p w:rsidR="005B126E" w:rsidRPr="00340B52" w:rsidP="001916A9">
            <w:pPr>
              <w:spacing w:line="269" w:lineRule="auto"/>
              <w:jc w:val="center"/>
              <w:rPr>
                <w:rFonts w:ascii="David" w:hAnsi="David"/>
                <w:b/>
                <w:bCs/>
                <w:sz w:val="22"/>
                <w:szCs w:val="22"/>
                <w:rtl/>
              </w:rPr>
            </w:pPr>
            <w:r w:rsidRPr="00340B52">
              <w:rPr>
                <w:rFonts w:ascii="David" w:hAnsi="David"/>
                <w:b/>
                <w:bCs/>
                <w:sz w:val="22"/>
                <w:szCs w:val="22"/>
                <w:rtl/>
              </w:rPr>
              <w:t>שיעור עובדי הוראה בעלי דרגת שכר תואר שני ומעלה</w:t>
            </w:r>
          </w:p>
        </w:tc>
      </w:tr>
      <w:tr w:rsidTr="00FF2A74">
        <w:tblPrEx>
          <w:tblW w:w="8329" w:type="dxa"/>
          <w:tblInd w:w="868" w:type="dxa"/>
          <w:tblLook w:val="04A0"/>
        </w:tblPrEx>
        <w:trPr>
          <w:trHeight w:val="285"/>
        </w:trPr>
        <w:tc>
          <w:tcPr>
            <w:tcW w:w="940" w:type="dxa"/>
            <w:noWrap/>
            <w:vAlign w:val="center"/>
            <w:hideMark/>
          </w:tcPr>
          <w:p w:rsidR="005B126E" w:rsidRPr="00340B52" w:rsidP="001916A9">
            <w:pPr>
              <w:spacing w:line="269" w:lineRule="auto"/>
              <w:jc w:val="center"/>
              <w:rPr>
                <w:rFonts w:ascii="David" w:hAnsi="David"/>
                <w:b/>
                <w:bCs/>
                <w:sz w:val="22"/>
                <w:szCs w:val="22"/>
                <w:rtl/>
              </w:rPr>
            </w:pPr>
            <w:r w:rsidRPr="00340B52">
              <w:rPr>
                <w:rFonts w:ascii="David" w:hAnsi="David"/>
                <w:b/>
                <w:bCs/>
                <w:sz w:val="22"/>
                <w:szCs w:val="22"/>
                <w:rtl/>
              </w:rPr>
              <w:t>אופקים</w:t>
            </w:r>
          </w:p>
        </w:tc>
        <w:tc>
          <w:tcPr>
            <w:tcW w:w="1011" w:type="dxa"/>
            <w:noWrap/>
            <w:vAlign w:val="center"/>
          </w:tcPr>
          <w:p w:rsidR="005B126E" w:rsidRPr="00340B52" w:rsidP="001916A9">
            <w:pPr>
              <w:spacing w:line="269" w:lineRule="auto"/>
              <w:jc w:val="center"/>
              <w:rPr>
                <w:rFonts w:ascii="David" w:hAnsi="David"/>
                <w:sz w:val="22"/>
                <w:szCs w:val="22"/>
              </w:rPr>
            </w:pPr>
            <w:r w:rsidRPr="00340B52">
              <w:rPr>
                <w:rFonts w:ascii="David" w:hAnsi="David"/>
                <w:sz w:val="22"/>
                <w:szCs w:val="22"/>
              </w:rPr>
              <w:t>26.0</w:t>
            </w:r>
          </w:p>
        </w:tc>
        <w:tc>
          <w:tcPr>
            <w:tcW w:w="1028" w:type="dxa"/>
            <w:shd w:val="clear" w:color="000000" w:fill="F8696B"/>
            <w:noWrap/>
            <w:vAlign w:val="center"/>
          </w:tcPr>
          <w:p w:rsidR="005B126E" w:rsidRPr="00340B52" w:rsidP="001916A9">
            <w:pPr>
              <w:spacing w:line="269" w:lineRule="auto"/>
              <w:jc w:val="center"/>
              <w:rPr>
                <w:rFonts w:ascii="David" w:hAnsi="David"/>
                <w:sz w:val="22"/>
                <w:szCs w:val="22"/>
              </w:rPr>
            </w:pPr>
            <w:r w:rsidRPr="00340B52">
              <w:rPr>
                <w:rFonts w:ascii="David" w:hAnsi="David"/>
                <w:color w:val="000000"/>
                <w:sz w:val="22"/>
                <w:szCs w:val="22"/>
              </w:rPr>
              <w:t>24,511</w:t>
            </w:r>
          </w:p>
        </w:tc>
        <w:tc>
          <w:tcPr>
            <w:tcW w:w="809" w:type="dxa"/>
            <w:shd w:val="clear" w:color="000000" w:fill="FDBD7C"/>
            <w:vAlign w:val="center"/>
          </w:tcPr>
          <w:p w:rsidR="005B126E" w:rsidRPr="00340B52" w:rsidP="001916A9">
            <w:pPr>
              <w:spacing w:line="269" w:lineRule="auto"/>
              <w:jc w:val="center"/>
              <w:rPr>
                <w:rFonts w:ascii="David" w:hAnsi="David"/>
                <w:sz w:val="22"/>
                <w:szCs w:val="22"/>
              </w:rPr>
            </w:pPr>
            <w:r w:rsidRPr="00340B52">
              <w:rPr>
                <w:rFonts w:ascii="David" w:hAnsi="David"/>
                <w:sz w:val="22"/>
                <w:szCs w:val="22"/>
              </w:rPr>
              <w:t>1.41</w:t>
            </w:r>
          </w:p>
        </w:tc>
        <w:tc>
          <w:tcPr>
            <w:tcW w:w="1422" w:type="dxa"/>
            <w:shd w:val="clear" w:color="000000" w:fill="F8696B"/>
            <w:noWrap/>
            <w:vAlign w:val="center"/>
          </w:tcPr>
          <w:p w:rsidR="005B126E" w:rsidRPr="00340B52" w:rsidP="001916A9">
            <w:pPr>
              <w:spacing w:line="269" w:lineRule="auto"/>
              <w:jc w:val="center"/>
              <w:rPr>
                <w:rFonts w:ascii="David" w:hAnsi="David"/>
                <w:sz w:val="22"/>
                <w:szCs w:val="22"/>
              </w:rPr>
            </w:pPr>
            <w:r w:rsidRPr="00340B52">
              <w:rPr>
                <w:rFonts w:ascii="David" w:hAnsi="David"/>
                <w:sz w:val="22"/>
                <w:szCs w:val="22"/>
              </w:rPr>
              <w:t>50.0</w:t>
            </w:r>
          </w:p>
        </w:tc>
        <w:tc>
          <w:tcPr>
            <w:tcW w:w="1849" w:type="dxa"/>
            <w:shd w:val="clear" w:color="000000" w:fill="F8696B"/>
            <w:noWrap/>
            <w:vAlign w:val="center"/>
          </w:tcPr>
          <w:p w:rsidR="005B126E" w:rsidRPr="00340B52" w:rsidP="001916A9">
            <w:pPr>
              <w:spacing w:line="269" w:lineRule="auto"/>
              <w:jc w:val="center"/>
              <w:rPr>
                <w:rFonts w:ascii="David" w:hAnsi="David"/>
                <w:sz w:val="22"/>
                <w:szCs w:val="22"/>
              </w:rPr>
            </w:pPr>
            <w:r w:rsidRPr="00340B52">
              <w:rPr>
                <w:rFonts w:ascii="David" w:hAnsi="David"/>
                <w:sz w:val="22"/>
                <w:szCs w:val="22"/>
              </w:rPr>
              <w:t>36.9</w:t>
            </w:r>
          </w:p>
        </w:tc>
        <w:tc>
          <w:tcPr>
            <w:tcW w:w="1270" w:type="dxa"/>
            <w:shd w:val="clear" w:color="000000" w:fill="F8696B"/>
            <w:noWrap/>
            <w:vAlign w:val="center"/>
          </w:tcPr>
          <w:p w:rsidR="005B126E" w:rsidRPr="00340B52" w:rsidP="001916A9">
            <w:pPr>
              <w:spacing w:line="269" w:lineRule="auto"/>
              <w:jc w:val="center"/>
              <w:rPr>
                <w:rFonts w:ascii="David" w:hAnsi="David"/>
                <w:sz w:val="22"/>
                <w:szCs w:val="22"/>
              </w:rPr>
            </w:pPr>
            <w:r w:rsidRPr="00340B52">
              <w:rPr>
                <w:rFonts w:ascii="David" w:hAnsi="David"/>
                <w:sz w:val="22"/>
                <w:szCs w:val="22"/>
              </w:rPr>
              <w:t>31.9</w:t>
            </w:r>
          </w:p>
        </w:tc>
      </w:tr>
      <w:tr w:rsidTr="00FF2A74">
        <w:tblPrEx>
          <w:tblW w:w="8329" w:type="dxa"/>
          <w:tblInd w:w="868" w:type="dxa"/>
          <w:tblLook w:val="04A0"/>
        </w:tblPrEx>
        <w:trPr>
          <w:trHeight w:val="285"/>
        </w:trPr>
        <w:tc>
          <w:tcPr>
            <w:tcW w:w="940" w:type="dxa"/>
            <w:noWrap/>
            <w:vAlign w:val="center"/>
            <w:hideMark/>
          </w:tcPr>
          <w:p w:rsidR="005B126E" w:rsidRPr="00340B52" w:rsidP="001916A9">
            <w:pPr>
              <w:spacing w:line="269" w:lineRule="auto"/>
              <w:jc w:val="center"/>
              <w:rPr>
                <w:rFonts w:ascii="David" w:hAnsi="David"/>
                <w:b/>
                <w:bCs/>
                <w:sz w:val="22"/>
                <w:szCs w:val="22"/>
              </w:rPr>
            </w:pPr>
            <w:r w:rsidRPr="00340B52">
              <w:rPr>
                <w:rFonts w:ascii="David" w:hAnsi="David"/>
                <w:b/>
                <w:bCs/>
                <w:sz w:val="22"/>
                <w:szCs w:val="22"/>
                <w:rtl/>
              </w:rPr>
              <w:t>נתיבות</w:t>
            </w:r>
          </w:p>
        </w:tc>
        <w:tc>
          <w:tcPr>
            <w:tcW w:w="1011" w:type="dxa"/>
            <w:noWrap/>
            <w:vAlign w:val="center"/>
          </w:tcPr>
          <w:p w:rsidR="005B126E" w:rsidRPr="00340B52" w:rsidP="001916A9">
            <w:pPr>
              <w:spacing w:line="269" w:lineRule="auto"/>
              <w:jc w:val="center"/>
              <w:rPr>
                <w:rFonts w:ascii="David" w:hAnsi="David"/>
                <w:sz w:val="22"/>
                <w:szCs w:val="22"/>
                <w:rtl/>
              </w:rPr>
            </w:pPr>
            <w:r w:rsidRPr="00340B52">
              <w:rPr>
                <w:rFonts w:ascii="David" w:hAnsi="David"/>
                <w:sz w:val="22"/>
                <w:szCs w:val="22"/>
              </w:rPr>
              <w:t>25.7</w:t>
            </w:r>
          </w:p>
        </w:tc>
        <w:tc>
          <w:tcPr>
            <w:tcW w:w="1028" w:type="dxa"/>
            <w:shd w:val="clear" w:color="000000" w:fill="F86E6C"/>
            <w:noWrap/>
            <w:vAlign w:val="center"/>
          </w:tcPr>
          <w:p w:rsidR="005B126E" w:rsidRPr="00340B52" w:rsidP="001916A9">
            <w:pPr>
              <w:spacing w:line="269" w:lineRule="auto"/>
              <w:jc w:val="center"/>
              <w:rPr>
                <w:rFonts w:ascii="David" w:hAnsi="David"/>
                <w:sz w:val="22"/>
                <w:szCs w:val="22"/>
              </w:rPr>
            </w:pPr>
            <w:r w:rsidRPr="00340B52">
              <w:rPr>
                <w:rFonts w:ascii="David" w:hAnsi="David"/>
                <w:color w:val="000000"/>
                <w:sz w:val="22"/>
                <w:szCs w:val="22"/>
              </w:rPr>
              <w:t>24,632</w:t>
            </w:r>
          </w:p>
        </w:tc>
        <w:tc>
          <w:tcPr>
            <w:tcW w:w="809" w:type="dxa"/>
            <w:shd w:val="clear" w:color="000000" w:fill="F8696B"/>
            <w:vAlign w:val="center"/>
          </w:tcPr>
          <w:p w:rsidR="005B126E" w:rsidRPr="00340B52" w:rsidP="001916A9">
            <w:pPr>
              <w:spacing w:line="269" w:lineRule="auto"/>
              <w:jc w:val="center"/>
              <w:rPr>
                <w:rFonts w:ascii="David" w:hAnsi="David"/>
                <w:sz w:val="22"/>
                <w:szCs w:val="22"/>
                <w:rtl/>
              </w:rPr>
            </w:pPr>
            <w:r w:rsidRPr="00340B52">
              <w:rPr>
                <w:rFonts w:ascii="David" w:hAnsi="David"/>
                <w:sz w:val="22"/>
                <w:szCs w:val="22"/>
              </w:rPr>
              <w:t>1.76</w:t>
            </w:r>
          </w:p>
        </w:tc>
        <w:tc>
          <w:tcPr>
            <w:tcW w:w="1422" w:type="dxa"/>
            <w:shd w:val="clear" w:color="000000" w:fill="FA8E72"/>
            <w:noWrap/>
            <w:vAlign w:val="center"/>
          </w:tcPr>
          <w:p w:rsidR="005B126E" w:rsidRPr="00340B52" w:rsidP="001916A9">
            <w:pPr>
              <w:spacing w:line="269" w:lineRule="auto"/>
              <w:jc w:val="center"/>
              <w:rPr>
                <w:rFonts w:ascii="David" w:hAnsi="David"/>
                <w:sz w:val="22"/>
                <w:szCs w:val="22"/>
              </w:rPr>
            </w:pPr>
            <w:r w:rsidRPr="00340B52">
              <w:rPr>
                <w:rFonts w:ascii="David" w:hAnsi="David"/>
                <w:sz w:val="22"/>
                <w:szCs w:val="22"/>
              </w:rPr>
              <w:t>59.8</w:t>
            </w:r>
          </w:p>
        </w:tc>
        <w:tc>
          <w:tcPr>
            <w:tcW w:w="1849" w:type="dxa"/>
            <w:shd w:val="clear" w:color="000000" w:fill="F86A6B"/>
            <w:noWrap/>
            <w:vAlign w:val="center"/>
          </w:tcPr>
          <w:p w:rsidR="005B126E" w:rsidRPr="00340B52" w:rsidP="001916A9">
            <w:pPr>
              <w:spacing w:line="269" w:lineRule="auto"/>
              <w:jc w:val="center"/>
              <w:rPr>
                <w:rFonts w:ascii="David" w:hAnsi="David"/>
                <w:sz w:val="22"/>
                <w:szCs w:val="22"/>
              </w:rPr>
            </w:pPr>
            <w:r w:rsidRPr="00340B52">
              <w:rPr>
                <w:rFonts w:ascii="David" w:hAnsi="David"/>
                <w:sz w:val="22"/>
                <w:szCs w:val="22"/>
              </w:rPr>
              <w:t>37.4</w:t>
            </w:r>
          </w:p>
        </w:tc>
        <w:tc>
          <w:tcPr>
            <w:tcW w:w="1270" w:type="dxa"/>
            <w:shd w:val="clear" w:color="000000" w:fill="F97C6E"/>
            <w:noWrap/>
            <w:vAlign w:val="center"/>
          </w:tcPr>
          <w:p w:rsidR="005B126E" w:rsidRPr="00340B52" w:rsidP="001916A9">
            <w:pPr>
              <w:spacing w:line="269" w:lineRule="auto"/>
              <w:jc w:val="center"/>
              <w:rPr>
                <w:rFonts w:ascii="David" w:hAnsi="David"/>
                <w:sz w:val="22"/>
                <w:szCs w:val="22"/>
              </w:rPr>
            </w:pPr>
            <w:r w:rsidRPr="00340B52">
              <w:rPr>
                <w:rFonts w:ascii="David" w:hAnsi="David"/>
                <w:sz w:val="22"/>
                <w:szCs w:val="22"/>
              </w:rPr>
              <w:t>33.8</w:t>
            </w:r>
          </w:p>
        </w:tc>
      </w:tr>
      <w:tr w:rsidTr="00FF2A74">
        <w:tblPrEx>
          <w:tblW w:w="8329" w:type="dxa"/>
          <w:tblInd w:w="868" w:type="dxa"/>
          <w:tblLook w:val="04A0"/>
        </w:tblPrEx>
        <w:trPr>
          <w:trHeight w:val="285"/>
        </w:trPr>
        <w:tc>
          <w:tcPr>
            <w:tcW w:w="940" w:type="dxa"/>
            <w:noWrap/>
            <w:vAlign w:val="center"/>
            <w:hideMark/>
          </w:tcPr>
          <w:p w:rsidR="005B126E" w:rsidRPr="00340B52" w:rsidP="001916A9">
            <w:pPr>
              <w:spacing w:line="269" w:lineRule="auto"/>
              <w:jc w:val="center"/>
              <w:rPr>
                <w:rFonts w:ascii="David" w:hAnsi="David"/>
                <w:b/>
                <w:bCs/>
                <w:sz w:val="22"/>
                <w:szCs w:val="22"/>
              </w:rPr>
            </w:pPr>
            <w:r w:rsidRPr="00340B52">
              <w:rPr>
                <w:rFonts w:ascii="David" w:hAnsi="David"/>
                <w:b/>
                <w:bCs/>
                <w:sz w:val="22"/>
                <w:szCs w:val="22"/>
                <w:rtl/>
              </w:rPr>
              <w:t>מרחבים</w:t>
            </w:r>
          </w:p>
        </w:tc>
        <w:tc>
          <w:tcPr>
            <w:tcW w:w="1011" w:type="dxa"/>
            <w:noWrap/>
            <w:vAlign w:val="center"/>
          </w:tcPr>
          <w:p w:rsidR="005B126E" w:rsidRPr="00340B52" w:rsidP="001916A9">
            <w:pPr>
              <w:spacing w:line="269" w:lineRule="auto"/>
              <w:jc w:val="center"/>
              <w:rPr>
                <w:rFonts w:ascii="David" w:hAnsi="David"/>
                <w:sz w:val="22"/>
                <w:szCs w:val="22"/>
                <w:rtl/>
              </w:rPr>
            </w:pPr>
            <w:r w:rsidRPr="00340B52">
              <w:rPr>
                <w:rFonts w:ascii="David" w:hAnsi="David"/>
                <w:sz w:val="22"/>
                <w:szCs w:val="22"/>
              </w:rPr>
              <w:t>23.5</w:t>
            </w:r>
          </w:p>
        </w:tc>
        <w:tc>
          <w:tcPr>
            <w:tcW w:w="1028" w:type="dxa"/>
            <w:shd w:val="clear" w:color="000000" w:fill="FA9A74"/>
            <w:noWrap/>
            <w:vAlign w:val="center"/>
          </w:tcPr>
          <w:p w:rsidR="005B126E" w:rsidRPr="00340B52" w:rsidP="001916A9">
            <w:pPr>
              <w:spacing w:line="269" w:lineRule="auto"/>
              <w:jc w:val="center"/>
              <w:rPr>
                <w:rFonts w:ascii="David" w:hAnsi="David"/>
                <w:sz w:val="22"/>
                <w:szCs w:val="22"/>
              </w:rPr>
            </w:pPr>
            <w:r w:rsidRPr="00340B52">
              <w:rPr>
                <w:rFonts w:ascii="David" w:hAnsi="David"/>
                <w:color w:val="000000"/>
                <w:sz w:val="22"/>
                <w:szCs w:val="22"/>
              </w:rPr>
              <w:t>25,538</w:t>
            </w:r>
          </w:p>
        </w:tc>
        <w:tc>
          <w:tcPr>
            <w:tcW w:w="809" w:type="dxa"/>
            <w:shd w:val="clear" w:color="000000" w:fill="7BC57C"/>
            <w:vAlign w:val="center"/>
          </w:tcPr>
          <w:p w:rsidR="005B126E" w:rsidRPr="00340B52" w:rsidP="001916A9">
            <w:pPr>
              <w:spacing w:line="269" w:lineRule="auto"/>
              <w:jc w:val="center"/>
              <w:rPr>
                <w:rFonts w:ascii="David" w:hAnsi="David"/>
                <w:sz w:val="22"/>
                <w:szCs w:val="22"/>
                <w:rtl/>
              </w:rPr>
            </w:pPr>
            <w:r w:rsidRPr="00340B52">
              <w:rPr>
                <w:rFonts w:ascii="David" w:hAnsi="David"/>
                <w:sz w:val="22"/>
                <w:szCs w:val="22"/>
              </w:rPr>
              <w:t>0.88</w:t>
            </w:r>
          </w:p>
        </w:tc>
        <w:tc>
          <w:tcPr>
            <w:tcW w:w="1422" w:type="dxa"/>
            <w:shd w:val="clear" w:color="000000" w:fill="FCBE7B"/>
            <w:noWrap/>
            <w:vAlign w:val="center"/>
          </w:tcPr>
          <w:p w:rsidR="005B126E" w:rsidRPr="00340B52" w:rsidP="001916A9">
            <w:pPr>
              <w:spacing w:line="269" w:lineRule="auto"/>
              <w:jc w:val="center"/>
              <w:rPr>
                <w:rFonts w:ascii="David" w:hAnsi="David"/>
                <w:sz w:val="22"/>
                <w:szCs w:val="22"/>
              </w:rPr>
            </w:pPr>
            <w:r w:rsidRPr="00340B52">
              <w:rPr>
                <w:rFonts w:ascii="David" w:hAnsi="David"/>
                <w:sz w:val="22"/>
                <w:szCs w:val="22"/>
              </w:rPr>
              <w:t>72.0</w:t>
            </w:r>
          </w:p>
        </w:tc>
        <w:tc>
          <w:tcPr>
            <w:tcW w:w="1849" w:type="dxa"/>
            <w:shd w:val="clear" w:color="000000" w:fill="FCB87A"/>
            <w:noWrap/>
            <w:vAlign w:val="center"/>
          </w:tcPr>
          <w:p w:rsidR="005B126E" w:rsidRPr="00340B52" w:rsidP="001916A9">
            <w:pPr>
              <w:spacing w:line="269" w:lineRule="auto"/>
              <w:jc w:val="center"/>
              <w:rPr>
                <w:rFonts w:ascii="David" w:hAnsi="David"/>
                <w:sz w:val="22"/>
                <w:szCs w:val="22"/>
              </w:rPr>
            </w:pPr>
            <w:r w:rsidRPr="00340B52">
              <w:rPr>
                <w:rFonts w:ascii="David" w:hAnsi="David"/>
                <w:sz w:val="22"/>
                <w:szCs w:val="22"/>
              </w:rPr>
              <w:t>59.2</w:t>
            </w:r>
          </w:p>
        </w:tc>
        <w:tc>
          <w:tcPr>
            <w:tcW w:w="1270" w:type="dxa"/>
            <w:shd w:val="clear" w:color="000000" w:fill="C3DA81"/>
            <w:noWrap/>
            <w:vAlign w:val="center"/>
          </w:tcPr>
          <w:p w:rsidR="005B126E" w:rsidRPr="00340B52" w:rsidP="001916A9">
            <w:pPr>
              <w:spacing w:line="269" w:lineRule="auto"/>
              <w:jc w:val="center"/>
              <w:rPr>
                <w:rFonts w:ascii="David" w:hAnsi="David"/>
                <w:sz w:val="22"/>
                <w:szCs w:val="22"/>
              </w:rPr>
            </w:pPr>
            <w:r w:rsidRPr="00340B52">
              <w:rPr>
                <w:rFonts w:ascii="David" w:hAnsi="David"/>
                <w:sz w:val="22"/>
                <w:szCs w:val="22"/>
              </w:rPr>
              <w:t>47.5</w:t>
            </w:r>
          </w:p>
        </w:tc>
      </w:tr>
      <w:tr w:rsidTr="00FF2A74">
        <w:tblPrEx>
          <w:tblW w:w="8329" w:type="dxa"/>
          <w:tblInd w:w="868" w:type="dxa"/>
          <w:tblLook w:val="04A0"/>
        </w:tblPrEx>
        <w:trPr>
          <w:trHeight w:val="285"/>
        </w:trPr>
        <w:tc>
          <w:tcPr>
            <w:tcW w:w="940" w:type="dxa"/>
            <w:noWrap/>
            <w:vAlign w:val="center"/>
            <w:hideMark/>
          </w:tcPr>
          <w:p w:rsidR="005B126E" w:rsidRPr="00340B52" w:rsidP="001916A9">
            <w:pPr>
              <w:spacing w:line="269" w:lineRule="auto"/>
              <w:jc w:val="center"/>
              <w:rPr>
                <w:rFonts w:ascii="David" w:hAnsi="David"/>
                <w:b/>
                <w:bCs/>
                <w:sz w:val="22"/>
                <w:szCs w:val="22"/>
              </w:rPr>
            </w:pPr>
            <w:r w:rsidRPr="00340B52">
              <w:rPr>
                <w:rFonts w:ascii="David" w:hAnsi="David"/>
                <w:b/>
                <w:bCs/>
                <w:sz w:val="22"/>
                <w:szCs w:val="22"/>
                <w:rtl/>
              </w:rPr>
              <w:t>שדרות</w:t>
            </w:r>
          </w:p>
        </w:tc>
        <w:tc>
          <w:tcPr>
            <w:tcW w:w="1011" w:type="dxa"/>
            <w:noWrap/>
            <w:vAlign w:val="center"/>
          </w:tcPr>
          <w:p w:rsidR="005B126E" w:rsidRPr="00340B52" w:rsidP="001916A9">
            <w:pPr>
              <w:spacing w:line="269" w:lineRule="auto"/>
              <w:jc w:val="center"/>
              <w:rPr>
                <w:rFonts w:ascii="David" w:hAnsi="David"/>
                <w:sz w:val="22"/>
                <w:szCs w:val="22"/>
                <w:rtl/>
              </w:rPr>
            </w:pPr>
            <w:r w:rsidRPr="00340B52">
              <w:rPr>
                <w:rFonts w:ascii="David" w:hAnsi="David"/>
                <w:sz w:val="22"/>
                <w:szCs w:val="22"/>
              </w:rPr>
              <w:t>24.9</w:t>
            </w:r>
          </w:p>
        </w:tc>
        <w:tc>
          <w:tcPr>
            <w:tcW w:w="1028" w:type="dxa"/>
            <w:shd w:val="clear" w:color="000000" w:fill="7AC57D"/>
            <w:noWrap/>
            <w:vAlign w:val="center"/>
          </w:tcPr>
          <w:p w:rsidR="005B126E" w:rsidRPr="00340B52" w:rsidP="001916A9">
            <w:pPr>
              <w:spacing w:line="269" w:lineRule="auto"/>
              <w:jc w:val="center"/>
              <w:rPr>
                <w:rFonts w:ascii="David" w:hAnsi="David"/>
                <w:sz w:val="22"/>
                <w:szCs w:val="22"/>
              </w:rPr>
            </w:pPr>
            <w:r w:rsidRPr="00340B52">
              <w:rPr>
                <w:rFonts w:ascii="David" w:hAnsi="David"/>
                <w:color w:val="000000"/>
                <w:sz w:val="22"/>
                <w:szCs w:val="22"/>
              </w:rPr>
              <w:t>29,398</w:t>
            </w:r>
          </w:p>
        </w:tc>
        <w:tc>
          <w:tcPr>
            <w:tcW w:w="809" w:type="dxa"/>
            <w:shd w:val="clear" w:color="000000" w:fill="FFDD82"/>
            <w:vAlign w:val="center"/>
          </w:tcPr>
          <w:p w:rsidR="005B126E" w:rsidRPr="00340B52" w:rsidP="001916A9">
            <w:pPr>
              <w:spacing w:line="269" w:lineRule="auto"/>
              <w:jc w:val="center"/>
              <w:rPr>
                <w:rFonts w:ascii="David" w:hAnsi="David"/>
                <w:sz w:val="22"/>
                <w:szCs w:val="22"/>
                <w:rtl/>
              </w:rPr>
            </w:pPr>
            <w:r w:rsidRPr="00340B52">
              <w:rPr>
                <w:rFonts w:ascii="David" w:hAnsi="David"/>
                <w:sz w:val="22"/>
                <w:szCs w:val="22"/>
              </w:rPr>
              <w:t>1.28</w:t>
            </w:r>
          </w:p>
        </w:tc>
        <w:tc>
          <w:tcPr>
            <w:tcW w:w="1422" w:type="dxa"/>
            <w:shd w:val="clear" w:color="000000" w:fill="FEE282"/>
            <w:noWrap/>
            <w:vAlign w:val="center"/>
          </w:tcPr>
          <w:p w:rsidR="005B126E" w:rsidRPr="00340B52" w:rsidP="001916A9">
            <w:pPr>
              <w:spacing w:line="269" w:lineRule="auto"/>
              <w:jc w:val="center"/>
              <w:rPr>
                <w:rFonts w:ascii="David" w:hAnsi="David"/>
                <w:sz w:val="22"/>
                <w:szCs w:val="22"/>
              </w:rPr>
            </w:pPr>
            <w:r w:rsidRPr="00340B52">
              <w:rPr>
                <w:rFonts w:ascii="David" w:hAnsi="David"/>
                <w:sz w:val="22"/>
                <w:szCs w:val="22"/>
              </w:rPr>
              <w:t>81.4</w:t>
            </w:r>
          </w:p>
        </w:tc>
        <w:tc>
          <w:tcPr>
            <w:tcW w:w="1849" w:type="dxa"/>
            <w:shd w:val="clear" w:color="000000" w:fill="FEE081"/>
            <w:noWrap/>
            <w:vAlign w:val="center"/>
          </w:tcPr>
          <w:p w:rsidR="005B126E" w:rsidRPr="00340B52" w:rsidP="001916A9">
            <w:pPr>
              <w:spacing w:line="269" w:lineRule="auto"/>
              <w:jc w:val="center"/>
              <w:rPr>
                <w:rFonts w:ascii="David" w:hAnsi="David"/>
                <w:sz w:val="22"/>
                <w:szCs w:val="22"/>
              </w:rPr>
            </w:pPr>
            <w:r w:rsidRPr="00340B52">
              <w:rPr>
                <w:rFonts w:ascii="David" w:hAnsi="David"/>
                <w:sz w:val="22"/>
                <w:szCs w:val="22"/>
              </w:rPr>
              <w:t>70.1</w:t>
            </w:r>
          </w:p>
        </w:tc>
        <w:tc>
          <w:tcPr>
            <w:tcW w:w="1270" w:type="dxa"/>
            <w:shd w:val="clear" w:color="000000" w:fill="FCB97A"/>
            <w:noWrap/>
            <w:vAlign w:val="center"/>
          </w:tcPr>
          <w:p w:rsidR="005B126E" w:rsidRPr="00340B52" w:rsidP="001916A9">
            <w:pPr>
              <w:spacing w:line="269" w:lineRule="auto"/>
              <w:jc w:val="center"/>
              <w:rPr>
                <w:rFonts w:ascii="David" w:hAnsi="David"/>
                <w:sz w:val="22"/>
                <w:szCs w:val="22"/>
              </w:rPr>
            </w:pPr>
            <w:r w:rsidRPr="00340B52">
              <w:rPr>
                <w:rFonts w:ascii="David" w:hAnsi="David"/>
                <w:sz w:val="22"/>
                <w:szCs w:val="22"/>
              </w:rPr>
              <w:t>39.4</w:t>
            </w:r>
          </w:p>
        </w:tc>
      </w:tr>
      <w:tr w:rsidTr="00FF2A74">
        <w:tblPrEx>
          <w:tblW w:w="8329" w:type="dxa"/>
          <w:tblInd w:w="868" w:type="dxa"/>
          <w:tblLook w:val="04A0"/>
        </w:tblPrEx>
        <w:trPr>
          <w:trHeight w:val="285"/>
        </w:trPr>
        <w:tc>
          <w:tcPr>
            <w:tcW w:w="940" w:type="dxa"/>
            <w:noWrap/>
            <w:vAlign w:val="center"/>
            <w:hideMark/>
          </w:tcPr>
          <w:p w:rsidR="005B126E" w:rsidRPr="00340B52" w:rsidP="001916A9">
            <w:pPr>
              <w:spacing w:line="269" w:lineRule="auto"/>
              <w:jc w:val="center"/>
              <w:rPr>
                <w:rFonts w:ascii="David" w:hAnsi="David"/>
                <w:b/>
                <w:bCs/>
                <w:sz w:val="22"/>
                <w:szCs w:val="22"/>
              </w:rPr>
            </w:pPr>
            <w:r w:rsidRPr="00340B52">
              <w:rPr>
                <w:rFonts w:ascii="David" w:hAnsi="David"/>
                <w:b/>
                <w:bCs/>
                <w:sz w:val="22"/>
                <w:szCs w:val="22"/>
                <w:rtl/>
              </w:rPr>
              <w:t>אשכול</w:t>
            </w:r>
          </w:p>
        </w:tc>
        <w:tc>
          <w:tcPr>
            <w:tcW w:w="1011" w:type="dxa"/>
            <w:noWrap/>
            <w:vAlign w:val="center"/>
          </w:tcPr>
          <w:p w:rsidR="005B126E" w:rsidRPr="00340B52" w:rsidP="001916A9">
            <w:pPr>
              <w:spacing w:line="269" w:lineRule="auto"/>
              <w:jc w:val="center"/>
              <w:rPr>
                <w:rFonts w:ascii="David" w:hAnsi="David"/>
                <w:sz w:val="22"/>
                <w:szCs w:val="22"/>
                <w:rtl/>
              </w:rPr>
            </w:pPr>
            <w:r w:rsidRPr="00340B52">
              <w:rPr>
                <w:rFonts w:ascii="David" w:hAnsi="David"/>
                <w:sz w:val="22"/>
                <w:szCs w:val="22"/>
              </w:rPr>
              <w:t>24.9</w:t>
            </w:r>
          </w:p>
        </w:tc>
        <w:tc>
          <w:tcPr>
            <w:tcW w:w="1028" w:type="dxa"/>
            <w:shd w:val="clear" w:color="000000" w:fill="FCC37C"/>
            <w:noWrap/>
            <w:vAlign w:val="center"/>
          </w:tcPr>
          <w:p w:rsidR="005B126E" w:rsidRPr="00340B52" w:rsidP="001916A9">
            <w:pPr>
              <w:spacing w:line="269" w:lineRule="auto"/>
              <w:jc w:val="center"/>
              <w:rPr>
                <w:rFonts w:ascii="David" w:hAnsi="David"/>
                <w:sz w:val="22"/>
                <w:szCs w:val="22"/>
              </w:rPr>
            </w:pPr>
            <w:r w:rsidRPr="00340B52">
              <w:rPr>
                <w:rFonts w:ascii="David" w:hAnsi="David"/>
                <w:color w:val="000000"/>
                <w:sz w:val="22"/>
                <w:szCs w:val="22"/>
              </w:rPr>
              <w:t>26,383</w:t>
            </w:r>
          </w:p>
        </w:tc>
        <w:tc>
          <w:tcPr>
            <w:tcW w:w="809" w:type="dxa"/>
            <w:shd w:val="clear" w:color="000000" w:fill="E8E482"/>
            <w:vAlign w:val="center"/>
          </w:tcPr>
          <w:p w:rsidR="005B126E" w:rsidRPr="00340B52" w:rsidP="001916A9">
            <w:pPr>
              <w:spacing w:line="269" w:lineRule="auto"/>
              <w:jc w:val="center"/>
              <w:rPr>
                <w:rFonts w:ascii="David" w:hAnsi="David"/>
                <w:sz w:val="22"/>
                <w:szCs w:val="22"/>
                <w:rtl/>
              </w:rPr>
            </w:pPr>
            <w:r w:rsidRPr="00340B52">
              <w:rPr>
                <w:rFonts w:ascii="David" w:hAnsi="David"/>
                <w:sz w:val="22"/>
                <w:szCs w:val="22"/>
              </w:rPr>
              <w:t>1.16</w:t>
            </w:r>
          </w:p>
        </w:tc>
        <w:tc>
          <w:tcPr>
            <w:tcW w:w="1422" w:type="dxa"/>
            <w:shd w:val="clear" w:color="000000" w:fill="63BE7B"/>
            <w:noWrap/>
            <w:vAlign w:val="center"/>
          </w:tcPr>
          <w:p w:rsidR="005B126E" w:rsidRPr="00340B52" w:rsidP="001916A9">
            <w:pPr>
              <w:spacing w:line="269" w:lineRule="auto"/>
              <w:jc w:val="center"/>
              <w:rPr>
                <w:rFonts w:ascii="David" w:hAnsi="David"/>
                <w:sz w:val="22"/>
                <w:szCs w:val="22"/>
              </w:rPr>
            </w:pPr>
            <w:r w:rsidRPr="00340B52">
              <w:rPr>
                <w:rFonts w:ascii="David" w:hAnsi="David"/>
                <w:sz w:val="22"/>
                <w:szCs w:val="22"/>
              </w:rPr>
              <w:t>89.2</w:t>
            </w:r>
          </w:p>
        </w:tc>
        <w:tc>
          <w:tcPr>
            <w:tcW w:w="1849" w:type="dxa"/>
            <w:shd w:val="clear" w:color="000000" w:fill="ACD380"/>
            <w:noWrap/>
            <w:vAlign w:val="center"/>
          </w:tcPr>
          <w:p w:rsidR="005B126E" w:rsidRPr="00340B52" w:rsidP="001916A9">
            <w:pPr>
              <w:spacing w:line="269" w:lineRule="auto"/>
              <w:jc w:val="center"/>
              <w:rPr>
                <w:rFonts w:ascii="David" w:hAnsi="David"/>
                <w:sz w:val="22"/>
                <w:szCs w:val="22"/>
              </w:rPr>
            </w:pPr>
            <w:r w:rsidRPr="00340B52">
              <w:rPr>
                <w:rFonts w:ascii="David" w:hAnsi="David"/>
                <w:sz w:val="22"/>
                <w:szCs w:val="22"/>
              </w:rPr>
              <w:t>76.2</w:t>
            </w:r>
          </w:p>
        </w:tc>
        <w:tc>
          <w:tcPr>
            <w:tcW w:w="1270" w:type="dxa"/>
            <w:shd w:val="clear" w:color="000000" w:fill="CDDD82"/>
            <w:noWrap/>
            <w:vAlign w:val="center"/>
          </w:tcPr>
          <w:p w:rsidR="005B126E" w:rsidRPr="00340B52" w:rsidP="001916A9">
            <w:pPr>
              <w:spacing w:line="269" w:lineRule="auto"/>
              <w:jc w:val="center"/>
              <w:rPr>
                <w:rFonts w:ascii="David" w:hAnsi="David"/>
                <w:sz w:val="22"/>
                <w:szCs w:val="22"/>
              </w:rPr>
            </w:pPr>
            <w:r w:rsidRPr="00340B52">
              <w:rPr>
                <w:rFonts w:ascii="David" w:hAnsi="David"/>
                <w:sz w:val="22"/>
                <w:szCs w:val="22"/>
              </w:rPr>
              <w:t>47.0</w:t>
            </w:r>
          </w:p>
        </w:tc>
      </w:tr>
      <w:tr w:rsidTr="00FF2A74">
        <w:tblPrEx>
          <w:tblW w:w="8329" w:type="dxa"/>
          <w:tblInd w:w="868" w:type="dxa"/>
          <w:tblLook w:val="04A0"/>
        </w:tblPrEx>
        <w:trPr>
          <w:trHeight w:val="285"/>
        </w:trPr>
        <w:tc>
          <w:tcPr>
            <w:tcW w:w="940" w:type="dxa"/>
            <w:noWrap/>
            <w:vAlign w:val="center"/>
            <w:hideMark/>
          </w:tcPr>
          <w:p w:rsidR="005B126E" w:rsidRPr="00340B52" w:rsidP="001916A9">
            <w:pPr>
              <w:spacing w:line="269" w:lineRule="auto"/>
              <w:jc w:val="center"/>
              <w:rPr>
                <w:rFonts w:ascii="David" w:hAnsi="David"/>
                <w:b/>
                <w:bCs/>
                <w:sz w:val="22"/>
                <w:szCs w:val="22"/>
              </w:rPr>
            </w:pPr>
            <w:r w:rsidRPr="00340B52">
              <w:rPr>
                <w:rFonts w:ascii="David" w:hAnsi="David"/>
                <w:b/>
                <w:bCs/>
                <w:sz w:val="22"/>
                <w:szCs w:val="22"/>
                <w:rtl/>
              </w:rPr>
              <w:t>חוף אשקלון</w:t>
            </w:r>
          </w:p>
        </w:tc>
        <w:tc>
          <w:tcPr>
            <w:tcW w:w="1011" w:type="dxa"/>
            <w:noWrap/>
            <w:vAlign w:val="center"/>
          </w:tcPr>
          <w:p w:rsidR="005B126E" w:rsidRPr="00340B52" w:rsidP="001916A9">
            <w:pPr>
              <w:spacing w:line="269" w:lineRule="auto"/>
              <w:jc w:val="center"/>
              <w:rPr>
                <w:rFonts w:ascii="David" w:hAnsi="David"/>
                <w:sz w:val="22"/>
                <w:szCs w:val="22"/>
                <w:rtl/>
              </w:rPr>
            </w:pPr>
            <w:r w:rsidRPr="00340B52">
              <w:rPr>
                <w:rFonts w:ascii="David" w:hAnsi="David"/>
                <w:sz w:val="22"/>
                <w:szCs w:val="22"/>
              </w:rPr>
              <w:t>26.0</w:t>
            </w:r>
          </w:p>
        </w:tc>
        <w:tc>
          <w:tcPr>
            <w:tcW w:w="1028" w:type="dxa"/>
            <w:shd w:val="clear" w:color="000000" w:fill="C9DC81"/>
            <w:noWrap/>
            <w:vAlign w:val="center"/>
          </w:tcPr>
          <w:p w:rsidR="005B126E" w:rsidRPr="00340B52" w:rsidP="001916A9">
            <w:pPr>
              <w:spacing w:line="269" w:lineRule="auto"/>
              <w:jc w:val="center"/>
              <w:rPr>
                <w:rFonts w:ascii="David" w:hAnsi="David"/>
                <w:sz w:val="22"/>
                <w:szCs w:val="22"/>
              </w:rPr>
            </w:pPr>
            <w:r w:rsidRPr="00340B52">
              <w:rPr>
                <w:rFonts w:ascii="David" w:hAnsi="David"/>
                <w:color w:val="000000"/>
                <w:sz w:val="22"/>
                <w:szCs w:val="22"/>
              </w:rPr>
              <w:t>28,093</w:t>
            </w:r>
          </w:p>
        </w:tc>
        <w:tc>
          <w:tcPr>
            <w:tcW w:w="809" w:type="dxa"/>
            <w:shd w:val="clear" w:color="000000" w:fill="BAD780"/>
            <w:vAlign w:val="center"/>
          </w:tcPr>
          <w:p w:rsidR="005B126E" w:rsidRPr="00340B52" w:rsidP="001916A9">
            <w:pPr>
              <w:spacing w:line="269" w:lineRule="auto"/>
              <w:jc w:val="center"/>
              <w:rPr>
                <w:rFonts w:ascii="David" w:hAnsi="David"/>
                <w:sz w:val="22"/>
                <w:szCs w:val="22"/>
                <w:rtl/>
              </w:rPr>
            </w:pPr>
            <w:r w:rsidRPr="00340B52">
              <w:rPr>
                <w:rFonts w:ascii="David" w:hAnsi="David"/>
                <w:sz w:val="22"/>
                <w:szCs w:val="22"/>
              </w:rPr>
              <w:t>1.04</w:t>
            </w:r>
          </w:p>
        </w:tc>
        <w:tc>
          <w:tcPr>
            <w:tcW w:w="1422" w:type="dxa"/>
            <w:shd w:val="clear" w:color="000000" w:fill="C2DA81"/>
            <w:noWrap/>
            <w:vAlign w:val="center"/>
          </w:tcPr>
          <w:p w:rsidR="005B126E" w:rsidRPr="00340B52" w:rsidP="001916A9">
            <w:pPr>
              <w:spacing w:line="269" w:lineRule="auto"/>
              <w:jc w:val="center"/>
              <w:rPr>
                <w:rFonts w:ascii="David" w:hAnsi="David"/>
                <w:sz w:val="22"/>
                <w:szCs w:val="22"/>
              </w:rPr>
            </w:pPr>
            <w:r w:rsidRPr="00340B52">
              <w:rPr>
                <w:rFonts w:ascii="David" w:hAnsi="David"/>
                <w:sz w:val="22"/>
                <w:szCs w:val="22"/>
              </w:rPr>
              <w:t>85.8</w:t>
            </w:r>
          </w:p>
        </w:tc>
        <w:tc>
          <w:tcPr>
            <w:tcW w:w="1849" w:type="dxa"/>
            <w:shd w:val="clear" w:color="000000" w:fill="9FD07F"/>
            <w:noWrap/>
            <w:vAlign w:val="center"/>
          </w:tcPr>
          <w:p w:rsidR="005B126E" w:rsidRPr="00340B52" w:rsidP="001916A9">
            <w:pPr>
              <w:spacing w:line="269" w:lineRule="auto"/>
              <w:jc w:val="center"/>
              <w:rPr>
                <w:rFonts w:ascii="David" w:hAnsi="David"/>
                <w:sz w:val="22"/>
                <w:szCs w:val="22"/>
              </w:rPr>
            </w:pPr>
            <w:r w:rsidRPr="00340B52">
              <w:rPr>
                <w:rFonts w:ascii="David" w:hAnsi="David"/>
                <w:sz w:val="22"/>
                <w:szCs w:val="22"/>
              </w:rPr>
              <w:t>76.7</w:t>
            </w:r>
          </w:p>
        </w:tc>
        <w:tc>
          <w:tcPr>
            <w:tcW w:w="1270" w:type="dxa"/>
            <w:shd w:val="clear" w:color="000000" w:fill="FEE683"/>
            <w:noWrap/>
            <w:vAlign w:val="center"/>
          </w:tcPr>
          <w:p w:rsidR="005B126E" w:rsidRPr="00340B52" w:rsidP="001916A9">
            <w:pPr>
              <w:spacing w:line="269" w:lineRule="auto"/>
              <w:jc w:val="center"/>
              <w:rPr>
                <w:rFonts w:ascii="David" w:hAnsi="David"/>
                <w:sz w:val="22"/>
                <w:szCs w:val="22"/>
              </w:rPr>
            </w:pPr>
            <w:r w:rsidRPr="00340B52">
              <w:rPr>
                <w:rFonts w:ascii="David" w:hAnsi="David"/>
                <w:sz w:val="22"/>
                <w:szCs w:val="22"/>
              </w:rPr>
              <w:t>43.5</w:t>
            </w:r>
          </w:p>
        </w:tc>
      </w:tr>
      <w:tr w:rsidTr="00FF2A74">
        <w:tblPrEx>
          <w:tblW w:w="8329" w:type="dxa"/>
          <w:tblInd w:w="868" w:type="dxa"/>
          <w:tblLook w:val="04A0"/>
        </w:tblPrEx>
        <w:trPr>
          <w:trHeight w:val="285"/>
        </w:trPr>
        <w:tc>
          <w:tcPr>
            <w:tcW w:w="940" w:type="dxa"/>
            <w:noWrap/>
            <w:vAlign w:val="center"/>
            <w:hideMark/>
          </w:tcPr>
          <w:p w:rsidR="005B126E" w:rsidRPr="00340B52" w:rsidP="001916A9">
            <w:pPr>
              <w:spacing w:line="269" w:lineRule="auto"/>
              <w:jc w:val="center"/>
              <w:rPr>
                <w:rFonts w:ascii="David" w:hAnsi="David"/>
                <w:b/>
                <w:bCs/>
                <w:sz w:val="22"/>
                <w:szCs w:val="22"/>
              </w:rPr>
            </w:pPr>
            <w:r w:rsidRPr="00340B52">
              <w:rPr>
                <w:rFonts w:ascii="David" w:hAnsi="David"/>
                <w:b/>
                <w:bCs/>
                <w:sz w:val="22"/>
                <w:szCs w:val="22"/>
                <w:rtl/>
              </w:rPr>
              <w:t>שדות נגב</w:t>
            </w:r>
          </w:p>
        </w:tc>
        <w:tc>
          <w:tcPr>
            <w:tcW w:w="1011" w:type="dxa"/>
            <w:noWrap/>
            <w:vAlign w:val="center"/>
          </w:tcPr>
          <w:p w:rsidR="005B126E" w:rsidRPr="00340B52" w:rsidP="001916A9">
            <w:pPr>
              <w:spacing w:line="269" w:lineRule="auto"/>
              <w:jc w:val="center"/>
              <w:rPr>
                <w:rFonts w:ascii="David" w:hAnsi="David"/>
                <w:sz w:val="22"/>
                <w:szCs w:val="22"/>
                <w:rtl/>
              </w:rPr>
            </w:pPr>
            <w:r w:rsidRPr="00340B52">
              <w:rPr>
                <w:rFonts w:ascii="David" w:hAnsi="David"/>
                <w:sz w:val="22"/>
                <w:szCs w:val="22"/>
              </w:rPr>
              <w:t>25.2</w:t>
            </w:r>
          </w:p>
        </w:tc>
        <w:tc>
          <w:tcPr>
            <w:tcW w:w="1028" w:type="dxa"/>
            <w:shd w:val="clear" w:color="000000" w:fill="63BE7B"/>
            <w:noWrap/>
            <w:vAlign w:val="center"/>
          </w:tcPr>
          <w:p w:rsidR="005B126E" w:rsidRPr="00340B52" w:rsidP="001916A9">
            <w:pPr>
              <w:spacing w:line="269" w:lineRule="auto"/>
              <w:jc w:val="center"/>
              <w:rPr>
                <w:rFonts w:ascii="David" w:hAnsi="David"/>
                <w:sz w:val="22"/>
                <w:szCs w:val="22"/>
              </w:rPr>
            </w:pPr>
            <w:r w:rsidRPr="00340B52">
              <w:rPr>
                <w:rFonts w:ascii="David" w:hAnsi="David"/>
                <w:color w:val="000000"/>
                <w:sz w:val="22"/>
                <w:szCs w:val="22"/>
              </w:rPr>
              <w:t>29,767</w:t>
            </w:r>
          </w:p>
        </w:tc>
        <w:tc>
          <w:tcPr>
            <w:tcW w:w="809" w:type="dxa"/>
            <w:shd w:val="clear" w:color="000000" w:fill="FB9975"/>
            <w:vAlign w:val="center"/>
          </w:tcPr>
          <w:p w:rsidR="005B126E" w:rsidRPr="00340B52" w:rsidP="001916A9">
            <w:pPr>
              <w:spacing w:line="269" w:lineRule="auto"/>
              <w:jc w:val="center"/>
              <w:rPr>
                <w:rFonts w:ascii="David" w:hAnsi="David"/>
                <w:sz w:val="22"/>
                <w:szCs w:val="22"/>
                <w:rtl/>
              </w:rPr>
            </w:pPr>
            <w:r w:rsidRPr="00340B52">
              <w:rPr>
                <w:rFonts w:ascii="David" w:hAnsi="David"/>
                <w:sz w:val="22"/>
                <w:szCs w:val="22"/>
              </w:rPr>
              <w:t>1.56</w:t>
            </w:r>
          </w:p>
        </w:tc>
        <w:tc>
          <w:tcPr>
            <w:tcW w:w="1422" w:type="dxa"/>
            <w:shd w:val="clear" w:color="000000" w:fill="9FD07F"/>
            <w:noWrap/>
            <w:vAlign w:val="center"/>
          </w:tcPr>
          <w:p w:rsidR="005B126E" w:rsidRPr="00340B52" w:rsidP="001916A9">
            <w:pPr>
              <w:spacing w:line="269" w:lineRule="auto"/>
              <w:jc w:val="center"/>
              <w:rPr>
                <w:rFonts w:ascii="David" w:hAnsi="David"/>
                <w:sz w:val="22"/>
                <w:szCs w:val="22"/>
              </w:rPr>
            </w:pPr>
            <w:r w:rsidRPr="00340B52">
              <w:rPr>
                <w:rFonts w:ascii="David" w:hAnsi="David"/>
                <w:sz w:val="22"/>
                <w:szCs w:val="22"/>
              </w:rPr>
              <w:t>87.0</w:t>
            </w:r>
          </w:p>
        </w:tc>
        <w:tc>
          <w:tcPr>
            <w:tcW w:w="1849" w:type="dxa"/>
            <w:shd w:val="clear" w:color="000000" w:fill="ACD480"/>
            <w:noWrap/>
            <w:vAlign w:val="center"/>
          </w:tcPr>
          <w:p w:rsidR="005B126E" w:rsidRPr="00340B52" w:rsidP="001916A9">
            <w:pPr>
              <w:spacing w:line="269" w:lineRule="auto"/>
              <w:jc w:val="center"/>
              <w:rPr>
                <w:rFonts w:ascii="David" w:hAnsi="David"/>
                <w:sz w:val="22"/>
                <w:szCs w:val="22"/>
              </w:rPr>
            </w:pPr>
            <w:r w:rsidRPr="00340B52">
              <w:rPr>
                <w:rFonts w:ascii="David" w:hAnsi="David"/>
                <w:sz w:val="22"/>
                <w:szCs w:val="22"/>
              </w:rPr>
              <w:t>76.2</w:t>
            </w:r>
          </w:p>
        </w:tc>
        <w:tc>
          <w:tcPr>
            <w:tcW w:w="1270" w:type="dxa"/>
            <w:shd w:val="clear" w:color="000000" w:fill="63BE7B"/>
            <w:noWrap/>
            <w:vAlign w:val="center"/>
          </w:tcPr>
          <w:p w:rsidR="005B126E" w:rsidRPr="00340B52" w:rsidP="001916A9">
            <w:pPr>
              <w:spacing w:line="269" w:lineRule="auto"/>
              <w:jc w:val="center"/>
              <w:rPr>
                <w:rFonts w:ascii="David" w:hAnsi="David"/>
                <w:sz w:val="22"/>
                <w:szCs w:val="22"/>
              </w:rPr>
            </w:pPr>
            <w:r w:rsidRPr="00340B52">
              <w:rPr>
                <w:rFonts w:ascii="David" w:hAnsi="David"/>
                <w:sz w:val="22"/>
                <w:szCs w:val="22"/>
              </w:rPr>
              <w:t>53.2</w:t>
            </w:r>
          </w:p>
        </w:tc>
      </w:tr>
      <w:tr w:rsidTr="00FF2A74">
        <w:tblPrEx>
          <w:tblW w:w="8329" w:type="dxa"/>
          <w:tblInd w:w="868" w:type="dxa"/>
          <w:tblLook w:val="04A0"/>
        </w:tblPrEx>
        <w:trPr>
          <w:trHeight w:val="285"/>
        </w:trPr>
        <w:tc>
          <w:tcPr>
            <w:tcW w:w="940" w:type="dxa"/>
            <w:noWrap/>
            <w:vAlign w:val="center"/>
            <w:hideMark/>
          </w:tcPr>
          <w:p w:rsidR="005B126E" w:rsidRPr="00340B52" w:rsidP="001916A9">
            <w:pPr>
              <w:spacing w:line="269" w:lineRule="auto"/>
              <w:jc w:val="center"/>
              <w:rPr>
                <w:rFonts w:ascii="David" w:hAnsi="David"/>
                <w:b/>
                <w:bCs/>
                <w:sz w:val="22"/>
                <w:szCs w:val="22"/>
              </w:rPr>
            </w:pPr>
            <w:r w:rsidRPr="00340B52">
              <w:rPr>
                <w:rFonts w:ascii="David" w:hAnsi="David"/>
                <w:b/>
                <w:bCs/>
                <w:sz w:val="22"/>
                <w:szCs w:val="22"/>
                <w:rtl/>
              </w:rPr>
              <w:t>שער הנגב</w:t>
            </w:r>
          </w:p>
        </w:tc>
        <w:tc>
          <w:tcPr>
            <w:tcW w:w="1011" w:type="dxa"/>
            <w:noWrap/>
            <w:vAlign w:val="center"/>
          </w:tcPr>
          <w:p w:rsidR="005B126E" w:rsidRPr="00340B52" w:rsidP="001916A9">
            <w:pPr>
              <w:spacing w:line="269" w:lineRule="auto"/>
              <w:jc w:val="center"/>
              <w:rPr>
                <w:rFonts w:ascii="David" w:hAnsi="David"/>
                <w:sz w:val="22"/>
                <w:szCs w:val="22"/>
                <w:rtl/>
              </w:rPr>
            </w:pPr>
            <w:r w:rsidRPr="00340B52">
              <w:rPr>
                <w:rFonts w:ascii="David" w:hAnsi="David"/>
                <w:sz w:val="22"/>
                <w:szCs w:val="22"/>
              </w:rPr>
              <w:t>28.1</w:t>
            </w:r>
          </w:p>
        </w:tc>
        <w:tc>
          <w:tcPr>
            <w:tcW w:w="1028" w:type="dxa"/>
            <w:shd w:val="clear" w:color="000000" w:fill="CDDD82"/>
            <w:noWrap/>
            <w:vAlign w:val="center"/>
          </w:tcPr>
          <w:p w:rsidR="005B126E" w:rsidRPr="00340B52" w:rsidP="001916A9">
            <w:pPr>
              <w:spacing w:line="269" w:lineRule="auto"/>
              <w:jc w:val="center"/>
              <w:rPr>
                <w:rFonts w:ascii="David" w:hAnsi="David"/>
                <w:sz w:val="22"/>
                <w:szCs w:val="22"/>
              </w:rPr>
            </w:pPr>
            <w:r w:rsidRPr="00340B52">
              <w:rPr>
                <w:rFonts w:ascii="David" w:hAnsi="David"/>
                <w:color w:val="000000"/>
                <w:sz w:val="22"/>
                <w:szCs w:val="22"/>
              </w:rPr>
              <w:t>28,026</w:t>
            </w:r>
          </w:p>
        </w:tc>
        <w:tc>
          <w:tcPr>
            <w:tcW w:w="809" w:type="dxa"/>
            <w:shd w:val="clear" w:color="000000" w:fill="63BE7B"/>
            <w:vAlign w:val="center"/>
          </w:tcPr>
          <w:p w:rsidR="005B126E" w:rsidRPr="00340B52" w:rsidP="001916A9">
            <w:pPr>
              <w:spacing w:line="269" w:lineRule="auto"/>
              <w:jc w:val="center"/>
              <w:rPr>
                <w:rFonts w:ascii="David" w:hAnsi="David"/>
                <w:sz w:val="22"/>
                <w:szCs w:val="22"/>
                <w:rtl/>
              </w:rPr>
            </w:pPr>
            <w:r w:rsidRPr="00340B52">
              <w:rPr>
                <w:rFonts w:ascii="David" w:hAnsi="David"/>
                <w:sz w:val="22"/>
                <w:szCs w:val="22"/>
              </w:rPr>
              <w:t>0.82</w:t>
            </w:r>
          </w:p>
        </w:tc>
        <w:tc>
          <w:tcPr>
            <w:tcW w:w="1422" w:type="dxa"/>
            <w:shd w:val="clear" w:color="000000" w:fill="81C77D"/>
            <w:noWrap/>
            <w:vAlign w:val="center"/>
          </w:tcPr>
          <w:p w:rsidR="005B126E" w:rsidRPr="00340B52" w:rsidP="001916A9">
            <w:pPr>
              <w:spacing w:line="269" w:lineRule="auto"/>
              <w:jc w:val="center"/>
              <w:rPr>
                <w:rFonts w:ascii="David" w:hAnsi="David"/>
                <w:sz w:val="22"/>
                <w:szCs w:val="22"/>
              </w:rPr>
            </w:pPr>
            <w:r w:rsidRPr="00340B52">
              <w:rPr>
                <w:rFonts w:ascii="David" w:hAnsi="David"/>
                <w:sz w:val="22"/>
                <w:szCs w:val="22"/>
              </w:rPr>
              <w:t>88.1</w:t>
            </w:r>
          </w:p>
        </w:tc>
        <w:tc>
          <w:tcPr>
            <w:tcW w:w="1849" w:type="dxa"/>
            <w:shd w:val="clear" w:color="000000" w:fill="63BE7B"/>
            <w:noWrap/>
            <w:vAlign w:val="center"/>
          </w:tcPr>
          <w:p w:rsidR="005B126E" w:rsidRPr="00340B52" w:rsidP="001916A9">
            <w:pPr>
              <w:spacing w:line="269" w:lineRule="auto"/>
              <w:jc w:val="center"/>
              <w:rPr>
                <w:rFonts w:ascii="David" w:hAnsi="David"/>
                <w:sz w:val="22"/>
                <w:szCs w:val="22"/>
              </w:rPr>
            </w:pPr>
            <w:r w:rsidRPr="00340B52">
              <w:rPr>
                <w:rFonts w:ascii="David" w:hAnsi="David"/>
                <w:sz w:val="22"/>
                <w:szCs w:val="22"/>
              </w:rPr>
              <w:t>78.8</w:t>
            </w:r>
          </w:p>
        </w:tc>
        <w:tc>
          <w:tcPr>
            <w:tcW w:w="1270" w:type="dxa"/>
            <w:shd w:val="clear" w:color="000000" w:fill="F8E984"/>
            <w:noWrap/>
            <w:vAlign w:val="center"/>
          </w:tcPr>
          <w:p w:rsidR="005B126E" w:rsidRPr="00340B52" w:rsidP="001916A9">
            <w:pPr>
              <w:spacing w:line="269" w:lineRule="auto"/>
              <w:jc w:val="center"/>
              <w:rPr>
                <w:rFonts w:ascii="David" w:hAnsi="David"/>
                <w:sz w:val="22"/>
                <w:szCs w:val="22"/>
              </w:rPr>
            </w:pPr>
            <w:r w:rsidRPr="00340B52">
              <w:rPr>
                <w:rFonts w:ascii="David" w:hAnsi="David"/>
                <w:sz w:val="22"/>
                <w:szCs w:val="22"/>
              </w:rPr>
              <w:t>44.4</w:t>
            </w:r>
          </w:p>
        </w:tc>
      </w:tr>
    </w:tbl>
    <w:p w:rsidR="005B126E" w:rsidRPr="00B97E44" w:rsidP="001916A9">
      <w:pPr>
        <w:spacing w:line="269" w:lineRule="auto"/>
        <w:jc w:val="left"/>
        <w:rPr>
          <w:szCs w:val="20"/>
          <w:rtl/>
        </w:rPr>
      </w:pPr>
      <w:r>
        <w:rPr>
          <w:rFonts w:hint="cs"/>
          <w:szCs w:val="20"/>
          <w:rtl/>
        </w:rPr>
        <w:t>ה</w:t>
      </w:r>
      <w:r w:rsidRPr="00B97E44">
        <w:rPr>
          <w:rFonts w:hint="cs"/>
          <w:szCs w:val="20"/>
          <w:rtl/>
        </w:rPr>
        <w:t xml:space="preserve">מקור: </w:t>
      </w:r>
      <w:r w:rsidRPr="00B97E44">
        <w:rPr>
          <w:rFonts w:hint="cs"/>
          <w:szCs w:val="20"/>
          <w:rtl/>
        </w:rPr>
        <w:t>הלמ"ס</w:t>
      </w:r>
      <w:r w:rsidRPr="00B97E44">
        <w:rPr>
          <w:rFonts w:hint="cs"/>
          <w:szCs w:val="20"/>
          <w:rtl/>
        </w:rPr>
        <w:t>, קובץ הרשויות המקומיות ושקיפות בחינוך.</w:t>
      </w:r>
    </w:p>
    <w:p w:rsidR="005B126E" w:rsidRPr="00B97E44" w:rsidP="001916A9">
      <w:pPr>
        <w:spacing w:line="269" w:lineRule="auto"/>
        <w:jc w:val="left"/>
        <w:rPr>
          <w:szCs w:val="20"/>
          <w:rtl/>
        </w:rPr>
      </w:pPr>
      <w:r w:rsidRPr="00B97E44">
        <w:rPr>
          <w:rFonts w:hint="cs"/>
          <w:szCs w:val="20"/>
          <w:rtl/>
        </w:rPr>
        <w:t>הגוונים</w:t>
      </w:r>
      <w:r w:rsidRPr="00B97E44">
        <w:rPr>
          <w:szCs w:val="20"/>
          <w:rtl/>
        </w:rPr>
        <w:t xml:space="preserve"> בתאי הטבלה </w:t>
      </w:r>
      <w:r w:rsidRPr="00B97E44">
        <w:rPr>
          <w:rFonts w:hint="cs"/>
          <w:szCs w:val="20"/>
          <w:rtl/>
        </w:rPr>
        <w:t>מייצגים</w:t>
      </w:r>
      <w:r w:rsidRPr="00B97E44">
        <w:rPr>
          <w:szCs w:val="20"/>
          <w:rtl/>
        </w:rPr>
        <w:t xml:space="preserve"> </w:t>
      </w:r>
      <w:r w:rsidRPr="00B97E44">
        <w:rPr>
          <w:rFonts w:hint="cs"/>
          <w:szCs w:val="20"/>
          <w:rtl/>
        </w:rPr>
        <w:t>לגבי</w:t>
      </w:r>
      <w:r w:rsidRPr="00B97E44">
        <w:rPr>
          <w:szCs w:val="20"/>
          <w:rtl/>
        </w:rPr>
        <w:t xml:space="preserve"> </w:t>
      </w:r>
      <w:r w:rsidRPr="00B97E44">
        <w:rPr>
          <w:rFonts w:hint="cs"/>
          <w:szCs w:val="20"/>
          <w:rtl/>
        </w:rPr>
        <w:t>כל</w:t>
      </w:r>
      <w:r w:rsidRPr="00B97E44">
        <w:rPr>
          <w:szCs w:val="20"/>
          <w:rtl/>
        </w:rPr>
        <w:t xml:space="preserve"> </w:t>
      </w:r>
      <w:r w:rsidRPr="00B97E44">
        <w:rPr>
          <w:rFonts w:hint="cs"/>
          <w:szCs w:val="20"/>
          <w:rtl/>
        </w:rPr>
        <w:t>נתון</w:t>
      </w:r>
      <w:r w:rsidRPr="00B97E44">
        <w:rPr>
          <w:szCs w:val="20"/>
          <w:rtl/>
        </w:rPr>
        <w:t xml:space="preserve"> </w:t>
      </w:r>
      <w:r w:rsidRPr="00B97E44">
        <w:rPr>
          <w:rFonts w:hint="cs"/>
          <w:szCs w:val="20"/>
          <w:rtl/>
        </w:rPr>
        <w:t>את</w:t>
      </w:r>
      <w:r w:rsidRPr="00B97E44">
        <w:rPr>
          <w:szCs w:val="20"/>
          <w:rtl/>
        </w:rPr>
        <w:t xml:space="preserve"> </w:t>
      </w:r>
      <w:r w:rsidRPr="00B97E44">
        <w:rPr>
          <w:rFonts w:hint="cs"/>
          <w:szCs w:val="20"/>
          <w:rtl/>
        </w:rPr>
        <w:t>הביצועים</w:t>
      </w:r>
      <w:r w:rsidRPr="00B97E44">
        <w:rPr>
          <w:szCs w:val="20"/>
          <w:rtl/>
        </w:rPr>
        <w:t xml:space="preserve"> </w:t>
      </w:r>
      <w:r w:rsidRPr="00B97E44">
        <w:rPr>
          <w:rFonts w:hint="cs"/>
          <w:szCs w:val="20"/>
          <w:rtl/>
        </w:rPr>
        <w:t>החיוביים</w:t>
      </w:r>
      <w:r w:rsidRPr="00B97E44">
        <w:rPr>
          <w:szCs w:val="20"/>
          <w:rtl/>
        </w:rPr>
        <w:t xml:space="preserve"> </w:t>
      </w:r>
      <w:r w:rsidRPr="00B97E44">
        <w:rPr>
          <w:rFonts w:hint="cs"/>
          <w:szCs w:val="20"/>
          <w:rtl/>
        </w:rPr>
        <w:t>יחסית</w:t>
      </w:r>
      <w:r w:rsidRPr="00B97E44">
        <w:rPr>
          <w:szCs w:val="20"/>
          <w:rtl/>
        </w:rPr>
        <w:t xml:space="preserve"> (גוונים </w:t>
      </w:r>
      <w:r w:rsidRPr="00B97E44">
        <w:rPr>
          <w:rFonts w:hint="cs"/>
          <w:szCs w:val="20"/>
          <w:rtl/>
        </w:rPr>
        <w:t>ירוקים</w:t>
      </w:r>
      <w:r w:rsidRPr="00B97E44">
        <w:rPr>
          <w:szCs w:val="20"/>
          <w:rtl/>
        </w:rPr>
        <w:t xml:space="preserve">), </w:t>
      </w:r>
      <w:r w:rsidRPr="00B97E44">
        <w:rPr>
          <w:rFonts w:hint="cs"/>
          <w:szCs w:val="20"/>
          <w:rtl/>
        </w:rPr>
        <w:t>את</w:t>
      </w:r>
      <w:r w:rsidRPr="00B97E44">
        <w:rPr>
          <w:szCs w:val="20"/>
          <w:rtl/>
        </w:rPr>
        <w:t xml:space="preserve"> </w:t>
      </w:r>
      <w:r w:rsidRPr="00B97E44">
        <w:rPr>
          <w:rFonts w:hint="cs"/>
          <w:szCs w:val="20"/>
          <w:rtl/>
        </w:rPr>
        <w:t>ביצועי</w:t>
      </w:r>
      <w:r w:rsidRPr="00B97E44">
        <w:rPr>
          <w:szCs w:val="20"/>
          <w:rtl/>
        </w:rPr>
        <w:t xml:space="preserve"> </w:t>
      </w:r>
      <w:r w:rsidRPr="00B97E44">
        <w:rPr>
          <w:rFonts w:hint="cs"/>
          <w:szCs w:val="20"/>
          <w:rtl/>
        </w:rPr>
        <w:t>הביניים</w:t>
      </w:r>
      <w:r w:rsidRPr="00B97E44">
        <w:rPr>
          <w:szCs w:val="20"/>
          <w:rtl/>
        </w:rPr>
        <w:t xml:space="preserve"> (ג</w:t>
      </w:r>
      <w:r w:rsidRPr="00B97E44">
        <w:rPr>
          <w:rFonts w:hint="cs"/>
          <w:szCs w:val="20"/>
          <w:rtl/>
        </w:rPr>
        <w:t>וני</w:t>
      </w:r>
      <w:r w:rsidRPr="00B97E44">
        <w:rPr>
          <w:szCs w:val="20"/>
          <w:rtl/>
        </w:rPr>
        <w:t xml:space="preserve"> </w:t>
      </w:r>
      <w:r w:rsidRPr="00B97E44">
        <w:rPr>
          <w:rFonts w:hint="cs"/>
          <w:szCs w:val="20"/>
          <w:rtl/>
        </w:rPr>
        <w:t>צהוב</w:t>
      </w:r>
      <w:r w:rsidRPr="00B97E44">
        <w:rPr>
          <w:szCs w:val="20"/>
          <w:rtl/>
        </w:rPr>
        <w:t xml:space="preserve"> </w:t>
      </w:r>
      <w:r w:rsidRPr="00B97E44">
        <w:rPr>
          <w:rFonts w:hint="cs"/>
          <w:szCs w:val="20"/>
          <w:rtl/>
        </w:rPr>
        <w:t>וכתום</w:t>
      </w:r>
      <w:r w:rsidRPr="00B97E44">
        <w:rPr>
          <w:szCs w:val="20"/>
          <w:rtl/>
        </w:rPr>
        <w:t xml:space="preserve">) </w:t>
      </w:r>
      <w:r w:rsidRPr="00B97E44">
        <w:rPr>
          <w:rFonts w:hint="cs"/>
          <w:szCs w:val="20"/>
          <w:rtl/>
        </w:rPr>
        <w:t>ואת</w:t>
      </w:r>
      <w:r w:rsidRPr="00B97E44">
        <w:rPr>
          <w:szCs w:val="20"/>
          <w:rtl/>
        </w:rPr>
        <w:t xml:space="preserve"> </w:t>
      </w:r>
      <w:r w:rsidRPr="00B97E44">
        <w:rPr>
          <w:rFonts w:hint="cs"/>
          <w:szCs w:val="20"/>
          <w:rtl/>
        </w:rPr>
        <w:t>הביצועים</w:t>
      </w:r>
      <w:r w:rsidRPr="00B97E44">
        <w:rPr>
          <w:szCs w:val="20"/>
          <w:rtl/>
        </w:rPr>
        <w:t xml:space="preserve"> </w:t>
      </w:r>
      <w:r w:rsidRPr="00B97E44">
        <w:rPr>
          <w:rFonts w:hint="cs"/>
          <w:szCs w:val="20"/>
          <w:rtl/>
        </w:rPr>
        <w:t>השליליים</w:t>
      </w:r>
      <w:r w:rsidRPr="00B97E44">
        <w:rPr>
          <w:szCs w:val="20"/>
          <w:rtl/>
        </w:rPr>
        <w:t xml:space="preserve"> </w:t>
      </w:r>
      <w:r w:rsidRPr="00B97E44">
        <w:rPr>
          <w:rFonts w:hint="cs"/>
          <w:szCs w:val="20"/>
          <w:rtl/>
        </w:rPr>
        <w:t>יחסית</w:t>
      </w:r>
      <w:r w:rsidRPr="00B97E44">
        <w:rPr>
          <w:szCs w:val="20"/>
          <w:rtl/>
        </w:rPr>
        <w:t xml:space="preserve"> (גו</w:t>
      </w:r>
      <w:r w:rsidRPr="00B97E44">
        <w:rPr>
          <w:rFonts w:hint="cs"/>
          <w:szCs w:val="20"/>
          <w:rtl/>
        </w:rPr>
        <w:t>ני</w:t>
      </w:r>
      <w:r w:rsidRPr="00B97E44">
        <w:rPr>
          <w:szCs w:val="20"/>
          <w:rtl/>
        </w:rPr>
        <w:t xml:space="preserve"> אדום). ירוק כהה מייצג את הביצוע החיובי </w:t>
      </w:r>
      <w:r w:rsidRPr="00B97E44">
        <w:rPr>
          <w:rFonts w:hint="cs"/>
          <w:szCs w:val="20"/>
          <w:rtl/>
        </w:rPr>
        <w:t>ב</w:t>
      </w:r>
      <w:r w:rsidRPr="00B97E44">
        <w:rPr>
          <w:szCs w:val="20"/>
          <w:rtl/>
        </w:rPr>
        <w:t xml:space="preserve">יותר ואדום כהה את הביצוע השלילי </w:t>
      </w:r>
      <w:r w:rsidRPr="00B97E44">
        <w:rPr>
          <w:rFonts w:hint="cs"/>
          <w:szCs w:val="20"/>
          <w:rtl/>
        </w:rPr>
        <w:t>ב</w:t>
      </w:r>
      <w:r w:rsidRPr="00B97E44">
        <w:rPr>
          <w:szCs w:val="20"/>
          <w:rtl/>
        </w:rPr>
        <w:t>יותר.</w:t>
      </w:r>
      <w:r w:rsidRPr="00B97E44">
        <w:rPr>
          <w:rFonts w:hint="cs"/>
          <w:szCs w:val="20"/>
          <w:rtl/>
        </w:rPr>
        <w:t xml:space="preserve"> </w:t>
      </w:r>
    </w:p>
    <w:p w:rsidR="005B126E" w:rsidP="001916A9">
      <w:pPr>
        <w:spacing w:line="269" w:lineRule="auto"/>
        <w:rPr>
          <w:b/>
          <w:bCs/>
          <w:rtl/>
        </w:rPr>
      </w:pPr>
      <w:bookmarkStart w:id="65" w:name="_Hlk207636148"/>
    </w:p>
    <w:p w:rsidR="005B126E" w:rsidRPr="00B97E44" w:rsidP="001916A9">
      <w:pPr>
        <w:spacing w:line="269" w:lineRule="auto"/>
        <w:rPr>
          <w:b/>
          <w:bCs/>
          <w:rtl/>
        </w:rPr>
      </w:pPr>
      <w:r w:rsidRPr="00B97E44">
        <w:rPr>
          <w:rFonts w:hint="cs"/>
          <w:b/>
          <w:bCs/>
          <w:rtl/>
        </w:rPr>
        <w:t xml:space="preserve">נמצא כי לפני </w:t>
      </w:r>
      <w:r>
        <w:rPr>
          <w:rFonts w:hint="cs"/>
          <w:b/>
          <w:bCs/>
          <w:rtl/>
        </w:rPr>
        <w:t>מתקפת הטרור ב</w:t>
      </w:r>
      <w:r w:rsidRPr="00B97E44">
        <w:rPr>
          <w:rFonts w:hint="cs"/>
          <w:b/>
          <w:bCs/>
          <w:rtl/>
        </w:rPr>
        <w:t xml:space="preserve">שבעה באוקטובר, העלות הממוצעת לתלמיד ברשויות מקומיות שמחוץ לחבל התקומה הייתה נמוכה מזו שבשדרות ובמועצות האזוריות שבתחומיהן יישובים בחבל התקומה </w:t>
      </w:r>
      <w:r w:rsidRPr="00B97E44">
        <w:rPr>
          <w:b/>
          <w:bCs/>
          <w:sz w:val="24"/>
          <w:rtl/>
        </w:rPr>
        <w:t>(</w:t>
      </w:r>
      <w:r w:rsidRPr="00B97E44">
        <w:rPr>
          <w:rFonts w:ascii="David" w:hAnsi="David" w:hint="cs"/>
          <w:b/>
          <w:bCs/>
          <w:sz w:val="24"/>
          <w:rtl/>
        </w:rPr>
        <w:t>24,511</w:t>
      </w:r>
      <w:r w:rsidRPr="00B97E44">
        <w:rPr>
          <w:b/>
          <w:bCs/>
          <w:sz w:val="24"/>
          <w:rtl/>
        </w:rPr>
        <w:t xml:space="preserve"> ש"ח ב</w:t>
      </w:r>
      <w:r w:rsidRPr="00B97E44">
        <w:rPr>
          <w:rFonts w:hint="cs"/>
          <w:b/>
          <w:bCs/>
          <w:sz w:val="24"/>
          <w:rtl/>
        </w:rPr>
        <w:t>אופקים</w:t>
      </w:r>
      <w:r w:rsidRPr="00B97E44">
        <w:rPr>
          <w:b/>
          <w:bCs/>
          <w:sz w:val="24"/>
          <w:rtl/>
        </w:rPr>
        <w:t xml:space="preserve">, </w:t>
      </w:r>
      <w:r w:rsidRPr="00B97E44">
        <w:rPr>
          <w:rFonts w:ascii="David" w:hAnsi="David" w:hint="cs"/>
          <w:b/>
          <w:bCs/>
          <w:sz w:val="24"/>
          <w:rtl/>
        </w:rPr>
        <w:t>24,632</w:t>
      </w:r>
      <w:r w:rsidRPr="00B97E44">
        <w:rPr>
          <w:rFonts w:ascii="David" w:hAnsi="David"/>
          <w:b/>
          <w:bCs/>
          <w:sz w:val="24"/>
          <w:rtl/>
        </w:rPr>
        <w:t xml:space="preserve"> ש"ח ב</w:t>
      </w:r>
      <w:r w:rsidRPr="00B97E44">
        <w:rPr>
          <w:rFonts w:ascii="David" w:hAnsi="David" w:hint="cs"/>
          <w:b/>
          <w:bCs/>
          <w:sz w:val="24"/>
          <w:rtl/>
        </w:rPr>
        <w:t>נתיבות</w:t>
      </w:r>
      <w:r w:rsidRPr="00B97E44">
        <w:rPr>
          <w:rFonts w:ascii="David" w:hAnsi="David"/>
          <w:b/>
          <w:bCs/>
          <w:sz w:val="24"/>
          <w:rtl/>
        </w:rPr>
        <w:t xml:space="preserve"> ו-</w:t>
      </w:r>
      <w:r w:rsidRPr="00B97E44">
        <w:rPr>
          <w:rFonts w:ascii="David" w:hAnsi="David" w:hint="cs"/>
          <w:b/>
          <w:bCs/>
          <w:sz w:val="24"/>
          <w:rtl/>
        </w:rPr>
        <w:t>25,538</w:t>
      </w:r>
      <w:r w:rsidRPr="00B97E44">
        <w:rPr>
          <w:b/>
          <w:bCs/>
          <w:sz w:val="24"/>
          <w:rtl/>
        </w:rPr>
        <w:t xml:space="preserve"> ש"ח במרחבים אל מול </w:t>
      </w:r>
      <w:r w:rsidRPr="00B97E44">
        <w:rPr>
          <w:rFonts w:ascii="David" w:hAnsi="David" w:hint="cs"/>
          <w:b/>
          <w:bCs/>
          <w:sz w:val="24"/>
          <w:rtl/>
        </w:rPr>
        <w:t>26,383</w:t>
      </w:r>
      <w:r w:rsidRPr="00B97E44">
        <w:rPr>
          <w:rFonts w:ascii="David" w:hAnsi="David"/>
          <w:b/>
          <w:bCs/>
          <w:sz w:val="24"/>
          <w:rtl/>
        </w:rPr>
        <w:t xml:space="preserve"> ש"ח באשכול, </w:t>
      </w:r>
      <w:r w:rsidRPr="00B97E44">
        <w:rPr>
          <w:rFonts w:ascii="David" w:hAnsi="David" w:hint="cs"/>
          <w:b/>
          <w:bCs/>
          <w:sz w:val="24"/>
          <w:rtl/>
        </w:rPr>
        <w:t xml:space="preserve">28,026 </w:t>
      </w:r>
      <w:r w:rsidRPr="00B97E44">
        <w:rPr>
          <w:b/>
          <w:bCs/>
          <w:sz w:val="24"/>
          <w:rtl/>
        </w:rPr>
        <w:t>ש"ח בשער הנגב,</w:t>
      </w:r>
      <w:r w:rsidRPr="00B97E44">
        <w:rPr>
          <w:rFonts w:ascii="David" w:hAnsi="David" w:hint="cs"/>
          <w:b/>
          <w:bCs/>
          <w:sz w:val="24"/>
          <w:rtl/>
        </w:rPr>
        <w:t xml:space="preserve"> </w:t>
      </w:r>
      <w:r w:rsidRPr="00B97E44">
        <w:rPr>
          <w:rFonts w:hint="cs"/>
          <w:b/>
          <w:bCs/>
          <w:sz w:val="24"/>
          <w:rtl/>
        </w:rPr>
        <w:t>28,093</w:t>
      </w:r>
      <w:r w:rsidRPr="00B97E44">
        <w:rPr>
          <w:rFonts w:ascii="David" w:hAnsi="David" w:hint="cs"/>
          <w:b/>
          <w:bCs/>
          <w:sz w:val="24"/>
          <w:rtl/>
        </w:rPr>
        <w:t xml:space="preserve"> </w:t>
      </w:r>
      <w:r w:rsidRPr="00B97E44">
        <w:rPr>
          <w:b/>
          <w:bCs/>
          <w:sz w:val="24"/>
          <w:rtl/>
        </w:rPr>
        <w:t xml:space="preserve">ש"ח בחוף אשקלון, </w:t>
      </w:r>
      <w:r w:rsidRPr="00B97E44">
        <w:rPr>
          <w:rFonts w:ascii="David" w:hAnsi="David" w:hint="cs"/>
          <w:b/>
          <w:bCs/>
          <w:sz w:val="24"/>
          <w:rtl/>
        </w:rPr>
        <w:t xml:space="preserve">29,398 </w:t>
      </w:r>
      <w:r w:rsidRPr="00B97E44">
        <w:rPr>
          <w:rFonts w:hint="eastAsia"/>
          <w:b/>
          <w:bCs/>
          <w:sz w:val="24"/>
          <w:rtl/>
        </w:rPr>
        <w:t>ש</w:t>
      </w:r>
      <w:r w:rsidRPr="00B97E44">
        <w:rPr>
          <w:b/>
          <w:bCs/>
          <w:sz w:val="24"/>
          <w:rtl/>
        </w:rPr>
        <w:t xml:space="preserve">"ח </w:t>
      </w:r>
      <w:r w:rsidRPr="00B97E44">
        <w:rPr>
          <w:rFonts w:hint="cs"/>
          <w:b/>
          <w:bCs/>
          <w:sz w:val="24"/>
          <w:rtl/>
        </w:rPr>
        <w:t>בשדרות</w:t>
      </w:r>
      <w:r w:rsidRPr="00B97E44">
        <w:rPr>
          <w:b/>
          <w:bCs/>
          <w:sz w:val="24"/>
          <w:rtl/>
        </w:rPr>
        <w:t xml:space="preserve"> </w:t>
      </w:r>
      <w:r w:rsidRPr="00B97E44">
        <w:rPr>
          <w:rFonts w:hint="eastAsia"/>
          <w:b/>
          <w:bCs/>
          <w:sz w:val="24"/>
          <w:rtl/>
        </w:rPr>
        <w:t>ו</w:t>
      </w:r>
      <w:r w:rsidRPr="00B97E44">
        <w:rPr>
          <w:b/>
          <w:bCs/>
          <w:sz w:val="24"/>
          <w:rtl/>
        </w:rPr>
        <w:t>-</w:t>
      </w:r>
      <w:r w:rsidRPr="00B97E44">
        <w:rPr>
          <w:rFonts w:ascii="David" w:hAnsi="David" w:hint="cs"/>
          <w:b/>
          <w:bCs/>
          <w:sz w:val="24"/>
          <w:rtl/>
        </w:rPr>
        <w:t xml:space="preserve">29,767 </w:t>
      </w:r>
      <w:r w:rsidRPr="00B97E44">
        <w:rPr>
          <w:rFonts w:ascii="David" w:hAnsi="David"/>
          <w:b/>
          <w:bCs/>
          <w:sz w:val="24"/>
          <w:rtl/>
        </w:rPr>
        <w:t xml:space="preserve">ש"ח </w:t>
      </w:r>
      <w:r w:rsidRPr="00B97E44">
        <w:rPr>
          <w:rFonts w:ascii="David" w:hAnsi="David" w:hint="cs"/>
          <w:b/>
          <w:bCs/>
          <w:sz w:val="24"/>
          <w:rtl/>
        </w:rPr>
        <w:t>בשדות נגב</w:t>
      </w:r>
      <w:r w:rsidRPr="00B97E44">
        <w:rPr>
          <w:b/>
          <w:bCs/>
          <w:sz w:val="24"/>
          <w:rtl/>
        </w:rPr>
        <w:t xml:space="preserve">). </w:t>
      </w:r>
      <w:r w:rsidRPr="00B97E44">
        <w:rPr>
          <w:rFonts w:hint="cs"/>
          <w:b/>
          <w:bCs/>
          <w:rtl/>
        </w:rPr>
        <w:t>פער דומה נמצא גם ברמת ההשכלה של עובדי ההוראה. יתר על כן, הערים אופקים ונתיבות מאופיינות בשיעור נשירה גבוה ובשיעור זכאות לבגרות נמוך ביחס לרשויות המקומיות האחרות.</w:t>
      </w:r>
      <w:r w:rsidRPr="00B97E44">
        <w:rPr>
          <w:b/>
          <w:bCs/>
          <w:rtl/>
        </w:rPr>
        <w:t xml:space="preserve"> </w:t>
      </w:r>
    </w:p>
    <w:bookmarkEnd w:id="65"/>
    <w:p w:rsidR="005B126E" w:rsidP="001916A9">
      <w:pPr>
        <w:spacing w:line="269" w:lineRule="auto"/>
        <w:rPr>
          <w:rtl/>
        </w:rPr>
      </w:pPr>
    </w:p>
    <w:p w:rsidR="005B126E" w:rsidRPr="00B97E44" w:rsidP="001916A9">
      <w:pPr>
        <w:spacing w:line="269" w:lineRule="auto"/>
        <w:rPr>
          <w:rtl/>
        </w:rPr>
      </w:pPr>
      <w:r w:rsidRPr="00B97E44">
        <w:rPr>
          <w:rFonts w:hint="cs"/>
          <w:rtl/>
        </w:rPr>
        <w:t xml:space="preserve">ביוני 2024 הביעה עיריית </w:t>
      </w:r>
      <w:r w:rsidRPr="00B97E44">
        <w:rPr>
          <w:rFonts w:hint="cs"/>
          <w:b/>
          <w:bCs/>
          <w:rtl/>
        </w:rPr>
        <w:t>אופקים</w:t>
      </w:r>
      <w:r w:rsidRPr="00B97E44">
        <w:rPr>
          <w:rFonts w:hint="cs"/>
          <w:rtl/>
        </w:rPr>
        <w:t xml:space="preserve"> בפני צוות הביקורת חשש כי הפערים בתחום החינוך בינה ובין המועצות האזוריות הסמוכות עשויים להתרחב בעקבות התוכנית, בין באמצעות משיכה של תלמידים למערכות החינוך ביישובים הסמוכים ובין באמצעות משיכה של מורים אליהם, ובכך לפגוע במערכת החינוך בעיר.</w:t>
      </w:r>
    </w:p>
    <w:p w:rsidR="005B126E" w:rsidP="001916A9">
      <w:pPr>
        <w:spacing w:line="269" w:lineRule="auto"/>
        <w:rPr>
          <w:b/>
          <w:bCs/>
          <w:rtl/>
        </w:rPr>
      </w:pPr>
      <w:bookmarkStart w:id="66" w:name="_Hlk207636216"/>
    </w:p>
    <w:p w:rsidR="005B126E" w:rsidRPr="00B97E44" w:rsidP="001916A9">
      <w:pPr>
        <w:spacing w:line="269" w:lineRule="auto"/>
        <w:rPr>
          <w:b/>
          <w:bCs/>
          <w:rtl/>
        </w:rPr>
      </w:pPr>
      <w:r w:rsidRPr="00B97E44">
        <w:rPr>
          <w:rFonts w:hint="cs"/>
          <w:b/>
          <w:bCs/>
          <w:rtl/>
        </w:rPr>
        <w:t>בכוחה של התוכנית</w:t>
      </w:r>
      <w:r w:rsidRPr="00B97E44">
        <w:rPr>
          <w:b/>
          <w:bCs/>
          <w:rtl/>
        </w:rPr>
        <w:t xml:space="preserve"> </w:t>
      </w:r>
      <w:r w:rsidRPr="00B97E44">
        <w:rPr>
          <w:rFonts w:hint="cs"/>
          <w:b/>
          <w:bCs/>
          <w:rtl/>
        </w:rPr>
        <w:t>לשיקום</w:t>
      </w:r>
      <w:r w:rsidRPr="00B97E44">
        <w:rPr>
          <w:b/>
          <w:bCs/>
          <w:rtl/>
        </w:rPr>
        <w:t xml:space="preserve"> </w:t>
      </w:r>
      <w:r w:rsidRPr="00B97E44">
        <w:rPr>
          <w:rFonts w:hint="cs"/>
          <w:b/>
          <w:bCs/>
          <w:rtl/>
        </w:rPr>
        <w:t>ולפיתוח</w:t>
      </w:r>
      <w:r w:rsidRPr="00B97E44">
        <w:rPr>
          <w:b/>
          <w:bCs/>
          <w:rtl/>
        </w:rPr>
        <w:t xml:space="preserve"> </w:t>
      </w:r>
      <w:r w:rsidRPr="00B97E44">
        <w:rPr>
          <w:rFonts w:hint="cs"/>
          <w:b/>
          <w:bCs/>
          <w:rtl/>
        </w:rPr>
        <w:t>היישובים הסמוכים לחבל והמשאבים המוקצים בה לתחום החינוך</w:t>
      </w:r>
      <w:r>
        <w:rPr>
          <w:b/>
          <w:bCs/>
          <w:vertAlign w:val="superscript"/>
          <w:rtl/>
        </w:rPr>
        <w:footnoteReference w:id="136"/>
      </w:r>
      <w:r w:rsidRPr="00B97E44">
        <w:rPr>
          <w:rFonts w:hint="cs"/>
          <w:b/>
          <w:bCs/>
          <w:rtl/>
        </w:rPr>
        <w:t xml:space="preserve"> לחולל שינוי של ממש ולצמצם את הפערים המוצגים לעיל בתחום החינוך בין עיריות אופקים ונתיבות לבין היישובים הסמוכים</w:t>
      </w:r>
      <w:bookmarkEnd w:id="66"/>
      <w:r w:rsidRPr="00B97E44">
        <w:rPr>
          <w:rFonts w:hint="cs"/>
          <w:b/>
          <w:bCs/>
          <w:rtl/>
        </w:rPr>
        <w:t>.</w:t>
      </w:r>
    </w:p>
    <w:p w:rsidR="005B126E" w:rsidRPr="00B97E44" w:rsidP="001916A9">
      <w:pPr>
        <w:spacing w:line="269" w:lineRule="auto"/>
        <w:rPr>
          <w:b/>
          <w:bCs/>
          <w:rtl/>
        </w:rPr>
      </w:pPr>
      <w:r w:rsidRPr="00B97E44">
        <w:rPr>
          <w:rFonts w:hint="cs"/>
          <w:b/>
          <w:bCs/>
          <w:rtl/>
        </w:rPr>
        <w:t xml:space="preserve">משרד מבקר המדינה ממליץ למשרד החינוך ולעיריות אופקים ונתיבות לפעול ליישום מלא של התוכנית לקידום החינוך בתחומן, לעקוב אחר השפעת תוכנית החומש והתוכניות לשיקום ופיתוח היישובים הסמוכים לחבל התקומה ולפעול ביתר שאת </w:t>
      </w:r>
      <w:r w:rsidRPr="00B97E44">
        <w:rPr>
          <w:rFonts w:hint="eastAsia"/>
          <w:b/>
          <w:bCs/>
          <w:rtl/>
        </w:rPr>
        <w:t>לקידומן</w:t>
      </w:r>
      <w:r w:rsidRPr="00B97E44">
        <w:rPr>
          <w:b/>
          <w:bCs/>
          <w:rtl/>
        </w:rPr>
        <w:t xml:space="preserve"> </w:t>
      </w:r>
      <w:r w:rsidRPr="00B97E44">
        <w:rPr>
          <w:rFonts w:hint="eastAsia"/>
          <w:b/>
          <w:bCs/>
          <w:rtl/>
        </w:rPr>
        <w:t>של</w:t>
      </w:r>
      <w:r w:rsidRPr="00B97E44">
        <w:rPr>
          <w:b/>
          <w:bCs/>
          <w:rtl/>
        </w:rPr>
        <w:t xml:space="preserve"> </w:t>
      </w:r>
      <w:r w:rsidRPr="00B97E44">
        <w:rPr>
          <w:rFonts w:hint="eastAsia"/>
          <w:b/>
          <w:bCs/>
          <w:rtl/>
        </w:rPr>
        <w:t>מערכות</w:t>
      </w:r>
      <w:r w:rsidRPr="00B97E44">
        <w:rPr>
          <w:b/>
          <w:bCs/>
          <w:rtl/>
        </w:rPr>
        <w:t xml:space="preserve"> </w:t>
      </w:r>
      <w:r w:rsidRPr="00B97E44">
        <w:rPr>
          <w:rFonts w:hint="eastAsia"/>
          <w:b/>
          <w:bCs/>
          <w:rtl/>
        </w:rPr>
        <w:t>החינוך</w:t>
      </w:r>
      <w:r w:rsidRPr="00B97E44">
        <w:rPr>
          <w:b/>
          <w:bCs/>
          <w:rtl/>
        </w:rPr>
        <w:t xml:space="preserve"> </w:t>
      </w:r>
      <w:r w:rsidRPr="00B97E44">
        <w:rPr>
          <w:rFonts w:hint="eastAsia"/>
          <w:b/>
          <w:bCs/>
          <w:rtl/>
        </w:rPr>
        <w:t>בערים</w:t>
      </w:r>
      <w:r w:rsidRPr="00B97E44">
        <w:rPr>
          <w:b/>
          <w:bCs/>
          <w:rtl/>
        </w:rPr>
        <w:t xml:space="preserve"> </w:t>
      </w:r>
      <w:r w:rsidRPr="00B97E44">
        <w:rPr>
          <w:rFonts w:hint="eastAsia"/>
          <w:b/>
          <w:bCs/>
          <w:rtl/>
        </w:rPr>
        <w:t>הללו</w:t>
      </w:r>
      <w:r w:rsidRPr="00B97E44">
        <w:rPr>
          <w:b/>
          <w:bCs/>
          <w:rtl/>
        </w:rPr>
        <w:t>.</w:t>
      </w:r>
    </w:p>
    <w:p w:rsidR="005B126E" w:rsidP="001916A9">
      <w:pPr>
        <w:spacing w:line="269" w:lineRule="auto"/>
        <w:rPr>
          <w:rtl/>
        </w:rPr>
      </w:pPr>
    </w:p>
    <w:p w:rsidR="005B126E" w:rsidRPr="00B97E44" w:rsidP="001916A9">
      <w:pPr>
        <w:spacing w:line="269" w:lineRule="auto"/>
        <w:rPr>
          <w:rtl/>
        </w:rPr>
      </w:pPr>
      <w:r w:rsidRPr="00B97E44">
        <w:rPr>
          <w:rFonts w:hint="cs"/>
          <w:rtl/>
        </w:rPr>
        <w:t>יודגש כי בתוכנית החומש נקבעה תוכנית לגיוס עובדי הוראה חדשים לחבל התקומה בעוד בתוכנית השיקום והפיתוח ביישובים הסמוכים לחבל לא נקבעה תוכנית דומה. התוכנית לגיוס עובדי הוראה חדשים לחבל יכולה להביא ל</w:t>
      </w:r>
      <w:r w:rsidRPr="00B97E44">
        <w:rPr>
          <w:rFonts w:hint="eastAsia"/>
          <w:rtl/>
        </w:rPr>
        <w:t>עזיבת</w:t>
      </w:r>
      <w:r w:rsidRPr="00B97E44">
        <w:rPr>
          <w:rFonts w:hint="cs"/>
          <w:rtl/>
        </w:rPr>
        <w:t>ם של</w:t>
      </w:r>
      <w:r w:rsidRPr="00B97E44">
        <w:rPr>
          <w:rtl/>
        </w:rPr>
        <w:t xml:space="preserve"> עובדי הוראה איכותיים לחבל התקומה בשל התמריצים שהם יקבלו </w:t>
      </w:r>
      <w:r w:rsidRPr="00B97E44">
        <w:rPr>
          <w:rFonts w:hint="cs"/>
          <w:rtl/>
        </w:rPr>
        <w:t xml:space="preserve">אם יעבדו שם. כאמור, </w:t>
      </w:r>
      <w:r w:rsidRPr="00B97E44">
        <w:rPr>
          <w:rtl/>
        </w:rPr>
        <w:t xml:space="preserve">עובדי ההוראה בישראל </w:t>
      </w:r>
      <w:r w:rsidRPr="00B97E44">
        <w:rPr>
          <w:rFonts w:hint="cs"/>
          <w:rtl/>
        </w:rPr>
        <w:t>הם</w:t>
      </w:r>
      <w:r w:rsidRPr="00B97E44">
        <w:rPr>
          <w:rtl/>
        </w:rPr>
        <w:t xml:space="preserve"> משאב </w:t>
      </w:r>
      <w:r w:rsidRPr="00B97E44">
        <w:rPr>
          <w:rFonts w:hint="cs"/>
          <w:rtl/>
        </w:rPr>
        <w:t>ה</w:t>
      </w:r>
      <w:r w:rsidRPr="00B97E44">
        <w:rPr>
          <w:rtl/>
        </w:rPr>
        <w:t>מצוי בחסר</w:t>
      </w:r>
      <w:r w:rsidRPr="00B97E44">
        <w:rPr>
          <w:rFonts w:hint="cs"/>
          <w:rtl/>
        </w:rPr>
        <w:t xml:space="preserve"> במדינה כולה זה כמה שנים (ראו תת-הפרק בנושא </w:t>
      </w:r>
      <w:r w:rsidRPr="00B97E44">
        <w:rPr>
          <w:rFonts w:hint="cs"/>
          <w:rtl/>
        </w:rPr>
        <w:t>תמרוץ</w:t>
      </w:r>
      <w:r w:rsidRPr="00B97E44">
        <w:rPr>
          <w:rFonts w:hint="cs"/>
          <w:rtl/>
        </w:rPr>
        <w:t xml:space="preserve"> עובדי הוראה לעיל)</w:t>
      </w:r>
      <w:r w:rsidRPr="00B97E44">
        <w:rPr>
          <w:rtl/>
        </w:rPr>
        <w:t>. לאור זאת, ת</w:t>
      </w:r>
      <w:r w:rsidRPr="00B97E44">
        <w:rPr>
          <w:rFonts w:hint="cs"/>
          <w:rtl/>
        </w:rPr>
        <w:t>ו</w:t>
      </w:r>
      <w:r w:rsidRPr="00B97E44">
        <w:rPr>
          <w:rtl/>
        </w:rPr>
        <w:t xml:space="preserve">כנית </w:t>
      </w:r>
      <w:r w:rsidRPr="00B97E44">
        <w:rPr>
          <w:rtl/>
        </w:rPr>
        <w:t>תמרוץ</w:t>
      </w:r>
      <w:r w:rsidRPr="00B97E44">
        <w:rPr>
          <w:rtl/>
        </w:rPr>
        <w:t xml:space="preserve"> שמטרת</w:t>
      </w:r>
      <w:r w:rsidRPr="00B97E44">
        <w:rPr>
          <w:rFonts w:hint="cs"/>
          <w:rtl/>
        </w:rPr>
        <w:t>ה</w:t>
      </w:r>
      <w:r w:rsidRPr="00B97E44">
        <w:rPr>
          <w:rtl/>
        </w:rPr>
        <w:t xml:space="preserve"> למשוך </w:t>
      </w:r>
      <w:r w:rsidRPr="00B97E44">
        <w:rPr>
          <w:rFonts w:hint="cs"/>
          <w:rtl/>
        </w:rPr>
        <w:t>עובדי הוראה</w:t>
      </w:r>
      <w:r w:rsidRPr="00B97E44">
        <w:rPr>
          <w:rtl/>
        </w:rPr>
        <w:t xml:space="preserve"> </w:t>
      </w:r>
      <w:r w:rsidRPr="00B97E44">
        <w:rPr>
          <w:rFonts w:hint="cs"/>
          <w:rtl/>
        </w:rPr>
        <w:t>לחבל התקומה</w:t>
      </w:r>
      <w:r w:rsidRPr="00B97E44">
        <w:rPr>
          <w:rtl/>
        </w:rPr>
        <w:t xml:space="preserve"> עלול</w:t>
      </w:r>
      <w:r w:rsidRPr="00B97E44">
        <w:rPr>
          <w:rFonts w:hint="cs"/>
          <w:rtl/>
        </w:rPr>
        <w:t>ה</w:t>
      </w:r>
      <w:r w:rsidRPr="00B97E44">
        <w:rPr>
          <w:rtl/>
        </w:rPr>
        <w:t xml:space="preserve"> לגרום לחסר באזורי</w:t>
      </w:r>
      <w:r w:rsidRPr="00B97E44">
        <w:rPr>
          <w:rFonts w:hint="cs"/>
          <w:rtl/>
        </w:rPr>
        <w:t>ם</w:t>
      </w:r>
      <w:r w:rsidRPr="00B97E44">
        <w:rPr>
          <w:rtl/>
        </w:rPr>
        <w:t xml:space="preserve"> </w:t>
      </w:r>
      <w:r w:rsidRPr="00B97E44">
        <w:rPr>
          <w:rFonts w:hint="cs"/>
          <w:rtl/>
        </w:rPr>
        <w:t xml:space="preserve">הסמוכים. </w:t>
      </w:r>
    </w:p>
    <w:p w:rsidR="005B126E" w:rsidP="001916A9">
      <w:pPr>
        <w:spacing w:line="269" w:lineRule="auto"/>
        <w:rPr>
          <w:rtl/>
        </w:rPr>
      </w:pPr>
    </w:p>
    <w:p w:rsidR="005B126E" w:rsidRPr="00B97E44" w:rsidP="001916A9">
      <w:pPr>
        <w:spacing w:line="269" w:lineRule="auto"/>
        <w:rPr>
          <w:rtl/>
        </w:rPr>
      </w:pPr>
      <w:r w:rsidRPr="00B97E44">
        <w:rPr>
          <w:rFonts w:hint="cs"/>
          <w:rtl/>
        </w:rPr>
        <w:t>על פי חוזר</w:t>
      </w:r>
      <w:r w:rsidRPr="00B97E44">
        <w:rPr>
          <w:rtl/>
        </w:rPr>
        <w:t xml:space="preserve"> הממונה על השכ</w:t>
      </w:r>
      <w:r w:rsidRPr="00B97E44">
        <w:rPr>
          <w:rFonts w:hint="cs"/>
          <w:rtl/>
        </w:rPr>
        <w:t xml:space="preserve">ר במשרד האוצר </w:t>
      </w:r>
      <w:r w:rsidRPr="00B97E44">
        <w:rPr>
          <w:rFonts w:hint="cs"/>
          <w:rtl/>
        </w:rPr>
        <w:t>לתמרוץ</w:t>
      </w:r>
      <w:r w:rsidRPr="00B97E44">
        <w:rPr>
          <w:rFonts w:hint="cs"/>
          <w:rtl/>
        </w:rPr>
        <w:t xml:space="preserve"> עובדי הוראה בחבל התקומה</w:t>
      </w:r>
      <w:r w:rsidRPr="00B97E44">
        <w:rPr>
          <w:rtl/>
        </w:rPr>
        <w:t xml:space="preserve">, עובד הוראה שמקום עבודתו הקודם נמצא בתחום של עד </w:t>
      </w:r>
      <w:r w:rsidRPr="00B97E44">
        <w:rPr>
          <w:rFonts w:hint="cs"/>
          <w:rtl/>
        </w:rPr>
        <w:t>5</w:t>
      </w:r>
      <w:r w:rsidRPr="00B97E44">
        <w:rPr>
          <w:rtl/>
        </w:rPr>
        <w:t xml:space="preserve"> ק"מ מיישובי חבל התקומה </w:t>
      </w:r>
      <w:r w:rsidRPr="00B97E44">
        <w:rPr>
          <w:rFonts w:hint="cs"/>
          <w:rtl/>
        </w:rPr>
        <w:t>-</w:t>
      </w:r>
      <w:r w:rsidRPr="00B97E44">
        <w:rPr>
          <w:rtl/>
        </w:rPr>
        <w:t xml:space="preserve"> לא יהיה זכאי לתגמול הכספי הניתן בגין מעבר ללמד בחבל התקומה. </w:t>
      </w:r>
      <w:r w:rsidRPr="00B97E44">
        <w:rPr>
          <w:rFonts w:hint="cs"/>
          <w:rtl/>
        </w:rPr>
        <w:t>עם זאת</w:t>
      </w:r>
      <w:r w:rsidRPr="00B97E44">
        <w:rPr>
          <w:rtl/>
        </w:rPr>
        <w:t>,</w:t>
      </w:r>
      <w:r w:rsidRPr="00B97E44">
        <w:rPr>
          <w:rFonts w:hint="cs"/>
          <w:rtl/>
        </w:rPr>
        <w:t xml:space="preserve"> עובדי הוראה ביישובים כגון </w:t>
      </w:r>
      <w:r w:rsidRPr="00B97E44">
        <w:rPr>
          <w:rFonts w:hint="eastAsia"/>
          <w:b/>
          <w:bCs/>
          <w:rtl/>
        </w:rPr>
        <w:t>אופקים</w:t>
      </w:r>
      <w:r w:rsidRPr="00B97E44">
        <w:rPr>
          <w:rFonts w:hint="cs"/>
          <w:rtl/>
        </w:rPr>
        <w:t xml:space="preserve"> ואף יישובים מהמועצות האזוריות </w:t>
      </w:r>
      <w:r w:rsidRPr="00B97E44">
        <w:rPr>
          <w:rFonts w:hint="eastAsia"/>
          <w:b/>
          <w:bCs/>
          <w:rtl/>
        </w:rPr>
        <w:t>אשכול</w:t>
      </w:r>
      <w:r w:rsidRPr="00B97E44">
        <w:rPr>
          <w:rtl/>
        </w:rPr>
        <w:t>,</w:t>
      </w:r>
      <w:r w:rsidRPr="00B97E44">
        <w:rPr>
          <w:b/>
          <w:bCs/>
          <w:rtl/>
        </w:rPr>
        <w:t xml:space="preserve"> </w:t>
      </w:r>
      <w:r w:rsidRPr="00B97E44">
        <w:rPr>
          <w:rFonts w:hint="eastAsia"/>
          <w:b/>
          <w:bCs/>
          <w:rtl/>
        </w:rPr>
        <w:t>חוף</w:t>
      </w:r>
      <w:r w:rsidRPr="00B97E44">
        <w:rPr>
          <w:b/>
          <w:bCs/>
          <w:rtl/>
        </w:rPr>
        <w:t xml:space="preserve"> </w:t>
      </w:r>
      <w:r w:rsidRPr="00B97E44">
        <w:rPr>
          <w:rFonts w:hint="eastAsia"/>
          <w:b/>
          <w:bCs/>
          <w:rtl/>
        </w:rPr>
        <w:t>אשקלון</w:t>
      </w:r>
      <w:r w:rsidRPr="00B97E44">
        <w:rPr>
          <w:rtl/>
        </w:rPr>
        <w:t>,</w:t>
      </w:r>
      <w:r w:rsidRPr="00B97E44">
        <w:rPr>
          <w:b/>
          <w:bCs/>
          <w:rtl/>
        </w:rPr>
        <w:t xml:space="preserve"> </w:t>
      </w:r>
      <w:r w:rsidRPr="00B97E44">
        <w:rPr>
          <w:rFonts w:hint="eastAsia"/>
          <w:b/>
          <w:bCs/>
          <w:rtl/>
        </w:rPr>
        <w:t>שדות</w:t>
      </w:r>
      <w:r w:rsidRPr="00B97E44">
        <w:rPr>
          <w:b/>
          <w:bCs/>
          <w:rtl/>
        </w:rPr>
        <w:t xml:space="preserve"> </w:t>
      </w:r>
      <w:r w:rsidRPr="00B97E44">
        <w:rPr>
          <w:rFonts w:hint="eastAsia"/>
          <w:b/>
          <w:bCs/>
          <w:rtl/>
        </w:rPr>
        <w:t>נגב</w:t>
      </w:r>
      <w:r w:rsidRPr="00B97E44">
        <w:rPr>
          <w:b/>
          <w:bCs/>
          <w:rtl/>
        </w:rPr>
        <w:t xml:space="preserve"> </w:t>
      </w:r>
      <w:r w:rsidRPr="00B97E44">
        <w:rPr>
          <w:rFonts w:hint="eastAsia"/>
          <w:rtl/>
        </w:rPr>
        <w:t>ו</w:t>
      </w:r>
      <w:r w:rsidRPr="00B97E44">
        <w:rPr>
          <w:rFonts w:hint="eastAsia"/>
          <w:b/>
          <w:bCs/>
          <w:rtl/>
        </w:rPr>
        <w:t>שער</w:t>
      </w:r>
      <w:r w:rsidRPr="00B97E44">
        <w:rPr>
          <w:b/>
          <w:bCs/>
          <w:rtl/>
        </w:rPr>
        <w:t xml:space="preserve"> </w:t>
      </w:r>
      <w:r w:rsidRPr="00B97E44">
        <w:rPr>
          <w:rFonts w:hint="eastAsia"/>
          <w:b/>
          <w:bCs/>
          <w:rtl/>
        </w:rPr>
        <w:t>הנגב</w:t>
      </w:r>
      <w:r w:rsidRPr="00B97E44">
        <w:rPr>
          <w:rFonts w:hint="cs"/>
          <w:rtl/>
        </w:rPr>
        <w:t>, שאינם בגבולות החבל ומרוחקים מעל 5 ק"מ מגבולות החבל, יכולים לבחור לעבור לעבוד בתחומיו וליהנות מהתגמול.</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כאמור, במסגרת תוכנית </w:t>
      </w:r>
      <w:r w:rsidRPr="00B97E44">
        <w:rPr>
          <w:rFonts w:hint="cs"/>
          <w:rtl/>
        </w:rPr>
        <w:t>התמרוץ</w:t>
      </w:r>
      <w:r w:rsidRPr="00B97E44">
        <w:rPr>
          <w:rFonts w:hint="cs"/>
          <w:rtl/>
        </w:rPr>
        <w:t xml:space="preserve"> גויסו 85 מורים חדשים לעבודה במוסדות החינוך בחבל התקומה. משרד החינוך הציג נתונים הנוגעים למוסד החינוך שבו הועסקו בשנים 2023 - 2024 לגבי 48 מורים בלבד</w:t>
      </w:r>
      <w:r>
        <w:rPr>
          <w:vertAlign w:val="superscript"/>
          <w:rtl/>
        </w:rPr>
        <w:footnoteReference w:id="137"/>
      </w:r>
      <w:r w:rsidRPr="00B97E44">
        <w:rPr>
          <w:rFonts w:hint="cs"/>
          <w:rtl/>
        </w:rPr>
        <w:t xml:space="preserve">. </w:t>
      </w:r>
    </w:p>
    <w:p w:rsidR="005B126E" w:rsidP="001916A9">
      <w:pPr>
        <w:spacing w:line="269" w:lineRule="auto"/>
        <w:rPr>
          <w:b/>
          <w:bCs/>
          <w:rtl/>
        </w:rPr>
      </w:pPr>
    </w:p>
    <w:p w:rsidR="005B126E" w:rsidRPr="00B97E44" w:rsidP="001916A9">
      <w:pPr>
        <w:spacing w:line="269" w:lineRule="auto"/>
        <w:rPr>
          <w:b/>
          <w:bCs/>
          <w:rtl/>
        </w:rPr>
      </w:pPr>
      <w:r w:rsidRPr="00B97E44">
        <w:rPr>
          <w:rFonts w:hint="cs"/>
          <w:b/>
          <w:bCs/>
          <w:rtl/>
        </w:rPr>
        <w:t xml:space="preserve">ניתוח הנתונים העלה </w:t>
      </w:r>
      <w:r w:rsidRPr="00B97E44">
        <w:rPr>
          <w:rFonts w:hint="eastAsia"/>
          <w:b/>
          <w:bCs/>
          <w:rtl/>
        </w:rPr>
        <w:t>כי</w:t>
      </w:r>
      <w:r w:rsidRPr="00B97E44">
        <w:rPr>
          <w:b/>
          <w:bCs/>
        </w:rPr>
        <w:t xml:space="preserve"> </w:t>
      </w:r>
      <w:r w:rsidRPr="00B97E44">
        <w:rPr>
          <w:rFonts w:hint="eastAsia"/>
          <w:b/>
          <w:bCs/>
          <w:rtl/>
        </w:rPr>
        <w:t>מתוך</w:t>
      </w:r>
      <w:r w:rsidRPr="00B97E44">
        <w:rPr>
          <w:b/>
          <w:bCs/>
          <w:rtl/>
        </w:rPr>
        <w:t xml:space="preserve"> </w:t>
      </w:r>
      <w:r w:rsidRPr="00B97E44">
        <w:rPr>
          <w:rFonts w:hint="cs"/>
          <w:b/>
          <w:bCs/>
          <w:rtl/>
        </w:rPr>
        <w:t xml:space="preserve">48 </w:t>
      </w:r>
      <w:r w:rsidRPr="00B97E44">
        <w:rPr>
          <w:b/>
          <w:bCs/>
          <w:rtl/>
        </w:rPr>
        <w:t>מורים חדשים</w:t>
      </w:r>
      <w:r w:rsidRPr="00B97E44">
        <w:rPr>
          <w:rFonts w:hint="cs"/>
          <w:b/>
          <w:bCs/>
          <w:rtl/>
        </w:rPr>
        <w:t xml:space="preserve"> בחבל</w:t>
      </w:r>
      <w:r w:rsidRPr="00B97E44">
        <w:rPr>
          <w:b/>
          <w:bCs/>
          <w:rtl/>
        </w:rPr>
        <w:t xml:space="preserve"> </w:t>
      </w:r>
      <w:r w:rsidRPr="00B97E44">
        <w:rPr>
          <w:rFonts w:hint="cs"/>
          <w:b/>
          <w:bCs/>
          <w:rtl/>
        </w:rPr>
        <w:t>שלגביהם מסר משרד החינוך</w:t>
      </w:r>
      <w:r w:rsidRPr="00B97E44">
        <w:rPr>
          <w:b/>
          <w:bCs/>
          <w:rtl/>
        </w:rPr>
        <w:t xml:space="preserve"> מידע </w:t>
      </w:r>
      <w:r w:rsidRPr="00B97E44">
        <w:rPr>
          <w:rFonts w:hint="cs"/>
          <w:b/>
          <w:bCs/>
          <w:rtl/>
        </w:rPr>
        <w:t>בנוגע</w:t>
      </w:r>
      <w:r w:rsidRPr="00B97E44">
        <w:rPr>
          <w:b/>
          <w:bCs/>
          <w:rtl/>
        </w:rPr>
        <w:t xml:space="preserve"> </w:t>
      </w:r>
      <w:r w:rsidRPr="00B97E44">
        <w:rPr>
          <w:rFonts w:hint="cs"/>
          <w:b/>
          <w:bCs/>
          <w:rtl/>
        </w:rPr>
        <w:t>ל</w:t>
      </w:r>
      <w:r w:rsidRPr="00B97E44">
        <w:rPr>
          <w:b/>
          <w:bCs/>
          <w:rtl/>
        </w:rPr>
        <w:t xml:space="preserve">מוסד </w:t>
      </w:r>
      <w:r w:rsidRPr="00B97E44">
        <w:rPr>
          <w:rFonts w:hint="cs"/>
          <w:b/>
          <w:bCs/>
          <w:rtl/>
        </w:rPr>
        <w:t>ה</w:t>
      </w:r>
      <w:r w:rsidRPr="00B97E44">
        <w:rPr>
          <w:b/>
          <w:bCs/>
          <w:rtl/>
        </w:rPr>
        <w:t>חינו</w:t>
      </w:r>
      <w:r w:rsidRPr="00B97E44">
        <w:rPr>
          <w:rFonts w:hint="cs"/>
          <w:b/>
          <w:bCs/>
          <w:rtl/>
        </w:rPr>
        <w:t xml:space="preserve">ך </w:t>
      </w:r>
      <w:r w:rsidRPr="00B97E44">
        <w:rPr>
          <w:b/>
          <w:bCs/>
          <w:rtl/>
        </w:rPr>
        <w:t xml:space="preserve">הקודם </w:t>
      </w:r>
      <w:r w:rsidRPr="00B97E44">
        <w:rPr>
          <w:rFonts w:hint="cs"/>
          <w:b/>
          <w:bCs/>
          <w:rtl/>
        </w:rPr>
        <w:t>ש</w:t>
      </w:r>
      <w:r w:rsidRPr="00B97E44">
        <w:rPr>
          <w:b/>
          <w:bCs/>
          <w:rtl/>
        </w:rPr>
        <w:t xml:space="preserve">בו </w:t>
      </w:r>
      <w:r w:rsidRPr="00B97E44">
        <w:rPr>
          <w:rFonts w:hint="cs"/>
          <w:b/>
          <w:bCs/>
          <w:rtl/>
        </w:rPr>
        <w:t>הועסקו</w:t>
      </w:r>
      <w:r w:rsidRPr="00B97E44">
        <w:rPr>
          <w:b/>
          <w:bCs/>
          <w:rtl/>
        </w:rPr>
        <w:t xml:space="preserve"> בשנ</w:t>
      </w:r>
      <w:r w:rsidRPr="00B97E44">
        <w:rPr>
          <w:rFonts w:hint="cs"/>
          <w:b/>
          <w:bCs/>
          <w:rtl/>
        </w:rPr>
        <w:t>ו</w:t>
      </w:r>
      <w:r w:rsidRPr="00B97E44">
        <w:rPr>
          <w:b/>
          <w:bCs/>
          <w:rtl/>
        </w:rPr>
        <w:t>ת</w:t>
      </w:r>
      <w:r w:rsidRPr="00B97E44">
        <w:rPr>
          <w:rFonts w:hint="cs"/>
          <w:b/>
          <w:bCs/>
          <w:rtl/>
        </w:rPr>
        <w:t xml:space="preserve"> הלימודים תשפ"ד </w:t>
      </w:r>
      <w:r w:rsidRPr="00B97E44">
        <w:rPr>
          <w:rFonts w:hint="cs"/>
          <w:b/>
          <w:bCs/>
          <w:rtl/>
        </w:rPr>
        <w:t>ותשפ"ג</w:t>
      </w:r>
      <w:r w:rsidRPr="00B97E44">
        <w:rPr>
          <w:b/>
          <w:bCs/>
          <w:rtl/>
        </w:rPr>
        <w:t>,</w:t>
      </w:r>
      <w:r w:rsidRPr="00B97E44">
        <w:rPr>
          <w:rFonts w:hint="cs"/>
          <w:b/>
          <w:bCs/>
          <w:rtl/>
        </w:rPr>
        <w:t xml:space="preserve"> מעלה כי</w:t>
      </w:r>
      <w:r w:rsidRPr="00B97E44">
        <w:rPr>
          <w:b/>
          <w:bCs/>
          <w:rtl/>
        </w:rPr>
        <w:t xml:space="preserve"> </w:t>
      </w:r>
      <w:r w:rsidRPr="00B97E44">
        <w:rPr>
          <w:rFonts w:hint="cs"/>
          <w:b/>
          <w:bCs/>
          <w:rtl/>
        </w:rPr>
        <w:t>ארבעה הועסקו ב</w:t>
      </w:r>
      <w:r w:rsidRPr="00B97E44">
        <w:rPr>
          <w:b/>
          <w:bCs/>
          <w:rtl/>
        </w:rPr>
        <w:t>מועצה אזורית מרחבים,</w:t>
      </w:r>
      <w:r w:rsidRPr="00B97E44">
        <w:rPr>
          <w:rFonts w:hint="cs"/>
          <w:b/>
          <w:bCs/>
          <w:rtl/>
        </w:rPr>
        <w:t xml:space="preserve"> שניים ב</w:t>
      </w:r>
      <w:r w:rsidRPr="00B97E44">
        <w:rPr>
          <w:rFonts w:hint="eastAsia"/>
          <w:b/>
          <w:bCs/>
          <w:rtl/>
        </w:rPr>
        <w:t>נתיבות</w:t>
      </w:r>
      <w:r w:rsidRPr="00B97E44">
        <w:rPr>
          <w:b/>
          <w:bCs/>
          <w:rtl/>
        </w:rPr>
        <w:t xml:space="preserve"> </w:t>
      </w:r>
      <w:r w:rsidRPr="00B97E44">
        <w:rPr>
          <w:rFonts w:hint="eastAsia"/>
          <w:b/>
          <w:bCs/>
          <w:rtl/>
        </w:rPr>
        <w:t>ו</w:t>
      </w:r>
      <w:r w:rsidRPr="00B97E44">
        <w:rPr>
          <w:rFonts w:hint="cs"/>
          <w:b/>
          <w:bCs/>
          <w:rtl/>
        </w:rPr>
        <w:t>אחד</w:t>
      </w:r>
      <w:r w:rsidRPr="00B97E44">
        <w:rPr>
          <w:b/>
          <w:bCs/>
          <w:rtl/>
        </w:rPr>
        <w:t xml:space="preserve"> </w:t>
      </w:r>
      <w:r w:rsidRPr="00B97E44">
        <w:rPr>
          <w:rFonts w:hint="cs"/>
          <w:b/>
          <w:bCs/>
          <w:rtl/>
        </w:rPr>
        <w:t>ב</w:t>
      </w:r>
      <w:r w:rsidRPr="00B97E44">
        <w:rPr>
          <w:rFonts w:hint="eastAsia"/>
          <w:b/>
          <w:bCs/>
          <w:rtl/>
        </w:rPr>
        <w:t>אופקים</w:t>
      </w:r>
      <w:r w:rsidRPr="00B97E44">
        <w:rPr>
          <w:rFonts w:hint="cs"/>
          <w:b/>
          <w:bCs/>
          <w:rtl/>
        </w:rPr>
        <w:t>.</w:t>
      </w:r>
      <w:r w:rsidRPr="00B97E44">
        <w:rPr>
          <w:b/>
          <w:bCs/>
          <w:rtl/>
        </w:rPr>
        <w:t xml:space="preserve"> </w:t>
      </w:r>
      <w:r w:rsidRPr="00B97E44">
        <w:rPr>
          <w:rFonts w:hint="cs"/>
          <w:b/>
          <w:bCs/>
          <w:rtl/>
        </w:rPr>
        <w:t>כמו כן, חמישה עובדי הוראה הועסקו</w:t>
      </w:r>
      <w:r w:rsidRPr="00B97E44">
        <w:rPr>
          <w:b/>
          <w:bCs/>
          <w:rtl/>
        </w:rPr>
        <w:t xml:space="preserve"> </w:t>
      </w:r>
      <w:r w:rsidRPr="00B97E44">
        <w:rPr>
          <w:rFonts w:hint="cs"/>
          <w:b/>
          <w:bCs/>
          <w:rtl/>
        </w:rPr>
        <w:t>ב</w:t>
      </w:r>
      <w:r w:rsidRPr="00B97E44">
        <w:rPr>
          <w:b/>
          <w:bCs/>
          <w:rtl/>
        </w:rPr>
        <w:t>מ</w:t>
      </w:r>
      <w:r w:rsidRPr="00B97E44">
        <w:rPr>
          <w:rFonts w:hint="eastAsia"/>
          <w:b/>
          <w:bCs/>
          <w:rtl/>
        </w:rPr>
        <w:t>ועצה</w:t>
      </w:r>
      <w:r w:rsidRPr="00B97E44">
        <w:rPr>
          <w:b/>
          <w:bCs/>
          <w:rtl/>
        </w:rPr>
        <w:t xml:space="preserve"> אזורית חוף אשקלון </w:t>
      </w:r>
      <w:r w:rsidRPr="00B97E44">
        <w:rPr>
          <w:rFonts w:hint="eastAsia"/>
          <w:b/>
          <w:bCs/>
          <w:rtl/>
        </w:rPr>
        <w:t>ביישובים</w:t>
      </w:r>
      <w:r w:rsidRPr="00B97E44">
        <w:rPr>
          <w:b/>
          <w:bCs/>
          <w:rtl/>
        </w:rPr>
        <w:t xml:space="preserve"> שאינם שייכם לחבל ועברו לעבוד ביישובים </w:t>
      </w:r>
      <w:r w:rsidRPr="00B97E44">
        <w:rPr>
          <w:rFonts w:hint="eastAsia"/>
          <w:b/>
          <w:bCs/>
          <w:rtl/>
        </w:rPr>
        <w:t>שבתוך</w:t>
      </w:r>
      <w:r w:rsidRPr="00B97E44">
        <w:rPr>
          <w:b/>
          <w:bCs/>
          <w:rtl/>
        </w:rPr>
        <w:t xml:space="preserve"> </w:t>
      </w:r>
      <w:r w:rsidRPr="00B97E44">
        <w:rPr>
          <w:rFonts w:hint="eastAsia"/>
          <w:b/>
          <w:bCs/>
          <w:rtl/>
        </w:rPr>
        <w:t>החבל</w:t>
      </w:r>
      <w:r w:rsidRPr="00B97E44">
        <w:rPr>
          <w:b/>
          <w:bCs/>
          <w:rtl/>
        </w:rPr>
        <w:t>.</w:t>
      </w:r>
    </w:p>
    <w:p w:rsidR="005B126E" w:rsidP="001916A9">
      <w:pPr>
        <w:spacing w:line="269" w:lineRule="auto"/>
        <w:rPr>
          <w:b/>
          <w:bCs/>
          <w:rtl/>
        </w:rPr>
      </w:pPr>
    </w:p>
    <w:p w:rsidR="005B126E" w:rsidRPr="00B97E44" w:rsidP="001916A9">
      <w:pPr>
        <w:spacing w:line="269" w:lineRule="auto"/>
        <w:rPr>
          <w:b/>
          <w:bCs/>
          <w:rtl/>
        </w:rPr>
      </w:pPr>
      <w:r w:rsidRPr="00B97E44">
        <w:rPr>
          <w:rFonts w:hint="cs"/>
          <w:b/>
          <w:bCs/>
          <w:rtl/>
        </w:rPr>
        <w:t xml:space="preserve">מכאן, עולה חשש כי עובדי הוראה המועסקים במוסדות חינוך ברחבי המדינה בכלל ובאופקים, בנתיבות ובמרחבים בפרט, עלולים לעבור לעבוד ביישובי חבל התקומה בעקבות תוכנית </w:t>
      </w:r>
      <w:r w:rsidRPr="00B97E44">
        <w:rPr>
          <w:rFonts w:hint="cs"/>
          <w:b/>
          <w:bCs/>
          <w:rtl/>
        </w:rPr>
        <w:t>התמרוץ</w:t>
      </w:r>
      <w:r w:rsidRPr="00B97E44">
        <w:rPr>
          <w:rFonts w:hint="cs"/>
          <w:b/>
          <w:bCs/>
          <w:rtl/>
        </w:rPr>
        <w:t xml:space="preserve"> ובכך לגרום לחסר בצוותי הוראה ברשויות אלו, שהישגיהן בתחום החינוך פחותים מהישגיהם של היישובים בחבל התקומה ודירוגן במדד החברתי-כלכלי נמוך יותר. </w:t>
      </w:r>
    </w:p>
    <w:p w:rsidR="005B126E" w:rsidP="001916A9">
      <w:pPr>
        <w:spacing w:line="269" w:lineRule="auto"/>
        <w:rPr>
          <w:rtl/>
        </w:rPr>
      </w:pPr>
    </w:p>
    <w:p w:rsidR="005B126E" w:rsidRPr="00B97E44" w:rsidP="001916A9">
      <w:pPr>
        <w:spacing w:line="269" w:lineRule="auto"/>
      </w:pPr>
      <w:r w:rsidRPr="00B97E44">
        <w:rPr>
          <w:rFonts w:hint="cs"/>
          <w:rtl/>
        </w:rPr>
        <w:t xml:space="preserve">משרד החינוך השיב כי מטרתה של תוכנית </w:t>
      </w:r>
      <w:r w:rsidRPr="00B97E44">
        <w:rPr>
          <w:rFonts w:hint="cs"/>
          <w:rtl/>
        </w:rPr>
        <w:t>תמרוץ</w:t>
      </w:r>
      <w:r w:rsidRPr="00B97E44">
        <w:rPr>
          <w:rFonts w:hint="cs"/>
          <w:rtl/>
        </w:rPr>
        <w:t xml:space="preserve"> היא לתמרץ עובדים לעבוד באזור אחד על פני אזורים אחרים.</w:t>
      </w:r>
    </w:p>
    <w:p w:rsidR="005B126E" w:rsidP="001916A9">
      <w:pPr>
        <w:spacing w:line="269" w:lineRule="auto"/>
        <w:rPr>
          <w:b/>
          <w:bCs/>
          <w:rtl/>
        </w:rPr>
      </w:pPr>
    </w:p>
    <w:p w:rsidR="005B126E" w:rsidP="001916A9">
      <w:pPr>
        <w:spacing w:line="269" w:lineRule="auto"/>
        <w:rPr>
          <w:b/>
          <w:bCs/>
          <w:rtl/>
        </w:rPr>
      </w:pPr>
      <w:r w:rsidRPr="00B97E44">
        <w:rPr>
          <w:rFonts w:hint="cs"/>
          <w:b/>
          <w:bCs/>
          <w:rtl/>
        </w:rPr>
        <w:t xml:space="preserve">משרד מבקר המדינה ממליץ למשרד החינוך לבדוק את השפעתן של תוכנית </w:t>
      </w:r>
      <w:r w:rsidRPr="00B97E44">
        <w:rPr>
          <w:rFonts w:hint="cs"/>
          <w:b/>
          <w:bCs/>
          <w:rtl/>
        </w:rPr>
        <w:t>התמרוץ</w:t>
      </w:r>
      <w:r w:rsidRPr="00B97E44">
        <w:rPr>
          <w:rFonts w:hint="cs"/>
          <w:b/>
          <w:bCs/>
          <w:rtl/>
        </w:rPr>
        <w:t xml:space="preserve"> בשנת הלימודים תשפ"ה על מצבת כוח האדם בחינוך והוראה ביישובים הסמוכים לחבל התקומה ולוודא כי יישובים אלו לא ייפגעו ממעבר של עובדי חינוך והוראה ליישובי חבל התקומה וכן לנקוט פעולות שיצמצמו פגיעה זו.</w:t>
      </w:r>
    </w:p>
    <w:p w:rsidR="005B126E" w:rsidRPr="00B97E44" w:rsidP="001916A9">
      <w:pPr>
        <w:spacing w:line="269" w:lineRule="auto"/>
        <w:rPr>
          <w:b/>
          <w:bCs/>
          <w:rtl/>
        </w:rPr>
      </w:pPr>
    </w:p>
    <w:p w:rsidR="005B126E" w:rsidRPr="00B97E44" w:rsidP="001916A9">
      <w:pPr>
        <w:spacing w:line="269" w:lineRule="auto"/>
        <w:rPr>
          <w:b/>
          <w:bCs/>
          <w:rtl/>
        </w:rPr>
      </w:pPr>
      <w:r w:rsidRPr="00B97E44">
        <w:rPr>
          <w:rFonts w:hint="cs"/>
          <w:b/>
          <w:bCs/>
          <w:rtl/>
        </w:rPr>
        <w:t>הממצאים לעיל משקפים</w:t>
      </w:r>
      <w:r w:rsidRPr="00B97E44">
        <w:rPr>
          <w:b/>
          <w:bCs/>
          <w:rtl/>
        </w:rPr>
        <w:t xml:space="preserve"> בעיה מערכתית רחבה החורגת מגבולות חבל </w:t>
      </w:r>
      <w:r w:rsidRPr="00B97E44">
        <w:rPr>
          <w:rFonts w:hint="cs"/>
          <w:b/>
          <w:bCs/>
          <w:rtl/>
        </w:rPr>
        <w:t>ה</w:t>
      </w:r>
      <w:r w:rsidRPr="00B97E44">
        <w:rPr>
          <w:b/>
          <w:bCs/>
          <w:rtl/>
        </w:rPr>
        <w:t>תקומה, והיא המחסור המתמשך ב</w:t>
      </w:r>
      <w:r w:rsidRPr="00B97E44">
        <w:rPr>
          <w:rFonts w:hint="eastAsia"/>
          <w:b/>
          <w:bCs/>
          <w:rtl/>
        </w:rPr>
        <w:t>עובדי</w:t>
      </w:r>
      <w:r w:rsidRPr="00B97E44">
        <w:rPr>
          <w:b/>
          <w:bCs/>
          <w:rtl/>
        </w:rPr>
        <w:t xml:space="preserve"> הוראה בפריסה ארצית. אף שהענקת תמריצים </w:t>
      </w:r>
      <w:r w:rsidRPr="00B97E44">
        <w:rPr>
          <w:rFonts w:hint="cs"/>
          <w:b/>
          <w:bCs/>
          <w:rtl/>
        </w:rPr>
        <w:t xml:space="preserve">על בסיס </w:t>
      </w:r>
      <w:r w:rsidRPr="00B97E44">
        <w:rPr>
          <w:b/>
          <w:bCs/>
          <w:rtl/>
        </w:rPr>
        <w:t>ג</w:t>
      </w:r>
      <w:r w:rsidRPr="00B97E44">
        <w:rPr>
          <w:rFonts w:hint="cs"/>
          <w:b/>
          <w:bCs/>
          <w:rtl/>
        </w:rPr>
        <w:t>י</w:t>
      </w:r>
      <w:r w:rsidRPr="00B97E44">
        <w:rPr>
          <w:b/>
          <w:bCs/>
          <w:rtl/>
        </w:rPr>
        <w:t xml:space="preserve">אוגרפי עשויה לשפר זמנית את מצבת המורים באזור מועדף, </w:t>
      </w:r>
      <w:r w:rsidRPr="00B97E44">
        <w:rPr>
          <w:rFonts w:hint="cs"/>
          <w:b/>
          <w:bCs/>
          <w:rtl/>
        </w:rPr>
        <w:t xml:space="preserve">אין </w:t>
      </w:r>
      <w:r w:rsidRPr="00B97E44">
        <w:rPr>
          <w:b/>
          <w:bCs/>
          <w:rtl/>
        </w:rPr>
        <w:t>היא</w:t>
      </w:r>
      <w:r w:rsidRPr="00B97E44">
        <w:rPr>
          <w:rFonts w:hint="cs"/>
          <w:b/>
          <w:bCs/>
          <w:rtl/>
        </w:rPr>
        <w:t xml:space="preserve"> פותרת את </w:t>
      </w:r>
      <w:r w:rsidRPr="00B97E44">
        <w:rPr>
          <w:b/>
          <w:bCs/>
          <w:rtl/>
        </w:rPr>
        <w:t>בעי</w:t>
      </w:r>
      <w:r w:rsidRPr="00B97E44">
        <w:rPr>
          <w:rFonts w:hint="cs"/>
          <w:b/>
          <w:bCs/>
          <w:rtl/>
        </w:rPr>
        <w:t>ית</w:t>
      </w:r>
      <w:r w:rsidRPr="00B97E44">
        <w:rPr>
          <w:b/>
          <w:bCs/>
          <w:rtl/>
        </w:rPr>
        <w:t xml:space="preserve"> </w:t>
      </w:r>
      <w:r w:rsidRPr="00B97E44">
        <w:rPr>
          <w:rFonts w:hint="cs"/>
          <w:b/>
          <w:bCs/>
          <w:rtl/>
        </w:rPr>
        <w:t>ה</w:t>
      </w:r>
      <w:r w:rsidRPr="00B97E44">
        <w:rPr>
          <w:b/>
          <w:bCs/>
          <w:rtl/>
        </w:rPr>
        <w:t xml:space="preserve">שורש </w:t>
      </w:r>
      <w:r w:rsidRPr="00B97E44">
        <w:rPr>
          <w:rFonts w:hint="cs"/>
          <w:b/>
          <w:bCs/>
          <w:rtl/>
        </w:rPr>
        <w:t xml:space="preserve">בדבר </w:t>
      </w:r>
      <w:r w:rsidRPr="00B97E44">
        <w:rPr>
          <w:b/>
          <w:bCs/>
          <w:rtl/>
        </w:rPr>
        <w:t>ההיצע הכלל</w:t>
      </w:r>
      <w:r w:rsidRPr="00B97E44">
        <w:rPr>
          <w:rFonts w:hint="cs"/>
          <w:b/>
          <w:bCs/>
          <w:rtl/>
        </w:rPr>
        <w:t>י של</w:t>
      </w:r>
      <w:r w:rsidRPr="00B97E44">
        <w:rPr>
          <w:b/>
          <w:bCs/>
          <w:rtl/>
        </w:rPr>
        <w:t xml:space="preserve"> עובדי הוראה. בהיעדר תכנון מערכתי לשיפור הכשרת המורים ולהבטחת תנאי עבודה אטרקטיביים בכל רחבי המדינה, מדיניות נקודתית עלולה ליצור אפקט של הסטת כוח אדם מאזור מוחלש אחד למשנהו ולא של חיזוק</w:t>
      </w:r>
      <w:r w:rsidRPr="00B97E44">
        <w:rPr>
          <w:rFonts w:hint="cs"/>
          <w:b/>
          <w:bCs/>
          <w:rtl/>
        </w:rPr>
        <w:t xml:space="preserve"> של ממש ל</w:t>
      </w:r>
      <w:r w:rsidRPr="00B97E44">
        <w:rPr>
          <w:b/>
          <w:bCs/>
          <w:rtl/>
        </w:rPr>
        <w:t xml:space="preserve">מערכת כולה. </w:t>
      </w:r>
    </w:p>
    <w:p w:rsidR="005B126E" w:rsidP="001916A9">
      <w:pPr>
        <w:spacing w:line="269" w:lineRule="auto"/>
        <w:rPr>
          <w:b/>
          <w:bCs/>
          <w:rtl/>
        </w:rPr>
      </w:pPr>
    </w:p>
    <w:p w:rsidR="005B126E" w:rsidRPr="00B97E44" w:rsidP="001916A9">
      <w:pPr>
        <w:spacing w:line="269" w:lineRule="auto"/>
        <w:rPr>
          <w:rtl/>
        </w:rPr>
      </w:pPr>
      <w:r w:rsidRPr="00B97E44">
        <w:rPr>
          <w:rFonts w:hint="cs"/>
          <w:b/>
          <w:bCs/>
          <w:rtl/>
        </w:rPr>
        <w:t xml:space="preserve">משרד </w:t>
      </w:r>
      <w:r w:rsidRPr="00B97E44">
        <w:rPr>
          <w:b/>
          <w:bCs/>
          <w:rtl/>
        </w:rPr>
        <w:t xml:space="preserve">מבקר המדינה </w:t>
      </w:r>
      <w:r w:rsidRPr="00B97E44">
        <w:rPr>
          <w:rFonts w:hint="eastAsia"/>
          <w:b/>
          <w:bCs/>
          <w:rtl/>
        </w:rPr>
        <w:t>ממליץ</w:t>
      </w:r>
      <w:r w:rsidRPr="00B97E44">
        <w:rPr>
          <w:b/>
          <w:bCs/>
          <w:rtl/>
        </w:rPr>
        <w:t xml:space="preserve"> למשרד החינוך לקדם פתרון מערכתי ומקיף שייתן מענה למחסור בעובדי הוראה בכל רמות המערכת ובכל האזורים</w:t>
      </w:r>
      <w:r w:rsidRPr="00B97E44">
        <w:rPr>
          <w:b/>
          <w:bCs/>
        </w:rPr>
        <w:t>.</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עיריית </w:t>
      </w:r>
      <w:r w:rsidRPr="00B97E44">
        <w:rPr>
          <w:rFonts w:hint="eastAsia"/>
          <w:b/>
          <w:bCs/>
          <w:rtl/>
        </w:rPr>
        <w:t>אופקים</w:t>
      </w:r>
      <w:r w:rsidRPr="00B97E44">
        <w:rPr>
          <w:rFonts w:hint="cs"/>
          <w:rtl/>
        </w:rPr>
        <w:t xml:space="preserve"> מסרה בתשובתה למשרד מבקר המדינה מאוקטובר 2025 כי היא עודנה חוששת מההשלכות של התמריצים הניתנים לצוותי ההוראה והחינוך בחבל התקומה ומצטרפת להמלצות מבקר המדינה בעניין.</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המועצה האזורית </w:t>
      </w:r>
      <w:r w:rsidRPr="00B97E44">
        <w:rPr>
          <w:rFonts w:hint="eastAsia"/>
          <w:b/>
          <w:bCs/>
          <w:rtl/>
        </w:rPr>
        <w:t>אשכול</w:t>
      </w:r>
      <w:r w:rsidRPr="00B97E44">
        <w:rPr>
          <w:rFonts w:hint="cs"/>
          <w:rtl/>
        </w:rPr>
        <w:t xml:space="preserve"> השיבה כי היא מחזיקה בתפיסה שלפיה מספר עובדי ההוראה ביחס למספר התלמידים לא נועד לשפר את ההישגים הלימודיים בלבד אלא בעיקר לענות על צרכים רגשיים-חברתיים באזורי עימות ואין מקום להשוואה לרשויות עורפיות סמוכות. עוד הוסיפה המועצה כי היא הציגה</w:t>
      </w:r>
      <w:r w:rsidRPr="00B97E44">
        <w:rPr>
          <w:rFonts w:ascii="Calibri" w:hAnsi="Calibri" w:cs="Calibri"/>
          <w:sz w:val="24"/>
          <w:rtl/>
        </w:rPr>
        <w:t xml:space="preserve"> </w:t>
      </w:r>
      <w:r w:rsidRPr="00B97E44">
        <w:rPr>
          <w:rtl/>
        </w:rPr>
        <w:t xml:space="preserve">דרישות חוזרות למימון הסעות </w:t>
      </w:r>
      <w:r w:rsidRPr="00B97E44">
        <w:rPr>
          <w:rFonts w:hint="cs"/>
          <w:rtl/>
        </w:rPr>
        <w:t>ל</w:t>
      </w:r>
      <w:r w:rsidRPr="00B97E44">
        <w:rPr>
          <w:rtl/>
        </w:rPr>
        <w:t>צוותי הוראה מ</w:t>
      </w:r>
      <w:r w:rsidRPr="005C1BD3">
        <w:rPr>
          <w:b/>
          <w:bCs/>
          <w:rtl/>
        </w:rPr>
        <w:t>אופקים</w:t>
      </w:r>
      <w:r w:rsidRPr="00B97E44">
        <w:rPr>
          <w:rtl/>
        </w:rPr>
        <w:t xml:space="preserve"> ו</w:t>
      </w:r>
      <w:r w:rsidRPr="005C1BD3">
        <w:rPr>
          <w:b/>
          <w:bCs/>
          <w:rtl/>
        </w:rPr>
        <w:t>נתיבות</w:t>
      </w:r>
      <w:r w:rsidRPr="00B97E44">
        <w:rPr>
          <w:rtl/>
        </w:rPr>
        <w:t xml:space="preserve"> לתחומי</w:t>
      </w:r>
      <w:r w:rsidRPr="00B97E44">
        <w:rPr>
          <w:rFonts w:hint="cs"/>
          <w:rtl/>
        </w:rPr>
        <w:t xml:space="preserve"> </w:t>
      </w:r>
      <w:r w:rsidRPr="00B97E44">
        <w:rPr>
          <w:rtl/>
        </w:rPr>
        <w:t>המועצה</w:t>
      </w:r>
      <w:r w:rsidRPr="00B97E44">
        <w:rPr>
          <w:rFonts w:hint="cs"/>
          <w:rtl/>
        </w:rPr>
        <w:t xml:space="preserve"> וכי</w:t>
      </w:r>
      <w:r w:rsidRPr="00B97E44">
        <w:rPr>
          <w:rtl/>
        </w:rPr>
        <w:t xml:space="preserve"> היעדר מימון קבוע מתוך תקציבי </w:t>
      </w:r>
      <w:r w:rsidRPr="00B97E44">
        <w:rPr>
          <w:rFonts w:hint="cs"/>
          <w:rtl/>
        </w:rPr>
        <w:t xml:space="preserve">מינהלת </w:t>
      </w:r>
      <w:r w:rsidRPr="00B97E44">
        <w:rPr>
          <w:rtl/>
        </w:rPr>
        <w:t xml:space="preserve">תקומה </w:t>
      </w:r>
      <w:r w:rsidRPr="00B97E44">
        <w:rPr>
          <w:rFonts w:hint="cs"/>
          <w:rtl/>
        </w:rPr>
        <w:t>ל</w:t>
      </w:r>
      <w:r w:rsidRPr="00B97E44">
        <w:rPr>
          <w:rtl/>
        </w:rPr>
        <w:t>הסעות אלה מונע מעובדי הוראה המתגוררים</w:t>
      </w:r>
      <w:r w:rsidRPr="00B97E44">
        <w:rPr>
          <w:rFonts w:hint="cs"/>
          <w:rtl/>
        </w:rPr>
        <w:t xml:space="preserve"> </w:t>
      </w:r>
      <w:r w:rsidRPr="00B97E44">
        <w:rPr>
          <w:rtl/>
        </w:rPr>
        <w:t>באופקים ו</w:t>
      </w:r>
      <w:r w:rsidRPr="00B97E44">
        <w:rPr>
          <w:rFonts w:hint="cs"/>
          <w:rtl/>
        </w:rPr>
        <w:t>ב</w:t>
      </w:r>
      <w:r w:rsidRPr="00B97E44">
        <w:rPr>
          <w:rtl/>
        </w:rPr>
        <w:t>נתיבות לעבוד במוסדות החינוך באשכול ומשמר את הפער בכ</w:t>
      </w:r>
      <w:r w:rsidRPr="00B97E44">
        <w:rPr>
          <w:rFonts w:hint="cs"/>
          <w:rtl/>
        </w:rPr>
        <w:t>ו</w:t>
      </w:r>
      <w:r w:rsidRPr="00B97E44">
        <w:rPr>
          <w:rtl/>
        </w:rPr>
        <w:t>ח אדם</w:t>
      </w:r>
      <w:r w:rsidRPr="00B97E44">
        <w:t>.</w:t>
      </w:r>
      <w:r w:rsidRPr="00B97E44">
        <w:rPr>
          <w:rFonts w:hint="cs"/>
          <w:rtl/>
        </w:rPr>
        <w:t xml:space="preserve"> עוד עלה מתשובת המועצה כי רשויות חבל התקומה הציגו במהלך השנתיים האחרונות את עמדתן שלפיה בעיית השורש בסוגיית היצע עובדי ההוראה נעוצה במבנה יום העבודה שלהם, שלא מאפשר זמנים להפוגה ולפיתוח מקצועי ומייצר מבנה תעסוקתי שוחק מאוד ולא מתגמל.</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אגף תקציבים במשרד האוצר מסר בתשובתו כי החשש מהשפעה על אזורים סמוכים לצד היעדר האפקטיביות של מנגנון </w:t>
      </w:r>
      <w:r w:rsidRPr="00B97E44">
        <w:rPr>
          <w:rFonts w:hint="cs"/>
          <w:rtl/>
        </w:rPr>
        <w:t>התמרוץ</w:t>
      </w:r>
      <w:r w:rsidRPr="00B97E44">
        <w:rPr>
          <w:rFonts w:hint="cs"/>
          <w:rtl/>
        </w:rPr>
        <w:t xml:space="preserve"> הכספי הקיים מדגישים את הצ</w:t>
      </w:r>
      <w:r w:rsidRPr="00B97E44">
        <w:rPr>
          <w:rtl/>
        </w:rPr>
        <w:t xml:space="preserve">ורך בשינוי </w:t>
      </w:r>
      <w:r w:rsidRPr="00B97E44">
        <w:rPr>
          <w:rFonts w:hint="cs"/>
          <w:rtl/>
        </w:rPr>
        <w:t xml:space="preserve">מנגנון </w:t>
      </w:r>
      <w:r w:rsidRPr="00B97E44">
        <w:rPr>
          <w:rtl/>
        </w:rPr>
        <w:t>התמרוץ</w:t>
      </w:r>
      <w:r w:rsidRPr="00B97E44">
        <w:rPr>
          <w:rtl/>
        </w:rPr>
        <w:t xml:space="preserve"> בחבל </w:t>
      </w:r>
      <w:r w:rsidRPr="00B97E44">
        <w:rPr>
          <w:rFonts w:hint="cs"/>
          <w:rtl/>
        </w:rPr>
        <w:t>ה</w:t>
      </w:r>
      <w:r w:rsidRPr="00B97E44">
        <w:rPr>
          <w:rtl/>
        </w:rPr>
        <w:t xml:space="preserve">תקומה </w:t>
      </w:r>
      <w:r w:rsidRPr="00B97E44">
        <w:rPr>
          <w:rFonts w:hint="cs"/>
          <w:rtl/>
        </w:rPr>
        <w:t xml:space="preserve">כך שלא ייצור השפעה שלילית על אזורים סמוכים ויביא להגדלת היצע עובדי הוראה באמצעות </w:t>
      </w:r>
      <w:r w:rsidRPr="00B97E44">
        <w:rPr>
          <w:rtl/>
        </w:rPr>
        <w:t>גיוון דרכי העסקה</w:t>
      </w:r>
      <w:r w:rsidRPr="00B97E44">
        <w:rPr>
          <w:rFonts w:hint="cs"/>
          <w:rtl/>
        </w:rPr>
        <w:t xml:space="preserve">, </w:t>
      </w:r>
      <w:r w:rsidRPr="00B97E44">
        <w:rPr>
          <w:rtl/>
        </w:rPr>
        <w:t>הסבות מקצועיות</w:t>
      </w:r>
      <w:r w:rsidRPr="00B97E44">
        <w:rPr>
          <w:rFonts w:hint="cs"/>
          <w:rtl/>
        </w:rPr>
        <w:t xml:space="preserve"> וכו'</w:t>
      </w:r>
      <w:r w:rsidRPr="00B97E44">
        <w:rPr>
          <w:rtl/>
        </w:rPr>
        <w:t>.</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משרד ראש הממשלה מסר בתשובתו למשרד מבקר המדינה מנובמבר 2025 כי הוא מצטרף לעמדת מבקר המדינה, שלפיה על משרד החינוך לבדוק את השפעות תוכנית </w:t>
      </w:r>
      <w:r w:rsidRPr="00B97E44">
        <w:rPr>
          <w:rFonts w:hint="cs"/>
          <w:rtl/>
        </w:rPr>
        <w:t>התמרוץ</w:t>
      </w:r>
      <w:r w:rsidRPr="00B97E44">
        <w:rPr>
          <w:rFonts w:hint="cs"/>
          <w:rtl/>
        </w:rPr>
        <w:t xml:space="preserve"> למורים בחבל התקומה בטווח הארוך.</w:t>
      </w:r>
    </w:p>
    <w:p w:rsidR="005B126E" w:rsidP="001916A9">
      <w:pPr>
        <w:spacing w:line="269" w:lineRule="auto"/>
        <w:jc w:val="center"/>
        <w:rPr>
          <w:rFonts w:ascii="Arial" w:hAnsi="Arial" w:cs="Arial"/>
          <w:b/>
          <w:bCs/>
          <w:sz w:val="36"/>
          <w:rtl/>
        </w:rPr>
      </w:pPr>
      <w:r w:rsidRPr="00B97E44">
        <w:rPr>
          <w:rFonts w:ascii="Segoe UI Symbol" w:hAnsi="Segoe UI Symbol" w:cs="Segoe UI Symbol" w:hint="cs"/>
          <w:b/>
          <w:bCs/>
          <w:sz w:val="36"/>
          <w:rtl/>
        </w:rPr>
        <w:t>✰</w:t>
      </w:r>
    </w:p>
    <w:p w:rsidR="005B126E" w:rsidRPr="00B97E44" w:rsidP="001916A9">
      <w:pPr>
        <w:spacing w:line="269" w:lineRule="auto"/>
        <w:jc w:val="center"/>
        <w:rPr>
          <w:rFonts w:ascii="Arial" w:hAnsi="Arial" w:cs="Arial"/>
          <w:b/>
          <w:bCs/>
          <w:sz w:val="36"/>
          <w:rtl/>
        </w:rPr>
      </w:pPr>
    </w:p>
    <w:p w:rsidR="005B126E" w:rsidP="001916A9">
      <w:pPr>
        <w:spacing w:line="269" w:lineRule="auto"/>
        <w:contextualSpacing/>
        <w:rPr>
          <w:rtl/>
        </w:rPr>
      </w:pPr>
      <w:r w:rsidRPr="00B97E44">
        <w:rPr>
          <w:b/>
          <w:bCs/>
          <w:rtl/>
        </w:rPr>
        <w:t xml:space="preserve">לתוכנית </w:t>
      </w:r>
      <w:r w:rsidRPr="00B97E44">
        <w:rPr>
          <w:rFonts w:hint="cs"/>
          <w:b/>
          <w:bCs/>
          <w:rtl/>
        </w:rPr>
        <w:t>השיקום והפיתוח ביישובים הסמוכים לחבל התקומה</w:t>
      </w:r>
      <w:r w:rsidRPr="00B97E44">
        <w:rPr>
          <w:b/>
          <w:bCs/>
          <w:rtl/>
        </w:rPr>
        <w:t xml:space="preserve"> עשויה להיות השפעה חיובית ניכרת על רמת חייהם של תושבי </w:t>
      </w:r>
      <w:r w:rsidRPr="00B97E44">
        <w:rPr>
          <w:rFonts w:hint="cs"/>
          <w:b/>
          <w:bCs/>
          <w:rtl/>
        </w:rPr>
        <w:t>היישובים הסמוכים</w:t>
      </w:r>
      <w:r w:rsidRPr="00B97E44">
        <w:rPr>
          <w:b/>
          <w:bCs/>
          <w:rtl/>
        </w:rPr>
        <w:t xml:space="preserve"> </w:t>
      </w:r>
      <w:r w:rsidRPr="00B97E44">
        <w:rPr>
          <w:rFonts w:hint="cs"/>
          <w:b/>
          <w:bCs/>
          <w:rtl/>
        </w:rPr>
        <w:t>ל</w:t>
      </w:r>
      <w:r w:rsidRPr="00B97E44">
        <w:rPr>
          <w:b/>
          <w:bCs/>
          <w:rtl/>
        </w:rPr>
        <w:t>חבל</w:t>
      </w:r>
      <w:r w:rsidRPr="00B97E44">
        <w:rPr>
          <w:rFonts w:hint="cs"/>
          <w:b/>
          <w:bCs/>
          <w:rtl/>
        </w:rPr>
        <w:t xml:space="preserve">, ולאורך זמן היא עשויה </w:t>
      </w:r>
      <w:r w:rsidRPr="00B97E44">
        <w:rPr>
          <w:b/>
          <w:bCs/>
          <w:rtl/>
        </w:rPr>
        <w:t>לקבל ביטוי בדירוג</w:t>
      </w:r>
      <w:r w:rsidRPr="00B97E44">
        <w:rPr>
          <w:rFonts w:hint="cs"/>
          <w:b/>
          <w:bCs/>
          <w:rtl/>
        </w:rPr>
        <w:t>ם</w:t>
      </w:r>
      <w:r w:rsidRPr="00B97E44">
        <w:rPr>
          <w:b/>
          <w:bCs/>
          <w:rtl/>
        </w:rPr>
        <w:t> במדד</w:t>
      </w:r>
      <w:r w:rsidRPr="00B97E44">
        <w:rPr>
          <w:rFonts w:hint="cs"/>
          <w:b/>
          <w:bCs/>
          <w:rtl/>
        </w:rPr>
        <w:t xml:space="preserve"> </w:t>
      </w:r>
      <w:r w:rsidRPr="00B97E44">
        <w:rPr>
          <w:b/>
          <w:bCs/>
          <w:rtl/>
        </w:rPr>
        <w:t>החברתי</w:t>
      </w:r>
      <w:r w:rsidRPr="00B97E44">
        <w:rPr>
          <w:rFonts w:hint="cs"/>
          <w:b/>
          <w:bCs/>
          <w:rtl/>
        </w:rPr>
        <w:t>-</w:t>
      </w:r>
      <w:r w:rsidRPr="00B97E44">
        <w:rPr>
          <w:b/>
          <w:bCs/>
          <w:rtl/>
        </w:rPr>
        <w:t>כלכלי</w:t>
      </w:r>
      <w:r w:rsidRPr="00B97E44">
        <w:rPr>
          <w:rFonts w:hint="cs"/>
          <w:b/>
          <w:bCs/>
          <w:rtl/>
        </w:rPr>
        <w:t xml:space="preserve"> של </w:t>
      </w:r>
      <w:r w:rsidRPr="00B97E44">
        <w:rPr>
          <w:rFonts w:hint="cs"/>
          <w:b/>
          <w:bCs/>
          <w:rtl/>
        </w:rPr>
        <w:t>הלמ"ס</w:t>
      </w:r>
      <w:r w:rsidRPr="00B97E44">
        <w:rPr>
          <w:rFonts w:hint="cs"/>
          <w:b/>
          <w:bCs/>
          <w:rtl/>
        </w:rPr>
        <w:t xml:space="preserve"> </w:t>
      </w:r>
      <w:r w:rsidRPr="00B97E44">
        <w:rPr>
          <w:rFonts w:hint="eastAsia"/>
          <w:b/>
          <w:bCs/>
          <w:rtl/>
        </w:rPr>
        <w:t>ולהגברת</w:t>
      </w:r>
      <w:r w:rsidRPr="00B97E44">
        <w:rPr>
          <w:b/>
          <w:bCs/>
          <w:rtl/>
        </w:rPr>
        <w:t xml:space="preserve"> </w:t>
      </w:r>
      <w:r w:rsidRPr="00B97E44">
        <w:rPr>
          <w:rFonts w:hint="eastAsia"/>
          <w:b/>
          <w:bCs/>
          <w:rtl/>
        </w:rPr>
        <w:t>ה</w:t>
      </w:r>
      <w:r w:rsidRPr="00B97E44">
        <w:rPr>
          <w:b/>
          <w:bCs/>
          <w:rtl/>
        </w:rPr>
        <w:t>סולידריות החברתית </w:t>
      </w:r>
      <w:r w:rsidRPr="00B97E44">
        <w:rPr>
          <w:rFonts w:hint="cs"/>
          <w:b/>
          <w:bCs/>
          <w:rtl/>
        </w:rPr>
        <w:t>ותחושת השותפות</w:t>
      </w:r>
      <w:r w:rsidRPr="00B97E44">
        <w:rPr>
          <w:b/>
          <w:bCs/>
          <w:rtl/>
        </w:rPr>
        <w:t xml:space="preserve"> </w:t>
      </w:r>
      <w:r w:rsidRPr="00B97E44">
        <w:rPr>
          <w:rFonts w:hint="cs"/>
          <w:b/>
          <w:bCs/>
          <w:rtl/>
        </w:rPr>
        <w:t>ול</w:t>
      </w:r>
      <w:r w:rsidRPr="00B97E44">
        <w:rPr>
          <w:b/>
          <w:bCs/>
          <w:rtl/>
        </w:rPr>
        <w:t xml:space="preserve">צמצום פערים </w:t>
      </w:r>
      <w:r w:rsidRPr="00B97E44">
        <w:rPr>
          <w:rFonts w:hint="cs"/>
          <w:b/>
          <w:bCs/>
          <w:rtl/>
        </w:rPr>
        <w:t xml:space="preserve">במתן השירותים </w:t>
      </w:r>
      <w:r w:rsidRPr="00B97E44">
        <w:rPr>
          <w:b/>
          <w:bCs/>
          <w:rtl/>
        </w:rPr>
        <w:t xml:space="preserve">בין </w:t>
      </w:r>
      <w:r w:rsidRPr="00B97E44">
        <w:rPr>
          <w:rFonts w:hint="cs"/>
          <w:b/>
          <w:bCs/>
          <w:rtl/>
        </w:rPr>
        <w:t>ה</w:t>
      </w:r>
      <w:r w:rsidRPr="00B97E44">
        <w:rPr>
          <w:b/>
          <w:bCs/>
          <w:rtl/>
        </w:rPr>
        <w:t>קהילות</w:t>
      </w:r>
      <w:r w:rsidRPr="00B97E44">
        <w:rPr>
          <w:rFonts w:hint="cs"/>
          <w:b/>
          <w:bCs/>
          <w:rtl/>
        </w:rPr>
        <w:t xml:space="preserve"> באזור כולו</w:t>
      </w:r>
      <w:r>
        <w:rPr>
          <w:b/>
          <w:bCs/>
          <w:vertAlign w:val="superscript"/>
          <w:rtl/>
        </w:rPr>
        <w:footnoteReference w:id="138"/>
      </w:r>
      <w:r w:rsidRPr="00B97E44">
        <w:rPr>
          <w:b/>
          <w:bCs/>
          <w:rtl/>
        </w:rPr>
        <w:t>.</w:t>
      </w:r>
      <w:r w:rsidRPr="00B97E44">
        <w:rPr>
          <w:rFonts w:hint="cs"/>
          <w:b/>
          <w:bCs/>
          <w:rtl/>
        </w:rPr>
        <w:t xml:space="preserve"> מכאן שיש חשיבות רבה לשיתוף פעולה בין משרדי הממשלה והרשויות המקומיות ליישום מלא ומועיל של התוכנית.</w:t>
      </w:r>
    </w:p>
    <w:p w:rsidR="00314A89" w:rsidRPr="00B97E44" w:rsidP="001916A9">
      <w:pPr>
        <w:spacing w:line="269" w:lineRule="auto"/>
        <w:contextualSpacing/>
        <w:rPr>
          <w:rtl/>
        </w:rPr>
      </w:pPr>
    </w:p>
    <w:p w:rsidR="005B126E" w:rsidP="001916A9">
      <w:pPr>
        <w:spacing w:line="269" w:lineRule="auto"/>
        <w:rPr>
          <w:b/>
          <w:bCs/>
          <w:rtl/>
        </w:rPr>
      </w:pPr>
      <w:r w:rsidRPr="00B97E44">
        <w:rPr>
          <w:rFonts w:hint="cs"/>
          <w:b/>
          <w:bCs/>
          <w:rtl/>
        </w:rPr>
        <w:t>משרד מבקר המדינה ממליץ למשרד ראש הממשלה לקיים מעקב הדוק אחר ביצוע התוכנית לשיקום ופיתוח היישובים הסמוכים לחבל התקומה בשיתוף פעולה עם משרדי הממשלה השותפים לה ועם הרשויות המקומיות הנכללות בה.</w:t>
      </w:r>
    </w:p>
    <w:p w:rsidR="005B126E" w:rsidRPr="00B97E44" w:rsidP="001916A9">
      <w:pPr>
        <w:spacing w:line="269" w:lineRule="auto"/>
        <w:rPr>
          <w:b/>
          <w:bCs/>
          <w:rtl/>
        </w:rPr>
      </w:pPr>
    </w:p>
    <w:p w:rsidR="005B126E" w:rsidRPr="00B97E44" w:rsidP="0018262A">
      <w:pPr>
        <w:pStyle w:val="Heading3"/>
        <w:rPr>
          <w:rtl/>
        </w:rPr>
      </w:pPr>
      <w:bookmarkStart w:id="67" w:name="_Hlk208478486"/>
      <w:bookmarkEnd w:id="63"/>
      <w:r w:rsidRPr="00B97E44">
        <w:rPr>
          <w:rFonts w:hint="cs"/>
          <w:rtl/>
        </w:rPr>
        <w:t>תפיסת האזוריות</w:t>
      </w:r>
    </w:p>
    <w:bookmarkEnd w:id="67"/>
    <w:p w:rsidR="005B126E" w:rsidP="001916A9">
      <w:pPr>
        <w:spacing w:line="269" w:lineRule="auto"/>
        <w:rPr>
          <w:rtl/>
        </w:rPr>
      </w:pPr>
    </w:p>
    <w:p w:rsidR="005B126E" w:rsidRPr="00B97E44" w:rsidP="001916A9">
      <w:pPr>
        <w:spacing w:line="269" w:lineRule="auto"/>
        <w:rPr>
          <w:b/>
          <w:bCs/>
          <w:u w:val="single"/>
          <w:rtl/>
        </w:rPr>
      </w:pPr>
      <w:r w:rsidRPr="00B97E44">
        <w:rPr>
          <w:rtl/>
        </w:rPr>
        <w:t xml:space="preserve">בישראל </w:t>
      </w:r>
      <w:r w:rsidRPr="00B97E44">
        <w:rPr>
          <w:rFonts w:hint="cs"/>
          <w:rtl/>
        </w:rPr>
        <w:t>יש</w:t>
      </w:r>
      <w:r w:rsidRPr="00B97E44">
        <w:rPr>
          <w:rtl/>
        </w:rPr>
        <w:t xml:space="preserve"> ארבע </w:t>
      </w:r>
      <w:r w:rsidRPr="00B97E44">
        <w:rPr>
          <w:rtl/>
        </w:rPr>
        <w:t>מטרופולינים</w:t>
      </w:r>
      <w:r>
        <w:rPr>
          <w:vertAlign w:val="superscript"/>
          <w:rtl/>
        </w:rPr>
        <w:footnoteReference w:id="139"/>
      </w:r>
      <w:r w:rsidRPr="00B97E44">
        <w:rPr>
          <w:rtl/>
        </w:rPr>
        <w:t xml:space="preserve"> עיקרי</w:t>
      </w:r>
      <w:r w:rsidRPr="00B97E44">
        <w:rPr>
          <w:rFonts w:hint="cs"/>
          <w:rtl/>
        </w:rPr>
        <w:t>ות</w:t>
      </w:r>
      <w:r w:rsidRPr="00B97E44">
        <w:rPr>
          <w:rtl/>
        </w:rPr>
        <w:t>: תל אביב, ירושלים, חיפה ובאר שבע.</w:t>
      </w:r>
      <w:r w:rsidRPr="00B97E44">
        <w:rPr>
          <w:rFonts w:hint="cs"/>
          <w:rtl/>
        </w:rPr>
        <w:t xml:space="preserve"> בסוף שנות התשעים של המאה הקודמת התגבשה </w:t>
      </w:r>
      <w:r w:rsidRPr="00B97E44">
        <w:rPr>
          <w:rFonts w:hint="cs"/>
          <w:rtl/>
        </w:rPr>
        <w:t>במינהל</w:t>
      </w:r>
      <w:r w:rsidRPr="00B97E44">
        <w:rPr>
          <w:rFonts w:hint="cs"/>
          <w:rtl/>
        </w:rPr>
        <w:t xml:space="preserve"> התכנון תוכנית אב לנגב כבסיס לתוכנית מתאר סטטוטורית במטרה להפוך את העיר באר שבע למטרופולין באופן מתוכנן ומכוון מלמעלה. בתוכנית המתאר הארצית - תמ"א 35 - יוחד פרק שלם לנגב שממשיך את רעיון המטרופולין שבמרכזו באר שבע</w:t>
      </w:r>
      <w:r>
        <w:rPr>
          <w:vertAlign w:val="superscript"/>
          <w:rtl/>
        </w:rPr>
        <w:footnoteReference w:id="140"/>
      </w:r>
      <w:r w:rsidRPr="00B97E44">
        <w:rPr>
          <w:rFonts w:hint="cs"/>
          <w:rtl/>
        </w:rPr>
        <w:t>.</w:t>
      </w:r>
    </w:p>
    <w:p w:rsidR="005B126E" w:rsidP="001916A9">
      <w:pPr>
        <w:spacing w:line="269" w:lineRule="auto"/>
        <w:rPr>
          <w:rtl/>
        </w:rPr>
      </w:pPr>
    </w:p>
    <w:p w:rsidR="005B126E" w:rsidRPr="00B97E44" w:rsidP="001916A9">
      <w:pPr>
        <w:spacing w:line="269" w:lineRule="auto"/>
        <w:rPr>
          <w:rtl/>
        </w:rPr>
      </w:pPr>
      <w:r w:rsidRPr="00B97E44">
        <w:rPr>
          <w:rFonts w:hint="cs"/>
          <w:rtl/>
        </w:rPr>
        <w:t>במטרות תוכנית המתאר המחוזית למטרופולין באר שבע 14/4 שינוי מס' 23 (</w:t>
      </w:r>
      <w:r w:rsidRPr="00B97E44">
        <w:rPr>
          <w:rFonts w:hint="cs"/>
          <w:rtl/>
        </w:rPr>
        <w:t>תמ"מ</w:t>
      </w:r>
      <w:r w:rsidRPr="00B97E44">
        <w:rPr>
          <w:rFonts w:hint="cs"/>
          <w:rtl/>
        </w:rPr>
        <w:t xml:space="preserve"> 23/14/4), שחבל התקומה כלול בתחומה, ניתן ביטוי למדיניות הארצית ברמה המחוזית. מטרתה הראשונה של התוכנית היא "גיבוש מרחב </w:t>
      </w:r>
      <w:r w:rsidRPr="00B97E44">
        <w:rPr>
          <w:rFonts w:hint="cs"/>
          <w:rtl/>
        </w:rPr>
        <w:t>מטרופוליני</w:t>
      </w:r>
      <w:r w:rsidRPr="00B97E44">
        <w:rPr>
          <w:rFonts w:hint="cs"/>
          <w:rtl/>
        </w:rPr>
        <w:t xml:space="preserve"> איכותי אשר העיר </w:t>
      </w:r>
      <w:r w:rsidRPr="00B97E44">
        <w:rPr>
          <w:rFonts w:hint="cs"/>
          <w:b/>
          <w:bCs/>
          <w:rtl/>
        </w:rPr>
        <w:t>באר שבע</w:t>
      </w:r>
      <w:r w:rsidRPr="00B97E44">
        <w:rPr>
          <w:rFonts w:hint="cs"/>
          <w:rtl/>
        </w:rPr>
        <w:t xml:space="preserve"> היא ליבו </w:t>
      </w:r>
      <w:r w:rsidRPr="00B97E44">
        <w:rPr>
          <w:rFonts w:hint="cs"/>
          <w:rtl/>
        </w:rPr>
        <w:t>המינהלי</w:t>
      </w:r>
      <w:r w:rsidRPr="00B97E44">
        <w:rPr>
          <w:rFonts w:hint="cs"/>
          <w:rtl/>
        </w:rPr>
        <w:t xml:space="preserve">, </w:t>
      </w:r>
      <w:r w:rsidRPr="00B97E44">
        <w:rPr>
          <w:rFonts w:hint="cs"/>
          <w:rtl/>
        </w:rPr>
        <w:t>השירותי</w:t>
      </w:r>
      <w:r w:rsidRPr="00B97E44">
        <w:rPr>
          <w:rFonts w:hint="cs"/>
          <w:rtl/>
        </w:rPr>
        <w:t xml:space="preserve">, המסחרי והתרבותי. זאת תוך שמירה על מעמד העיר באר שבע כגלעין המטרופולין ומוקד הפיתוח המרכזי בו, ותוך איזון מתאים ושמירה על הזיקה בין העיר באר שבע לבין היישובים והפעילויות שבמרחב". </w:t>
      </w:r>
    </w:p>
    <w:p w:rsidR="005B126E" w:rsidP="001916A9">
      <w:pPr>
        <w:spacing w:line="269" w:lineRule="auto"/>
        <w:rPr>
          <w:rtl/>
        </w:rPr>
      </w:pPr>
    </w:p>
    <w:p w:rsidR="005B126E" w:rsidRPr="00B97E44" w:rsidP="001916A9">
      <w:pPr>
        <w:spacing w:line="269" w:lineRule="auto"/>
        <w:rPr>
          <w:rtl/>
        </w:rPr>
      </w:pPr>
      <w:r w:rsidRPr="00B97E44">
        <w:rPr>
          <w:rFonts w:hint="cs"/>
          <w:rtl/>
        </w:rPr>
        <w:t>חבל התקומה הוא אפוא חלק ממרחב</w:t>
      </w:r>
      <w:r w:rsidRPr="00B97E44">
        <w:rPr>
          <w:rtl/>
        </w:rPr>
        <w:t xml:space="preserve"> </w:t>
      </w:r>
      <w:r w:rsidRPr="00B97E44">
        <w:rPr>
          <w:rFonts w:hint="cs"/>
          <w:rtl/>
        </w:rPr>
        <w:t>גיאוגרפי</w:t>
      </w:r>
      <w:r w:rsidRPr="00B97E44">
        <w:rPr>
          <w:rtl/>
        </w:rPr>
        <w:t xml:space="preserve"> </w:t>
      </w:r>
      <w:r w:rsidRPr="00B97E44">
        <w:rPr>
          <w:rFonts w:hint="cs"/>
          <w:rtl/>
        </w:rPr>
        <w:t>גדול</w:t>
      </w:r>
      <w:r w:rsidRPr="00B97E44">
        <w:rPr>
          <w:rtl/>
        </w:rPr>
        <w:t xml:space="preserve"> </w:t>
      </w:r>
      <w:r w:rsidRPr="00B97E44">
        <w:rPr>
          <w:rFonts w:hint="cs"/>
          <w:rtl/>
        </w:rPr>
        <w:t xml:space="preserve">יותר שרובו משויך למטרופולין </w:t>
      </w:r>
      <w:r w:rsidRPr="00B97E44">
        <w:rPr>
          <w:rFonts w:hint="eastAsia"/>
          <w:b/>
          <w:bCs/>
          <w:rtl/>
        </w:rPr>
        <w:t>באר</w:t>
      </w:r>
      <w:r w:rsidRPr="00B97E44">
        <w:rPr>
          <w:b/>
          <w:bCs/>
          <w:rtl/>
        </w:rPr>
        <w:t xml:space="preserve"> </w:t>
      </w:r>
      <w:r w:rsidRPr="00B97E44">
        <w:rPr>
          <w:rFonts w:hint="eastAsia"/>
          <w:b/>
          <w:bCs/>
          <w:rtl/>
        </w:rPr>
        <w:t>שבע</w:t>
      </w:r>
      <w:r w:rsidRPr="00B97E44">
        <w:rPr>
          <w:rFonts w:hint="cs"/>
          <w:rtl/>
        </w:rPr>
        <w:t>. מניתוח נתונים שביצעה תנועת אור</w:t>
      </w:r>
      <w:r>
        <w:rPr>
          <w:vertAlign w:val="superscript"/>
          <w:rtl/>
        </w:rPr>
        <w:footnoteReference w:id="141"/>
      </w:r>
      <w:r w:rsidRPr="00B97E44">
        <w:rPr>
          <w:rFonts w:hint="cs"/>
          <w:rtl/>
        </w:rPr>
        <w:t xml:space="preserve"> עולה כי במרחב צפון הנגב ניתן לראות באופן מובהק את השפעתה האזורית החזקה של באר שבע</w:t>
      </w:r>
      <w:r w:rsidRPr="00B97E44">
        <w:rPr>
          <w:rFonts w:hint="cs"/>
          <w:b/>
          <w:bCs/>
          <w:rtl/>
        </w:rPr>
        <w:t xml:space="preserve"> </w:t>
      </w:r>
      <w:r w:rsidRPr="00B97E44">
        <w:rPr>
          <w:rFonts w:hint="cs"/>
          <w:rtl/>
        </w:rPr>
        <w:t xml:space="preserve">כיוון שהתנועות הרבות ביותר מכל האתרים במרחב בשעות הבוקר מגיעות אליה וכי לכל עיר אזורית קטנה ממנה יש השפעה מוגבלת בחבל הארץ המקיף אותה. </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בצד התפיסה </w:t>
      </w:r>
      <w:r w:rsidRPr="00B97E44">
        <w:rPr>
          <w:rFonts w:hint="cs"/>
          <w:rtl/>
        </w:rPr>
        <w:t>המטרופולינית</w:t>
      </w:r>
      <w:r w:rsidRPr="00B97E44">
        <w:rPr>
          <w:rFonts w:hint="cs"/>
          <w:rtl/>
        </w:rPr>
        <w:t>, מאז סוף שנות התשעים של המאה הקודמת בעולם האקדמי והמקצועי-תכנוני</w:t>
      </w:r>
      <w:r>
        <w:rPr>
          <w:vertAlign w:val="superscript"/>
          <w:rtl/>
        </w:rPr>
        <w:footnoteReference w:id="142"/>
      </w:r>
      <w:r w:rsidRPr="00B97E44">
        <w:rPr>
          <w:rFonts w:hint="cs"/>
          <w:rtl/>
        </w:rPr>
        <w:t xml:space="preserve"> רווחת תפיסת ה"אזוריות החדשה" (</w:t>
      </w:r>
      <w:r w:rsidRPr="00B97E44">
        <w:t>New Regionalism</w:t>
      </w:r>
      <w:r w:rsidRPr="00B97E44">
        <w:rPr>
          <w:rFonts w:hint="cs"/>
          <w:rtl/>
        </w:rPr>
        <w:t>), המדגישה את הייחודיות, היתרונות היחסיים והפוטנציאל בכל אזור ואשר קיבלה ביטוי בשורה של תוכניות ומיזמים שקידמו משרדי ממשלה וגופים ציבוריים שונים</w:t>
      </w:r>
      <w:r>
        <w:rPr>
          <w:vertAlign w:val="superscript"/>
          <w:rtl/>
        </w:rPr>
        <w:footnoteReference w:id="143"/>
      </w:r>
      <w:r w:rsidRPr="00B97E44">
        <w:rPr>
          <w:rFonts w:hint="cs"/>
          <w:rtl/>
        </w:rPr>
        <w:t xml:space="preserve">. לצד זאת, </w:t>
      </w:r>
      <w:r w:rsidRPr="00B97E44">
        <w:rPr>
          <w:rtl/>
        </w:rPr>
        <w:t>במהלך השנים התפתחה הגישה כי התכנון המרחבי אינו מוגבל להיבט פיזי בלבד אלא מתייחס למגוון מורכב של היבטים חברתיים, כלכליים, סביבתיים</w:t>
      </w:r>
      <w:r w:rsidRPr="00B97E44">
        <w:rPr>
          <w:rFonts w:hint="cs"/>
          <w:rtl/>
        </w:rPr>
        <w:t xml:space="preserve">, </w:t>
      </w:r>
      <w:r w:rsidRPr="00B97E44">
        <w:rPr>
          <w:rtl/>
        </w:rPr>
        <w:t>פוליטיים, בטיחותיים ועוד</w:t>
      </w:r>
      <w:r>
        <w:rPr>
          <w:vertAlign w:val="superscript"/>
          <w:rtl/>
        </w:rPr>
        <w:footnoteReference w:id="144"/>
      </w:r>
      <w:r w:rsidRPr="00B97E44">
        <w:rPr>
          <w:rFonts w:hint="cs"/>
          <w:rtl/>
        </w:rPr>
        <w:t>, במרחב שיש</w:t>
      </w:r>
      <w:r w:rsidRPr="00B97E44">
        <w:rPr>
          <w:rtl/>
        </w:rPr>
        <w:t xml:space="preserve"> </w:t>
      </w:r>
      <w:r w:rsidRPr="00B97E44">
        <w:rPr>
          <w:rFonts w:hint="cs"/>
          <w:rtl/>
        </w:rPr>
        <w:t>בו</w:t>
      </w:r>
      <w:r w:rsidRPr="00B97E44">
        <w:rPr>
          <w:rtl/>
        </w:rPr>
        <w:t xml:space="preserve"> </w:t>
      </w:r>
      <w:r w:rsidRPr="00B97E44">
        <w:rPr>
          <w:rFonts w:hint="cs"/>
          <w:rtl/>
        </w:rPr>
        <w:t>מרכיבים משותפים</w:t>
      </w:r>
      <w:r w:rsidRPr="00B97E44">
        <w:rPr>
          <w:rtl/>
        </w:rPr>
        <w:t xml:space="preserve">, </w:t>
      </w:r>
      <w:r w:rsidRPr="00B97E44">
        <w:rPr>
          <w:rFonts w:hint="cs"/>
          <w:rtl/>
        </w:rPr>
        <w:t>נרטיב</w:t>
      </w:r>
      <w:r w:rsidRPr="00B97E44">
        <w:rPr>
          <w:rtl/>
        </w:rPr>
        <w:t xml:space="preserve"> </w:t>
      </w:r>
      <w:r w:rsidRPr="00B97E44">
        <w:rPr>
          <w:rFonts w:hint="cs"/>
          <w:rtl/>
        </w:rPr>
        <w:t>משותף</w:t>
      </w:r>
      <w:r w:rsidRPr="00B97E44">
        <w:rPr>
          <w:rtl/>
        </w:rPr>
        <w:t xml:space="preserve"> </w:t>
      </w:r>
      <w:r w:rsidRPr="00B97E44">
        <w:rPr>
          <w:rFonts w:hint="cs"/>
          <w:rtl/>
        </w:rPr>
        <w:t>ותפקודים</w:t>
      </w:r>
      <w:r w:rsidRPr="00B97E44">
        <w:rPr>
          <w:rtl/>
        </w:rPr>
        <w:t xml:space="preserve"> </w:t>
      </w:r>
      <w:r w:rsidRPr="00B97E44">
        <w:rPr>
          <w:rFonts w:hint="cs"/>
          <w:rtl/>
        </w:rPr>
        <w:t>משותפים</w:t>
      </w:r>
      <w:r w:rsidRPr="00B97E44">
        <w:rPr>
          <w:rtl/>
        </w:rPr>
        <w:t xml:space="preserve"> </w:t>
      </w:r>
      <w:r w:rsidRPr="00B97E44">
        <w:rPr>
          <w:rFonts w:hint="cs"/>
          <w:rtl/>
        </w:rPr>
        <w:t>שעובדים</w:t>
      </w:r>
      <w:r w:rsidRPr="00B97E44">
        <w:rPr>
          <w:rtl/>
        </w:rPr>
        <w:t xml:space="preserve"> </w:t>
      </w:r>
      <w:r w:rsidRPr="00B97E44">
        <w:rPr>
          <w:rFonts w:hint="cs"/>
          <w:rtl/>
        </w:rPr>
        <w:t>בפועל</w:t>
      </w:r>
      <w:r w:rsidRPr="00B97E44">
        <w:rPr>
          <w:rtl/>
        </w:rPr>
        <w:t xml:space="preserve"> </w:t>
      </w:r>
      <w:r w:rsidRPr="00B97E44">
        <w:rPr>
          <w:rFonts w:hint="cs"/>
          <w:rtl/>
        </w:rPr>
        <w:t>בין</w:t>
      </w:r>
      <w:r w:rsidRPr="00B97E44">
        <w:rPr>
          <w:rtl/>
        </w:rPr>
        <w:t xml:space="preserve"> </w:t>
      </w:r>
      <w:r w:rsidRPr="00B97E44">
        <w:rPr>
          <w:rFonts w:hint="cs"/>
          <w:rtl/>
        </w:rPr>
        <w:t>חלקיו המתקיימים</w:t>
      </w:r>
      <w:r w:rsidRPr="00B97E44">
        <w:rPr>
          <w:rtl/>
        </w:rPr>
        <w:t xml:space="preserve"> </w:t>
      </w:r>
      <w:r w:rsidRPr="00B97E44">
        <w:rPr>
          <w:rFonts w:hint="cs"/>
          <w:rtl/>
        </w:rPr>
        <w:t>בה</w:t>
      </w:r>
      <w:r w:rsidRPr="00B97E44">
        <w:rPr>
          <w:rtl/>
        </w:rPr>
        <w:t xml:space="preserve"> </w:t>
      </w:r>
      <w:r w:rsidRPr="00B97E44">
        <w:rPr>
          <w:rFonts w:hint="cs"/>
          <w:rtl/>
        </w:rPr>
        <w:t>בעת</w:t>
      </w:r>
      <w:r w:rsidRPr="00B97E44">
        <w:rPr>
          <w:rtl/>
        </w:rPr>
        <w:t xml:space="preserve"> </w:t>
      </w:r>
      <w:r w:rsidRPr="00B97E44">
        <w:rPr>
          <w:rFonts w:hint="cs"/>
          <w:rtl/>
        </w:rPr>
        <w:t>עם</w:t>
      </w:r>
      <w:r w:rsidRPr="00B97E44">
        <w:rPr>
          <w:rtl/>
        </w:rPr>
        <w:t xml:space="preserve"> </w:t>
      </w:r>
      <w:r w:rsidRPr="00B97E44">
        <w:rPr>
          <w:rFonts w:hint="cs"/>
          <w:rtl/>
        </w:rPr>
        <w:t>שונות</w:t>
      </w:r>
      <w:r w:rsidRPr="00B97E44">
        <w:rPr>
          <w:rtl/>
        </w:rPr>
        <w:t xml:space="preserve"> </w:t>
      </w:r>
      <w:r w:rsidRPr="00B97E44">
        <w:rPr>
          <w:rFonts w:hint="cs"/>
          <w:rtl/>
        </w:rPr>
        <w:t>רבה</w:t>
      </w:r>
      <w:r>
        <w:rPr>
          <w:vertAlign w:val="superscript"/>
          <w:rtl/>
        </w:rPr>
        <w:footnoteReference w:id="145"/>
      </w:r>
      <w:r w:rsidRPr="00B97E44">
        <w:rPr>
          <w:rFonts w:hint="cs"/>
          <w:rtl/>
        </w:rPr>
        <w:t xml:space="preserve">. כך </w:t>
      </w:r>
      <w:r w:rsidRPr="00B97E44">
        <w:rPr>
          <w:rFonts w:hint="eastAsia"/>
          <w:rtl/>
        </w:rPr>
        <w:t>בשנת</w:t>
      </w:r>
      <w:r w:rsidRPr="00B97E44">
        <w:rPr>
          <w:rtl/>
        </w:rPr>
        <w:t xml:space="preserve"> 2013</w:t>
      </w:r>
      <w:r w:rsidRPr="00B97E44">
        <w:rPr>
          <w:rFonts w:hint="cs"/>
          <w:rtl/>
        </w:rPr>
        <w:t xml:space="preserve"> הו</w:t>
      </w:r>
      <w:r w:rsidRPr="00B97E44">
        <w:rPr>
          <w:rFonts w:hint="eastAsia"/>
          <w:rtl/>
        </w:rPr>
        <w:t>קם</w:t>
      </w:r>
      <w:r w:rsidRPr="00B97E44">
        <w:rPr>
          <w:rtl/>
        </w:rPr>
        <w:t xml:space="preserve"> </w:t>
      </w:r>
      <w:r w:rsidRPr="00B97E44">
        <w:rPr>
          <w:rFonts w:hint="eastAsia"/>
          <w:rtl/>
        </w:rPr>
        <w:t>אשכול</w:t>
      </w:r>
      <w:r w:rsidRPr="00B97E44">
        <w:rPr>
          <w:rtl/>
        </w:rPr>
        <w:t xml:space="preserve"> </w:t>
      </w:r>
      <w:r w:rsidRPr="00B97E44">
        <w:rPr>
          <w:rFonts w:hint="eastAsia"/>
          <w:rtl/>
        </w:rPr>
        <w:t>רשויות</w:t>
      </w:r>
      <w:r w:rsidRPr="00B97E44">
        <w:rPr>
          <w:rtl/>
        </w:rPr>
        <w:t xml:space="preserve"> </w:t>
      </w:r>
      <w:r w:rsidRPr="00B97E44">
        <w:rPr>
          <w:rFonts w:hint="eastAsia"/>
          <w:rtl/>
        </w:rPr>
        <w:t>נגב</w:t>
      </w:r>
      <w:r w:rsidRPr="00B97E44">
        <w:rPr>
          <w:rtl/>
        </w:rPr>
        <w:t xml:space="preserve"> </w:t>
      </w:r>
      <w:r w:rsidRPr="00B97E44">
        <w:rPr>
          <w:rFonts w:hint="eastAsia"/>
          <w:rtl/>
        </w:rPr>
        <w:t>מערבי</w:t>
      </w:r>
      <w:r w:rsidRPr="00B97E44">
        <w:rPr>
          <w:rtl/>
        </w:rPr>
        <w:t xml:space="preserve">, </w:t>
      </w:r>
      <w:r w:rsidRPr="00B97E44">
        <w:rPr>
          <w:rFonts w:hint="eastAsia"/>
          <w:rtl/>
        </w:rPr>
        <w:t>המונה</w:t>
      </w:r>
      <w:r w:rsidRPr="00B97E44">
        <w:rPr>
          <w:rFonts w:hint="cs"/>
          <w:rtl/>
        </w:rPr>
        <w:t xml:space="preserve"> </w:t>
      </w:r>
      <w:r w:rsidRPr="00B97E44">
        <w:rPr>
          <w:rFonts w:hint="eastAsia"/>
          <w:rtl/>
        </w:rPr>
        <w:t>את</w:t>
      </w:r>
      <w:r w:rsidRPr="00B97E44">
        <w:rPr>
          <w:rtl/>
        </w:rPr>
        <w:t xml:space="preserve"> </w:t>
      </w:r>
      <w:r w:rsidRPr="00B97E44">
        <w:rPr>
          <w:rFonts w:hint="eastAsia"/>
          <w:rtl/>
        </w:rPr>
        <w:t>כל</w:t>
      </w:r>
      <w:r w:rsidRPr="00B97E44">
        <w:rPr>
          <w:rtl/>
        </w:rPr>
        <w:t xml:space="preserve"> </w:t>
      </w:r>
      <w:r w:rsidRPr="00B97E44">
        <w:rPr>
          <w:rFonts w:hint="eastAsia"/>
          <w:rtl/>
        </w:rPr>
        <w:t>הרשויות</w:t>
      </w:r>
      <w:r w:rsidRPr="00B97E44">
        <w:rPr>
          <w:rtl/>
        </w:rPr>
        <w:t xml:space="preserve"> </w:t>
      </w:r>
      <w:r w:rsidRPr="00B97E44">
        <w:rPr>
          <w:rFonts w:hint="eastAsia"/>
          <w:rtl/>
        </w:rPr>
        <w:t>באזור</w:t>
      </w:r>
      <w:r w:rsidRPr="00B97E44">
        <w:rPr>
          <w:rtl/>
        </w:rPr>
        <w:t xml:space="preserve"> </w:t>
      </w:r>
      <w:r w:rsidRPr="00B97E44">
        <w:rPr>
          <w:rFonts w:hint="eastAsia"/>
          <w:rtl/>
        </w:rPr>
        <w:t>פרט</w:t>
      </w:r>
      <w:r w:rsidRPr="00B97E44">
        <w:rPr>
          <w:rtl/>
        </w:rPr>
        <w:t xml:space="preserve"> </w:t>
      </w:r>
      <w:r w:rsidRPr="00B97E44">
        <w:rPr>
          <w:rFonts w:hint="eastAsia"/>
          <w:rtl/>
        </w:rPr>
        <w:t>לערים</w:t>
      </w:r>
      <w:r w:rsidRPr="00B97E44">
        <w:rPr>
          <w:rtl/>
        </w:rPr>
        <w:t xml:space="preserve"> </w:t>
      </w:r>
      <w:r w:rsidRPr="00B97E44">
        <w:rPr>
          <w:rFonts w:hint="eastAsia"/>
          <w:rtl/>
        </w:rPr>
        <w:t>אשקלון</w:t>
      </w:r>
      <w:r w:rsidRPr="00B97E44">
        <w:rPr>
          <w:rtl/>
        </w:rPr>
        <w:t xml:space="preserve"> </w:t>
      </w:r>
      <w:r w:rsidRPr="00B97E44">
        <w:rPr>
          <w:rFonts w:hint="eastAsia"/>
          <w:rtl/>
        </w:rPr>
        <w:t>ובאר</w:t>
      </w:r>
      <w:r w:rsidRPr="00B97E44">
        <w:rPr>
          <w:rFonts w:hint="cs"/>
          <w:rtl/>
        </w:rPr>
        <w:t xml:space="preserve"> </w:t>
      </w:r>
      <w:r w:rsidRPr="00B97E44">
        <w:rPr>
          <w:rFonts w:hint="eastAsia"/>
          <w:rtl/>
        </w:rPr>
        <w:t>שבע</w:t>
      </w:r>
      <w:r w:rsidRPr="00B97E44">
        <w:rPr>
          <w:rFonts w:hint="cs"/>
          <w:rtl/>
        </w:rPr>
        <w:t xml:space="preserve"> </w:t>
      </w:r>
      <w:r w:rsidRPr="00B97E44">
        <w:rPr>
          <w:rFonts w:hint="eastAsia"/>
          <w:rtl/>
        </w:rPr>
        <w:t>והקמתו</w:t>
      </w:r>
      <w:r w:rsidRPr="00B97E44">
        <w:rPr>
          <w:rtl/>
        </w:rPr>
        <w:t xml:space="preserve"> </w:t>
      </w:r>
      <w:r w:rsidRPr="00B97E44">
        <w:rPr>
          <w:rFonts w:hint="eastAsia"/>
          <w:rtl/>
        </w:rPr>
        <w:t>נעשתה</w:t>
      </w:r>
      <w:r w:rsidRPr="00B97E44">
        <w:rPr>
          <w:rtl/>
        </w:rPr>
        <w:t xml:space="preserve"> </w:t>
      </w:r>
      <w:r w:rsidRPr="00B97E44">
        <w:rPr>
          <w:rFonts w:hint="eastAsia"/>
          <w:rtl/>
        </w:rPr>
        <w:t>תחת</w:t>
      </w:r>
      <w:r w:rsidRPr="00B97E44">
        <w:rPr>
          <w:rtl/>
        </w:rPr>
        <w:t xml:space="preserve"> </w:t>
      </w:r>
      <w:r w:rsidRPr="00B97E44">
        <w:rPr>
          <w:rFonts w:hint="eastAsia"/>
          <w:rtl/>
        </w:rPr>
        <w:t>פרדיגמת</w:t>
      </w:r>
      <w:r w:rsidRPr="00B97E44">
        <w:rPr>
          <w:rtl/>
        </w:rPr>
        <w:t xml:space="preserve"> "</w:t>
      </w:r>
      <w:r w:rsidRPr="00B97E44">
        <w:rPr>
          <w:rFonts w:hint="eastAsia"/>
          <w:rtl/>
        </w:rPr>
        <w:t>האזוריות</w:t>
      </w:r>
      <w:r w:rsidRPr="00B97E44">
        <w:rPr>
          <w:rtl/>
        </w:rPr>
        <w:t xml:space="preserve"> </w:t>
      </w:r>
      <w:r w:rsidRPr="00B97E44">
        <w:rPr>
          <w:rFonts w:hint="eastAsia"/>
          <w:rtl/>
        </w:rPr>
        <w:t>החדשה</w:t>
      </w:r>
      <w:r w:rsidRPr="00B97E44">
        <w:rPr>
          <w:rFonts w:hint="cs"/>
          <w:rtl/>
        </w:rPr>
        <w:t>"</w:t>
      </w:r>
      <w:r>
        <w:rPr>
          <w:vertAlign w:val="superscript"/>
          <w:rtl/>
        </w:rPr>
        <w:footnoteReference w:id="146"/>
      </w:r>
      <w:r w:rsidRPr="00B97E44">
        <w:t>.</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תפיסת </w:t>
      </w:r>
      <w:r w:rsidRPr="00B97E44">
        <w:rPr>
          <w:rtl/>
        </w:rPr>
        <w:t xml:space="preserve">התכנון </w:t>
      </w:r>
      <w:r w:rsidRPr="00B97E44">
        <w:rPr>
          <w:rFonts w:hint="cs"/>
          <w:rtl/>
        </w:rPr>
        <w:t>האזורית משקפת</w:t>
      </w:r>
      <w:r w:rsidRPr="00B97E44">
        <w:rPr>
          <w:rtl/>
        </w:rPr>
        <w:t xml:space="preserve"> </w:t>
      </w:r>
      <w:r w:rsidRPr="00B97E44">
        <w:rPr>
          <w:rFonts w:hint="cs"/>
          <w:rtl/>
        </w:rPr>
        <w:t>הכרה בחשיבות של תכנון בראייה אזורית, כנדבך נוסף בין הרובד הארצי והמחוזי לבין הרובד המקומי ו</w:t>
      </w:r>
      <w:r w:rsidRPr="00B97E44">
        <w:rPr>
          <w:rtl/>
        </w:rPr>
        <w:t>מהצורך בהסדרה פיזית של המרחב</w:t>
      </w:r>
      <w:r w:rsidRPr="00B97E44">
        <w:rPr>
          <w:rFonts w:hint="cs"/>
          <w:rtl/>
        </w:rPr>
        <w:t xml:space="preserve"> האזורי ובכללה </w:t>
      </w:r>
      <w:r w:rsidRPr="00B97E44">
        <w:rPr>
          <w:rtl/>
        </w:rPr>
        <w:t xml:space="preserve">פריסת תשתיות, </w:t>
      </w:r>
      <w:r w:rsidRPr="00B97E44">
        <w:rPr>
          <w:rFonts w:hint="cs"/>
          <w:rtl/>
        </w:rPr>
        <w:t xml:space="preserve">סלילת </w:t>
      </w:r>
      <w:r w:rsidRPr="00B97E44">
        <w:rPr>
          <w:rtl/>
        </w:rPr>
        <w:t>כבישים והסדרת השימושים בקרקע</w:t>
      </w:r>
      <w:r>
        <w:rPr>
          <w:vertAlign w:val="superscript"/>
          <w:rtl/>
        </w:rPr>
        <w:footnoteReference w:id="147"/>
      </w:r>
      <w:r w:rsidRPr="00B97E44">
        <w:rPr>
          <w:rFonts w:hint="cs"/>
          <w:rtl/>
        </w:rPr>
        <w:t xml:space="preserve">. אחת ממטרות התוכנית האסטרטגית שגיבש </w:t>
      </w:r>
      <w:r w:rsidRPr="00B97E44">
        <w:rPr>
          <w:rFonts w:hint="cs"/>
          <w:rtl/>
        </w:rPr>
        <w:t>מינהל</w:t>
      </w:r>
      <w:r w:rsidRPr="00B97E44">
        <w:rPr>
          <w:rFonts w:hint="cs"/>
          <w:rtl/>
        </w:rPr>
        <w:t xml:space="preserve"> התכנון ביולי 2024 היא הכוונת</w:t>
      </w:r>
      <w:r w:rsidRPr="00B97E44">
        <w:rPr>
          <w:rtl/>
        </w:rPr>
        <w:t xml:space="preserve"> </w:t>
      </w:r>
      <w:r w:rsidRPr="00B97E44">
        <w:rPr>
          <w:rFonts w:hint="cs"/>
          <w:rtl/>
        </w:rPr>
        <w:t>מרב</w:t>
      </w:r>
      <w:r w:rsidRPr="00B97E44">
        <w:rPr>
          <w:rtl/>
        </w:rPr>
        <w:t xml:space="preserve"> </w:t>
      </w:r>
      <w:r w:rsidRPr="00B97E44">
        <w:rPr>
          <w:rFonts w:hint="cs"/>
          <w:rtl/>
        </w:rPr>
        <w:t>הפיתוח</w:t>
      </w:r>
      <w:r w:rsidRPr="00B97E44">
        <w:rPr>
          <w:rtl/>
        </w:rPr>
        <w:t xml:space="preserve"> </w:t>
      </w:r>
      <w:r w:rsidRPr="00B97E44">
        <w:rPr>
          <w:rFonts w:hint="cs"/>
          <w:rtl/>
        </w:rPr>
        <w:t>וקידום</w:t>
      </w:r>
      <w:r w:rsidRPr="00B97E44">
        <w:rPr>
          <w:rtl/>
        </w:rPr>
        <w:t xml:space="preserve"> </w:t>
      </w:r>
      <w:r w:rsidRPr="00B97E44">
        <w:rPr>
          <w:rFonts w:hint="cs"/>
          <w:rtl/>
        </w:rPr>
        <w:t>תשתיות</w:t>
      </w:r>
      <w:r w:rsidRPr="00B97E44">
        <w:rPr>
          <w:rtl/>
        </w:rPr>
        <w:t xml:space="preserve"> </w:t>
      </w:r>
      <w:r w:rsidRPr="00B97E44">
        <w:rPr>
          <w:rFonts w:hint="cs"/>
          <w:rtl/>
        </w:rPr>
        <w:t>תומכות</w:t>
      </w:r>
      <w:r w:rsidRPr="00B97E44">
        <w:rPr>
          <w:rtl/>
        </w:rPr>
        <w:t xml:space="preserve"> </w:t>
      </w:r>
      <w:r w:rsidRPr="00B97E44">
        <w:rPr>
          <w:rFonts w:hint="cs"/>
          <w:rtl/>
        </w:rPr>
        <w:t>ליישובים</w:t>
      </w:r>
      <w:r w:rsidRPr="00B97E44">
        <w:rPr>
          <w:rtl/>
        </w:rPr>
        <w:t xml:space="preserve"> </w:t>
      </w:r>
      <w:r w:rsidRPr="00B97E44">
        <w:rPr>
          <w:rFonts w:hint="cs"/>
          <w:rtl/>
        </w:rPr>
        <w:t>העירוניים</w:t>
      </w:r>
      <w:r w:rsidRPr="00B97E44">
        <w:rPr>
          <w:rtl/>
        </w:rPr>
        <w:t xml:space="preserve"> </w:t>
      </w:r>
      <w:r w:rsidRPr="00B97E44">
        <w:rPr>
          <w:rFonts w:hint="cs"/>
          <w:rtl/>
        </w:rPr>
        <w:t>ולארבע</w:t>
      </w:r>
      <w:r w:rsidRPr="00B97E44">
        <w:rPr>
          <w:rtl/>
        </w:rPr>
        <w:t xml:space="preserve"> </w:t>
      </w:r>
      <w:r w:rsidRPr="00B97E44">
        <w:rPr>
          <w:rFonts w:hint="cs"/>
          <w:rtl/>
        </w:rPr>
        <w:t>המטרופולינים</w:t>
      </w:r>
      <w:r w:rsidRPr="00B97E44">
        <w:rPr>
          <w:rtl/>
        </w:rPr>
        <w:t xml:space="preserve"> </w:t>
      </w:r>
      <w:r w:rsidRPr="00B97E44">
        <w:rPr>
          <w:rFonts w:hint="cs"/>
          <w:rtl/>
        </w:rPr>
        <w:t>לצד</w:t>
      </w:r>
      <w:r w:rsidRPr="00B97E44">
        <w:rPr>
          <w:rtl/>
        </w:rPr>
        <w:t xml:space="preserve"> </w:t>
      </w:r>
      <w:r w:rsidRPr="00B97E44">
        <w:rPr>
          <w:rFonts w:hint="cs"/>
          <w:rtl/>
        </w:rPr>
        <w:t>שימת</w:t>
      </w:r>
      <w:r w:rsidRPr="00B97E44">
        <w:rPr>
          <w:rtl/>
        </w:rPr>
        <w:t xml:space="preserve"> </w:t>
      </w:r>
      <w:r w:rsidRPr="00B97E44">
        <w:rPr>
          <w:rFonts w:hint="cs"/>
          <w:rtl/>
        </w:rPr>
        <w:t>דגש</w:t>
      </w:r>
      <w:r w:rsidRPr="00B97E44">
        <w:rPr>
          <w:rtl/>
        </w:rPr>
        <w:t xml:space="preserve"> </w:t>
      </w:r>
      <w:r w:rsidRPr="00B97E44">
        <w:rPr>
          <w:rFonts w:hint="cs"/>
          <w:rtl/>
        </w:rPr>
        <w:t>בחיזוק צפון</w:t>
      </w:r>
      <w:r w:rsidRPr="00B97E44">
        <w:rPr>
          <w:rtl/>
        </w:rPr>
        <w:t xml:space="preserve"> </w:t>
      </w:r>
      <w:r w:rsidRPr="00B97E44">
        <w:rPr>
          <w:rFonts w:hint="cs"/>
          <w:rtl/>
        </w:rPr>
        <w:t>הארץ</w:t>
      </w:r>
      <w:r w:rsidRPr="00B97E44">
        <w:rPr>
          <w:rtl/>
        </w:rPr>
        <w:t xml:space="preserve"> </w:t>
      </w:r>
      <w:r w:rsidRPr="00B97E44">
        <w:rPr>
          <w:rFonts w:hint="cs"/>
          <w:rtl/>
        </w:rPr>
        <w:t>ודרומה</w:t>
      </w:r>
      <w:r w:rsidRPr="00B97E44">
        <w:rPr>
          <w:rtl/>
        </w:rPr>
        <w:t xml:space="preserve">, </w:t>
      </w:r>
      <w:r w:rsidRPr="00B97E44">
        <w:rPr>
          <w:rFonts w:hint="cs"/>
          <w:rtl/>
        </w:rPr>
        <w:t>ושמירה</w:t>
      </w:r>
      <w:r w:rsidRPr="00B97E44">
        <w:rPr>
          <w:rtl/>
        </w:rPr>
        <w:t xml:space="preserve"> </w:t>
      </w:r>
      <w:r w:rsidRPr="00B97E44">
        <w:rPr>
          <w:rFonts w:hint="cs"/>
          <w:rtl/>
        </w:rPr>
        <w:t>על</w:t>
      </w:r>
      <w:r w:rsidRPr="00B97E44">
        <w:rPr>
          <w:rtl/>
        </w:rPr>
        <w:t xml:space="preserve"> </w:t>
      </w:r>
      <w:r w:rsidRPr="00B97E44">
        <w:rPr>
          <w:rFonts w:hint="cs"/>
          <w:rtl/>
        </w:rPr>
        <w:t>המגוון</w:t>
      </w:r>
      <w:r w:rsidRPr="00B97E44">
        <w:rPr>
          <w:rtl/>
        </w:rPr>
        <w:t xml:space="preserve"> </w:t>
      </w:r>
      <w:r w:rsidRPr="00B97E44">
        <w:rPr>
          <w:rFonts w:hint="cs"/>
          <w:rtl/>
        </w:rPr>
        <w:t>של</w:t>
      </w:r>
      <w:r w:rsidRPr="00B97E44">
        <w:rPr>
          <w:rtl/>
        </w:rPr>
        <w:t xml:space="preserve"> </w:t>
      </w:r>
      <w:r w:rsidRPr="00B97E44">
        <w:rPr>
          <w:rFonts w:hint="cs"/>
          <w:rtl/>
        </w:rPr>
        <w:t>היישובים</w:t>
      </w:r>
      <w:r w:rsidRPr="00B97E44">
        <w:rPr>
          <w:rtl/>
        </w:rPr>
        <w:t xml:space="preserve"> </w:t>
      </w:r>
      <w:r w:rsidRPr="00B97E44">
        <w:rPr>
          <w:rFonts w:hint="cs"/>
          <w:rtl/>
        </w:rPr>
        <w:t>ועל</w:t>
      </w:r>
      <w:r w:rsidRPr="00B97E44">
        <w:rPr>
          <w:rtl/>
        </w:rPr>
        <w:t xml:space="preserve"> </w:t>
      </w:r>
      <w:r w:rsidRPr="00B97E44">
        <w:rPr>
          <w:rFonts w:hint="cs"/>
          <w:rtl/>
        </w:rPr>
        <w:t>אופיים</w:t>
      </w:r>
      <w:r w:rsidRPr="00B97E44">
        <w:rPr>
          <w:rtl/>
        </w:rPr>
        <w:t xml:space="preserve"> </w:t>
      </w:r>
      <w:r w:rsidRPr="00B97E44">
        <w:rPr>
          <w:rFonts w:hint="cs"/>
          <w:rtl/>
        </w:rPr>
        <w:t>במרחב</w:t>
      </w:r>
      <w:r w:rsidRPr="00B97E44">
        <w:rPr>
          <w:rtl/>
        </w:rPr>
        <w:t xml:space="preserve"> </w:t>
      </w:r>
      <w:r w:rsidRPr="00B97E44">
        <w:rPr>
          <w:rFonts w:hint="cs"/>
          <w:rtl/>
        </w:rPr>
        <w:t>העירוני</w:t>
      </w:r>
      <w:r w:rsidRPr="00B97E44">
        <w:rPr>
          <w:rtl/>
        </w:rPr>
        <w:t xml:space="preserve"> </w:t>
      </w:r>
      <w:r w:rsidRPr="00B97E44">
        <w:rPr>
          <w:rFonts w:hint="cs"/>
          <w:rtl/>
        </w:rPr>
        <w:t>ובמרחב</w:t>
      </w:r>
      <w:r w:rsidRPr="00B97E44">
        <w:rPr>
          <w:rtl/>
        </w:rPr>
        <w:t xml:space="preserve"> </w:t>
      </w:r>
      <w:r w:rsidRPr="00B97E44">
        <w:rPr>
          <w:rFonts w:hint="cs"/>
          <w:rtl/>
        </w:rPr>
        <w:t>הכפרי</w:t>
      </w:r>
      <w:r>
        <w:rPr>
          <w:vertAlign w:val="superscript"/>
          <w:rtl/>
        </w:rPr>
        <w:footnoteReference w:id="148"/>
      </w:r>
      <w:r w:rsidRPr="00B97E44">
        <w:rPr>
          <w:rFonts w:hint="cs"/>
          <w:rtl/>
        </w:rPr>
        <w:t>.</w:t>
      </w:r>
      <w:r w:rsidRPr="00B97E44">
        <w:rPr>
          <w:rtl/>
        </w:rPr>
        <w:t xml:space="preserve"> </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מהתוכנית האסטרטגית-מרחבית שפרסם </w:t>
      </w:r>
      <w:r w:rsidRPr="00B97E44">
        <w:rPr>
          <w:rFonts w:hint="cs"/>
          <w:rtl/>
        </w:rPr>
        <w:t>מינהל</w:t>
      </w:r>
      <w:r w:rsidRPr="00B97E44">
        <w:rPr>
          <w:rFonts w:hint="cs"/>
          <w:rtl/>
        </w:rPr>
        <w:t xml:space="preserve"> התכנון בשנת 2024 עלה כי ההתמקדות באתגרים הספציפיים וביתרונות היחסיים של כל אזור לצד עידוד וחיזוק שיתופי פעולה אזוריים יכולים להוביל לפיתוח מאוזן יותר של מרכז ופריפריה, לשיפור איכות החיים ורמת השירותים, להפחתת יוממות ולצמצום פערים כלכליים וחברתיים בין תושבי האזור. עוד עולה כי בתפיסה האזורית טמונה הזדמנות לחולל שינוי של ממש בדרום הארץ ובאזורים אחרים שהפערים בהם גדולים</w:t>
      </w:r>
      <w:r>
        <w:rPr>
          <w:vertAlign w:val="superscript"/>
          <w:rtl/>
        </w:rPr>
        <w:footnoteReference w:id="149"/>
      </w:r>
      <w:r w:rsidRPr="00B97E44">
        <w:rPr>
          <w:rFonts w:hint="cs"/>
          <w:rtl/>
        </w:rPr>
        <w:t xml:space="preserve">. </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מטרת התוכנית של </w:t>
      </w:r>
      <w:r w:rsidRPr="00B97E44">
        <w:rPr>
          <w:rFonts w:hint="cs"/>
          <w:rtl/>
        </w:rPr>
        <w:t>מינהל</w:t>
      </w:r>
      <w:r w:rsidRPr="00B97E44">
        <w:rPr>
          <w:rFonts w:hint="cs"/>
          <w:rtl/>
        </w:rPr>
        <w:t xml:space="preserve"> התכנון הייתה לזהות את קנה המידה המתאים לתכנון אזורי ששם במרכז את הפרט ואת דפוסי החיים שלו, להתוות שיטה סדורה להגדרת אזורי תפקוד ולהציע חלוקה אזורית שמתאימה לתכנון מרחבי-אזורי. הדבר מאפשר לזהות </w:t>
      </w:r>
      <w:r w:rsidRPr="00B97E44">
        <w:rPr>
          <w:rFonts w:hint="cs"/>
          <w:rtl/>
        </w:rPr>
        <w:t>חוזקות</w:t>
      </w:r>
      <w:r w:rsidRPr="00B97E44">
        <w:rPr>
          <w:rFonts w:hint="cs"/>
          <w:rtl/>
        </w:rPr>
        <w:t xml:space="preserve"> ואתגרים באזור ולדייק את המטרות התכנוניות שיקדמו את החוסן </w:t>
      </w:r>
      <w:r w:rsidRPr="00B97E44">
        <w:rPr>
          <w:rFonts w:hint="cs"/>
          <w:rtl/>
        </w:rPr>
        <w:t>וינגישו</w:t>
      </w:r>
      <w:r w:rsidRPr="00B97E44">
        <w:rPr>
          <w:rFonts w:hint="cs"/>
          <w:rtl/>
        </w:rPr>
        <w:t xml:space="preserve"> שירותים והזדמנויות לתושבים. על פי התוכנית, תכנון אזורי יכול לסייע בחיזוק הסינרגיה בין המרחבים, בקידום חזון משותף, ובכינון שיתופי פעולה</w:t>
      </w:r>
      <w:r>
        <w:rPr>
          <w:vertAlign w:val="superscript"/>
          <w:rtl/>
        </w:rPr>
        <w:footnoteReference w:id="150"/>
      </w:r>
      <w:r w:rsidRPr="00B97E44">
        <w:rPr>
          <w:rFonts w:hint="cs"/>
          <w:rtl/>
        </w:rPr>
        <w:t xml:space="preserve">. </w:t>
      </w:r>
    </w:p>
    <w:p w:rsidR="005B126E" w:rsidP="001916A9">
      <w:pPr>
        <w:spacing w:line="269" w:lineRule="auto"/>
        <w:rPr>
          <w:rtl/>
        </w:rPr>
      </w:pPr>
    </w:p>
    <w:p w:rsidR="005B126E" w:rsidRPr="00B97E44" w:rsidP="001916A9">
      <w:pPr>
        <w:spacing w:line="269" w:lineRule="auto"/>
        <w:rPr>
          <w:rtl/>
        </w:rPr>
      </w:pPr>
      <w:r w:rsidRPr="00B97E44">
        <w:rPr>
          <w:rFonts w:hint="cs"/>
          <w:rtl/>
        </w:rPr>
        <w:t>יש קושי אפוא ליישב בין תוכנית החומש ובין</w:t>
      </w:r>
      <w:r w:rsidRPr="00B97E44">
        <w:rPr>
          <w:rtl/>
        </w:rPr>
        <w:t xml:space="preserve"> </w:t>
      </w:r>
      <w:r w:rsidRPr="00B97E44">
        <w:rPr>
          <w:rFonts w:hint="cs"/>
          <w:rtl/>
        </w:rPr>
        <w:t>ה</w:t>
      </w:r>
      <w:r w:rsidRPr="00B97E44">
        <w:rPr>
          <w:rtl/>
        </w:rPr>
        <w:t xml:space="preserve">עקרונות המנחים של </w:t>
      </w:r>
      <w:r w:rsidRPr="00B97E44">
        <w:rPr>
          <w:rFonts w:hint="cs"/>
          <w:rtl/>
        </w:rPr>
        <w:t xml:space="preserve">התוכנית האסטרטגית </w:t>
      </w:r>
      <w:r w:rsidRPr="00B97E44">
        <w:rPr>
          <w:rtl/>
        </w:rPr>
        <w:t xml:space="preserve">של </w:t>
      </w:r>
      <w:r w:rsidRPr="00B97E44">
        <w:rPr>
          <w:rtl/>
        </w:rPr>
        <w:t>מינהל</w:t>
      </w:r>
      <w:r w:rsidRPr="00B97E44">
        <w:rPr>
          <w:rtl/>
        </w:rPr>
        <w:t xml:space="preserve"> התכנ</w:t>
      </w:r>
      <w:r w:rsidRPr="00B97E44">
        <w:rPr>
          <w:rFonts w:hint="cs"/>
          <w:rtl/>
        </w:rPr>
        <w:t>ון, ה</w:t>
      </w:r>
      <w:r w:rsidRPr="00B97E44">
        <w:rPr>
          <w:rtl/>
        </w:rPr>
        <w:t xml:space="preserve">מבקשת לבחון את המרחב האזורי על פי תפקודו בפועל </w:t>
      </w:r>
      <w:r w:rsidRPr="00B97E44">
        <w:rPr>
          <w:rFonts w:hint="cs"/>
          <w:rtl/>
        </w:rPr>
        <w:t>-</w:t>
      </w:r>
      <w:r w:rsidRPr="00B97E44">
        <w:rPr>
          <w:rtl/>
        </w:rPr>
        <w:t xml:space="preserve"> תעסוקה, תחבורה, שירותים וקהילות חיות </w:t>
      </w:r>
      <w:r w:rsidRPr="00B97E44">
        <w:rPr>
          <w:rFonts w:hint="cs"/>
          <w:rtl/>
        </w:rPr>
        <w:t>-</w:t>
      </w:r>
      <w:r w:rsidRPr="00B97E44">
        <w:rPr>
          <w:rtl/>
        </w:rPr>
        <w:t xml:space="preserve"> ולא על פי גבולות </w:t>
      </w:r>
      <w:r w:rsidRPr="00B97E44">
        <w:rPr>
          <w:rFonts w:hint="cs"/>
          <w:rtl/>
        </w:rPr>
        <w:t>מינהליים</w:t>
      </w:r>
      <w:r w:rsidRPr="00B97E44">
        <w:rPr>
          <w:rtl/>
        </w:rPr>
        <w:t xml:space="preserve">. </w:t>
      </w:r>
      <w:r w:rsidRPr="00B97E44">
        <w:rPr>
          <w:rFonts w:hint="cs"/>
          <w:rtl/>
        </w:rPr>
        <w:t>התפיסה האזורית אינה עוצרת</w:t>
      </w:r>
      <w:r w:rsidRPr="00B97E44">
        <w:rPr>
          <w:rtl/>
        </w:rPr>
        <w:t xml:space="preserve"> בקו הביטחוני, </w:t>
      </w:r>
      <w:r w:rsidRPr="00B97E44">
        <w:rPr>
          <w:rFonts w:hint="cs"/>
          <w:rtl/>
        </w:rPr>
        <w:t>והיישובים הסמוכים לחבל התקומה הם</w:t>
      </w:r>
      <w:r w:rsidRPr="00B97E44">
        <w:rPr>
          <w:rtl/>
        </w:rPr>
        <w:t xml:space="preserve"> חלק בלתי נפרד ממארג החיים האזרחי והכלכלי של </w:t>
      </w:r>
      <w:r w:rsidRPr="00B97E44">
        <w:rPr>
          <w:rFonts w:hint="cs"/>
          <w:rtl/>
        </w:rPr>
        <w:t>חבל התקומה</w:t>
      </w:r>
      <w:r w:rsidRPr="00B97E44">
        <w:rPr>
          <w:rtl/>
        </w:rPr>
        <w:t>. אול</w:t>
      </w:r>
      <w:r w:rsidRPr="00B97E44">
        <w:rPr>
          <w:rFonts w:hint="cs"/>
          <w:rtl/>
        </w:rPr>
        <w:t>ם תוכנית החומש לחבל התקומה</w:t>
      </w:r>
      <w:r w:rsidRPr="00B97E44">
        <w:rPr>
          <w:rtl/>
        </w:rPr>
        <w:t xml:space="preserve"> </w:t>
      </w:r>
      <w:r w:rsidRPr="00B97E44">
        <w:rPr>
          <w:rFonts w:hint="cs"/>
          <w:rtl/>
        </w:rPr>
        <w:t>אינה כוללת</w:t>
      </w:r>
      <w:r w:rsidRPr="00B97E44">
        <w:rPr>
          <w:rtl/>
        </w:rPr>
        <w:t xml:space="preserve"> מרחבים אלה </w:t>
      </w:r>
      <w:r w:rsidRPr="00B97E44">
        <w:rPr>
          <w:rFonts w:hint="cs"/>
          <w:rtl/>
        </w:rPr>
        <w:t>ב</w:t>
      </w:r>
      <w:r w:rsidRPr="00B97E44">
        <w:rPr>
          <w:rtl/>
        </w:rPr>
        <w:t xml:space="preserve">שיח התכנוני והתקציבי, ובכך </w:t>
      </w:r>
      <w:r w:rsidRPr="00B97E44">
        <w:rPr>
          <w:rFonts w:hint="cs"/>
          <w:rtl/>
        </w:rPr>
        <w:t>עלולה לפגוע</w:t>
      </w:r>
      <w:r w:rsidRPr="00B97E44">
        <w:rPr>
          <w:rtl/>
        </w:rPr>
        <w:t xml:space="preserve"> ביכולתם של מוקדי משנה אזוריים להתפתח ולהוביל תהליכי שיקום מלמטה</w:t>
      </w:r>
      <w:r>
        <w:rPr>
          <w:vertAlign w:val="superscript"/>
          <w:rtl/>
        </w:rPr>
        <w:footnoteReference w:id="151"/>
      </w:r>
      <w:r w:rsidRPr="00B97E44">
        <w:t>.</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במחקר של בנק ישראל ממרץ 2024 הודגש כי רצוי שחיזוק הרשויות המקומיות והפיתוח הכלכלי יתייחס לכלל המרחב הגיאוגרפי באזורי העימות ובחבלי הארץ הסמוכים ולא רק ליישובים שפונו בעקבות </w:t>
      </w:r>
      <w:r>
        <w:rPr>
          <w:rFonts w:hint="cs"/>
          <w:rtl/>
        </w:rPr>
        <w:t>מתקפת הטרור</w:t>
      </w:r>
      <w:r w:rsidRPr="00B97E44">
        <w:rPr>
          <w:rFonts w:hint="cs"/>
          <w:rtl/>
        </w:rPr>
        <w:t xml:space="preserve"> </w:t>
      </w:r>
      <w:r>
        <w:rPr>
          <w:rFonts w:hint="cs"/>
          <w:rtl/>
        </w:rPr>
        <w:t>ב</w:t>
      </w:r>
      <w:r w:rsidRPr="00B97E44">
        <w:rPr>
          <w:rFonts w:hint="cs"/>
          <w:rtl/>
        </w:rPr>
        <w:t xml:space="preserve">שבעה באוקטובר, כיוון שהיישובים במרחבים הללו - הכפריים והעירוניים - חולקים תשתיות בתחומי התעסוקה, התחבורה, הבריאות והשירותים העסקיים והציבוריים. תכנון לגבי המרחב כולו יאפשר, לפי בנק ישראל, לנצל יתרונות הנובעים מגודל היישובים, ומגודלם של מקבצי יישובים סמוכים וכן יתרונות הטמונים ביחסי הגומלין שבין היישובים. באופן דומה חשוב לדידו גם שפיתוח כלכלי ישלב בין היתרונות היחסיים הקיימים, וכי בפיתוחם של </w:t>
      </w:r>
      <w:r w:rsidRPr="00B97E44">
        <w:rPr>
          <w:rFonts w:hint="eastAsia"/>
          <w:rtl/>
        </w:rPr>
        <w:t>יתרונות</w:t>
      </w:r>
      <w:r w:rsidRPr="00B97E44">
        <w:rPr>
          <w:rFonts w:hint="cs"/>
          <w:rtl/>
        </w:rPr>
        <w:t xml:space="preserve"> נוספים יובאו בחשבון יעדים של קידום חדשנות ויעילות כלכלית, וכן צמצום פערים בין האוכלוסיות ביישובים כפריים לאוכלוסיות ביישובים עירוניים סמוכים</w:t>
      </w:r>
      <w:r>
        <w:rPr>
          <w:vertAlign w:val="superscript"/>
          <w:rtl/>
        </w:rPr>
        <w:footnoteReference w:id="152"/>
      </w:r>
      <w:r w:rsidRPr="00B97E44">
        <w:rPr>
          <w:rFonts w:hint="cs"/>
          <w:rtl/>
        </w:rPr>
        <w:t xml:space="preserve">. </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יתרה מזאת, משרד ראש הממשלה עצמו מוביל זה כמה שנים, בשיתוף משרד הנגב והגליל, משרד האוצר, המועצה הלאומית לכלכלה, </w:t>
      </w:r>
      <w:r w:rsidRPr="00B97E44">
        <w:rPr>
          <w:rFonts w:hint="cs"/>
          <w:rtl/>
        </w:rPr>
        <w:t>מינהל</w:t>
      </w:r>
      <w:r w:rsidRPr="00B97E44">
        <w:rPr>
          <w:rFonts w:hint="cs"/>
          <w:rtl/>
        </w:rPr>
        <w:t xml:space="preserve"> המעבר דרומה במשרד הביטחון ועיריית </w:t>
      </w:r>
      <w:r w:rsidRPr="007E1C6B">
        <w:rPr>
          <w:rFonts w:hint="cs"/>
          <w:b/>
          <w:bCs/>
          <w:rtl/>
        </w:rPr>
        <w:t>באר שבע</w:t>
      </w:r>
      <w:r w:rsidRPr="00B97E44">
        <w:rPr>
          <w:rFonts w:hint="cs"/>
          <w:rtl/>
        </w:rPr>
        <w:t xml:space="preserve">, את גיבוש </w:t>
      </w:r>
      <w:r w:rsidRPr="00B97E44">
        <w:rPr>
          <w:rFonts w:hint="eastAsia"/>
          <w:rtl/>
        </w:rPr>
        <w:t>התוכנית</w:t>
      </w:r>
      <w:r w:rsidRPr="00B97E44">
        <w:rPr>
          <w:rtl/>
        </w:rPr>
        <w:t xml:space="preserve"> </w:t>
      </w:r>
      <w:r w:rsidRPr="00B97E44">
        <w:rPr>
          <w:rFonts w:hint="eastAsia"/>
          <w:rtl/>
        </w:rPr>
        <w:t>האסטרטגית</w:t>
      </w:r>
      <w:r w:rsidRPr="00B97E44">
        <w:rPr>
          <w:rtl/>
        </w:rPr>
        <w:t xml:space="preserve"> </w:t>
      </w:r>
      <w:r w:rsidRPr="00B97E44">
        <w:rPr>
          <w:rFonts w:hint="eastAsia"/>
          <w:rtl/>
        </w:rPr>
        <w:t>לפיתוח</w:t>
      </w:r>
      <w:r w:rsidRPr="00B97E44">
        <w:rPr>
          <w:rtl/>
        </w:rPr>
        <w:t xml:space="preserve"> </w:t>
      </w:r>
      <w:r w:rsidRPr="00B97E44">
        <w:rPr>
          <w:rFonts w:hint="eastAsia"/>
          <w:rtl/>
        </w:rPr>
        <w:t>העיר</w:t>
      </w:r>
      <w:r w:rsidRPr="00B97E44">
        <w:rPr>
          <w:rtl/>
        </w:rPr>
        <w:t xml:space="preserve"> </w:t>
      </w:r>
      <w:r w:rsidRPr="00B97E44">
        <w:rPr>
          <w:rFonts w:hint="eastAsia"/>
          <w:rtl/>
        </w:rPr>
        <w:t>באר</w:t>
      </w:r>
      <w:r w:rsidRPr="00B97E44">
        <w:rPr>
          <w:rtl/>
        </w:rPr>
        <w:t xml:space="preserve"> </w:t>
      </w:r>
      <w:r w:rsidRPr="00B97E44">
        <w:rPr>
          <w:rFonts w:hint="eastAsia"/>
          <w:rtl/>
        </w:rPr>
        <w:t>שבע</w:t>
      </w:r>
      <w:r w:rsidRPr="00B97E44">
        <w:rPr>
          <w:rtl/>
        </w:rPr>
        <w:t xml:space="preserve"> </w:t>
      </w:r>
      <w:r w:rsidRPr="00B97E44">
        <w:rPr>
          <w:rFonts w:hint="eastAsia"/>
          <w:rtl/>
        </w:rPr>
        <w:t>והמטרופולין</w:t>
      </w:r>
      <w:r w:rsidRPr="00B97E44">
        <w:rPr>
          <w:rtl/>
        </w:rPr>
        <w:t xml:space="preserve"> </w:t>
      </w:r>
      <w:r w:rsidRPr="00B97E44">
        <w:rPr>
          <w:rFonts w:hint="eastAsia"/>
          <w:rtl/>
        </w:rPr>
        <w:t>האזורי</w:t>
      </w:r>
      <w:r w:rsidRPr="00B97E44">
        <w:rPr>
          <w:rFonts w:hint="cs"/>
          <w:rtl/>
        </w:rPr>
        <w:t xml:space="preserve"> בהשקעה של מאות מיליוני ש"ח. לתוכנית יעדים לעידוד הצמיחה הכלכלית והצמיחה הדמוגרפית באמצעות מניעת הגירה שלילית ועידוד הגירה חיובית של הון אנושי איכותי, בין היתר במימוש מיטבי של מעבר צה"ל לנגב</w:t>
      </w:r>
      <w:r>
        <w:rPr>
          <w:vertAlign w:val="superscript"/>
          <w:rtl/>
        </w:rPr>
        <w:footnoteReference w:id="153"/>
      </w:r>
      <w:r w:rsidRPr="00B97E44">
        <w:rPr>
          <w:rFonts w:hint="cs"/>
          <w:rtl/>
        </w:rPr>
        <w:t>. חרף רצונו של משרד ראש הממשלה להוביל לגיבוש תוכנית אסטרטגית לפיתוח העיר באר שבע כמוקד מטרופולין אזורי והאמור בתוכניות הסטטוטוריו</w:t>
      </w:r>
      <w:r w:rsidRPr="00B97E44">
        <w:rPr>
          <w:rFonts w:hint="eastAsia"/>
          <w:rtl/>
        </w:rPr>
        <w:t>ת</w:t>
      </w:r>
      <w:r w:rsidRPr="00B97E44">
        <w:rPr>
          <w:rFonts w:hint="cs"/>
          <w:rtl/>
        </w:rPr>
        <w:t xml:space="preserve"> המגדירות את העיר באר שבע ואת סביבתה כמטרופולין וכן מפרטות את יעדי הפיתוח של המטרופולין, עולה כי אלה אינם מתכתבים עם פעילות הממשלה והחלטותיה כפי שהן באות לידי ביטוי בפעילותה של מינהלת תקומה לשיקום ופיתוח חבל התקומה</w:t>
      </w:r>
      <w:r>
        <w:rPr>
          <w:vertAlign w:val="superscript"/>
          <w:rtl/>
        </w:rPr>
        <w:footnoteReference w:id="154"/>
      </w:r>
      <w:r w:rsidRPr="00B97E44">
        <w:rPr>
          <w:rFonts w:hint="cs"/>
          <w:rtl/>
        </w:rPr>
        <w:t>.</w:t>
      </w:r>
    </w:p>
    <w:p w:rsidR="005B126E" w:rsidP="001916A9">
      <w:pPr>
        <w:spacing w:line="269" w:lineRule="auto"/>
        <w:rPr>
          <w:b/>
          <w:bCs/>
          <w:rtl/>
        </w:rPr>
      </w:pPr>
    </w:p>
    <w:p w:rsidR="005B126E" w:rsidRPr="00B97E44" w:rsidP="001916A9">
      <w:pPr>
        <w:spacing w:line="269" w:lineRule="auto"/>
        <w:rPr>
          <w:b/>
          <w:bCs/>
          <w:rtl/>
        </w:rPr>
      </w:pPr>
      <w:r w:rsidRPr="00B97E44">
        <w:rPr>
          <w:rFonts w:hint="cs"/>
          <w:b/>
          <w:bCs/>
          <w:rtl/>
        </w:rPr>
        <w:t>נמצא כי אף שמשרד ראש הממשלה קידם לאורך שנים את התוכנית האסטרטגית לפיתוח מטרופולין באר שבע בראייה אזורית</w:t>
      </w:r>
      <w:r w:rsidRPr="00B97E44">
        <w:rPr>
          <w:b/>
          <w:bCs/>
          <w:rtl/>
        </w:rPr>
        <w:t>,</w:t>
      </w:r>
      <w:r w:rsidRPr="00B97E44">
        <w:rPr>
          <w:rFonts w:hint="cs"/>
          <w:b/>
          <w:bCs/>
          <w:rtl/>
        </w:rPr>
        <w:t xml:space="preserve"> בתוכנית שהוביל לשיקום ופיתוח היישובים הסמוכים לחבל התקומה ופרסם באוגוסט 2025 הוא בחר שלא לתת ביטוי לתפיסת האזוריות.</w:t>
      </w:r>
      <w:r w:rsidRPr="00B97E44">
        <w:rPr>
          <w:b/>
          <w:bCs/>
          <w:rtl/>
        </w:rPr>
        <w:t xml:space="preserve"> כך, קשה להצביע על פרויקטים אזוריים או על שיתופי פעולה משמעותיים </w:t>
      </w:r>
      <w:r w:rsidRPr="00B97E44">
        <w:rPr>
          <w:rFonts w:hint="eastAsia"/>
          <w:b/>
          <w:bCs/>
          <w:rtl/>
        </w:rPr>
        <w:t>בתוכניות</w:t>
      </w:r>
      <w:r w:rsidRPr="00B97E44">
        <w:rPr>
          <w:b/>
          <w:bCs/>
          <w:rtl/>
        </w:rPr>
        <w:t xml:space="preserve"> </w:t>
      </w:r>
      <w:r w:rsidRPr="00B97E44">
        <w:rPr>
          <w:rFonts w:hint="eastAsia"/>
          <w:b/>
          <w:bCs/>
          <w:rtl/>
        </w:rPr>
        <w:t>לשיקום</w:t>
      </w:r>
      <w:r w:rsidRPr="00B97E44">
        <w:rPr>
          <w:b/>
          <w:bCs/>
          <w:rtl/>
        </w:rPr>
        <w:t xml:space="preserve"> </w:t>
      </w:r>
      <w:r w:rsidRPr="00B97E44">
        <w:rPr>
          <w:rFonts w:hint="eastAsia"/>
          <w:b/>
          <w:bCs/>
          <w:rtl/>
        </w:rPr>
        <w:t>ופיתוח</w:t>
      </w:r>
      <w:r w:rsidRPr="00B97E44">
        <w:rPr>
          <w:b/>
          <w:bCs/>
          <w:rtl/>
        </w:rPr>
        <w:t xml:space="preserve"> </w:t>
      </w:r>
      <w:r w:rsidRPr="00B97E44">
        <w:rPr>
          <w:rFonts w:hint="eastAsia"/>
          <w:b/>
          <w:bCs/>
          <w:rtl/>
        </w:rPr>
        <w:t>היישובים</w:t>
      </w:r>
      <w:r w:rsidRPr="00B97E44">
        <w:rPr>
          <w:b/>
          <w:bCs/>
          <w:rtl/>
        </w:rPr>
        <w:t xml:space="preserve"> </w:t>
      </w:r>
      <w:r w:rsidRPr="00B97E44">
        <w:rPr>
          <w:rFonts w:hint="eastAsia"/>
          <w:b/>
          <w:bCs/>
          <w:rtl/>
        </w:rPr>
        <w:t>הסמוכים</w:t>
      </w:r>
      <w:r w:rsidRPr="00B97E44">
        <w:rPr>
          <w:b/>
          <w:bCs/>
          <w:rtl/>
        </w:rPr>
        <w:t>.</w:t>
      </w:r>
    </w:p>
    <w:p w:rsidR="005B126E" w:rsidP="001916A9">
      <w:pPr>
        <w:spacing w:line="269" w:lineRule="auto"/>
        <w:rPr>
          <w:b/>
          <w:bCs/>
          <w:rtl/>
        </w:rPr>
      </w:pPr>
      <w:bookmarkStart w:id="68" w:name="_Hlk207636698"/>
    </w:p>
    <w:p w:rsidR="005B126E" w:rsidRPr="00B97E44" w:rsidP="001916A9">
      <w:pPr>
        <w:spacing w:line="269" w:lineRule="auto"/>
        <w:rPr>
          <w:b/>
          <w:bCs/>
          <w:rtl/>
        </w:rPr>
      </w:pPr>
      <w:r w:rsidRPr="00B97E44">
        <w:rPr>
          <w:rFonts w:hint="cs"/>
          <w:b/>
          <w:bCs/>
          <w:rtl/>
        </w:rPr>
        <w:t>יישובי הנגב המערבי חולקים תשתיות בתחומי התעסוקה, התחבורה, הבריאות והשירותים העסקיים והציבוריים</w:t>
      </w:r>
      <w:r>
        <w:rPr>
          <w:b/>
          <w:vertAlign w:val="superscript"/>
          <w:rtl/>
        </w:rPr>
        <w:footnoteReference w:id="155"/>
      </w:r>
      <w:r w:rsidRPr="00B97E44">
        <w:rPr>
          <w:rFonts w:hint="cs"/>
          <w:b/>
          <w:bCs/>
          <w:rtl/>
        </w:rPr>
        <w:t xml:space="preserve">. היישובים בחבל התקומה מקיימים יחסי גומלין וממשקים עם היישובים שסביבם, והחבל, שגבולותיו הצרים נגזרו בהחלטה </w:t>
      </w:r>
      <w:r w:rsidRPr="00B97E44">
        <w:rPr>
          <w:rFonts w:hint="cs"/>
          <w:b/>
          <w:bCs/>
          <w:rtl/>
        </w:rPr>
        <w:t>מינהלית</w:t>
      </w:r>
      <w:r w:rsidRPr="00B97E44">
        <w:rPr>
          <w:rFonts w:hint="cs"/>
          <w:b/>
          <w:bCs/>
          <w:rtl/>
        </w:rPr>
        <w:t xml:space="preserve">, מתקשה לעמוד בפני עצמו ולספק בעצמו את כל השירותים לתושביו ולבעלי העסקים בו ולכן תלוי ביישובים הגדולים שמחוצה לו. </w:t>
      </w:r>
    </w:p>
    <w:bookmarkEnd w:id="68"/>
    <w:p w:rsidR="005B126E" w:rsidP="001916A9">
      <w:pPr>
        <w:spacing w:line="269" w:lineRule="auto"/>
        <w:rPr>
          <w:b/>
          <w:bCs/>
          <w:rtl/>
        </w:rPr>
      </w:pPr>
    </w:p>
    <w:p w:rsidR="005B126E" w:rsidP="001916A9">
      <w:pPr>
        <w:spacing w:line="269" w:lineRule="auto"/>
        <w:rPr>
          <w:b/>
          <w:bCs/>
          <w:rtl/>
        </w:rPr>
      </w:pPr>
      <w:r w:rsidRPr="00B97E44">
        <w:rPr>
          <w:rFonts w:hint="cs"/>
          <w:b/>
          <w:bCs/>
          <w:rtl/>
        </w:rPr>
        <w:t xml:space="preserve">ואולם </w:t>
      </w:r>
      <w:r w:rsidRPr="00B97E44">
        <w:rPr>
          <w:b/>
          <w:bCs/>
          <w:rtl/>
        </w:rPr>
        <w:t xml:space="preserve">בעוד </w:t>
      </w:r>
      <w:r w:rsidRPr="00B97E44">
        <w:rPr>
          <w:rFonts w:hint="cs"/>
          <w:b/>
          <w:bCs/>
          <w:rtl/>
        </w:rPr>
        <w:t xml:space="preserve">התוכנית האסטרטגית של </w:t>
      </w:r>
      <w:r w:rsidRPr="00B97E44">
        <w:rPr>
          <w:rFonts w:hint="cs"/>
          <w:b/>
          <w:bCs/>
          <w:rtl/>
        </w:rPr>
        <w:t>מינהל</w:t>
      </w:r>
      <w:r w:rsidRPr="00B97E44">
        <w:rPr>
          <w:rFonts w:hint="cs"/>
          <w:b/>
          <w:bCs/>
          <w:rtl/>
        </w:rPr>
        <w:t xml:space="preserve"> התכנון משנת 2024, </w:t>
      </w:r>
      <w:r w:rsidRPr="00B97E44">
        <w:rPr>
          <w:b/>
          <w:bCs/>
          <w:rtl/>
        </w:rPr>
        <w:t>מבקשת לחזק שיתופי פעולה בין רשויות מקומיות ולעודד תכנון אינטגרטיבי מבוסס</w:t>
      </w:r>
      <w:r w:rsidRPr="00B97E44">
        <w:rPr>
          <w:rFonts w:hint="cs"/>
          <w:b/>
          <w:bCs/>
          <w:rtl/>
        </w:rPr>
        <w:t xml:space="preserve"> </w:t>
      </w:r>
      <w:r w:rsidRPr="00B97E44">
        <w:rPr>
          <w:b/>
          <w:bCs/>
          <w:rtl/>
        </w:rPr>
        <w:t xml:space="preserve">מרחב, תוכנית </w:t>
      </w:r>
      <w:r w:rsidRPr="00B97E44">
        <w:rPr>
          <w:rFonts w:hint="cs"/>
          <w:b/>
          <w:bCs/>
          <w:rtl/>
        </w:rPr>
        <w:t>החומש</w:t>
      </w:r>
      <w:r w:rsidRPr="00B97E44">
        <w:rPr>
          <w:b/>
          <w:bCs/>
          <w:rtl/>
        </w:rPr>
        <w:t xml:space="preserve"> </w:t>
      </w:r>
      <w:r w:rsidRPr="00B97E44">
        <w:rPr>
          <w:rFonts w:hint="cs"/>
          <w:b/>
          <w:bCs/>
          <w:rtl/>
        </w:rPr>
        <w:t xml:space="preserve">שמובילה מינהלת תקומה תחומה לאזור גיאוגרפי צר </w:t>
      </w:r>
      <w:r w:rsidRPr="00B97E44">
        <w:rPr>
          <w:b/>
          <w:bCs/>
          <w:rtl/>
        </w:rPr>
        <w:t xml:space="preserve">והקדישה משאבים מצומצמים בתוכנית לשיתוף השלטון המקומי </w:t>
      </w:r>
      <w:r w:rsidRPr="00B97E44">
        <w:rPr>
          <w:rFonts w:hint="cs"/>
          <w:b/>
          <w:bCs/>
          <w:rtl/>
        </w:rPr>
        <w:t>-</w:t>
      </w:r>
      <w:r w:rsidRPr="00B97E44">
        <w:rPr>
          <w:b/>
          <w:bCs/>
          <w:rtl/>
        </w:rPr>
        <w:t xml:space="preserve"> </w:t>
      </w:r>
      <w:r w:rsidRPr="00B97E44">
        <w:rPr>
          <w:rFonts w:hint="cs"/>
          <w:b/>
          <w:bCs/>
          <w:rtl/>
        </w:rPr>
        <w:t>ה</w:t>
      </w:r>
      <w:r w:rsidRPr="00B97E44">
        <w:rPr>
          <w:b/>
          <w:bCs/>
          <w:rtl/>
        </w:rPr>
        <w:t xml:space="preserve">מחזיק בידע העמוק ביותר על הצרכים והפוטנציאל של המקום </w:t>
      </w:r>
      <w:r w:rsidRPr="00B97E44">
        <w:rPr>
          <w:rFonts w:hint="cs"/>
          <w:b/>
          <w:bCs/>
          <w:rtl/>
        </w:rPr>
        <w:t>-</w:t>
      </w:r>
      <w:r w:rsidRPr="00B97E44">
        <w:rPr>
          <w:b/>
          <w:bCs/>
          <w:rtl/>
        </w:rPr>
        <w:t xml:space="preserve"> </w:t>
      </w:r>
      <w:r w:rsidRPr="00B97E44">
        <w:rPr>
          <w:rFonts w:hint="cs"/>
          <w:b/>
          <w:bCs/>
          <w:rtl/>
        </w:rPr>
        <w:t>והשפעתו על התוכנית ויישומה מוגבלת</w:t>
      </w:r>
      <w:r>
        <w:rPr>
          <w:b/>
          <w:vertAlign w:val="superscript"/>
          <w:rtl/>
        </w:rPr>
        <w:footnoteReference w:id="156"/>
      </w:r>
      <w:r w:rsidRPr="00B97E44">
        <w:rPr>
          <w:b/>
          <w:bCs/>
        </w:rPr>
        <w:t>.</w:t>
      </w:r>
      <w:r w:rsidRPr="00B97E44">
        <w:rPr>
          <w:rFonts w:hint="cs"/>
          <w:b/>
          <w:bCs/>
          <w:rtl/>
        </w:rPr>
        <w:t xml:space="preserve"> </w:t>
      </w:r>
    </w:p>
    <w:p w:rsidR="005B126E" w:rsidRPr="00B97E44" w:rsidP="001916A9">
      <w:pPr>
        <w:spacing w:line="269" w:lineRule="auto"/>
        <w:rPr>
          <w:b/>
          <w:bCs/>
          <w:rtl/>
        </w:rPr>
      </w:pPr>
    </w:p>
    <w:p w:rsidR="005B126E" w:rsidRPr="00B97E44" w:rsidP="001916A9">
      <w:pPr>
        <w:spacing w:line="269" w:lineRule="auto"/>
        <w:rPr>
          <w:b/>
          <w:bCs/>
          <w:rtl/>
        </w:rPr>
      </w:pPr>
      <w:r w:rsidRPr="00B97E44">
        <w:rPr>
          <w:rFonts w:hint="cs"/>
          <w:b/>
          <w:bCs/>
          <w:rtl/>
        </w:rPr>
        <w:t xml:space="preserve">להסתכלות האזורית על פיתוח החבל יש </w:t>
      </w:r>
      <w:r w:rsidRPr="00B97E44">
        <w:rPr>
          <w:rFonts w:hint="eastAsia"/>
          <w:b/>
          <w:bCs/>
          <w:rtl/>
        </w:rPr>
        <w:t>משנה</w:t>
      </w:r>
      <w:r w:rsidRPr="00B97E44">
        <w:rPr>
          <w:b/>
          <w:bCs/>
          <w:rtl/>
        </w:rPr>
        <w:t xml:space="preserve"> </w:t>
      </w:r>
      <w:r w:rsidRPr="00B97E44">
        <w:rPr>
          <w:rFonts w:hint="eastAsia"/>
          <w:b/>
          <w:bCs/>
          <w:rtl/>
        </w:rPr>
        <w:t>חשיבות</w:t>
      </w:r>
      <w:r w:rsidRPr="00B97E44">
        <w:rPr>
          <w:b/>
          <w:bCs/>
          <w:rtl/>
        </w:rPr>
        <w:t xml:space="preserve"> </w:t>
      </w:r>
      <w:r w:rsidRPr="00B97E44">
        <w:rPr>
          <w:rFonts w:hint="eastAsia"/>
          <w:b/>
          <w:bCs/>
          <w:rtl/>
        </w:rPr>
        <w:t>גם</w:t>
      </w:r>
      <w:r w:rsidRPr="00B97E44">
        <w:rPr>
          <w:b/>
          <w:bCs/>
          <w:rtl/>
        </w:rPr>
        <w:t xml:space="preserve"> </w:t>
      </w:r>
      <w:r w:rsidRPr="00B97E44">
        <w:rPr>
          <w:rFonts w:hint="eastAsia"/>
          <w:b/>
          <w:bCs/>
          <w:rtl/>
        </w:rPr>
        <w:t>מעצם</w:t>
      </w:r>
      <w:r w:rsidRPr="00B97E44">
        <w:rPr>
          <w:b/>
          <w:bCs/>
          <w:rtl/>
        </w:rPr>
        <w:t xml:space="preserve"> </w:t>
      </w:r>
      <w:r w:rsidRPr="00B97E44">
        <w:rPr>
          <w:rFonts w:hint="eastAsia"/>
          <w:b/>
          <w:bCs/>
          <w:rtl/>
        </w:rPr>
        <w:t>העובדה</w:t>
      </w:r>
      <w:r w:rsidRPr="00B97E44">
        <w:rPr>
          <w:b/>
          <w:bCs/>
          <w:rtl/>
        </w:rPr>
        <w:t xml:space="preserve"> </w:t>
      </w:r>
      <w:r w:rsidRPr="00B97E44">
        <w:rPr>
          <w:rFonts w:hint="eastAsia"/>
          <w:b/>
          <w:bCs/>
          <w:rtl/>
        </w:rPr>
        <w:t>ששיעור</w:t>
      </w:r>
      <w:r w:rsidRPr="00B97E44">
        <w:rPr>
          <w:b/>
          <w:bCs/>
          <w:rtl/>
        </w:rPr>
        <w:t xml:space="preserve"> </w:t>
      </w:r>
      <w:r w:rsidRPr="00B97E44">
        <w:rPr>
          <w:rFonts w:hint="eastAsia"/>
          <w:b/>
          <w:bCs/>
          <w:rtl/>
        </w:rPr>
        <w:t>ה</w:t>
      </w:r>
      <w:r w:rsidRPr="00B97E44">
        <w:rPr>
          <w:rFonts w:hint="cs"/>
          <w:b/>
          <w:bCs/>
          <w:rtl/>
        </w:rPr>
        <w:t xml:space="preserve">וצאות של </w:t>
      </w:r>
      <w:r w:rsidRPr="00B97E44">
        <w:rPr>
          <w:rFonts w:hint="eastAsia"/>
          <w:b/>
          <w:bCs/>
          <w:rtl/>
        </w:rPr>
        <w:t>חמש</w:t>
      </w:r>
      <w:r w:rsidRPr="00B97E44">
        <w:rPr>
          <w:b/>
          <w:bCs/>
          <w:rtl/>
        </w:rPr>
        <w:t xml:space="preserve"> </w:t>
      </w:r>
      <w:r w:rsidRPr="00B97E44">
        <w:rPr>
          <w:rFonts w:hint="eastAsia"/>
          <w:b/>
          <w:bCs/>
          <w:rtl/>
        </w:rPr>
        <w:t>הרשויות</w:t>
      </w:r>
      <w:r w:rsidRPr="00B97E44">
        <w:rPr>
          <w:b/>
          <w:bCs/>
          <w:rtl/>
        </w:rPr>
        <w:t xml:space="preserve"> </w:t>
      </w:r>
      <w:r w:rsidRPr="00B97E44">
        <w:rPr>
          <w:rFonts w:hint="eastAsia"/>
          <w:b/>
          <w:bCs/>
          <w:rtl/>
        </w:rPr>
        <w:t>שבתחומו</w:t>
      </w:r>
      <w:r w:rsidRPr="00B97E44">
        <w:rPr>
          <w:b/>
          <w:bCs/>
          <w:rtl/>
        </w:rPr>
        <w:t xml:space="preserve"> </w:t>
      </w:r>
      <w:r w:rsidRPr="00B97E44">
        <w:rPr>
          <w:rFonts w:hint="cs"/>
          <w:b/>
          <w:bCs/>
          <w:rtl/>
        </w:rPr>
        <w:t>לפיתוח</w:t>
      </w:r>
      <w:r w:rsidRPr="00B97E44">
        <w:rPr>
          <w:b/>
          <w:bCs/>
          <w:rtl/>
        </w:rPr>
        <w:t xml:space="preserve"> </w:t>
      </w:r>
      <w:r w:rsidRPr="00B97E44">
        <w:rPr>
          <w:rFonts w:hint="eastAsia"/>
          <w:b/>
          <w:bCs/>
          <w:rtl/>
        </w:rPr>
        <w:t>עמד</w:t>
      </w:r>
      <w:r w:rsidRPr="00B97E44">
        <w:rPr>
          <w:b/>
          <w:bCs/>
          <w:rtl/>
        </w:rPr>
        <w:t xml:space="preserve"> </w:t>
      </w:r>
      <w:r w:rsidRPr="00B97E44">
        <w:rPr>
          <w:rFonts w:hint="cs"/>
          <w:b/>
          <w:bCs/>
          <w:rtl/>
        </w:rPr>
        <w:t>בממוצע בשנים 2019 - 2023 על כ-422 מיליוני ש"ח לשנה</w:t>
      </w:r>
      <w:r w:rsidRPr="00B97E44">
        <w:rPr>
          <w:b/>
          <w:bCs/>
          <w:rtl/>
        </w:rPr>
        <w:t xml:space="preserve">. </w:t>
      </w:r>
      <w:r w:rsidRPr="00B97E44">
        <w:rPr>
          <w:rFonts w:hint="eastAsia"/>
          <w:b/>
          <w:bCs/>
          <w:rtl/>
        </w:rPr>
        <w:t>כך</w:t>
      </w:r>
      <w:r w:rsidRPr="00B97E44">
        <w:rPr>
          <w:b/>
          <w:bCs/>
          <w:rtl/>
        </w:rPr>
        <w:t xml:space="preserve"> </w:t>
      </w:r>
      <w:r w:rsidRPr="00B97E44">
        <w:rPr>
          <w:rFonts w:hint="eastAsia"/>
          <w:b/>
          <w:bCs/>
          <w:rtl/>
        </w:rPr>
        <w:t>השקעה</w:t>
      </w:r>
      <w:r w:rsidRPr="00B97E44">
        <w:rPr>
          <w:b/>
          <w:bCs/>
          <w:rtl/>
        </w:rPr>
        <w:t xml:space="preserve"> </w:t>
      </w:r>
      <w:r w:rsidRPr="00B97E44">
        <w:rPr>
          <w:rFonts w:hint="eastAsia"/>
          <w:b/>
          <w:bCs/>
          <w:rtl/>
        </w:rPr>
        <w:t>של</w:t>
      </w:r>
      <w:r w:rsidRPr="00B97E44">
        <w:rPr>
          <w:b/>
          <w:bCs/>
          <w:rtl/>
        </w:rPr>
        <w:t xml:space="preserve"> 3.5 </w:t>
      </w:r>
      <w:r w:rsidRPr="00B97E44">
        <w:rPr>
          <w:rFonts w:hint="eastAsia"/>
          <w:b/>
          <w:bCs/>
          <w:rtl/>
        </w:rPr>
        <w:t>מיליארד</w:t>
      </w:r>
      <w:r w:rsidRPr="00B97E44">
        <w:rPr>
          <w:b/>
          <w:bCs/>
          <w:rtl/>
        </w:rPr>
        <w:t xml:space="preserve"> </w:t>
      </w:r>
      <w:r w:rsidRPr="00B97E44">
        <w:rPr>
          <w:rFonts w:hint="eastAsia"/>
          <w:b/>
          <w:bCs/>
          <w:rtl/>
        </w:rPr>
        <w:t>ש</w:t>
      </w:r>
      <w:r w:rsidRPr="00B97E44">
        <w:rPr>
          <w:b/>
          <w:bCs/>
          <w:rtl/>
        </w:rPr>
        <w:t xml:space="preserve">"ח </w:t>
      </w:r>
      <w:r w:rsidRPr="00B97E44">
        <w:rPr>
          <w:rFonts w:hint="eastAsia"/>
          <w:b/>
          <w:bCs/>
          <w:rtl/>
        </w:rPr>
        <w:t>בפיתוח</w:t>
      </w:r>
      <w:r w:rsidRPr="00B97E44">
        <w:rPr>
          <w:b/>
          <w:bCs/>
          <w:rtl/>
        </w:rPr>
        <w:t xml:space="preserve"> </w:t>
      </w:r>
      <w:r w:rsidRPr="00B97E44">
        <w:rPr>
          <w:rFonts w:hint="eastAsia"/>
          <w:b/>
          <w:bCs/>
          <w:rtl/>
        </w:rPr>
        <w:t>בתחומי</w:t>
      </w:r>
      <w:r w:rsidRPr="00B97E44">
        <w:rPr>
          <w:b/>
          <w:bCs/>
          <w:rtl/>
        </w:rPr>
        <w:t xml:space="preserve"> </w:t>
      </w:r>
      <w:r w:rsidRPr="00B97E44">
        <w:rPr>
          <w:rFonts w:hint="eastAsia"/>
          <w:b/>
          <w:bCs/>
          <w:rtl/>
        </w:rPr>
        <w:t>החבל</w:t>
      </w:r>
      <w:r w:rsidRPr="00B97E44">
        <w:rPr>
          <w:b/>
          <w:bCs/>
          <w:rtl/>
        </w:rPr>
        <w:t xml:space="preserve"> </w:t>
      </w:r>
      <w:r w:rsidRPr="00B97E44">
        <w:rPr>
          <w:rFonts w:hint="eastAsia"/>
          <w:b/>
          <w:bCs/>
          <w:rtl/>
        </w:rPr>
        <w:t>בלבד</w:t>
      </w:r>
      <w:r w:rsidRPr="00B97E44">
        <w:rPr>
          <w:b/>
          <w:bCs/>
          <w:rtl/>
        </w:rPr>
        <w:t xml:space="preserve"> (להבדיל </w:t>
      </w:r>
      <w:r w:rsidRPr="00B97E44">
        <w:rPr>
          <w:rFonts w:hint="eastAsia"/>
          <w:b/>
          <w:bCs/>
          <w:rtl/>
        </w:rPr>
        <w:t>משיקום</w:t>
      </w:r>
      <w:r w:rsidRPr="00B97E44">
        <w:rPr>
          <w:b/>
          <w:bCs/>
          <w:rtl/>
        </w:rPr>
        <w:t xml:space="preserve"> </w:t>
      </w:r>
      <w:r w:rsidRPr="00B97E44">
        <w:rPr>
          <w:rFonts w:hint="eastAsia"/>
          <w:b/>
          <w:bCs/>
          <w:rtl/>
        </w:rPr>
        <w:t>החבל</w:t>
      </w:r>
      <w:r w:rsidRPr="00B97E44">
        <w:rPr>
          <w:b/>
          <w:bCs/>
          <w:rtl/>
        </w:rPr>
        <w:t>)</w:t>
      </w:r>
      <w:r w:rsidRPr="00B97E44">
        <w:rPr>
          <w:rFonts w:hint="cs"/>
          <w:b/>
          <w:bCs/>
          <w:rtl/>
        </w:rPr>
        <w:t xml:space="preserve">, בנפרד מהאזור כולו ובלי להביא בחשבון שהיישובים הללו חולקים תשתיות, עלולה להביא לפערים גדולים בתשתיות שעלולים לפגוע בשיקום כולו ולהעמיד קשיים נוספים. קשיים אלו מתבטאים למשל בהחלטה בתוכנית החומש לפתח תשתיות של תחבורה ציבורית בשיתוף עם אשכול הנגב המערבי בשעה שהתקציב יועמד לטובת פעילות בחבל התקומה בלבד אף שתשתיות התחבורה בחבל צריכות להתממשק עם תשתיות התחבורה שמחוצה לו. החלטה זו עלולה ליצור פערים גדולים בתשתיות התחבורה, לפגוע בשיקום כולו ולהוריד לטמיון השקעות ומשאבים רבים. </w:t>
      </w:r>
    </w:p>
    <w:p w:rsidR="005B126E" w:rsidP="001916A9">
      <w:pPr>
        <w:spacing w:line="269" w:lineRule="auto"/>
        <w:rPr>
          <w:b/>
          <w:bCs/>
          <w:rtl/>
        </w:rPr>
      </w:pPr>
      <w:bookmarkStart w:id="69" w:name="_Hlk207636512"/>
    </w:p>
    <w:p w:rsidR="005B126E" w:rsidRPr="00B97E44" w:rsidP="001916A9">
      <w:pPr>
        <w:spacing w:line="269" w:lineRule="auto"/>
        <w:rPr>
          <w:rtl/>
        </w:rPr>
      </w:pPr>
      <w:r w:rsidRPr="00B97E44">
        <w:rPr>
          <w:rFonts w:hint="cs"/>
          <w:b/>
          <w:bCs/>
          <w:rtl/>
        </w:rPr>
        <w:t>בביקורת נמצא כי אין בתוכניות לפיתוח חבל התקומה, המוגדר ברובו כחלק ממטרופולין באר שבע, התייחסות להיותו חלק מהמטרופולין. גם התוכניות לפיתוח</w:t>
      </w:r>
      <w:r w:rsidRPr="00B97E44">
        <w:rPr>
          <w:rFonts w:hint="cs"/>
          <w:rtl/>
        </w:rPr>
        <w:t xml:space="preserve"> </w:t>
      </w:r>
      <w:r w:rsidRPr="00B97E44">
        <w:rPr>
          <w:rFonts w:hint="cs"/>
          <w:b/>
          <w:bCs/>
          <w:rtl/>
        </w:rPr>
        <w:t xml:space="preserve">המטרופולין והעיר באר שבע, שמשרד ראש הממשלה מקדם, מתנהלות בו בזמן עם פיתוח חבל התקומה ולא ניתן מקום לממשקים אפשריים בין התוכניות ולעובדה ששני האזורים חולקים תשתיות ושחיזוק אזור אחד בלי להתייחס למרחב שבו הוא פועל עלול להחליש את האחר. </w:t>
      </w:r>
    </w:p>
    <w:p w:rsidR="005B126E" w:rsidP="001916A9">
      <w:pPr>
        <w:spacing w:line="269" w:lineRule="auto"/>
        <w:rPr>
          <w:rtl/>
        </w:rPr>
      </w:pPr>
    </w:p>
    <w:p w:rsidR="005B126E" w:rsidP="001916A9">
      <w:pPr>
        <w:spacing w:line="269" w:lineRule="auto"/>
        <w:rPr>
          <w:rtl/>
        </w:rPr>
      </w:pPr>
      <w:r w:rsidRPr="00B97E44">
        <w:rPr>
          <w:rFonts w:hint="cs"/>
          <w:rtl/>
        </w:rPr>
        <w:t>משרד ראש הממשלה מסר בתשובתו מנובמבר 2025 כי הוא רואה בתפיסת האזוריות כלי מרכזי ומשמעותי לפיתוח אזורים שונים בישראל. לדידו, הפיתוח המרחבי כולל בצד הממד התכנוני-אסטרטגי וסטטוטורי גם שני מרכיבים נוספים:</w:t>
      </w:r>
      <w:r w:rsidRPr="00B97E44">
        <w:rPr>
          <w:rFonts w:hint="cs"/>
        </w:rPr>
        <w:t xml:space="preserve"> </w:t>
      </w:r>
      <w:r w:rsidRPr="00B97E44">
        <w:rPr>
          <w:rFonts w:hint="cs"/>
          <w:rtl/>
        </w:rPr>
        <w:t xml:space="preserve">ניהול מקומי, אזורי ולאומי; </w:t>
      </w:r>
      <w:r>
        <w:rPr>
          <w:rFonts w:hint="cs"/>
          <w:rtl/>
        </w:rPr>
        <w:t>ו</w:t>
      </w:r>
      <w:r w:rsidRPr="00B97E44">
        <w:rPr>
          <w:rFonts w:hint="cs"/>
          <w:rtl/>
        </w:rPr>
        <w:t xml:space="preserve">משאבים - הון כלכלי, הון אנושי ותשתיות. בלא מרכיבים אלו יישום הפיתוח יהיה חסר ולכן </w:t>
      </w:r>
      <w:r w:rsidRPr="00B97E44">
        <w:rPr>
          <w:rFonts w:hint="cs"/>
          <w:rtl/>
        </w:rPr>
        <w:t>בתוכניותיו</w:t>
      </w:r>
      <w:r w:rsidRPr="00B97E44">
        <w:rPr>
          <w:rFonts w:hint="cs"/>
          <w:rtl/>
        </w:rPr>
        <w:t xml:space="preserve"> הוא מבקש ליצור אינטגרציה בין </w:t>
      </w:r>
      <w:r>
        <w:rPr>
          <w:rFonts w:hint="cs"/>
          <w:rtl/>
        </w:rPr>
        <w:t>היבטי התכנון, הניהול והמשאבים</w:t>
      </w:r>
      <w:r w:rsidRPr="00B97E44">
        <w:rPr>
          <w:rFonts w:hint="cs"/>
          <w:rtl/>
        </w:rPr>
        <w:t>. עוד הוסיף משרד ראש הממשלה כי בימים אלה מקודמת תוכנית כוללת לנגב המערבי על ידי רשות מקרקעי ישראל ומנהל התכנון בהתאם לתוכנית האסטרטגית של מנהל התכנון</w:t>
      </w:r>
      <w:r>
        <w:rPr>
          <w:rFonts w:hint="cs"/>
          <w:rtl/>
        </w:rPr>
        <w:t>, שקבעה</w:t>
      </w:r>
      <w:r w:rsidRPr="00B97E44">
        <w:rPr>
          <w:rFonts w:hint="cs"/>
          <w:rtl/>
        </w:rPr>
        <w:t xml:space="preserve"> שהנגב </w:t>
      </w:r>
      <w:r>
        <w:rPr>
          <w:rFonts w:hint="cs"/>
          <w:rtl/>
        </w:rPr>
        <w:t>ה</w:t>
      </w:r>
      <w:r w:rsidRPr="00B97E44">
        <w:rPr>
          <w:rFonts w:hint="cs"/>
          <w:rtl/>
        </w:rPr>
        <w:t>מערבי צריך להיות בזיקה למטרופולין אך אמור לבסס גם בידול ועמידה עצמאית כמרחב אזורי העומד בפני עצמו.</w:t>
      </w:r>
    </w:p>
    <w:p w:rsidR="009D01A8" w:rsidP="001916A9">
      <w:pPr>
        <w:spacing w:line="269" w:lineRule="auto"/>
        <w:rPr>
          <w:rtl/>
        </w:rPr>
      </w:pPr>
    </w:p>
    <w:p w:rsidR="009D01A8" w:rsidRPr="00B97E44" w:rsidP="00C06E03">
      <w:pPr>
        <w:spacing w:line="269" w:lineRule="auto"/>
        <w:rPr>
          <w:rtl/>
        </w:rPr>
      </w:pPr>
      <w:r>
        <w:rPr>
          <w:rFonts w:hint="cs"/>
          <w:rtl/>
        </w:rPr>
        <w:t xml:space="preserve">בתשובה נוספת מסר משרד ראש הממשלה כי </w:t>
      </w:r>
      <w:r w:rsidR="00EB36CE">
        <w:rPr>
          <w:rFonts w:hint="cs"/>
          <w:rtl/>
        </w:rPr>
        <w:t xml:space="preserve">הראייה המרחבית מנחה את משרד ראש הממשלה בכל תוכניות הפיתוח </w:t>
      </w:r>
      <w:r w:rsidR="009A30BE">
        <w:rPr>
          <w:rFonts w:hint="cs"/>
          <w:rtl/>
        </w:rPr>
        <w:t>ש</w:t>
      </w:r>
      <w:r w:rsidR="00EB36CE">
        <w:rPr>
          <w:rFonts w:hint="cs"/>
          <w:rtl/>
        </w:rPr>
        <w:t>אותן הוא מגבש</w:t>
      </w:r>
      <w:r w:rsidR="009A30BE">
        <w:rPr>
          <w:rFonts w:hint="cs"/>
          <w:rtl/>
        </w:rPr>
        <w:t>,</w:t>
      </w:r>
      <w:r w:rsidR="00EB36CE">
        <w:rPr>
          <w:rFonts w:hint="cs"/>
          <w:rtl/>
        </w:rPr>
        <w:t xml:space="preserve"> אך </w:t>
      </w:r>
      <w:r>
        <w:rPr>
          <w:rtl/>
        </w:rPr>
        <w:t>פיתוח מרחבי</w:t>
      </w:r>
      <w:r>
        <w:rPr>
          <w:rFonts w:hint="cs"/>
          <w:rtl/>
        </w:rPr>
        <w:t>, כמו שנ</w:t>
      </w:r>
      <w:r w:rsidR="00C06E03">
        <w:rPr>
          <w:rFonts w:hint="cs"/>
          <w:rtl/>
        </w:rPr>
        <w:t>קבע</w:t>
      </w:r>
      <w:r>
        <w:rPr>
          <w:rFonts w:hint="cs"/>
          <w:rtl/>
        </w:rPr>
        <w:t xml:space="preserve"> ב</w:t>
      </w:r>
      <w:r w:rsidR="00C06E03">
        <w:rPr>
          <w:rFonts w:hint="cs"/>
          <w:rtl/>
        </w:rPr>
        <w:t>החלטות הממשלה בנושא זה</w:t>
      </w:r>
      <w:r>
        <w:rPr>
          <w:rFonts w:hint="cs"/>
          <w:rtl/>
        </w:rPr>
        <w:t>,</w:t>
      </w:r>
      <w:r>
        <w:rPr>
          <w:rtl/>
        </w:rPr>
        <w:t xml:space="preserve"> </w:t>
      </w:r>
      <w:r>
        <w:rPr>
          <w:rFonts w:hint="cs"/>
          <w:rtl/>
        </w:rPr>
        <w:t>א</w:t>
      </w:r>
      <w:r w:rsidR="009A30BE">
        <w:rPr>
          <w:rFonts w:hint="cs"/>
          <w:rtl/>
        </w:rPr>
        <w:t>ינו</w:t>
      </w:r>
      <w:r>
        <w:rPr>
          <w:rFonts w:hint="cs"/>
          <w:rtl/>
        </w:rPr>
        <w:t xml:space="preserve"> כולל מענה אחד ואחיד </w:t>
      </w:r>
      <w:r w:rsidR="00C06E03">
        <w:rPr>
          <w:rFonts w:hint="cs"/>
          <w:rtl/>
        </w:rPr>
        <w:t>אלא</w:t>
      </w:r>
      <w:r>
        <w:rPr>
          <w:rFonts w:hint="cs"/>
          <w:rtl/>
        </w:rPr>
        <w:t xml:space="preserve"> </w:t>
      </w:r>
      <w:r w:rsidR="009A30BE">
        <w:rPr>
          <w:rFonts w:hint="cs"/>
          <w:rtl/>
        </w:rPr>
        <w:t xml:space="preserve">הוא </w:t>
      </w:r>
      <w:r w:rsidR="00EB36CE">
        <w:rPr>
          <w:rFonts w:hint="cs"/>
          <w:rtl/>
        </w:rPr>
        <w:t xml:space="preserve">גובש </w:t>
      </w:r>
      <w:r>
        <w:rPr>
          <w:rtl/>
        </w:rPr>
        <w:t xml:space="preserve">בהתאם לגישה מבוססת מקום </w:t>
      </w:r>
      <w:r>
        <w:rPr>
          <w:rFonts w:hint="cs"/>
          <w:rtl/>
        </w:rPr>
        <w:t>(</w:t>
      </w:r>
      <w:r>
        <w:t>Place-based</w:t>
      </w:r>
      <w:r>
        <w:rPr>
          <w:rFonts w:hint="cs"/>
          <w:rtl/>
        </w:rPr>
        <w:t>)</w:t>
      </w:r>
      <w:r w:rsidR="00C06E03">
        <w:rPr>
          <w:rFonts w:hint="cs"/>
          <w:rtl/>
        </w:rPr>
        <w:t xml:space="preserve">. עם זאת כלי סיוע רבים בהחלטות </w:t>
      </w:r>
      <w:r w:rsidR="00EB36CE">
        <w:rPr>
          <w:rFonts w:hint="cs"/>
          <w:rtl/>
        </w:rPr>
        <w:t xml:space="preserve">האמורות, על פי משרד ראש הממשלה, </w:t>
      </w:r>
      <w:r w:rsidR="00C06E03">
        <w:rPr>
          <w:rFonts w:hint="cs"/>
          <w:rtl/>
        </w:rPr>
        <w:t>מיועדים בהגדרתם לרמה המרחבית כמו פיתוח התעשייה, המסחר, התעסוקה והשירותים</w:t>
      </w:r>
      <w:r w:rsidR="009A30BE">
        <w:rPr>
          <w:rFonts w:hint="cs"/>
          <w:rtl/>
        </w:rPr>
        <w:t>,</w:t>
      </w:r>
      <w:r w:rsidR="00C06E03">
        <w:rPr>
          <w:rFonts w:hint="cs"/>
          <w:rtl/>
        </w:rPr>
        <w:t xml:space="preserve"> </w:t>
      </w:r>
      <w:r w:rsidR="00EB36CE">
        <w:rPr>
          <w:rFonts w:hint="cs"/>
          <w:rtl/>
        </w:rPr>
        <w:t>ו</w:t>
      </w:r>
      <w:r w:rsidR="00C06E03">
        <w:rPr>
          <w:rFonts w:hint="cs"/>
          <w:rtl/>
        </w:rPr>
        <w:t xml:space="preserve">כך ניתן בהחלטה תקציב ייעודי לפעולות מרחביות </w:t>
      </w:r>
      <w:r w:rsidR="00EB36CE">
        <w:rPr>
          <w:rFonts w:hint="cs"/>
          <w:rtl/>
        </w:rPr>
        <w:t>כמו ה</w:t>
      </w:r>
      <w:r w:rsidR="00C06E03">
        <w:rPr>
          <w:rFonts w:hint="cs"/>
          <w:rtl/>
        </w:rPr>
        <w:t xml:space="preserve">טיפול בפסולת חקלאית </w:t>
      </w:r>
      <w:r w:rsidRPr="00EB36CE" w:rsidR="00C06E03">
        <w:rPr>
          <w:rFonts w:hint="cs"/>
          <w:rtl/>
        </w:rPr>
        <w:t xml:space="preserve">של מינהלת תקומה </w:t>
      </w:r>
      <w:r w:rsidRPr="00EB36CE" w:rsidR="00EB36CE">
        <w:rPr>
          <w:rFonts w:hint="cs"/>
          <w:rtl/>
        </w:rPr>
        <w:t xml:space="preserve">שהורחב </w:t>
      </w:r>
      <w:r w:rsidRPr="00EB36CE" w:rsidR="00C06E03">
        <w:rPr>
          <w:rFonts w:hint="cs"/>
          <w:rtl/>
        </w:rPr>
        <w:t>גם ליישובים ש</w:t>
      </w:r>
      <w:r w:rsidRPr="00421028" w:rsidR="00EB36CE">
        <w:rPr>
          <w:rFonts w:hint="cs"/>
          <w:rtl/>
        </w:rPr>
        <w:t>ב</w:t>
      </w:r>
      <w:r w:rsidRPr="00421028" w:rsidR="00C06E03">
        <w:rPr>
          <w:rtl/>
        </w:rPr>
        <w:t xml:space="preserve">תוכנית </w:t>
      </w:r>
      <w:r w:rsidRPr="00421028" w:rsidR="00C06E03">
        <w:rPr>
          <w:rFonts w:hint="cs"/>
          <w:rtl/>
        </w:rPr>
        <w:t>השיקום והפיתוח ביישובים הסמוכים לחבל התקומה</w:t>
      </w:r>
      <w:r w:rsidRPr="00421028" w:rsidR="00EB36CE">
        <w:rPr>
          <w:rFonts w:hint="cs"/>
          <w:rtl/>
        </w:rPr>
        <w:t>.</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מינהלת תקומה מסרה בתשובתה כי </w:t>
      </w:r>
      <w:r w:rsidRPr="00B97E44">
        <w:rPr>
          <w:rtl/>
        </w:rPr>
        <w:t>ה</w:t>
      </w:r>
      <w:r w:rsidRPr="00B97E44">
        <w:rPr>
          <w:rFonts w:hint="cs"/>
          <w:rtl/>
        </w:rPr>
        <w:t xml:space="preserve">יא </w:t>
      </w:r>
      <w:r w:rsidRPr="00B97E44">
        <w:rPr>
          <w:rtl/>
        </w:rPr>
        <w:t>ממוקדת בהתאם לחוק ולהחלטות הממשלה</w:t>
      </w:r>
      <w:r w:rsidRPr="00B97E44">
        <w:rPr>
          <w:rFonts w:hint="cs"/>
          <w:rtl/>
        </w:rPr>
        <w:t xml:space="preserve"> </w:t>
      </w:r>
      <w:r w:rsidRPr="00B97E44">
        <w:rPr>
          <w:rtl/>
        </w:rPr>
        <w:t>בפיתוח תא השטח שה</w:t>
      </w:r>
      <w:r w:rsidRPr="00B97E44">
        <w:rPr>
          <w:rFonts w:hint="cs"/>
          <w:rtl/>
        </w:rPr>
        <w:t>וא</w:t>
      </w:r>
      <w:r w:rsidRPr="00B97E44">
        <w:rPr>
          <w:rtl/>
        </w:rPr>
        <w:t xml:space="preserve"> עד 7 ק"מ מגבול הרצועה</w:t>
      </w:r>
      <w:r w:rsidRPr="00B97E44">
        <w:rPr>
          <w:rFonts w:hint="cs"/>
          <w:rtl/>
        </w:rPr>
        <w:t>, אך</w:t>
      </w:r>
      <w:r w:rsidRPr="00B97E44">
        <w:rPr>
          <w:rtl/>
        </w:rPr>
        <w:t xml:space="preserve"> לצד זאת ההיבט האזורי לא נעלם מעיניה והיא עוסקת בכך במקומות המתאימים.</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המועצה האזורית </w:t>
      </w:r>
      <w:r w:rsidRPr="00B97E44">
        <w:rPr>
          <w:rFonts w:hint="eastAsia"/>
          <w:b/>
          <w:bCs/>
          <w:rtl/>
        </w:rPr>
        <w:t>אשכול</w:t>
      </w:r>
      <w:r w:rsidRPr="00B97E44">
        <w:rPr>
          <w:rFonts w:hint="cs"/>
          <w:rtl/>
        </w:rPr>
        <w:t xml:space="preserve"> הוסיפה בתשובתה כי ראוי לחדד את הייחודיות של הפריפריה ביחס למטרופולין ולחשיבות שבהשקעה בחיזוק ייחודיות זו. יחד עם זאת ציינה כי חשוב שהמדינה, שאחראית לחיזוק מטרופולין באר שבע, תיתן דגש על החיבור של הפריפריה למטרופולין ובעיקר בהקשר התחבורה הציבורית.</w:t>
      </w:r>
    </w:p>
    <w:bookmarkEnd w:id="69"/>
    <w:p w:rsidR="005B126E" w:rsidP="001916A9">
      <w:pPr>
        <w:spacing w:line="269" w:lineRule="auto"/>
        <w:rPr>
          <w:b/>
          <w:bCs/>
          <w:rtl/>
        </w:rPr>
      </w:pPr>
    </w:p>
    <w:p w:rsidR="005B126E" w:rsidRPr="00B97E44" w:rsidP="001916A9">
      <w:pPr>
        <w:spacing w:line="269" w:lineRule="auto"/>
        <w:rPr>
          <w:b/>
          <w:bCs/>
          <w:rtl/>
        </w:rPr>
      </w:pPr>
      <w:r w:rsidRPr="00B97E44">
        <w:rPr>
          <w:rFonts w:hint="cs"/>
          <w:b/>
          <w:bCs/>
          <w:rtl/>
        </w:rPr>
        <w:t>מומלץ למשרד ראש הממשלה, המוביל את התוכנית לשיקום ולפיתוח היישובים הסמוכים לחבל התקומה ואת התוכנית האסטרטגית לפיתוח מטרופולין באר שבע, לקדם שיתופי פעולה וממשקי עבודה ותשתיות בין הרשויות המקומיות במטרופולין במסגרת התוכניות שהוא מוביל ול</w:t>
      </w:r>
      <w:r w:rsidR="00C26289">
        <w:rPr>
          <w:rFonts w:hint="cs"/>
          <w:b/>
          <w:bCs/>
          <w:rtl/>
        </w:rPr>
        <w:t>הגביר</w:t>
      </w:r>
      <w:r w:rsidRPr="00B97E44">
        <w:rPr>
          <w:rFonts w:hint="cs"/>
          <w:b/>
          <w:bCs/>
          <w:rtl/>
        </w:rPr>
        <w:t xml:space="preserve"> שיתופי פעולה גם עם מינהלת תקומה האמונה על שיקום ופיתוח חבל התקומה.</w:t>
      </w:r>
    </w:p>
    <w:p w:rsidR="005B126E" w:rsidP="001916A9">
      <w:pPr>
        <w:spacing w:line="269" w:lineRule="auto"/>
        <w:rPr>
          <w:b/>
          <w:bCs/>
          <w:rtl/>
        </w:rPr>
      </w:pPr>
    </w:p>
    <w:p w:rsidR="005B126E" w:rsidRPr="00B97E44" w:rsidP="001916A9">
      <w:pPr>
        <w:spacing w:line="269" w:lineRule="auto"/>
        <w:rPr>
          <w:b/>
          <w:bCs/>
          <w:rtl/>
        </w:rPr>
      </w:pPr>
      <w:r w:rsidRPr="00B97E44">
        <w:rPr>
          <w:rFonts w:hint="cs"/>
          <w:b/>
          <w:bCs/>
          <w:rtl/>
        </w:rPr>
        <w:t xml:space="preserve">מומלץ לשר במשרד האוצר לבחון את השפעותיה של תוכנית החומש על התכנון האזורי ולפעול לסנכרון החלטות ופעולות ייזום, תכנון, אישור ותקצוב וליצור מסגרת לשיתוף פעולה בין משרדי הממשלה, מינהלת תקומה, </w:t>
      </w:r>
      <w:r w:rsidRPr="00B97E44">
        <w:rPr>
          <w:rFonts w:hint="cs"/>
          <w:b/>
          <w:bCs/>
          <w:rtl/>
        </w:rPr>
        <w:t>מינהל</w:t>
      </w:r>
      <w:r w:rsidRPr="00B97E44">
        <w:rPr>
          <w:rFonts w:hint="cs"/>
          <w:b/>
          <w:bCs/>
          <w:rtl/>
        </w:rPr>
        <w:t xml:space="preserve"> התכנון והרשויות המקומיות להשגת יעדים אזוריים משותפים. בתהליך התכנון אפשר לקשור בקשרים תפקודיים ומשלימים את כל מנעד טיפוסי היישובים ולבנות תשתית לשיתופי פעולה שתצמצם את התחרות בין רשויות מקומיות ותיתן מקום לשונות וליתרונות היחסיים של כל יישוב במטרופולין. </w:t>
      </w:r>
    </w:p>
    <w:p w:rsidR="005B126E" w:rsidRPr="00B97E44" w:rsidP="001916A9">
      <w:pPr>
        <w:spacing w:line="269" w:lineRule="auto"/>
        <w:rPr>
          <w:b/>
          <w:bCs/>
          <w:rtl/>
        </w:rPr>
      </w:pPr>
    </w:p>
    <w:p w:rsidR="005B126E" w:rsidRPr="00B97E44" w:rsidP="003474AA">
      <w:pPr>
        <w:pStyle w:val="Heading4"/>
        <w:rPr>
          <w:rtl/>
        </w:rPr>
      </w:pPr>
      <w:bookmarkStart w:id="70" w:name="_Hlk207636970"/>
      <w:bookmarkStart w:id="71" w:name="_Hlk208478463"/>
      <w:r w:rsidRPr="00B97E44">
        <w:rPr>
          <w:rFonts w:hint="cs"/>
          <w:rtl/>
        </w:rPr>
        <w:t xml:space="preserve">תעשיית </w:t>
      </w:r>
      <w:r w:rsidRPr="00B97E44">
        <w:rPr>
          <w:rFonts w:hint="cs"/>
          <w:rtl/>
        </w:rPr>
        <w:t>האגרו</w:t>
      </w:r>
      <w:r w:rsidRPr="00B97E44">
        <w:rPr>
          <w:rFonts w:hint="cs"/>
          <w:rtl/>
        </w:rPr>
        <w:t xml:space="preserve">-טק בנגב המערבי - מקרה בוחן </w:t>
      </w:r>
    </w:p>
    <w:bookmarkEnd w:id="70"/>
    <w:p w:rsidR="005B126E" w:rsidP="001916A9">
      <w:pPr>
        <w:spacing w:line="269" w:lineRule="auto"/>
        <w:rPr>
          <w:b/>
          <w:rtl/>
        </w:rPr>
      </w:pPr>
    </w:p>
    <w:p w:rsidR="005B126E" w:rsidRPr="00B97E44" w:rsidP="001916A9">
      <w:pPr>
        <w:spacing w:line="269" w:lineRule="auto"/>
        <w:rPr>
          <w:rtl/>
        </w:rPr>
      </w:pPr>
      <w:r w:rsidRPr="00B97E44">
        <w:rPr>
          <w:rFonts w:hint="cs"/>
          <w:b/>
          <w:rtl/>
        </w:rPr>
        <w:t>השפעתה האפשרית של תוכנית החומש על תעשיית החקלאות המתקדמת ב</w:t>
      </w:r>
      <w:r w:rsidRPr="00B97E44">
        <w:rPr>
          <w:rFonts w:hint="cs"/>
          <w:bCs/>
          <w:rtl/>
        </w:rPr>
        <w:t>אופקים</w:t>
      </w:r>
      <w:r w:rsidRPr="00B97E44">
        <w:rPr>
          <w:rFonts w:hint="cs"/>
          <w:b/>
          <w:rtl/>
        </w:rPr>
        <w:t xml:space="preserve"> היא </w:t>
      </w:r>
      <w:r w:rsidRPr="00B97E44">
        <w:rPr>
          <w:rFonts w:hint="cs"/>
          <w:rtl/>
        </w:rPr>
        <w:t xml:space="preserve">דוגמה בולטת לחשיבות הראייה האזורית </w:t>
      </w:r>
      <w:r w:rsidRPr="00B97E44">
        <w:rPr>
          <w:rFonts w:hint="cs"/>
          <w:rtl/>
        </w:rPr>
        <w:t>המתכללת</w:t>
      </w:r>
      <w:r w:rsidRPr="00B97E44">
        <w:rPr>
          <w:rFonts w:hint="cs"/>
          <w:rtl/>
        </w:rPr>
        <w:t xml:space="preserve"> בפיתוח אזור הנגב המערבי. </w:t>
      </w:r>
    </w:p>
    <w:p w:rsidR="005B126E" w:rsidRPr="00B97E44" w:rsidP="001916A9">
      <w:pPr>
        <w:spacing w:line="269" w:lineRule="auto"/>
        <w:rPr>
          <w:rtl/>
        </w:rPr>
      </w:pPr>
      <w:r w:rsidRPr="00B97E44">
        <w:rPr>
          <w:rtl/>
        </w:rPr>
        <w:t>תעשיית</w:t>
      </w:r>
      <w:r w:rsidRPr="00B97E44">
        <w:rPr>
          <w:rFonts w:hint="cs"/>
          <w:rtl/>
        </w:rPr>
        <w:t xml:space="preserve"> החקלאות המתקדמת, המכונה גם תעשיית</w:t>
      </w:r>
      <w:r w:rsidRPr="00B97E44">
        <w:rPr>
          <w:rtl/>
        </w:rPr>
        <w:t xml:space="preserve"> </w:t>
      </w:r>
      <w:r w:rsidRPr="00B97E44">
        <w:rPr>
          <w:rtl/>
        </w:rPr>
        <w:t>האגרו</w:t>
      </w:r>
      <w:r w:rsidRPr="00B97E44">
        <w:rPr>
          <w:rFonts w:hint="cs"/>
          <w:rtl/>
        </w:rPr>
        <w:t>-</w:t>
      </w:r>
      <w:r w:rsidRPr="00B97E44">
        <w:rPr>
          <w:rtl/>
        </w:rPr>
        <w:t>טק</w:t>
      </w:r>
      <w:r w:rsidRPr="00B97E44">
        <w:rPr>
          <w:rFonts w:hint="cs"/>
          <w:rtl/>
        </w:rPr>
        <w:t xml:space="preserve"> (</w:t>
      </w:r>
      <w:r w:rsidRPr="00B97E44">
        <w:t>Agricultural Technology</w:t>
      </w:r>
      <w:r w:rsidRPr="00B97E44">
        <w:rPr>
          <w:rFonts w:hint="cs"/>
          <w:rtl/>
        </w:rPr>
        <w:t xml:space="preserve">), </w:t>
      </w:r>
      <w:r w:rsidRPr="00B97E44">
        <w:rPr>
          <w:rtl/>
        </w:rPr>
        <w:t xml:space="preserve">עוסקת בטכנולוגיות, </w:t>
      </w:r>
      <w:r w:rsidRPr="00B97E44">
        <w:rPr>
          <w:rFonts w:hint="cs"/>
          <w:rtl/>
        </w:rPr>
        <w:t>ב</w:t>
      </w:r>
      <w:r w:rsidRPr="00B97E44">
        <w:rPr>
          <w:rtl/>
        </w:rPr>
        <w:t>מוצרים ו</w:t>
      </w:r>
      <w:r w:rsidRPr="00B97E44">
        <w:rPr>
          <w:rFonts w:hint="cs"/>
          <w:rtl/>
        </w:rPr>
        <w:t>ב</w:t>
      </w:r>
      <w:r w:rsidRPr="00B97E44">
        <w:rPr>
          <w:rtl/>
        </w:rPr>
        <w:t>פתרונות לתחומים שונים בשרשרת הי</w:t>
      </w:r>
      <w:r w:rsidRPr="00B97E44">
        <w:rPr>
          <w:rFonts w:hint="cs"/>
          <w:rtl/>
        </w:rPr>
        <w:t>י</w:t>
      </w:r>
      <w:r w:rsidRPr="00B97E44">
        <w:rPr>
          <w:rtl/>
        </w:rPr>
        <w:t>צור החקלאי</w:t>
      </w:r>
      <w:r w:rsidRPr="00B97E44">
        <w:rPr>
          <w:rFonts w:hint="cs"/>
          <w:rtl/>
        </w:rPr>
        <w:t xml:space="preserve">. </w:t>
      </w:r>
      <w:r w:rsidRPr="00B97E44">
        <w:rPr>
          <w:rtl/>
        </w:rPr>
        <w:t xml:space="preserve">שוק טכנולוגיות החקלאות והמזון נמצא בתהליך </w:t>
      </w:r>
      <w:r w:rsidRPr="00B97E44">
        <w:rPr>
          <w:rFonts w:hint="cs"/>
          <w:rtl/>
        </w:rPr>
        <w:t>גידול מואץ</w:t>
      </w:r>
      <w:r w:rsidRPr="00B97E44">
        <w:rPr>
          <w:rtl/>
        </w:rPr>
        <w:t xml:space="preserve"> בשנים האחרונות</w:t>
      </w:r>
      <w:r w:rsidRPr="00B97E44">
        <w:rPr>
          <w:rFonts w:hint="cs"/>
          <w:rtl/>
        </w:rPr>
        <w:t xml:space="preserve"> בעולם</w:t>
      </w:r>
      <w:r w:rsidRPr="00B97E44">
        <w:rPr>
          <w:rtl/>
        </w:rPr>
        <w:t xml:space="preserve">, </w:t>
      </w:r>
      <w:r w:rsidRPr="00B97E44">
        <w:rPr>
          <w:rFonts w:hint="cs"/>
          <w:rtl/>
        </w:rPr>
        <w:t xml:space="preserve">ומטרתו להתמודד עם </w:t>
      </w:r>
      <w:r w:rsidRPr="00B97E44">
        <w:rPr>
          <w:rtl/>
        </w:rPr>
        <w:t xml:space="preserve">אתגרי מים ואקלים, </w:t>
      </w:r>
      <w:r w:rsidRPr="00B97E44">
        <w:rPr>
          <w:rFonts w:hint="cs"/>
          <w:rtl/>
        </w:rPr>
        <w:t xml:space="preserve">עם </w:t>
      </w:r>
      <w:r w:rsidRPr="00B97E44">
        <w:rPr>
          <w:rtl/>
        </w:rPr>
        <w:t>איכות הגידולים החקלאיים ו</w:t>
      </w:r>
      <w:r w:rsidRPr="00B97E44">
        <w:rPr>
          <w:rFonts w:hint="cs"/>
          <w:rtl/>
        </w:rPr>
        <w:t xml:space="preserve">עם </w:t>
      </w:r>
      <w:r w:rsidRPr="00B97E44">
        <w:rPr>
          <w:rtl/>
        </w:rPr>
        <w:t>עתודות קרקע פורי</w:t>
      </w:r>
      <w:r w:rsidRPr="00B97E44">
        <w:rPr>
          <w:rFonts w:hint="cs"/>
          <w:rtl/>
        </w:rPr>
        <w:t>י</w:t>
      </w:r>
      <w:r w:rsidRPr="00B97E44">
        <w:rPr>
          <w:rtl/>
        </w:rPr>
        <w:t xml:space="preserve">ה </w:t>
      </w:r>
      <w:r w:rsidRPr="00B97E44">
        <w:rPr>
          <w:rFonts w:hint="cs"/>
          <w:rtl/>
        </w:rPr>
        <w:t>ה</w:t>
      </w:r>
      <w:r w:rsidRPr="00B97E44">
        <w:rPr>
          <w:rtl/>
        </w:rPr>
        <w:t xml:space="preserve">מציבים קושי בפני השאיפה לגדל מזון איכותי בכמות מספקת לאוכלוסיית העולם </w:t>
      </w:r>
      <w:r w:rsidRPr="00B97E44">
        <w:rPr>
          <w:rFonts w:hint="cs"/>
          <w:rtl/>
        </w:rPr>
        <w:t>ה</w:t>
      </w:r>
      <w:r w:rsidRPr="00B97E44">
        <w:rPr>
          <w:rtl/>
        </w:rPr>
        <w:t>גדלה בקצב מהיר תוך שינויים בפריסת</w:t>
      </w:r>
      <w:r w:rsidRPr="00B97E44">
        <w:rPr>
          <w:rFonts w:hint="cs"/>
          <w:rtl/>
        </w:rPr>
        <w:t xml:space="preserve">ה ובתפריט התזונה </w:t>
      </w:r>
      <w:r w:rsidRPr="00B97E44">
        <w:rPr>
          <w:rtl/>
        </w:rPr>
        <w:t>שלה</w:t>
      </w:r>
      <w:r>
        <w:rPr>
          <w:vertAlign w:val="superscript"/>
          <w:rtl/>
        </w:rPr>
        <w:footnoteReference w:id="157"/>
      </w:r>
      <w:r w:rsidRPr="00B97E44">
        <w:t>.</w:t>
      </w:r>
      <w:r w:rsidRPr="00B97E44">
        <w:rPr>
          <w:rFonts w:hint="cs"/>
          <w:rtl/>
        </w:rPr>
        <w:t xml:space="preserve"> מלחמת חרבות ברזל העמידה בפני ישראל אתגר נוסף</w:t>
      </w:r>
      <w:r w:rsidRPr="00B97E44">
        <w:rPr>
          <w:rtl/>
        </w:rPr>
        <w:t xml:space="preserve"> בנושא ביטחון המזו</w:t>
      </w:r>
      <w:r w:rsidRPr="00B97E44">
        <w:rPr>
          <w:rFonts w:hint="cs"/>
          <w:rtl/>
        </w:rPr>
        <w:t>ן, ו</w:t>
      </w:r>
      <w:r w:rsidRPr="00B97E44">
        <w:rPr>
          <w:rtl/>
        </w:rPr>
        <w:t xml:space="preserve">לצד איומים ארוכי טווח כמו שינויי אקלים, אירועי קיצון גיאופוליטיים וגידול דמוגרפי, ניצב האיום </w:t>
      </w:r>
      <w:r w:rsidRPr="00B97E44">
        <w:rPr>
          <w:rtl/>
        </w:rPr>
        <w:t>המיידי</w:t>
      </w:r>
      <w:r w:rsidRPr="00B97E44">
        <w:rPr>
          <w:rtl/>
        </w:rPr>
        <w:t xml:space="preserve"> שנחשף במלחמ</w:t>
      </w:r>
      <w:r w:rsidRPr="00B97E44">
        <w:rPr>
          <w:rFonts w:hint="cs"/>
          <w:rtl/>
        </w:rPr>
        <w:t xml:space="preserve">ה - </w:t>
      </w:r>
      <w:r w:rsidRPr="00B97E44">
        <w:rPr>
          <w:rtl/>
        </w:rPr>
        <w:t>צמצום זמני של קרקע למזון (עקב פגיעה בחקלאות חבל התקומה והנגב המערבי) והמחסור בכוח אדם זמין לעבודות חקלאיו</w:t>
      </w:r>
      <w:r w:rsidRPr="00B97E44">
        <w:rPr>
          <w:rFonts w:hint="cs"/>
          <w:rtl/>
        </w:rPr>
        <w:t>ת</w:t>
      </w:r>
      <w:r>
        <w:rPr>
          <w:vertAlign w:val="superscript"/>
          <w:rtl/>
        </w:rPr>
        <w:footnoteReference w:id="158"/>
      </w:r>
      <w:r w:rsidRPr="00B97E44">
        <w:rPr>
          <w:rFonts w:hint="cs"/>
          <w:rtl/>
        </w:rPr>
        <w:t>.</w:t>
      </w:r>
    </w:p>
    <w:p w:rsidR="005B126E" w:rsidP="001916A9">
      <w:pPr>
        <w:spacing w:line="269" w:lineRule="auto"/>
        <w:rPr>
          <w:b/>
          <w:rtl/>
        </w:rPr>
      </w:pPr>
    </w:p>
    <w:p w:rsidR="005B126E" w:rsidRPr="00B97E44" w:rsidP="001916A9">
      <w:pPr>
        <w:spacing w:line="269" w:lineRule="auto"/>
        <w:rPr>
          <w:b/>
          <w:rtl/>
        </w:rPr>
      </w:pPr>
      <w:r w:rsidRPr="00B97E44">
        <w:rPr>
          <w:rFonts w:hint="cs"/>
          <w:b/>
          <w:rtl/>
        </w:rPr>
        <w:t>משנת</w:t>
      </w:r>
      <w:r w:rsidRPr="00B97E44">
        <w:rPr>
          <w:b/>
          <w:rtl/>
        </w:rPr>
        <w:t xml:space="preserve"> 202</w:t>
      </w:r>
      <w:r w:rsidRPr="00B97E44">
        <w:rPr>
          <w:rFonts w:hint="cs"/>
          <w:b/>
          <w:rtl/>
        </w:rPr>
        <w:t>0 עיריית</w:t>
      </w:r>
      <w:r w:rsidRPr="00B97E44">
        <w:rPr>
          <w:b/>
          <w:rtl/>
        </w:rPr>
        <w:t xml:space="preserve"> </w:t>
      </w:r>
      <w:r w:rsidRPr="00B97E44">
        <w:rPr>
          <w:rFonts w:hint="eastAsia"/>
          <w:bCs/>
          <w:rtl/>
        </w:rPr>
        <w:t>אופקים</w:t>
      </w:r>
      <w:r w:rsidRPr="00B97E44">
        <w:rPr>
          <w:rFonts w:hint="cs"/>
          <w:b/>
          <w:rtl/>
        </w:rPr>
        <w:t xml:space="preserve"> פועלת</w:t>
      </w:r>
      <w:r w:rsidRPr="00B97E44">
        <w:rPr>
          <w:b/>
          <w:rtl/>
        </w:rPr>
        <w:t xml:space="preserve">, </w:t>
      </w:r>
      <w:r w:rsidRPr="00B97E44">
        <w:rPr>
          <w:rFonts w:hint="cs"/>
          <w:b/>
          <w:rtl/>
        </w:rPr>
        <w:t>במסגרת מיזם</w:t>
      </w:r>
      <w:r w:rsidRPr="00B97E44">
        <w:rPr>
          <w:b/>
          <w:rtl/>
        </w:rPr>
        <w:t xml:space="preserve"> "</w:t>
      </w:r>
      <w:r w:rsidRPr="00B97E44">
        <w:rPr>
          <w:rFonts w:hint="cs"/>
          <w:b/>
          <w:rtl/>
        </w:rPr>
        <w:t>עיר</w:t>
      </w:r>
      <w:r w:rsidRPr="00B97E44">
        <w:rPr>
          <w:b/>
          <w:rtl/>
        </w:rPr>
        <w:t xml:space="preserve"> </w:t>
      </w:r>
      <w:r w:rsidRPr="00B97E44">
        <w:rPr>
          <w:rFonts w:hint="cs"/>
          <w:b/>
          <w:rtl/>
        </w:rPr>
        <w:t>שווה</w:t>
      </w:r>
      <w:r w:rsidRPr="00B97E44">
        <w:rPr>
          <w:b/>
          <w:rtl/>
        </w:rPr>
        <w:t>"</w:t>
      </w:r>
      <w:r w:rsidRPr="00B97E44">
        <w:rPr>
          <w:rFonts w:hint="cs"/>
          <w:b/>
          <w:rtl/>
        </w:rPr>
        <w:t xml:space="preserve"> בשיתוף משרד</w:t>
      </w:r>
      <w:r w:rsidRPr="00B97E44">
        <w:rPr>
          <w:b/>
          <w:rtl/>
        </w:rPr>
        <w:t xml:space="preserve"> </w:t>
      </w:r>
      <w:r w:rsidRPr="00B97E44">
        <w:rPr>
          <w:rFonts w:hint="cs"/>
          <w:b/>
          <w:rtl/>
        </w:rPr>
        <w:t>הבינוי</w:t>
      </w:r>
      <w:r w:rsidRPr="00B97E44">
        <w:rPr>
          <w:b/>
          <w:rtl/>
        </w:rPr>
        <w:t xml:space="preserve"> </w:t>
      </w:r>
      <w:r w:rsidRPr="00B97E44">
        <w:rPr>
          <w:rFonts w:hint="cs"/>
          <w:b/>
          <w:rtl/>
        </w:rPr>
        <w:t>והשיכון</w:t>
      </w:r>
      <w:r w:rsidRPr="00B97E44">
        <w:rPr>
          <w:b/>
          <w:rtl/>
        </w:rPr>
        <w:t xml:space="preserve">, </w:t>
      </w:r>
      <w:r w:rsidRPr="00B97E44">
        <w:rPr>
          <w:rFonts w:hint="cs"/>
          <w:b/>
          <w:rtl/>
        </w:rPr>
        <w:t>משרד</w:t>
      </w:r>
      <w:r w:rsidRPr="00B97E44">
        <w:rPr>
          <w:b/>
          <w:rtl/>
        </w:rPr>
        <w:t xml:space="preserve"> </w:t>
      </w:r>
      <w:r w:rsidRPr="00B97E44">
        <w:rPr>
          <w:rFonts w:hint="cs"/>
          <w:b/>
          <w:rtl/>
        </w:rPr>
        <w:t>הרווחה</w:t>
      </w:r>
      <w:r w:rsidRPr="00B97E44">
        <w:rPr>
          <w:b/>
          <w:rtl/>
        </w:rPr>
        <w:t xml:space="preserve"> </w:t>
      </w:r>
      <w:r w:rsidRPr="00B97E44">
        <w:rPr>
          <w:rFonts w:hint="cs"/>
          <w:b/>
          <w:rtl/>
        </w:rPr>
        <w:t>והביטחון</w:t>
      </w:r>
      <w:r w:rsidRPr="00B97E44">
        <w:rPr>
          <w:b/>
          <w:rtl/>
        </w:rPr>
        <w:t xml:space="preserve"> </w:t>
      </w:r>
      <w:r w:rsidRPr="00B97E44">
        <w:rPr>
          <w:rFonts w:hint="cs"/>
          <w:b/>
          <w:rtl/>
        </w:rPr>
        <w:t>החברתי</w:t>
      </w:r>
      <w:r w:rsidRPr="00B97E44">
        <w:rPr>
          <w:b/>
          <w:rtl/>
        </w:rPr>
        <w:t xml:space="preserve">, </w:t>
      </w:r>
      <w:r w:rsidRPr="00B97E44">
        <w:rPr>
          <w:rFonts w:hint="cs"/>
          <w:b/>
          <w:rtl/>
        </w:rPr>
        <w:t>משרד</w:t>
      </w:r>
      <w:r w:rsidRPr="00B97E44">
        <w:rPr>
          <w:b/>
          <w:rtl/>
        </w:rPr>
        <w:t xml:space="preserve"> </w:t>
      </w:r>
      <w:r w:rsidRPr="00B97E44">
        <w:rPr>
          <w:rFonts w:hint="cs"/>
          <w:b/>
          <w:rtl/>
        </w:rPr>
        <w:t>ההתיישבות והמשימות</w:t>
      </w:r>
      <w:r w:rsidRPr="00B97E44">
        <w:rPr>
          <w:b/>
          <w:rtl/>
        </w:rPr>
        <w:t xml:space="preserve"> </w:t>
      </w:r>
      <w:r w:rsidRPr="00B97E44">
        <w:rPr>
          <w:rFonts w:hint="cs"/>
          <w:b/>
          <w:rtl/>
        </w:rPr>
        <w:t>הלאומיות, משרד</w:t>
      </w:r>
      <w:r w:rsidRPr="00B97E44">
        <w:rPr>
          <w:b/>
          <w:rtl/>
        </w:rPr>
        <w:t xml:space="preserve"> </w:t>
      </w:r>
      <w:r w:rsidRPr="00B97E44">
        <w:rPr>
          <w:rFonts w:hint="cs"/>
          <w:b/>
          <w:rtl/>
        </w:rPr>
        <w:t>הפנים ותנועת</w:t>
      </w:r>
      <w:r w:rsidRPr="00B97E44">
        <w:rPr>
          <w:b/>
          <w:rtl/>
        </w:rPr>
        <w:t xml:space="preserve"> </w:t>
      </w:r>
      <w:r w:rsidRPr="00B97E44">
        <w:rPr>
          <w:rFonts w:hint="cs"/>
          <w:b/>
          <w:rtl/>
        </w:rPr>
        <w:t>אור</w:t>
      </w:r>
      <w:r w:rsidRPr="00B97E44">
        <w:rPr>
          <w:b/>
          <w:rtl/>
        </w:rPr>
        <w:t xml:space="preserve"> </w:t>
      </w:r>
      <w:r w:rsidRPr="00B97E44">
        <w:rPr>
          <w:rFonts w:hint="cs"/>
          <w:b/>
          <w:rtl/>
        </w:rPr>
        <w:t>לנגב, לבסס</w:t>
      </w:r>
      <w:r w:rsidRPr="00B97E44">
        <w:rPr>
          <w:b/>
          <w:rtl/>
        </w:rPr>
        <w:t xml:space="preserve"> </w:t>
      </w:r>
      <w:r w:rsidRPr="00B97E44">
        <w:rPr>
          <w:rFonts w:hint="cs"/>
          <w:b/>
          <w:rtl/>
        </w:rPr>
        <w:t>בשטחה התמחות</w:t>
      </w:r>
      <w:r w:rsidRPr="00B97E44">
        <w:rPr>
          <w:b/>
          <w:rtl/>
        </w:rPr>
        <w:t xml:space="preserve"> </w:t>
      </w:r>
      <w:r w:rsidRPr="00B97E44">
        <w:rPr>
          <w:rFonts w:hint="cs"/>
          <w:b/>
          <w:rtl/>
        </w:rPr>
        <w:t>כלכלית</w:t>
      </w:r>
      <w:r w:rsidRPr="00B97E44">
        <w:rPr>
          <w:b/>
          <w:rtl/>
        </w:rPr>
        <w:t xml:space="preserve"> </w:t>
      </w:r>
      <w:r w:rsidRPr="00B97E44">
        <w:rPr>
          <w:rFonts w:hint="cs"/>
          <w:b/>
          <w:rtl/>
        </w:rPr>
        <w:t>אזורית</w:t>
      </w:r>
      <w:r w:rsidRPr="00B97E44">
        <w:rPr>
          <w:b/>
          <w:rtl/>
        </w:rPr>
        <w:t xml:space="preserve"> </w:t>
      </w:r>
      <w:r w:rsidRPr="00B97E44">
        <w:rPr>
          <w:rFonts w:hint="cs"/>
          <w:b/>
          <w:rtl/>
        </w:rPr>
        <w:t>המבוססת על</w:t>
      </w:r>
      <w:r w:rsidRPr="00B97E44">
        <w:rPr>
          <w:b/>
          <w:rtl/>
        </w:rPr>
        <w:t xml:space="preserve"> </w:t>
      </w:r>
      <w:r w:rsidRPr="00B97E44">
        <w:rPr>
          <w:rFonts w:hint="cs"/>
          <w:b/>
          <w:rtl/>
        </w:rPr>
        <w:t>תעשיות</w:t>
      </w:r>
      <w:r w:rsidRPr="00B97E44">
        <w:rPr>
          <w:rFonts w:hint="cs"/>
          <w:rtl/>
        </w:rPr>
        <w:t xml:space="preserve"> אגרו-טק </w:t>
      </w:r>
      <w:r w:rsidRPr="00B97E44">
        <w:rPr>
          <w:rFonts w:hint="cs"/>
          <w:b/>
          <w:rtl/>
        </w:rPr>
        <w:t>כבעלות</w:t>
      </w:r>
      <w:r w:rsidRPr="00B97E44">
        <w:rPr>
          <w:b/>
          <w:rtl/>
        </w:rPr>
        <w:t xml:space="preserve"> </w:t>
      </w:r>
      <w:r w:rsidRPr="00B97E44">
        <w:rPr>
          <w:rFonts w:hint="cs"/>
          <w:b/>
          <w:rtl/>
        </w:rPr>
        <w:t>פוטנציאל</w:t>
      </w:r>
      <w:r w:rsidRPr="00B97E44">
        <w:rPr>
          <w:b/>
          <w:rtl/>
        </w:rPr>
        <w:t xml:space="preserve"> </w:t>
      </w:r>
      <w:r w:rsidRPr="00B97E44">
        <w:rPr>
          <w:rFonts w:hint="cs"/>
          <w:b/>
          <w:rtl/>
        </w:rPr>
        <w:t>צמיחה ניכר</w:t>
      </w:r>
      <w:r w:rsidRPr="00B97E44">
        <w:rPr>
          <w:b/>
          <w:rtl/>
        </w:rPr>
        <w:t xml:space="preserve"> </w:t>
      </w:r>
      <w:r w:rsidRPr="00B97E44">
        <w:rPr>
          <w:rFonts w:hint="cs"/>
          <w:b/>
          <w:rtl/>
        </w:rPr>
        <w:t>ויכולת</w:t>
      </w:r>
      <w:r w:rsidRPr="00B97E44">
        <w:rPr>
          <w:b/>
          <w:rtl/>
        </w:rPr>
        <w:t xml:space="preserve"> </w:t>
      </w:r>
      <w:r w:rsidRPr="00B97E44">
        <w:rPr>
          <w:rFonts w:hint="cs"/>
          <w:b/>
          <w:rtl/>
        </w:rPr>
        <w:t>לייצר</w:t>
      </w:r>
      <w:r w:rsidRPr="00B97E44">
        <w:rPr>
          <w:b/>
          <w:rtl/>
        </w:rPr>
        <w:t xml:space="preserve"> </w:t>
      </w:r>
      <w:r w:rsidRPr="00B97E44">
        <w:rPr>
          <w:rFonts w:hint="cs"/>
          <w:b/>
          <w:rtl/>
        </w:rPr>
        <w:t>בסיס</w:t>
      </w:r>
      <w:r w:rsidRPr="00B97E44">
        <w:rPr>
          <w:b/>
          <w:rtl/>
        </w:rPr>
        <w:t xml:space="preserve"> </w:t>
      </w:r>
      <w:r w:rsidRPr="00B97E44">
        <w:rPr>
          <w:rFonts w:hint="cs"/>
          <w:b/>
          <w:rtl/>
        </w:rPr>
        <w:t>תעסוקה</w:t>
      </w:r>
      <w:r w:rsidRPr="00B97E44">
        <w:rPr>
          <w:b/>
          <w:rtl/>
        </w:rPr>
        <w:t xml:space="preserve"> </w:t>
      </w:r>
      <w:r w:rsidRPr="00B97E44">
        <w:rPr>
          <w:rFonts w:hint="cs"/>
          <w:b/>
          <w:rtl/>
        </w:rPr>
        <w:t>איכותי</w:t>
      </w:r>
      <w:r w:rsidRPr="00B97E44">
        <w:rPr>
          <w:b/>
          <w:rtl/>
        </w:rPr>
        <w:t xml:space="preserve"> </w:t>
      </w:r>
      <w:r w:rsidRPr="00B97E44">
        <w:rPr>
          <w:rFonts w:hint="cs"/>
          <w:b/>
          <w:rtl/>
        </w:rPr>
        <w:t>לעיר</w:t>
      </w:r>
      <w:r w:rsidRPr="00B97E44">
        <w:rPr>
          <w:b/>
          <w:rtl/>
        </w:rPr>
        <w:t xml:space="preserve"> </w:t>
      </w:r>
      <w:r w:rsidRPr="00B97E44">
        <w:rPr>
          <w:rFonts w:hint="cs"/>
          <w:b/>
          <w:rtl/>
        </w:rPr>
        <w:t>ולאזור</w:t>
      </w:r>
      <w:r w:rsidRPr="00B97E44">
        <w:rPr>
          <w:b/>
          <w:rtl/>
        </w:rPr>
        <w:t xml:space="preserve"> </w:t>
      </w:r>
      <w:r w:rsidRPr="00B97E44">
        <w:rPr>
          <w:rFonts w:hint="cs"/>
          <w:b/>
          <w:rtl/>
        </w:rPr>
        <w:t>הנגב</w:t>
      </w:r>
      <w:r w:rsidRPr="00B97E44">
        <w:rPr>
          <w:b/>
          <w:rtl/>
        </w:rPr>
        <w:t xml:space="preserve"> </w:t>
      </w:r>
      <w:r w:rsidRPr="00B97E44">
        <w:rPr>
          <w:rFonts w:hint="cs"/>
          <w:b/>
          <w:rtl/>
        </w:rPr>
        <w:t>המערבי כולו</w:t>
      </w:r>
      <w:r w:rsidRPr="00B97E44">
        <w:rPr>
          <w:b/>
          <w:rtl/>
        </w:rPr>
        <w:t xml:space="preserve">, </w:t>
      </w:r>
      <w:r w:rsidRPr="00B97E44">
        <w:rPr>
          <w:rFonts w:hint="cs"/>
          <w:b/>
          <w:rtl/>
        </w:rPr>
        <w:t>על</w:t>
      </w:r>
      <w:r w:rsidRPr="00B97E44">
        <w:rPr>
          <w:b/>
          <w:rtl/>
        </w:rPr>
        <w:t xml:space="preserve"> </w:t>
      </w:r>
      <w:r w:rsidRPr="00B97E44">
        <w:rPr>
          <w:rFonts w:hint="cs"/>
          <w:b/>
          <w:rtl/>
        </w:rPr>
        <w:t>בסיס</w:t>
      </w:r>
      <w:r w:rsidRPr="00B97E44">
        <w:rPr>
          <w:b/>
          <w:rtl/>
        </w:rPr>
        <w:t xml:space="preserve"> </w:t>
      </w:r>
      <w:r w:rsidRPr="00B97E44">
        <w:rPr>
          <w:rFonts w:hint="cs"/>
          <w:b/>
          <w:rtl/>
        </w:rPr>
        <w:t>פיתוחם</w:t>
      </w:r>
      <w:r w:rsidRPr="00B97E44">
        <w:rPr>
          <w:b/>
          <w:rtl/>
        </w:rPr>
        <w:t xml:space="preserve"> </w:t>
      </w:r>
      <w:r w:rsidRPr="00B97E44">
        <w:rPr>
          <w:rFonts w:hint="cs"/>
          <w:b/>
          <w:rtl/>
        </w:rPr>
        <w:t>של</w:t>
      </w:r>
      <w:r w:rsidRPr="00B97E44">
        <w:rPr>
          <w:b/>
          <w:rtl/>
        </w:rPr>
        <w:t xml:space="preserve"> </w:t>
      </w:r>
      <w:r w:rsidRPr="00B97E44">
        <w:rPr>
          <w:rFonts w:hint="cs"/>
          <w:b/>
          <w:rtl/>
        </w:rPr>
        <w:t>נכסים</w:t>
      </w:r>
      <w:r w:rsidRPr="00B97E44">
        <w:rPr>
          <w:b/>
          <w:rtl/>
        </w:rPr>
        <w:t xml:space="preserve"> </w:t>
      </w:r>
      <w:r w:rsidRPr="00B97E44">
        <w:rPr>
          <w:rFonts w:hint="cs"/>
          <w:b/>
          <w:rtl/>
        </w:rPr>
        <w:t>מקומיים</w:t>
      </w:r>
      <w:r w:rsidRPr="00B97E44">
        <w:rPr>
          <w:b/>
          <w:rtl/>
        </w:rPr>
        <w:t xml:space="preserve"> </w:t>
      </w:r>
      <w:r w:rsidRPr="00B97E44">
        <w:rPr>
          <w:rFonts w:hint="cs"/>
          <w:b/>
          <w:rtl/>
        </w:rPr>
        <w:t>והקמת</w:t>
      </w:r>
      <w:r w:rsidRPr="00B97E44">
        <w:rPr>
          <w:b/>
          <w:rtl/>
        </w:rPr>
        <w:t xml:space="preserve"> </w:t>
      </w:r>
      <w:r w:rsidRPr="00B97E44">
        <w:rPr>
          <w:rFonts w:hint="cs"/>
          <w:b/>
          <w:rtl/>
        </w:rPr>
        <w:t>מוסדות</w:t>
      </w:r>
      <w:r w:rsidRPr="00B97E44">
        <w:rPr>
          <w:b/>
          <w:rtl/>
        </w:rPr>
        <w:t xml:space="preserve"> </w:t>
      </w:r>
      <w:r w:rsidRPr="00B97E44">
        <w:rPr>
          <w:rFonts w:hint="cs"/>
          <w:b/>
          <w:rtl/>
        </w:rPr>
        <w:t>ותשתיות</w:t>
      </w:r>
      <w:r w:rsidRPr="00B97E44">
        <w:rPr>
          <w:b/>
          <w:rtl/>
        </w:rPr>
        <w:t xml:space="preserve"> </w:t>
      </w:r>
      <w:r w:rsidRPr="00B97E44">
        <w:rPr>
          <w:rFonts w:hint="cs"/>
          <w:b/>
          <w:rtl/>
        </w:rPr>
        <w:t>תומכות</w:t>
      </w:r>
      <w:r>
        <w:rPr>
          <w:b/>
          <w:vertAlign w:val="superscript"/>
          <w:rtl/>
        </w:rPr>
        <w:footnoteReference w:id="159"/>
      </w:r>
      <w:r w:rsidRPr="00B97E44">
        <w:rPr>
          <w:b/>
          <w:rtl/>
        </w:rPr>
        <w:t xml:space="preserve">. </w:t>
      </w:r>
    </w:p>
    <w:bookmarkEnd w:id="71"/>
    <w:p w:rsidR="005B126E" w:rsidP="001916A9">
      <w:pPr>
        <w:spacing w:line="269" w:lineRule="auto"/>
        <w:rPr>
          <w:b/>
          <w:rtl/>
        </w:rPr>
      </w:pPr>
    </w:p>
    <w:p w:rsidR="005B126E" w:rsidRPr="00B97E44" w:rsidP="001916A9">
      <w:pPr>
        <w:spacing w:line="269" w:lineRule="auto"/>
        <w:rPr>
          <w:b/>
          <w:rtl/>
        </w:rPr>
      </w:pPr>
      <w:r w:rsidRPr="00B97E44">
        <w:rPr>
          <w:rFonts w:hint="cs"/>
          <w:b/>
          <w:rtl/>
        </w:rPr>
        <w:t>התמחות</w:t>
      </w:r>
      <w:r w:rsidRPr="00B97E44">
        <w:rPr>
          <w:b/>
          <w:rtl/>
        </w:rPr>
        <w:t xml:space="preserve"> </w:t>
      </w:r>
      <w:r w:rsidRPr="00B97E44">
        <w:rPr>
          <w:rFonts w:hint="cs"/>
          <w:b/>
          <w:rtl/>
        </w:rPr>
        <w:t>כלכלית</w:t>
      </w:r>
      <w:r w:rsidRPr="00B97E44">
        <w:rPr>
          <w:b/>
          <w:rtl/>
        </w:rPr>
        <w:t xml:space="preserve"> </w:t>
      </w:r>
      <w:r w:rsidRPr="00B97E44">
        <w:rPr>
          <w:rFonts w:hint="cs"/>
          <w:b/>
          <w:rtl/>
        </w:rPr>
        <w:t>אזורית</w:t>
      </w:r>
      <w:r w:rsidRPr="00B97E44">
        <w:rPr>
          <w:b/>
          <w:rtl/>
        </w:rPr>
        <w:t xml:space="preserve">, </w:t>
      </w:r>
      <w:r w:rsidRPr="00B97E44">
        <w:rPr>
          <w:rFonts w:hint="cs"/>
          <w:b/>
          <w:rtl/>
        </w:rPr>
        <w:t>הידועה</w:t>
      </w:r>
      <w:r w:rsidRPr="00B97E44">
        <w:rPr>
          <w:b/>
          <w:rtl/>
        </w:rPr>
        <w:t xml:space="preserve"> </w:t>
      </w:r>
      <w:r w:rsidRPr="00B97E44">
        <w:rPr>
          <w:rFonts w:hint="cs"/>
          <w:b/>
          <w:rtl/>
        </w:rPr>
        <w:t>בתור</w:t>
      </w:r>
      <w:r w:rsidRPr="00B97E44">
        <w:rPr>
          <w:b/>
          <w:rtl/>
        </w:rPr>
        <w:t xml:space="preserve"> "</w:t>
      </w:r>
      <w:r w:rsidRPr="00B97E44">
        <w:rPr>
          <w:rFonts w:hint="cs"/>
          <w:b/>
          <w:rtl/>
        </w:rPr>
        <w:t>קלאסטר</w:t>
      </w:r>
      <w:r w:rsidRPr="00B97E44">
        <w:rPr>
          <w:b/>
          <w:rtl/>
        </w:rPr>
        <w:t>"</w:t>
      </w:r>
      <w:r w:rsidRPr="00B97E44">
        <w:rPr>
          <w:rFonts w:hint="cs"/>
          <w:b/>
          <w:rtl/>
        </w:rPr>
        <w:t xml:space="preserve"> (אשכול - </w:t>
      </w:r>
      <w:r w:rsidRPr="00B97E44">
        <w:rPr>
          <w:bCs/>
        </w:rPr>
        <w:t>Cluster</w:t>
      </w:r>
      <w:r w:rsidRPr="00B97E44">
        <w:rPr>
          <w:rFonts w:hint="cs"/>
          <w:b/>
          <w:rtl/>
        </w:rPr>
        <w:t>)</w:t>
      </w:r>
      <w:r w:rsidRPr="00B97E44">
        <w:rPr>
          <w:b/>
          <w:rtl/>
        </w:rPr>
        <w:t xml:space="preserve">, </w:t>
      </w:r>
      <w:r w:rsidRPr="00B97E44">
        <w:rPr>
          <w:rFonts w:hint="cs"/>
          <w:b/>
          <w:rtl/>
        </w:rPr>
        <w:t>היא</w:t>
      </w:r>
      <w:r w:rsidRPr="00B97E44">
        <w:rPr>
          <w:b/>
          <w:rtl/>
        </w:rPr>
        <w:t xml:space="preserve"> </w:t>
      </w:r>
      <w:r w:rsidRPr="00B97E44">
        <w:rPr>
          <w:rFonts w:hint="cs"/>
          <w:b/>
          <w:rtl/>
        </w:rPr>
        <w:t>מצב</w:t>
      </w:r>
      <w:r w:rsidRPr="00B97E44">
        <w:rPr>
          <w:b/>
          <w:rtl/>
        </w:rPr>
        <w:t xml:space="preserve"> </w:t>
      </w:r>
      <w:r w:rsidRPr="00B97E44">
        <w:rPr>
          <w:rFonts w:hint="cs"/>
          <w:b/>
          <w:rtl/>
        </w:rPr>
        <w:t>שבו</w:t>
      </w:r>
      <w:r w:rsidRPr="00B97E44">
        <w:rPr>
          <w:b/>
          <w:rtl/>
        </w:rPr>
        <w:t xml:space="preserve"> </w:t>
      </w:r>
      <w:r w:rsidRPr="00B97E44">
        <w:rPr>
          <w:rFonts w:hint="cs"/>
          <w:b/>
          <w:rtl/>
        </w:rPr>
        <w:t>אנשים העוסקים</w:t>
      </w:r>
      <w:r w:rsidRPr="00B97E44">
        <w:rPr>
          <w:b/>
          <w:rtl/>
        </w:rPr>
        <w:t xml:space="preserve"> </w:t>
      </w:r>
      <w:r w:rsidRPr="00B97E44">
        <w:rPr>
          <w:rFonts w:hint="cs"/>
          <w:b/>
          <w:rtl/>
        </w:rPr>
        <w:t>בתחום</w:t>
      </w:r>
      <w:r w:rsidRPr="00B97E44">
        <w:rPr>
          <w:b/>
          <w:rtl/>
        </w:rPr>
        <w:t xml:space="preserve"> </w:t>
      </w:r>
      <w:r w:rsidRPr="00B97E44">
        <w:rPr>
          <w:rFonts w:hint="cs"/>
          <w:b/>
          <w:rtl/>
        </w:rPr>
        <w:t>כלכלי</w:t>
      </w:r>
      <w:r w:rsidRPr="00B97E44">
        <w:rPr>
          <w:b/>
          <w:rtl/>
        </w:rPr>
        <w:t xml:space="preserve"> </w:t>
      </w:r>
      <w:r w:rsidRPr="00B97E44">
        <w:rPr>
          <w:rFonts w:hint="cs"/>
          <w:b/>
          <w:rtl/>
        </w:rPr>
        <w:t>מסוים</w:t>
      </w:r>
      <w:r w:rsidRPr="00B97E44">
        <w:rPr>
          <w:b/>
          <w:rtl/>
        </w:rPr>
        <w:t xml:space="preserve"> </w:t>
      </w:r>
      <w:r w:rsidRPr="00B97E44">
        <w:rPr>
          <w:rFonts w:hint="cs"/>
          <w:b/>
          <w:rtl/>
        </w:rPr>
        <w:t>מצויים</w:t>
      </w:r>
      <w:r w:rsidRPr="00B97E44">
        <w:rPr>
          <w:b/>
          <w:rtl/>
        </w:rPr>
        <w:t xml:space="preserve"> </w:t>
      </w:r>
      <w:r w:rsidRPr="00B97E44">
        <w:rPr>
          <w:rFonts w:hint="cs"/>
          <w:b/>
          <w:rtl/>
        </w:rPr>
        <w:t>במרחב כלשהו</w:t>
      </w:r>
      <w:r w:rsidRPr="00B97E44">
        <w:rPr>
          <w:b/>
          <w:rtl/>
        </w:rPr>
        <w:t xml:space="preserve"> </w:t>
      </w:r>
      <w:r w:rsidRPr="00B97E44">
        <w:rPr>
          <w:rFonts w:hint="cs"/>
          <w:b/>
          <w:rtl/>
        </w:rPr>
        <w:t>באופן</w:t>
      </w:r>
      <w:r w:rsidRPr="00B97E44">
        <w:rPr>
          <w:b/>
          <w:rtl/>
        </w:rPr>
        <w:t xml:space="preserve"> </w:t>
      </w:r>
      <w:r w:rsidRPr="00B97E44">
        <w:rPr>
          <w:rFonts w:hint="cs"/>
          <w:b/>
          <w:rtl/>
        </w:rPr>
        <w:t>מרוכז</w:t>
      </w:r>
      <w:r w:rsidRPr="00B97E44">
        <w:rPr>
          <w:b/>
          <w:rtl/>
        </w:rPr>
        <w:t xml:space="preserve"> </w:t>
      </w:r>
      <w:r w:rsidRPr="00B97E44">
        <w:rPr>
          <w:rFonts w:hint="cs"/>
          <w:b/>
          <w:rtl/>
        </w:rPr>
        <w:t>באופן</w:t>
      </w:r>
      <w:r w:rsidRPr="00B97E44">
        <w:rPr>
          <w:b/>
          <w:rtl/>
        </w:rPr>
        <w:t xml:space="preserve"> </w:t>
      </w:r>
      <w:r w:rsidRPr="00B97E44">
        <w:rPr>
          <w:rFonts w:hint="cs"/>
          <w:b/>
          <w:rtl/>
        </w:rPr>
        <w:t>בולט</w:t>
      </w:r>
      <w:r w:rsidRPr="00B97E44">
        <w:rPr>
          <w:b/>
          <w:rtl/>
        </w:rPr>
        <w:t xml:space="preserve"> </w:t>
      </w:r>
      <w:r w:rsidRPr="00B97E44">
        <w:rPr>
          <w:rFonts w:hint="cs"/>
          <w:b/>
          <w:rtl/>
        </w:rPr>
        <w:t>ביחס</w:t>
      </w:r>
      <w:r w:rsidRPr="00B97E44">
        <w:rPr>
          <w:b/>
          <w:rtl/>
        </w:rPr>
        <w:t xml:space="preserve"> </w:t>
      </w:r>
      <w:r w:rsidRPr="00B97E44">
        <w:rPr>
          <w:rFonts w:hint="cs"/>
          <w:b/>
          <w:rtl/>
        </w:rPr>
        <w:t>למרחבים</w:t>
      </w:r>
      <w:r w:rsidRPr="00B97E44">
        <w:rPr>
          <w:b/>
          <w:rtl/>
        </w:rPr>
        <w:t xml:space="preserve"> </w:t>
      </w:r>
      <w:r w:rsidRPr="00B97E44">
        <w:rPr>
          <w:rFonts w:hint="cs"/>
          <w:b/>
          <w:rtl/>
        </w:rPr>
        <w:t>אחרים</w:t>
      </w:r>
      <w:r w:rsidRPr="00B97E44">
        <w:rPr>
          <w:b/>
          <w:rtl/>
        </w:rPr>
        <w:t xml:space="preserve">. </w:t>
      </w:r>
      <w:r w:rsidRPr="00B97E44">
        <w:rPr>
          <w:rFonts w:hint="cs"/>
          <w:b/>
          <w:rtl/>
        </w:rPr>
        <w:t>הריכוז</w:t>
      </w:r>
      <w:r w:rsidRPr="00B97E44">
        <w:rPr>
          <w:b/>
          <w:rtl/>
        </w:rPr>
        <w:t xml:space="preserve"> </w:t>
      </w:r>
      <w:r w:rsidRPr="00B97E44">
        <w:rPr>
          <w:rFonts w:hint="cs"/>
          <w:b/>
          <w:rtl/>
        </w:rPr>
        <w:t>הגיאוגרפי</w:t>
      </w:r>
      <w:r w:rsidRPr="00B97E44">
        <w:rPr>
          <w:b/>
          <w:rtl/>
        </w:rPr>
        <w:t xml:space="preserve"> </w:t>
      </w:r>
      <w:r w:rsidRPr="00B97E44">
        <w:rPr>
          <w:rFonts w:hint="cs"/>
          <w:b/>
          <w:rtl/>
        </w:rPr>
        <w:t>מאפשר</w:t>
      </w:r>
      <w:r w:rsidRPr="00B97E44">
        <w:rPr>
          <w:b/>
          <w:rtl/>
        </w:rPr>
        <w:t xml:space="preserve"> </w:t>
      </w:r>
      <w:r w:rsidRPr="00B97E44">
        <w:rPr>
          <w:rFonts w:hint="cs"/>
          <w:b/>
          <w:rtl/>
        </w:rPr>
        <w:t>תנועה</w:t>
      </w:r>
      <w:r w:rsidRPr="00B97E44">
        <w:rPr>
          <w:b/>
          <w:rtl/>
        </w:rPr>
        <w:t xml:space="preserve"> </w:t>
      </w:r>
      <w:r w:rsidRPr="00B97E44">
        <w:rPr>
          <w:rFonts w:hint="cs"/>
          <w:b/>
          <w:rtl/>
        </w:rPr>
        <w:t>יעילה</w:t>
      </w:r>
      <w:r w:rsidRPr="00B97E44">
        <w:rPr>
          <w:b/>
          <w:rtl/>
        </w:rPr>
        <w:t xml:space="preserve"> </w:t>
      </w:r>
      <w:r w:rsidRPr="00B97E44">
        <w:rPr>
          <w:rFonts w:hint="cs"/>
          <w:b/>
          <w:rtl/>
        </w:rPr>
        <w:t>של</w:t>
      </w:r>
      <w:r w:rsidRPr="00B97E44">
        <w:rPr>
          <w:b/>
          <w:rtl/>
        </w:rPr>
        <w:t xml:space="preserve"> </w:t>
      </w:r>
      <w:r w:rsidRPr="00B97E44">
        <w:rPr>
          <w:rFonts w:hint="cs"/>
          <w:b/>
          <w:rtl/>
        </w:rPr>
        <w:t>ידע</w:t>
      </w:r>
      <w:r w:rsidRPr="00B97E44">
        <w:rPr>
          <w:b/>
          <w:rtl/>
        </w:rPr>
        <w:t xml:space="preserve"> </w:t>
      </w:r>
      <w:r w:rsidRPr="00B97E44">
        <w:rPr>
          <w:rFonts w:hint="cs"/>
          <w:b/>
          <w:rtl/>
        </w:rPr>
        <w:t>וטוויית</w:t>
      </w:r>
      <w:r w:rsidRPr="00B97E44">
        <w:rPr>
          <w:b/>
          <w:rtl/>
        </w:rPr>
        <w:t xml:space="preserve"> </w:t>
      </w:r>
      <w:r w:rsidRPr="00B97E44">
        <w:rPr>
          <w:rFonts w:hint="cs"/>
          <w:b/>
          <w:rtl/>
        </w:rPr>
        <w:t>קשרים מקצועיים</w:t>
      </w:r>
      <w:r w:rsidRPr="00B97E44">
        <w:rPr>
          <w:b/>
          <w:rtl/>
        </w:rPr>
        <w:t xml:space="preserve"> </w:t>
      </w:r>
      <w:r w:rsidRPr="00B97E44">
        <w:rPr>
          <w:rFonts w:hint="cs"/>
          <w:b/>
          <w:rtl/>
        </w:rPr>
        <w:t>בין ענפים</w:t>
      </w:r>
      <w:r w:rsidRPr="00B97E44">
        <w:rPr>
          <w:b/>
          <w:rtl/>
        </w:rPr>
        <w:t xml:space="preserve"> </w:t>
      </w:r>
      <w:r w:rsidRPr="00B97E44">
        <w:rPr>
          <w:rFonts w:hint="cs"/>
          <w:b/>
          <w:rtl/>
        </w:rPr>
        <w:t>ממגוון</w:t>
      </w:r>
      <w:r w:rsidRPr="00B97E44">
        <w:rPr>
          <w:b/>
          <w:rtl/>
        </w:rPr>
        <w:t xml:space="preserve"> </w:t>
      </w:r>
      <w:r w:rsidRPr="00B97E44">
        <w:rPr>
          <w:rFonts w:hint="cs"/>
          <w:b/>
          <w:rtl/>
        </w:rPr>
        <w:t>עולמות</w:t>
      </w:r>
      <w:r w:rsidRPr="00B97E44">
        <w:rPr>
          <w:b/>
          <w:rtl/>
        </w:rPr>
        <w:t xml:space="preserve"> </w:t>
      </w:r>
      <w:r w:rsidRPr="00B97E44">
        <w:rPr>
          <w:rFonts w:hint="cs"/>
          <w:b/>
          <w:rtl/>
        </w:rPr>
        <w:t>תוכן</w:t>
      </w:r>
      <w:r w:rsidRPr="00B97E44">
        <w:rPr>
          <w:b/>
          <w:rtl/>
        </w:rPr>
        <w:t xml:space="preserve"> </w:t>
      </w:r>
      <w:r w:rsidRPr="00B97E44">
        <w:rPr>
          <w:rFonts w:hint="cs"/>
          <w:b/>
          <w:rtl/>
        </w:rPr>
        <w:t>המאפשרים</w:t>
      </w:r>
      <w:r w:rsidRPr="00B97E44">
        <w:rPr>
          <w:b/>
          <w:rtl/>
        </w:rPr>
        <w:t xml:space="preserve"> </w:t>
      </w:r>
      <w:r w:rsidRPr="00B97E44">
        <w:rPr>
          <w:rFonts w:hint="cs"/>
          <w:b/>
          <w:rtl/>
        </w:rPr>
        <w:t>גיוון</w:t>
      </w:r>
      <w:r w:rsidRPr="00B97E44">
        <w:rPr>
          <w:b/>
          <w:rtl/>
        </w:rPr>
        <w:t xml:space="preserve">, </w:t>
      </w:r>
      <w:r w:rsidRPr="00B97E44">
        <w:rPr>
          <w:rFonts w:hint="cs"/>
          <w:b/>
          <w:rtl/>
        </w:rPr>
        <w:t>שילוב</w:t>
      </w:r>
      <w:r w:rsidRPr="00B97E44">
        <w:rPr>
          <w:b/>
          <w:rtl/>
        </w:rPr>
        <w:t xml:space="preserve"> </w:t>
      </w:r>
      <w:r w:rsidRPr="00B97E44">
        <w:rPr>
          <w:rFonts w:hint="cs"/>
          <w:b/>
          <w:rtl/>
        </w:rPr>
        <w:t>גישות</w:t>
      </w:r>
      <w:r w:rsidRPr="00B97E44">
        <w:rPr>
          <w:b/>
          <w:rtl/>
        </w:rPr>
        <w:t xml:space="preserve"> </w:t>
      </w:r>
      <w:r w:rsidRPr="00B97E44">
        <w:rPr>
          <w:rFonts w:hint="cs"/>
          <w:b/>
          <w:rtl/>
        </w:rPr>
        <w:t>ומגוון</w:t>
      </w:r>
      <w:r w:rsidRPr="00B97E44">
        <w:rPr>
          <w:b/>
          <w:rtl/>
        </w:rPr>
        <w:t xml:space="preserve"> </w:t>
      </w:r>
      <w:r w:rsidRPr="00B97E44">
        <w:rPr>
          <w:rFonts w:hint="cs"/>
          <w:b/>
          <w:rtl/>
        </w:rPr>
        <w:t>כוח</w:t>
      </w:r>
      <w:r w:rsidRPr="00B97E44">
        <w:rPr>
          <w:b/>
          <w:rtl/>
        </w:rPr>
        <w:t xml:space="preserve"> </w:t>
      </w:r>
      <w:r w:rsidRPr="00B97E44">
        <w:rPr>
          <w:rFonts w:hint="cs"/>
          <w:b/>
          <w:rtl/>
        </w:rPr>
        <w:t>אדם</w:t>
      </w:r>
      <w:r w:rsidRPr="00B97E44">
        <w:rPr>
          <w:b/>
          <w:rtl/>
        </w:rPr>
        <w:t xml:space="preserve"> </w:t>
      </w:r>
      <w:r w:rsidRPr="00B97E44">
        <w:rPr>
          <w:rFonts w:hint="cs"/>
          <w:b/>
          <w:rtl/>
        </w:rPr>
        <w:t>איכותי</w:t>
      </w:r>
      <w:r w:rsidRPr="00B97E44">
        <w:rPr>
          <w:b/>
          <w:rtl/>
        </w:rPr>
        <w:t xml:space="preserve"> </w:t>
      </w:r>
      <w:r w:rsidRPr="00B97E44">
        <w:rPr>
          <w:rFonts w:hint="cs"/>
          <w:b/>
          <w:rtl/>
        </w:rPr>
        <w:t>מתחומי</w:t>
      </w:r>
      <w:r w:rsidRPr="00B97E44">
        <w:rPr>
          <w:b/>
          <w:rtl/>
        </w:rPr>
        <w:t xml:space="preserve"> </w:t>
      </w:r>
      <w:r w:rsidRPr="00B97E44">
        <w:rPr>
          <w:rFonts w:hint="cs"/>
          <w:b/>
          <w:rtl/>
        </w:rPr>
        <w:t>התמחות שונים</w:t>
      </w:r>
      <w:r w:rsidRPr="00B97E44">
        <w:rPr>
          <w:b/>
          <w:rtl/>
        </w:rPr>
        <w:t xml:space="preserve">, </w:t>
      </w:r>
      <w:r w:rsidRPr="00B97E44">
        <w:rPr>
          <w:rFonts w:hint="cs"/>
          <w:b/>
          <w:rtl/>
        </w:rPr>
        <w:t>מה</w:t>
      </w:r>
      <w:r w:rsidRPr="00B97E44">
        <w:rPr>
          <w:b/>
          <w:rtl/>
        </w:rPr>
        <w:t xml:space="preserve"> </w:t>
      </w:r>
      <w:r w:rsidRPr="00B97E44">
        <w:rPr>
          <w:rFonts w:hint="cs"/>
          <w:b/>
          <w:rtl/>
        </w:rPr>
        <w:t>שמוביל</w:t>
      </w:r>
      <w:r w:rsidRPr="00B97E44">
        <w:rPr>
          <w:b/>
          <w:rtl/>
        </w:rPr>
        <w:t xml:space="preserve"> </w:t>
      </w:r>
      <w:r w:rsidRPr="00B97E44">
        <w:rPr>
          <w:rFonts w:hint="cs"/>
          <w:b/>
          <w:rtl/>
        </w:rPr>
        <w:t>לצמיחה</w:t>
      </w:r>
      <w:r w:rsidRPr="00B97E44">
        <w:rPr>
          <w:b/>
          <w:rtl/>
        </w:rPr>
        <w:t xml:space="preserve"> </w:t>
      </w:r>
      <w:r w:rsidRPr="00B97E44">
        <w:rPr>
          <w:rFonts w:hint="cs"/>
          <w:b/>
          <w:rtl/>
        </w:rPr>
        <w:t>מואצת</w:t>
      </w:r>
      <w:r w:rsidRPr="00B97E44">
        <w:rPr>
          <w:b/>
          <w:rtl/>
        </w:rPr>
        <w:t xml:space="preserve"> </w:t>
      </w:r>
      <w:r w:rsidRPr="00B97E44">
        <w:rPr>
          <w:rFonts w:hint="cs"/>
          <w:b/>
          <w:rtl/>
        </w:rPr>
        <w:t>ולעידוד</w:t>
      </w:r>
      <w:r w:rsidRPr="00B97E44">
        <w:rPr>
          <w:b/>
          <w:rtl/>
        </w:rPr>
        <w:t xml:space="preserve"> </w:t>
      </w:r>
      <w:r w:rsidRPr="00B97E44">
        <w:rPr>
          <w:rFonts w:hint="cs"/>
          <w:b/>
          <w:rtl/>
        </w:rPr>
        <w:t>חדשנות</w:t>
      </w:r>
      <w:r w:rsidRPr="00B97E44">
        <w:rPr>
          <w:b/>
          <w:rtl/>
        </w:rPr>
        <w:t xml:space="preserve">. </w:t>
      </w:r>
      <w:r w:rsidRPr="00B97E44">
        <w:rPr>
          <w:rFonts w:hint="cs"/>
          <w:b/>
          <w:rtl/>
        </w:rPr>
        <w:t>מאז</w:t>
      </w:r>
      <w:r w:rsidRPr="00B97E44">
        <w:rPr>
          <w:b/>
          <w:rtl/>
        </w:rPr>
        <w:t xml:space="preserve"> </w:t>
      </w:r>
      <w:r w:rsidRPr="00B97E44">
        <w:rPr>
          <w:rFonts w:hint="cs"/>
          <w:b/>
          <w:rtl/>
        </w:rPr>
        <w:t>תחילת</w:t>
      </w:r>
      <w:r w:rsidRPr="00B97E44">
        <w:rPr>
          <w:b/>
          <w:rtl/>
        </w:rPr>
        <w:t xml:space="preserve"> </w:t>
      </w:r>
      <w:r w:rsidRPr="00B97E44">
        <w:rPr>
          <w:rFonts w:hint="cs"/>
          <w:b/>
          <w:rtl/>
        </w:rPr>
        <w:t>היוזמה</w:t>
      </w:r>
      <w:r w:rsidRPr="00B97E44">
        <w:rPr>
          <w:b/>
          <w:rtl/>
        </w:rPr>
        <w:t xml:space="preserve">, </w:t>
      </w:r>
      <w:r w:rsidRPr="00B97E44">
        <w:rPr>
          <w:rFonts w:hint="cs"/>
          <w:b/>
          <w:rtl/>
        </w:rPr>
        <w:t>פותחה</w:t>
      </w:r>
      <w:r w:rsidRPr="00B97E44">
        <w:rPr>
          <w:b/>
          <w:rtl/>
        </w:rPr>
        <w:t xml:space="preserve"> </w:t>
      </w:r>
      <w:r w:rsidRPr="00B97E44">
        <w:rPr>
          <w:rFonts w:hint="cs"/>
          <w:b/>
          <w:rtl/>
        </w:rPr>
        <w:t>וגובשה</w:t>
      </w:r>
      <w:r w:rsidRPr="00B97E44">
        <w:rPr>
          <w:b/>
          <w:rtl/>
        </w:rPr>
        <w:t xml:space="preserve"> </w:t>
      </w:r>
      <w:r w:rsidRPr="00B97E44">
        <w:rPr>
          <w:rFonts w:hint="cs"/>
          <w:b/>
          <w:rtl/>
        </w:rPr>
        <w:t>תוכנית העבודה</w:t>
      </w:r>
      <w:r w:rsidRPr="00B97E44">
        <w:rPr>
          <w:b/>
          <w:rtl/>
        </w:rPr>
        <w:t xml:space="preserve"> </w:t>
      </w:r>
      <w:r w:rsidRPr="00B97E44">
        <w:rPr>
          <w:rFonts w:hint="cs"/>
          <w:b/>
          <w:rtl/>
        </w:rPr>
        <w:t>בשיתוף</w:t>
      </w:r>
      <w:r w:rsidRPr="00B97E44">
        <w:rPr>
          <w:b/>
          <w:rtl/>
        </w:rPr>
        <w:t xml:space="preserve"> </w:t>
      </w:r>
      <w:r w:rsidRPr="00B97E44">
        <w:rPr>
          <w:rFonts w:hint="cs"/>
          <w:b/>
          <w:rtl/>
        </w:rPr>
        <w:t>כמה גורמים, ובהם</w:t>
      </w:r>
      <w:r w:rsidRPr="00B97E44">
        <w:rPr>
          <w:b/>
          <w:rtl/>
        </w:rPr>
        <w:t xml:space="preserve">: </w:t>
      </w:r>
      <w:r w:rsidRPr="00B97E44">
        <w:rPr>
          <w:rFonts w:hint="cs"/>
          <w:b/>
          <w:rtl/>
        </w:rPr>
        <w:t>הפקולטה</w:t>
      </w:r>
      <w:r w:rsidRPr="00B97E44">
        <w:rPr>
          <w:b/>
          <w:rtl/>
        </w:rPr>
        <w:t xml:space="preserve"> </w:t>
      </w:r>
      <w:r w:rsidRPr="00B97E44">
        <w:rPr>
          <w:rFonts w:hint="cs"/>
          <w:b/>
          <w:rtl/>
        </w:rPr>
        <w:t>לחקלאות</w:t>
      </w:r>
      <w:r w:rsidRPr="00B97E44">
        <w:rPr>
          <w:b/>
          <w:rtl/>
        </w:rPr>
        <w:t xml:space="preserve"> </w:t>
      </w:r>
      <w:r w:rsidRPr="00B97E44">
        <w:rPr>
          <w:rFonts w:hint="cs"/>
          <w:b/>
          <w:rtl/>
        </w:rPr>
        <w:t>ברחובות</w:t>
      </w:r>
      <w:r w:rsidRPr="00B97E44">
        <w:rPr>
          <w:b/>
          <w:rtl/>
        </w:rPr>
        <w:t xml:space="preserve">, </w:t>
      </w:r>
      <w:r w:rsidRPr="00B97E44">
        <w:rPr>
          <w:rFonts w:hint="cs"/>
          <w:b/>
          <w:rtl/>
        </w:rPr>
        <w:t>אשכול</w:t>
      </w:r>
      <w:r w:rsidRPr="00B97E44">
        <w:rPr>
          <w:b/>
          <w:rtl/>
        </w:rPr>
        <w:t xml:space="preserve"> </w:t>
      </w:r>
      <w:r w:rsidRPr="00B97E44">
        <w:rPr>
          <w:rFonts w:hint="cs"/>
          <w:b/>
          <w:rtl/>
        </w:rPr>
        <w:t>נגב</w:t>
      </w:r>
      <w:r w:rsidRPr="00B97E44">
        <w:rPr>
          <w:b/>
          <w:rtl/>
        </w:rPr>
        <w:t xml:space="preserve"> </w:t>
      </w:r>
      <w:r w:rsidRPr="00B97E44">
        <w:rPr>
          <w:rFonts w:hint="cs"/>
          <w:b/>
          <w:rtl/>
        </w:rPr>
        <w:t>מערבי</w:t>
      </w:r>
      <w:r w:rsidRPr="00B97E44">
        <w:rPr>
          <w:b/>
          <w:rtl/>
        </w:rPr>
        <w:t xml:space="preserve">, </w:t>
      </w:r>
      <w:r w:rsidRPr="00B97E44">
        <w:rPr>
          <w:rFonts w:hint="cs"/>
          <w:b/>
          <w:rtl/>
        </w:rPr>
        <w:t>מועצה</w:t>
      </w:r>
      <w:r w:rsidRPr="00B97E44">
        <w:rPr>
          <w:b/>
          <w:rtl/>
        </w:rPr>
        <w:t xml:space="preserve"> </w:t>
      </w:r>
      <w:r w:rsidRPr="00B97E44">
        <w:rPr>
          <w:rFonts w:hint="cs"/>
          <w:b/>
          <w:rtl/>
        </w:rPr>
        <w:t>אזורית מרחבים</w:t>
      </w:r>
      <w:r w:rsidRPr="00B97E44">
        <w:rPr>
          <w:b/>
          <w:rtl/>
        </w:rPr>
        <w:t xml:space="preserve">, </w:t>
      </w:r>
      <w:r w:rsidRPr="00B97E44">
        <w:rPr>
          <w:rFonts w:hint="cs"/>
          <w:b/>
          <w:rtl/>
        </w:rPr>
        <w:t>משרדי</w:t>
      </w:r>
      <w:r w:rsidRPr="00B97E44">
        <w:rPr>
          <w:b/>
          <w:rtl/>
        </w:rPr>
        <w:t xml:space="preserve"> </w:t>
      </w:r>
      <w:r w:rsidRPr="00B97E44">
        <w:rPr>
          <w:rFonts w:hint="cs"/>
          <w:b/>
          <w:rtl/>
        </w:rPr>
        <w:t>הכלכלה</w:t>
      </w:r>
      <w:r w:rsidRPr="00B97E44">
        <w:rPr>
          <w:b/>
          <w:rtl/>
        </w:rPr>
        <w:t xml:space="preserve"> </w:t>
      </w:r>
      <w:r w:rsidRPr="00B97E44">
        <w:rPr>
          <w:rFonts w:hint="cs"/>
          <w:b/>
          <w:rtl/>
        </w:rPr>
        <w:t>והחקלאות</w:t>
      </w:r>
      <w:r w:rsidRPr="00B97E44">
        <w:rPr>
          <w:b/>
          <w:rtl/>
        </w:rPr>
        <w:t xml:space="preserve">, </w:t>
      </w:r>
      <w:r w:rsidRPr="00B97E44">
        <w:rPr>
          <w:rFonts w:hint="cs"/>
          <w:b/>
          <w:rtl/>
        </w:rPr>
        <w:t>יזמים</w:t>
      </w:r>
      <w:r w:rsidRPr="00B97E44">
        <w:rPr>
          <w:b/>
          <w:rtl/>
        </w:rPr>
        <w:t xml:space="preserve"> </w:t>
      </w:r>
      <w:r w:rsidRPr="00B97E44">
        <w:rPr>
          <w:rFonts w:hint="cs"/>
          <w:b/>
          <w:rtl/>
        </w:rPr>
        <w:t>פרטיים</w:t>
      </w:r>
      <w:r w:rsidRPr="00B97E44">
        <w:rPr>
          <w:b/>
          <w:rtl/>
        </w:rPr>
        <w:t xml:space="preserve"> </w:t>
      </w:r>
      <w:r w:rsidRPr="00B97E44">
        <w:rPr>
          <w:rFonts w:hint="cs"/>
          <w:b/>
          <w:rtl/>
        </w:rPr>
        <w:t>ועוד</w:t>
      </w:r>
      <w:r w:rsidRPr="00B97E44">
        <w:rPr>
          <w:rFonts w:ascii="David" w:hAnsi="David"/>
          <w:bCs/>
          <w:sz w:val="24"/>
          <w:szCs w:val="32"/>
        </w:rPr>
        <w:t>.</w:t>
      </w:r>
      <w:r>
        <w:rPr>
          <w:rFonts w:ascii="David" w:hAnsi="David"/>
          <w:bCs/>
          <w:sz w:val="24"/>
          <w:szCs w:val="32"/>
          <w:vertAlign w:val="superscript"/>
        </w:rPr>
        <w:footnoteReference w:id="160"/>
      </w:r>
    </w:p>
    <w:p w:rsidR="005B126E" w:rsidP="001916A9">
      <w:pPr>
        <w:spacing w:line="269" w:lineRule="auto"/>
        <w:rPr>
          <w:b/>
          <w:rtl/>
        </w:rPr>
      </w:pPr>
    </w:p>
    <w:p w:rsidR="005B126E" w:rsidRPr="00B97E44" w:rsidP="001916A9">
      <w:pPr>
        <w:spacing w:line="269" w:lineRule="auto"/>
        <w:rPr>
          <w:b/>
          <w:rtl/>
        </w:rPr>
      </w:pPr>
      <w:r w:rsidRPr="00B97E44">
        <w:rPr>
          <w:rFonts w:hint="cs"/>
          <w:b/>
          <w:rtl/>
        </w:rPr>
        <w:t xml:space="preserve">משרד הבינוי והשיכון, תנועת אור ועיריית </w:t>
      </w:r>
      <w:r w:rsidRPr="00B97E44">
        <w:rPr>
          <w:rFonts w:hint="cs"/>
          <w:bCs/>
          <w:rtl/>
        </w:rPr>
        <w:t>אופקים</w:t>
      </w:r>
      <w:r w:rsidRPr="00B97E44">
        <w:rPr>
          <w:rFonts w:hint="cs"/>
          <w:b/>
          <w:rtl/>
        </w:rPr>
        <w:t xml:space="preserve"> מיפו בתוכנית האסטרטגית שגיבשו את מרחב </w:t>
      </w:r>
      <w:r w:rsidRPr="00B97E44">
        <w:rPr>
          <w:rFonts w:hint="cs"/>
          <w:b/>
          <w:rtl/>
        </w:rPr>
        <w:t>האגרו</w:t>
      </w:r>
      <w:r w:rsidRPr="00B97E44">
        <w:rPr>
          <w:rFonts w:hint="cs"/>
          <w:b/>
          <w:rtl/>
        </w:rPr>
        <w:t xml:space="preserve">-טק בנגב המערבי, כמוצג במפה 4 </w:t>
      </w:r>
      <w:r w:rsidR="00AC7655">
        <w:rPr>
          <w:rFonts w:hint="cs"/>
          <w:b/>
          <w:rtl/>
        </w:rPr>
        <w:t>ש</w:t>
      </w:r>
      <w:r w:rsidRPr="00B97E44">
        <w:rPr>
          <w:rFonts w:hint="cs"/>
          <w:b/>
          <w:rtl/>
        </w:rPr>
        <w:t>להלן:</w:t>
      </w:r>
    </w:p>
    <w:p w:rsidR="005B126E" w:rsidP="001916A9">
      <w:pPr>
        <w:spacing w:line="269" w:lineRule="auto"/>
        <w:jc w:val="center"/>
        <w:rPr>
          <w:noProof/>
          <w:rtl/>
        </w:rPr>
      </w:pPr>
    </w:p>
    <w:p w:rsidR="005B126E" w:rsidRPr="00B97E44" w:rsidP="001916A9">
      <w:pPr>
        <w:spacing w:line="269" w:lineRule="auto"/>
        <w:jc w:val="center"/>
        <w:rPr>
          <w:noProof/>
          <w:rtl/>
        </w:rPr>
      </w:pPr>
      <w:r w:rsidRPr="00B97E44">
        <w:rPr>
          <w:noProof/>
        </w:rPr>
        <w:drawing>
          <wp:anchor distT="0" distB="0" distL="114300" distR="114300" simplePos="0" relativeHeight="251660288" behindDoc="0" locked="0" layoutInCell="1" allowOverlap="1">
            <wp:simplePos x="0" y="0"/>
            <wp:positionH relativeFrom="margin">
              <wp:align>center</wp:align>
            </wp:positionH>
            <wp:positionV relativeFrom="paragraph">
              <wp:posOffset>196215</wp:posOffset>
            </wp:positionV>
            <wp:extent cx="4480560" cy="3084195"/>
            <wp:effectExtent l="0" t="0" r="0" b="1905"/>
            <wp:wrapTopAndBottom/>
            <wp:docPr id="6" name="תמונה 6" descr="תמונה המציג את השחקנים המרכזים במרחב האגרו טק בנגב המערב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image.png"/>
                    <pic:cNvPicPr>
                      <a:picLocks noChangeAspect="1" noChangeArrowheads="1"/>
                    </pic:cNvPicPr>
                  </pic:nvPicPr>
                  <pic:blipFill>
                    <a:blip xmlns:r="http://schemas.openxmlformats.org/officeDocument/2006/relationships" r:embed="rId45" r:link="rId46">
                      <a:extLst>
                        <a:ext xmlns:a="http://schemas.openxmlformats.org/drawingml/2006/main" uri="{28A0092B-C50C-407E-A947-70E740481C1C}">
                          <a14:useLocalDpi xmlns:a14="http://schemas.microsoft.com/office/drawing/2010/main" val="0"/>
                        </a:ext>
                      </a:extLst>
                    </a:blip>
                    <a:srcRect t="13780"/>
                    <a:stretch>
                      <a:fillRect/>
                    </a:stretch>
                  </pic:blipFill>
                  <pic:spPr bwMode="auto">
                    <a:xfrm>
                      <a:off x="0" y="0"/>
                      <a:ext cx="4480560" cy="308419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V relativeFrom="margin">
              <wp14:pctHeight>0</wp14:pctHeight>
            </wp14:sizeRelV>
          </wp:anchor>
        </w:drawing>
      </w:r>
      <w:r w:rsidRPr="00B97E44">
        <w:rPr>
          <w:rFonts w:hint="cs"/>
          <w:noProof/>
          <w:rtl/>
        </w:rPr>
        <w:t xml:space="preserve">מפה 4: </w:t>
      </w:r>
      <w:r w:rsidRPr="00B97E44">
        <w:rPr>
          <w:rFonts w:hint="cs"/>
          <w:b/>
          <w:bCs/>
          <w:noProof/>
          <w:rtl/>
        </w:rPr>
        <w:t>מיפוי מרחב האגרו-טק בנגב המערבי</w:t>
      </w:r>
    </w:p>
    <w:p w:rsidR="005B126E" w:rsidRPr="00B97E44" w:rsidP="001916A9">
      <w:pPr>
        <w:spacing w:line="269" w:lineRule="auto"/>
        <w:jc w:val="left"/>
        <w:rPr>
          <w:b/>
          <w:szCs w:val="20"/>
          <w:rtl/>
        </w:rPr>
      </w:pPr>
      <w:r w:rsidRPr="00B97E44">
        <w:rPr>
          <w:rFonts w:hint="cs"/>
          <w:b/>
          <w:szCs w:val="20"/>
          <w:rtl/>
        </w:rPr>
        <w:t xml:space="preserve">המקור: </w:t>
      </w:r>
      <w:r w:rsidRPr="00B97E44">
        <w:rPr>
          <w:rFonts w:hint="cs"/>
          <w:szCs w:val="20"/>
          <w:rtl/>
        </w:rPr>
        <w:t xml:space="preserve">משרד הבינוי והשיכון, תנועת אור ועיריית אופקים, </w:t>
      </w:r>
      <w:r w:rsidRPr="00B97E44">
        <w:rPr>
          <w:rFonts w:hint="cs"/>
          <w:szCs w:val="20"/>
          <w:rtl/>
        </w:rPr>
        <w:t>קלאסטר</w:t>
      </w:r>
      <w:r w:rsidRPr="00B97E44">
        <w:rPr>
          <w:rFonts w:hint="cs"/>
          <w:szCs w:val="20"/>
          <w:rtl/>
        </w:rPr>
        <w:t xml:space="preserve"> תעשיות אגרו-טק באופקים ובנגב המערבי - תקציר המתווה האסטרטגי לפיתוח</w:t>
      </w:r>
      <w:r w:rsidRPr="00B97E44">
        <w:rPr>
          <w:rFonts w:hint="cs"/>
          <w:b/>
          <w:szCs w:val="20"/>
          <w:rtl/>
        </w:rPr>
        <w:t>.</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פיתוח וגיבוש התוכנית האסטרטגית לקידום תעשיית </w:t>
      </w:r>
      <w:r w:rsidRPr="00B97E44">
        <w:rPr>
          <w:rFonts w:hint="cs"/>
          <w:rtl/>
        </w:rPr>
        <w:t>האגרו</w:t>
      </w:r>
      <w:r w:rsidRPr="00B97E44">
        <w:rPr>
          <w:rFonts w:hint="cs"/>
          <w:rtl/>
        </w:rPr>
        <w:t>-טק ב</w:t>
      </w:r>
      <w:r w:rsidRPr="00B97E44">
        <w:rPr>
          <w:rFonts w:hint="eastAsia"/>
          <w:b/>
          <w:bCs/>
          <w:rtl/>
        </w:rPr>
        <w:t>אופקים</w:t>
      </w:r>
      <w:r w:rsidRPr="00B97E44">
        <w:rPr>
          <w:rFonts w:hint="cs"/>
          <w:rtl/>
        </w:rPr>
        <w:t xml:space="preserve"> בשיתוף פעולה עם משרדי ממשלה</w:t>
      </w:r>
      <w:r>
        <w:rPr>
          <w:vertAlign w:val="superscript"/>
          <w:rtl/>
        </w:rPr>
        <w:footnoteReference w:id="161"/>
      </w:r>
      <w:r w:rsidRPr="00B97E44">
        <w:rPr>
          <w:rFonts w:hint="cs"/>
          <w:rtl/>
        </w:rPr>
        <w:t xml:space="preserve"> ועם גורמים מהאקדמיה, התעשייה, קרנות ויזמים, הובילו את העירייה לבנות ולפתח עוגני תעשייה ואגרו-טק, למשל: מרכז חדשנות, מתחם לייצור תעשייתי זעיר</w:t>
      </w:r>
      <w:r w:rsidRPr="00AB6523">
        <w:rPr>
          <w:rFonts w:hint="cs"/>
          <w:rtl/>
        </w:rPr>
        <w:t xml:space="preserve">, </w:t>
      </w:r>
      <w:r w:rsidRPr="00AB6523">
        <w:rPr>
          <w:rFonts w:hint="eastAsia"/>
          <w:rtl/>
        </w:rPr>
        <w:t>אגרו</w:t>
      </w:r>
      <w:r w:rsidRPr="00AB6523">
        <w:rPr>
          <w:rtl/>
        </w:rPr>
        <w:t>-</w:t>
      </w:r>
      <w:r w:rsidRPr="00AB6523">
        <w:rPr>
          <w:rFonts w:hint="eastAsia"/>
          <w:rtl/>
        </w:rPr>
        <w:t>קמפוס</w:t>
      </w:r>
      <w:r w:rsidRPr="00AB6523">
        <w:rPr>
          <w:rtl/>
        </w:rPr>
        <w:t>,</w:t>
      </w:r>
      <w:r w:rsidRPr="00AB6523">
        <w:rPr>
          <w:rFonts w:hint="cs"/>
          <w:rtl/>
        </w:rPr>
        <w:t xml:space="preserve"> אזור תעשייה המותאם לתעשיית </w:t>
      </w:r>
      <w:r w:rsidRPr="00AB6523">
        <w:rPr>
          <w:rFonts w:hint="cs"/>
          <w:rtl/>
        </w:rPr>
        <w:t>האגרו</w:t>
      </w:r>
      <w:r w:rsidRPr="00AB6523">
        <w:rPr>
          <w:rFonts w:hint="cs"/>
          <w:rtl/>
        </w:rPr>
        <w:t xml:space="preserve">-טק, מתחמי הדגמה, ניסויים ומו"פ, וכן, מתוך מחשבה על יצירת עתודה מקצועית - הטמעה של תחום </w:t>
      </w:r>
      <w:r w:rsidRPr="00AB6523">
        <w:rPr>
          <w:rFonts w:hint="cs"/>
          <w:rtl/>
        </w:rPr>
        <w:t>האגרו</w:t>
      </w:r>
      <w:r w:rsidRPr="00AB6523">
        <w:rPr>
          <w:rFonts w:hint="cs"/>
          <w:rtl/>
        </w:rPr>
        <w:t xml:space="preserve">-טק במערכת החינוך בעיר ובהקמת </w:t>
      </w:r>
      <w:r w:rsidRPr="00AB6523">
        <w:rPr>
          <w:rtl/>
        </w:rPr>
        <w:t>אגרו</w:t>
      </w:r>
      <w:r w:rsidRPr="00AB6523">
        <w:rPr>
          <w:rFonts w:hint="cs"/>
          <w:rtl/>
        </w:rPr>
        <w:t>-</w:t>
      </w:r>
      <w:r w:rsidRPr="00AB6523">
        <w:rPr>
          <w:rtl/>
        </w:rPr>
        <w:t>קמפוס</w:t>
      </w:r>
      <w:r w:rsidRPr="00AB6523">
        <w:rPr>
          <w:rFonts w:hint="cs"/>
          <w:rtl/>
        </w:rPr>
        <w:t xml:space="preserve"> בשיתוף הפקולטה לחקלאות ברחובות.</w:t>
      </w:r>
      <w:r w:rsidRPr="00B97E44">
        <w:rPr>
          <w:rFonts w:hint="cs"/>
          <w:rtl/>
        </w:rPr>
        <w:t xml:space="preserve"> </w:t>
      </w:r>
    </w:p>
    <w:p w:rsidR="005B126E" w:rsidP="001916A9">
      <w:pPr>
        <w:spacing w:line="269" w:lineRule="auto"/>
        <w:rPr>
          <w:b/>
          <w:bCs/>
          <w:rtl/>
        </w:rPr>
      </w:pPr>
    </w:p>
    <w:p w:rsidR="005B126E" w:rsidRPr="00B97E44" w:rsidP="001916A9">
      <w:pPr>
        <w:spacing w:line="269" w:lineRule="auto"/>
        <w:rPr>
          <w:b/>
          <w:bCs/>
          <w:rtl/>
        </w:rPr>
      </w:pPr>
      <w:r w:rsidRPr="00B97E44">
        <w:rPr>
          <w:rFonts w:hint="eastAsia"/>
          <w:b/>
          <w:bCs/>
          <w:rtl/>
        </w:rPr>
        <w:t>עם</w:t>
      </w:r>
      <w:r w:rsidRPr="00B97E44">
        <w:rPr>
          <w:b/>
          <w:bCs/>
          <w:rtl/>
        </w:rPr>
        <w:t xml:space="preserve"> גיבוש תוכנית החומש זיהתה </w:t>
      </w:r>
      <w:r w:rsidRPr="00B97E44">
        <w:rPr>
          <w:rFonts w:hint="eastAsia"/>
          <w:b/>
          <w:bCs/>
          <w:rtl/>
        </w:rPr>
        <w:t>מינהלת</w:t>
      </w:r>
      <w:r w:rsidRPr="00B97E44">
        <w:rPr>
          <w:b/>
          <w:bCs/>
          <w:rtl/>
        </w:rPr>
        <w:t xml:space="preserve"> תקומה גם היא הזדמנות לפתח </w:t>
      </w:r>
      <w:r w:rsidRPr="00B97E44">
        <w:rPr>
          <w:rFonts w:hint="eastAsia"/>
          <w:b/>
          <w:bCs/>
          <w:rtl/>
        </w:rPr>
        <w:t>קלאסטר</w:t>
      </w:r>
      <w:r w:rsidRPr="00B97E44">
        <w:rPr>
          <w:b/>
          <w:bCs/>
          <w:rtl/>
        </w:rPr>
        <w:t xml:space="preserve"> חדשנות בתחום </w:t>
      </w:r>
      <w:r w:rsidRPr="00B97E44">
        <w:rPr>
          <w:rFonts w:hint="eastAsia"/>
          <w:b/>
          <w:bCs/>
          <w:rtl/>
        </w:rPr>
        <w:t>האגרו</w:t>
      </w:r>
      <w:r w:rsidRPr="00B97E44">
        <w:rPr>
          <w:b/>
          <w:bCs/>
          <w:rtl/>
        </w:rPr>
        <w:t xml:space="preserve">-טק בתחומי החבל מתוך תפיסה שהוא יהיה קטר לחדשנות ועוגן כלכלי לחבל באמצעות יצירת מנועי צמיחה שיביאו לעצמאות כלכלית ברמת הפרט, היישוב והמועצה ומתוך ראייה של תחום </w:t>
      </w:r>
      <w:r w:rsidRPr="00B97E44">
        <w:rPr>
          <w:rFonts w:hint="eastAsia"/>
          <w:b/>
          <w:bCs/>
          <w:rtl/>
        </w:rPr>
        <w:t>האגרו</w:t>
      </w:r>
      <w:r w:rsidRPr="00B97E44">
        <w:rPr>
          <w:b/>
          <w:bCs/>
          <w:rtl/>
        </w:rPr>
        <w:t xml:space="preserve">-טק כמנוע צמיחה ומקור תעסוקה בשכר גבוה. </w:t>
      </w:r>
      <w:bookmarkStart w:id="72" w:name="_Hlk202808906"/>
      <w:r w:rsidRPr="00B97E44">
        <w:rPr>
          <w:rFonts w:hint="eastAsia"/>
          <w:b/>
          <w:bCs/>
          <w:rtl/>
        </w:rPr>
        <w:t>ביולי</w:t>
      </w:r>
      <w:r w:rsidRPr="00B97E44">
        <w:rPr>
          <w:b/>
          <w:bCs/>
          <w:rtl/>
        </w:rPr>
        <w:t xml:space="preserve"> 2024 מסרה </w:t>
      </w:r>
      <w:r w:rsidRPr="00B97E44">
        <w:rPr>
          <w:rFonts w:hint="eastAsia"/>
          <w:b/>
          <w:bCs/>
          <w:rtl/>
        </w:rPr>
        <w:t>מינהלת</w:t>
      </w:r>
      <w:r w:rsidRPr="00B97E44">
        <w:rPr>
          <w:b/>
          <w:bCs/>
          <w:rtl/>
        </w:rPr>
        <w:t xml:space="preserve"> תקומה לצוות הביקורת כי היא הקצתה לפיתוח התחום כ-200 מיליו</w:t>
      </w:r>
      <w:r>
        <w:rPr>
          <w:rFonts w:hint="cs"/>
          <w:b/>
          <w:bCs/>
          <w:rtl/>
        </w:rPr>
        <w:t>ני</w:t>
      </w:r>
      <w:r w:rsidRPr="00B97E44">
        <w:rPr>
          <w:b/>
          <w:bCs/>
          <w:rtl/>
        </w:rPr>
        <w:t xml:space="preserve"> ש"ח, 66 מיליו</w:t>
      </w:r>
      <w:r>
        <w:rPr>
          <w:rFonts w:hint="cs"/>
          <w:b/>
          <w:bCs/>
          <w:rtl/>
        </w:rPr>
        <w:t>ני</w:t>
      </w:r>
      <w:r w:rsidRPr="00B97E44">
        <w:rPr>
          <w:b/>
          <w:bCs/>
          <w:rtl/>
        </w:rPr>
        <w:t xml:space="preserve"> ש"ח מהם היו אמורים לממש כבר במהלך 2024. </w:t>
      </w:r>
      <w:r w:rsidRPr="00B97E44">
        <w:rPr>
          <w:rFonts w:hint="eastAsia"/>
          <w:b/>
          <w:bCs/>
          <w:rtl/>
        </w:rPr>
        <w:t>עם</w:t>
      </w:r>
      <w:r w:rsidRPr="00B97E44">
        <w:rPr>
          <w:b/>
          <w:bCs/>
          <w:rtl/>
        </w:rPr>
        <w:t xml:space="preserve"> זאת, </w:t>
      </w:r>
      <w:r w:rsidRPr="00B97E44">
        <w:rPr>
          <w:rFonts w:hint="eastAsia"/>
          <w:b/>
          <w:bCs/>
          <w:rtl/>
        </w:rPr>
        <w:t>בנתוני</w:t>
      </w:r>
      <w:r w:rsidRPr="00B97E44">
        <w:rPr>
          <w:b/>
          <w:bCs/>
          <w:rtl/>
        </w:rPr>
        <w:t xml:space="preserve"> ההוצאות של 2024 - 2025 נמצא כי </w:t>
      </w:r>
      <w:r w:rsidRPr="00B97E44">
        <w:rPr>
          <w:rFonts w:hint="eastAsia"/>
          <w:b/>
          <w:bCs/>
          <w:rtl/>
        </w:rPr>
        <w:t>מינהלת</w:t>
      </w:r>
      <w:r w:rsidRPr="00B97E44">
        <w:rPr>
          <w:b/>
          <w:bCs/>
          <w:rtl/>
        </w:rPr>
        <w:t xml:space="preserve"> תקומה הקצתה כ-50 מיליוני ש"ח לנושא (מהם מומשו נכון למאי 2025 כ-4% </w:t>
      </w:r>
      <w:r w:rsidRPr="00B97E44">
        <w:rPr>
          <w:rFonts w:hint="eastAsia"/>
          <w:b/>
          <w:bCs/>
          <w:rtl/>
        </w:rPr>
        <w:t>בלבד</w:t>
      </w:r>
      <w:r w:rsidRPr="00B97E44">
        <w:rPr>
          <w:b/>
          <w:bCs/>
          <w:rtl/>
        </w:rPr>
        <w:t>).</w:t>
      </w:r>
      <w:bookmarkEnd w:id="72"/>
    </w:p>
    <w:p w:rsidR="005B126E" w:rsidP="001916A9">
      <w:pPr>
        <w:autoSpaceDE w:val="0"/>
        <w:autoSpaceDN w:val="0"/>
        <w:adjustRightInd w:val="0"/>
        <w:spacing w:line="269" w:lineRule="auto"/>
        <w:rPr>
          <w:rtl/>
        </w:rPr>
      </w:pPr>
    </w:p>
    <w:p w:rsidR="005B126E" w:rsidP="001916A9">
      <w:pPr>
        <w:autoSpaceDE w:val="0"/>
        <w:autoSpaceDN w:val="0"/>
        <w:adjustRightInd w:val="0"/>
        <w:spacing w:line="269" w:lineRule="auto"/>
        <w:rPr>
          <w:rtl/>
        </w:rPr>
      </w:pPr>
      <w:r w:rsidRPr="00B97E44">
        <w:rPr>
          <w:rFonts w:hint="cs"/>
          <w:rtl/>
        </w:rPr>
        <w:t xml:space="preserve">מינהלת תקומה מסרה בתשובתה כי במסגרת תוכנית החומש המעודכנת התקציב הרב-שנתי שהוקצה לטובת </w:t>
      </w:r>
      <w:r w:rsidRPr="00B97E44">
        <w:rPr>
          <w:rFonts w:hint="cs"/>
          <w:rtl/>
        </w:rPr>
        <w:t>האגרו</w:t>
      </w:r>
      <w:r w:rsidRPr="00B97E44">
        <w:rPr>
          <w:rFonts w:hint="cs"/>
          <w:rtl/>
        </w:rPr>
        <w:t>-טק הופחת ועומד על כ-158 מיליו</w:t>
      </w:r>
      <w:r>
        <w:rPr>
          <w:rFonts w:hint="cs"/>
          <w:rtl/>
        </w:rPr>
        <w:t>ני</w:t>
      </w:r>
      <w:r w:rsidRPr="00B97E44">
        <w:rPr>
          <w:rFonts w:hint="cs"/>
          <w:rtl/>
        </w:rPr>
        <w:t xml:space="preserve"> ש"ח. </w:t>
      </w:r>
      <w:r w:rsidRPr="00B97E44">
        <w:rPr>
          <w:rFonts w:ascii="David" w:hAnsi="David"/>
          <w:sz w:val="24"/>
          <w:rtl/>
        </w:rPr>
        <w:t>בפועל חויבו 54.5 מ</w:t>
      </w:r>
      <w:r w:rsidRPr="00B97E44">
        <w:rPr>
          <w:rFonts w:ascii="David" w:hAnsi="David" w:hint="cs"/>
          <w:sz w:val="24"/>
          <w:rtl/>
        </w:rPr>
        <w:t>יליו</w:t>
      </w:r>
      <w:r>
        <w:rPr>
          <w:rFonts w:ascii="David" w:hAnsi="David" w:hint="cs"/>
          <w:sz w:val="24"/>
          <w:rtl/>
        </w:rPr>
        <w:t>ני</w:t>
      </w:r>
      <w:r w:rsidRPr="00B97E44">
        <w:rPr>
          <w:rFonts w:ascii="David" w:hAnsi="David" w:hint="cs"/>
          <w:sz w:val="24"/>
          <w:rtl/>
        </w:rPr>
        <w:t xml:space="preserve"> ש"ח</w:t>
      </w:r>
      <w:r w:rsidRPr="00B97E44">
        <w:rPr>
          <w:rFonts w:ascii="David" w:hAnsi="David"/>
          <w:sz w:val="24"/>
          <w:rtl/>
        </w:rPr>
        <w:t>. מימוש המזומן</w:t>
      </w:r>
      <w:r w:rsidRPr="00B97E44">
        <w:rPr>
          <w:rFonts w:ascii="David" w:hAnsi="David" w:hint="cs"/>
          <w:sz w:val="24"/>
          <w:rtl/>
        </w:rPr>
        <w:t xml:space="preserve"> </w:t>
      </w:r>
      <w:r w:rsidRPr="00B97E44">
        <w:rPr>
          <w:rFonts w:ascii="David" w:hAnsi="David"/>
          <w:sz w:val="24"/>
          <w:rtl/>
        </w:rPr>
        <w:t>מתוך התחייבויות אלו עומד כיום על 3.5 מ</w:t>
      </w:r>
      <w:r w:rsidRPr="00B97E44">
        <w:rPr>
          <w:rFonts w:ascii="David" w:hAnsi="David" w:hint="cs"/>
          <w:sz w:val="24"/>
          <w:rtl/>
        </w:rPr>
        <w:t>יליו</w:t>
      </w:r>
      <w:r>
        <w:rPr>
          <w:rFonts w:ascii="David" w:hAnsi="David" w:hint="cs"/>
          <w:sz w:val="24"/>
          <w:rtl/>
        </w:rPr>
        <w:t>ני</w:t>
      </w:r>
      <w:r w:rsidRPr="00B97E44">
        <w:rPr>
          <w:rFonts w:ascii="David" w:hAnsi="David" w:hint="cs"/>
          <w:sz w:val="24"/>
          <w:rtl/>
        </w:rPr>
        <w:t xml:space="preserve"> ש"ח</w:t>
      </w:r>
      <w:r w:rsidRPr="00B97E44">
        <w:rPr>
          <w:rFonts w:ascii="David" w:hAnsi="David"/>
          <w:sz w:val="24"/>
          <w:rtl/>
        </w:rPr>
        <w:t>.</w:t>
      </w:r>
      <w:r w:rsidRPr="00B97E44">
        <w:rPr>
          <w:rFonts w:ascii="David" w:hAnsi="David" w:hint="cs"/>
          <w:sz w:val="24"/>
          <w:rtl/>
        </w:rPr>
        <w:t xml:space="preserve"> </w:t>
      </w:r>
      <w:r w:rsidRPr="00B97E44">
        <w:rPr>
          <w:rFonts w:ascii="David" w:hAnsi="David" w:hint="cs"/>
          <w:sz w:val="24"/>
          <w:rtl/>
        </w:rPr>
        <w:t>המינהלת</w:t>
      </w:r>
      <w:r w:rsidRPr="00B97E44">
        <w:rPr>
          <w:rFonts w:ascii="David" w:hAnsi="David" w:hint="cs"/>
          <w:sz w:val="24"/>
          <w:rtl/>
        </w:rPr>
        <w:t xml:space="preserve"> הדגישה</w:t>
      </w:r>
      <w:r w:rsidRPr="00B97E44">
        <w:rPr>
          <w:rFonts w:ascii="David" w:hAnsi="David"/>
          <w:sz w:val="24"/>
          <w:rtl/>
        </w:rPr>
        <w:t xml:space="preserve"> כי מדובר בתהליכים מורכבים אשר באופן</w:t>
      </w:r>
      <w:r w:rsidRPr="00B97E44">
        <w:rPr>
          <w:rFonts w:ascii="David" w:hAnsi="David" w:hint="cs"/>
          <w:sz w:val="24"/>
          <w:rtl/>
        </w:rPr>
        <w:t xml:space="preserve"> </w:t>
      </w:r>
      <w:r w:rsidRPr="00B97E44">
        <w:rPr>
          <w:rFonts w:ascii="David" w:hAnsi="David"/>
          <w:sz w:val="24"/>
          <w:rtl/>
        </w:rPr>
        <w:t>טבעי זמן ההבשלה שלהם הוא ארוך</w:t>
      </w:r>
      <w:r w:rsidRPr="00B97E44">
        <w:rPr>
          <w:rFonts w:ascii="David" w:hAnsi="David"/>
          <w:sz w:val="24"/>
        </w:rPr>
        <w:t>.</w:t>
      </w:r>
    </w:p>
    <w:p w:rsidR="005B126E" w:rsidRPr="00B97E44" w:rsidP="001916A9">
      <w:pPr>
        <w:autoSpaceDE w:val="0"/>
        <w:autoSpaceDN w:val="0"/>
        <w:adjustRightInd w:val="0"/>
        <w:spacing w:line="269" w:lineRule="auto"/>
        <w:rPr>
          <w:rtl/>
        </w:rPr>
      </w:pPr>
    </w:p>
    <w:p w:rsidR="005B126E" w:rsidRPr="00B97E44" w:rsidP="001916A9">
      <w:pPr>
        <w:spacing w:line="269" w:lineRule="auto"/>
        <w:rPr>
          <w:rtl/>
        </w:rPr>
      </w:pPr>
      <w:r w:rsidRPr="00B97E44">
        <w:rPr>
          <w:rFonts w:hint="cs"/>
          <w:rtl/>
        </w:rPr>
        <w:t xml:space="preserve">החיוניות בשיתוף פעולה אזורי לטובת הגברת הגירה לאזור ולפריון כלכלי גבוה עלתה גם בפרסום של המועצה הלאומית לכלכלה מאפריל 2018 בנושא פיתוח כלכלי בראייה </w:t>
      </w:r>
      <w:r w:rsidRPr="00B97E44">
        <w:rPr>
          <w:rFonts w:hint="cs"/>
          <w:rtl/>
        </w:rPr>
        <w:t>המטרופולינית</w:t>
      </w:r>
      <w:r>
        <w:rPr>
          <w:vertAlign w:val="superscript"/>
          <w:rtl/>
        </w:rPr>
        <w:footnoteReference w:id="162"/>
      </w:r>
      <w:r w:rsidRPr="00B97E44">
        <w:rPr>
          <w:rFonts w:hint="cs"/>
          <w:rtl/>
        </w:rPr>
        <w:t xml:space="preserve">. לפי הפרסום </w:t>
      </w:r>
      <w:r w:rsidRPr="00B97E44">
        <w:rPr>
          <w:rtl/>
        </w:rPr>
        <w:t xml:space="preserve">הגורמים המרכזיים </w:t>
      </w:r>
      <w:r w:rsidRPr="00B97E44">
        <w:rPr>
          <w:rFonts w:hint="cs"/>
          <w:rtl/>
        </w:rPr>
        <w:t xml:space="preserve">להגברת ההגירה לאזור ולפריון כלכלי גבוה הם בין השאר, </w:t>
      </w:r>
      <w:r w:rsidRPr="00B97E44">
        <w:rPr>
          <w:rtl/>
        </w:rPr>
        <w:t>מסה קריטית של תשתיות שנדרשות למספר רב של עסקים</w:t>
      </w:r>
      <w:r w:rsidRPr="00B97E44">
        <w:rPr>
          <w:rFonts w:hint="cs"/>
          <w:rtl/>
        </w:rPr>
        <w:t xml:space="preserve"> ו</w:t>
      </w:r>
      <w:r w:rsidRPr="00B97E44">
        <w:rPr>
          <w:rtl/>
        </w:rPr>
        <w:t xml:space="preserve">למידה הדדית של עסקים באותו ענף בנוגע לשיטות </w:t>
      </w:r>
      <w:r w:rsidRPr="00B97E44">
        <w:rPr>
          <w:rFonts w:hint="cs"/>
          <w:rtl/>
        </w:rPr>
        <w:t>יי</w:t>
      </w:r>
      <w:r w:rsidRPr="00B97E44">
        <w:rPr>
          <w:rtl/>
        </w:rPr>
        <w:t>צור ופעולה מיטביות</w:t>
      </w:r>
      <w:r w:rsidRPr="00B97E44">
        <w:rPr>
          <w:rFonts w:hint="cs"/>
          <w:rtl/>
        </w:rPr>
        <w:t xml:space="preserve">. על פי </w:t>
      </w:r>
      <w:r w:rsidRPr="00B97E44">
        <w:rPr>
          <w:rFonts w:hint="eastAsia"/>
          <w:rtl/>
        </w:rPr>
        <w:t>הפרסום</w:t>
      </w:r>
      <w:r w:rsidRPr="00B97E44">
        <w:rPr>
          <w:rFonts w:hint="cs"/>
          <w:rtl/>
        </w:rPr>
        <w:t xml:space="preserve">, </w:t>
      </w:r>
      <w:r w:rsidRPr="00B97E44">
        <w:rPr>
          <w:rtl/>
        </w:rPr>
        <w:t xml:space="preserve">גידול במספר העסקים בכל תחום מגדיל את רמת התחרות ומאפשר עלייה בפריון </w:t>
      </w:r>
      <w:r w:rsidRPr="00B97E44">
        <w:rPr>
          <w:rFonts w:hint="cs"/>
          <w:rtl/>
        </w:rPr>
        <w:t xml:space="preserve">כלכלי </w:t>
      </w:r>
      <w:r w:rsidRPr="00B97E44">
        <w:rPr>
          <w:rtl/>
        </w:rPr>
        <w:t>במגזרים מקומיים</w:t>
      </w:r>
      <w:r w:rsidRPr="00B97E44">
        <w:rPr>
          <w:rFonts w:hint="cs"/>
          <w:rtl/>
        </w:rPr>
        <w:t xml:space="preserve">. </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גם על פי התוכנית האסטרטגית של </w:t>
      </w:r>
      <w:r w:rsidRPr="00B97E44">
        <w:rPr>
          <w:rFonts w:hint="cs"/>
          <w:rtl/>
        </w:rPr>
        <w:t>מינהל</w:t>
      </w:r>
      <w:r w:rsidRPr="00B97E44">
        <w:rPr>
          <w:rFonts w:hint="cs"/>
          <w:rtl/>
        </w:rPr>
        <w:t xml:space="preserve"> התכנון דווקא באזורים פריפריאליים יש אפשרות למנף הזדמנויות בשיתופי פעולה על-אזוריים בתחומי תשתיות, תיירות וסביבה הטמונות בחדשנות טכנולוגית שיכולים לסייע להתגבר על אתגרים כגון מרחקי נסיעה ודלילות אוכלוסייה, ליצור מרחב חדש של הזדמנויות ולשפר את הספקת השירותים. </w:t>
      </w:r>
    </w:p>
    <w:p w:rsidR="005B126E" w:rsidP="001916A9">
      <w:pPr>
        <w:spacing w:line="269" w:lineRule="auto"/>
        <w:rPr>
          <w:b/>
          <w:bCs/>
          <w:rtl/>
        </w:rPr>
      </w:pPr>
      <w:bookmarkStart w:id="73" w:name="_Hlk207636912"/>
    </w:p>
    <w:p w:rsidR="005B126E" w:rsidRPr="00B97E44" w:rsidP="001916A9">
      <w:pPr>
        <w:spacing w:line="269" w:lineRule="auto"/>
        <w:rPr>
          <w:b/>
          <w:bCs/>
          <w:rtl/>
        </w:rPr>
      </w:pPr>
      <w:r w:rsidRPr="00B97E44">
        <w:rPr>
          <w:rFonts w:hint="cs"/>
          <w:b/>
          <w:bCs/>
          <w:rtl/>
        </w:rPr>
        <w:t xml:space="preserve">בביקורת נמצא כי תוכנית החומש של מינהלת תקומה לפיתוח </w:t>
      </w:r>
      <w:r w:rsidRPr="00B97E44">
        <w:rPr>
          <w:rFonts w:hint="cs"/>
          <w:b/>
          <w:bCs/>
          <w:rtl/>
        </w:rPr>
        <w:t>קלאסטר</w:t>
      </w:r>
      <w:r w:rsidRPr="00B97E44">
        <w:rPr>
          <w:rFonts w:hint="cs"/>
          <w:b/>
          <w:bCs/>
          <w:rtl/>
        </w:rPr>
        <w:t xml:space="preserve"> בתחום </w:t>
      </w:r>
      <w:r w:rsidRPr="00B97E44">
        <w:rPr>
          <w:rFonts w:hint="cs"/>
          <w:b/>
          <w:bCs/>
          <w:rtl/>
        </w:rPr>
        <w:t>האגרו</w:t>
      </w:r>
      <w:r w:rsidRPr="00B97E44">
        <w:rPr>
          <w:rFonts w:hint="cs"/>
          <w:b/>
          <w:bCs/>
          <w:rtl/>
        </w:rPr>
        <w:t xml:space="preserve">-טק גובשה בלי שהתקיים שיח ותיאום עם הגורמים המובילים מטעם עיריית אופקים, וממילא לא נבחן הצורך בפיתוח </w:t>
      </w:r>
      <w:r w:rsidRPr="00B97E44">
        <w:rPr>
          <w:rFonts w:hint="cs"/>
          <w:b/>
          <w:bCs/>
          <w:rtl/>
        </w:rPr>
        <w:t>קלאסטר</w:t>
      </w:r>
      <w:r w:rsidRPr="00B97E44">
        <w:rPr>
          <w:rFonts w:hint="cs"/>
          <w:b/>
          <w:bCs/>
          <w:rtl/>
        </w:rPr>
        <w:t xml:space="preserve"> נוסף על זה שפותח באופקים ולא נבחנה השאלה אם הקצאת מאות מיליוני ש"ח נוספים בהקמתו תפגע </w:t>
      </w:r>
      <w:r w:rsidRPr="00B97E44">
        <w:rPr>
          <w:rFonts w:hint="cs"/>
          <w:b/>
          <w:bCs/>
          <w:rtl/>
        </w:rPr>
        <w:t>בקלאסטר</w:t>
      </w:r>
      <w:r w:rsidRPr="00B97E44">
        <w:rPr>
          <w:rFonts w:hint="cs"/>
          <w:b/>
          <w:bCs/>
          <w:rtl/>
        </w:rPr>
        <w:t xml:space="preserve"> שהוקם באופקים כבר ב-2020 ובהשקעות הציבוריות והפרטיות באופקים. עוד נמצא כי גם בתוכנית שפרסם </w:t>
      </w:r>
      <w:r w:rsidRPr="00B97E44">
        <w:rPr>
          <w:rFonts w:hint="cs"/>
          <w:b/>
          <w:bCs/>
          <w:rtl/>
        </w:rPr>
        <w:t>מינהל</w:t>
      </w:r>
      <w:r w:rsidRPr="00B97E44">
        <w:rPr>
          <w:rFonts w:hint="cs"/>
          <w:b/>
          <w:bCs/>
          <w:rtl/>
        </w:rPr>
        <w:t xml:space="preserve"> התכנון ביוני 2024 אין התייחסות לפיתוח תעשיית </w:t>
      </w:r>
      <w:r w:rsidRPr="00B97E44">
        <w:rPr>
          <w:rFonts w:hint="cs"/>
          <w:b/>
          <w:bCs/>
          <w:rtl/>
        </w:rPr>
        <w:t>האגרו</w:t>
      </w:r>
      <w:r w:rsidRPr="00B97E44">
        <w:rPr>
          <w:rFonts w:hint="cs"/>
          <w:b/>
          <w:bCs/>
          <w:rtl/>
        </w:rPr>
        <w:t xml:space="preserve">-טק בחבל התקומה לצד זו המפותחת באופקים. </w:t>
      </w:r>
    </w:p>
    <w:p w:rsidR="005B126E" w:rsidP="001916A9">
      <w:pPr>
        <w:spacing w:line="269" w:lineRule="auto"/>
        <w:rPr>
          <w:b/>
          <w:bCs/>
          <w:rtl/>
        </w:rPr>
      </w:pPr>
    </w:p>
    <w:p w:rsidR="005B126E" w:rsidRPr="00B97E44" w:rsidP="001916A9">
      <w:pPr>
        <w:spacing w:line="269" w:lineRule="auto"/>
        <w:rPr>
          <w:b/>
          <w:bCs/>
          <w:rtl/>
        </w:rPr>
      </w:pPr>
      <w:r w:rsidRPr="00B97E44">
        <w:rPr>
          <w:rFonts w:hint="cs"/>
          <w:b/>
          <w:bCs/>
          <w:rtl/>
        </w:rPr>
        <w:t xml:space="preserve">גם לאחר שהביא משרד מבקר המדינה לידיעת מינהלת תקומה ומשרד החקלאות את העובדה שהמדינה מקדמת הליך של הקמת </w:t>
      </w:r>
      <w:r w:rsidRPr="00B97E44">
        <w:rPr>
          <w:rFonts w:hint="cs"/>
          <w:b/>
          <w:bCs/>
          <w:rtl/>
        </w:rPr>
        <w:t>קלאסטר</w:t>
      </w:r>
      <w:r w:rsidRPr="00B97E44">
        <w:rPr>
          <w:rFonts w:hint="cs"/>
          <w:b/>
          <w:bCs/>
          <w:rtl/>
        </w:rPr>
        <w:t xml:space="preserve"> באופקים במקביל לזה המתוכנן </w:t>
      </w:r>
      <w:r w:rsidRPr="00B97E44">
        <w:rPr>
          <w:rFonts w:hint="cs"/>
          <w:b/>
          <w:bCs/>
          <w:rtl/>
        </w:rPr>
        <w:t>במינהלת</w:t>
      </w:r>
      <w:r w:rsidRPr="00B97E44">
        <w:rPr>
          <w:rFonts w:hint="cs"/>
          <w:b/>
          <w:bCs/>
          <w:rtl/>
        </w:rPr>
        <w:t xml:space="preserve"> תקומה לא השכילו הנוגעים בדבר ובכללם מינהלת תקומה ועיריית אופקים נכון לדצמבר 2025 לקיים שיח אפקטיבי לתיאום ושיתוף פעולה לטובת האזור כולו.</w:t>
      </w:r>
    </w:p>
    <w:bookmarkEnd w:id="73"/>
    <w:p w:rsidR="005B126E" w:rsidP="001916A9">
      <w:pPr>
        <w:spacing w:line="269" w:lineRule="auto"/>
        <w:rPr>
          <w:b/>
          <w:bCs/>
          <w:rtl/>
        </w:rPr>
      </w:pPr>
    </w:p>
    <w:p w:rsidR="005B126E" w:rsidP="001916A9">
      <w:pPr>
        <w:spacing w:line="269" w:lineRule="auto"/>
        <w:rPr>
          <w:b/>
          <w:bCs/>
          <w:rtl/>
        </w:rPr>
      </w:pPr>
      <w:r w:rsidRPr="00B97E44">
        <w:rPr>
          <w:rFonts w:hint="eastAsia"/>
          <w:b/>
          <w:bCs/>
          <w:rtl/>
        </w:rPr>
        <w:t>כמו</w:t>
      </w:r>
      <w:r w:rsidRPr="00B97E44">
        <w:rPr>
          <w:b/>
          <w:bCs/>
          <w:rtl/>
        </w:rPr>
        <w:t xml:space="preserve"> כן</w:t>
      </w:r>
      <w:r w:rsidRPr="00B97E44">
        <w:rPr>
          <w:rFonts w:hint="cs"/>
          <w:b/>
          <w:bCs/>
          <w:rtl/>
        </w:rPr>
        <w:t>,</w:t>
      </w:r>
      <w:r w:rsidRPr="00B97E44">
        <w:rPr>
          <w:b/>
          <w:bCs/>
          <w:rtl/>
        </w:rPr>
        <w:t xml:space="preserve"> </w:t>
      </w:r>
      <w:r w:rsidRPr="00B97E44">
        <w:rPr>
          <w:rFonts w:hint="eastAsia"/>
          <w:b/>
          <w:bCs/>
          <w:rtl/>
        </w:rPr>
        <w:t>נמצא</w:t>
      </w:r>
      <w:r w:rsidRPr="00B97E44">
        <w:rPr>
          <w:b/>
          <w:bCs/>
          <w:rtl/>
        </w:rPr>
        <w:t xml:space="preserve"> כי גם בתוכנית לשיקום </w:t>
      </w:r>
      <w:r w:rsidRPr="00B97E44">
        <w:rPr>
          <w:rFonts w:hint="eastAsia"/>
          <w:b/>
          <w:bCs/>
          <w:rtl/>
        </w:rPr>
        <w:t>ופיתוח</w:t>
      </w:r>
      <w:r w:rsidRPr="00B97E44">
        <w:rPr>
          <w:b/>
          <w:bCs/>
          <w:rtl/>
        </w:rPr>
        <w:t xml:space="preserve"> </w:t>
      </w:r>
      <w:r w:rsidRPr="00B97E44">
        <w:rPr>
          <w:rFonts w:hint="eastAsia"/>
          <w:b/>
          <w:bCs/>
          <w:rtl/>
        </w:rPr>
        <w:t>היישובים</w:t>
      </w:r>
      <w:r w:rsidRPr="00B97E44">
        <w:rPr>
          <w:b/>
          <w:bCs/>
          <w:rtl/>
        </w:rPr>
        <w:t xml:space="preserve"> הסמוכים לחבל התקומה שהוביל משרד ראש הממשלה ולפיה יוקצו 18 מיליוני ש"ח לטובת תעשיית </w:t>
      </w:r>
      <w:r w:rsidRPr="00B97E44">
        <w:rPr>
          <w:rFonts w:hint="eastAsia"/>
          <w:b/>
          <w:bCs/>
          <w:rtl/>
        </w:rPr>
        <w:t>האגרו</w:t>
      </w:r>
      <w:r w:rsidRPr="00B97E44">
        <w:rPr>
          <w:b/>
          <w:bCs/>
          <w:rtl/>
        </w:rPr>
        <w:t xml:space="preserve">-טק ביישובים </w:t>
      </w:r>
      <w:r w:rsidRPr="00B97E44">
        <w:rPr>
          <w:rFonts w:hint="cs"/>
          <w:b/>
          <w:bCs/>
          <w:rtl/>
        </w:rPr>
        <w:t>ש</w:t>
      </w:r>
      <w:r w:rsidRPr="00B97E44">
        <w:rPr>
          <w:b/>
          <w:bCs/>
          <w:rtl/>
        </w:rPr>
        <w:t xml:space="preserve">עליהם חלה התוכנית ובראשם העיר </w:t>
      </w:r>
      <w:r w:rsidRPr="00B97E44">
        <w:rPr>
          <w:rFonts w:hint="eastAsia"/>
          <w:b/>
          <w:bCs/>
          <w:rtl/>
        </w:rPr>
        <w:t>אופקים</w:t>
      </w:r>
      <w:r w:rsidRPr="00B97E44">
        <w:rPr>
          <w:rFonts w:hint="cs"/>
          <w:b/>
          <w:bCs/>
          <w:rtl/>
        </w:rPr>
        <w:t>,</w:t>
      </w:r>
      <w:r w:rsidRPr="00B97E44">
        <w:rPr>
          <w:b/>
          <w:bCs/>
          <w:rtl/>
        </w:rPr>
        <w:t xml:space="preserve"> לא ניתן מקום לחיוניות שבשיתוף הפעולה עם תעשיית </w:t>
      </w:r>
      <w:r w:rsidRPr="00B97E44">
        <w:rPr>
          <w:rFonts w:hint="eastAsia"/>
          <w:b/>
          <w:bCs/>
          <w:rtl/>
        </w:rPr>
        <w:t>האגרו</w:t>
      </w:r>
      <w:r w:rsidRPr="00B97E44">
        <w:rPr>
          <w:b/>
          <w:bCs/>
          <w:rtl/>
        </w:rPr>
        <w:t xml:space="preserve">-טק בחבל התקומה. </w:t>
      </w:r>
    </w:p>
    <w:p w:rsidR="005B126E" w:rsidRPr="00B97E44" w:rsidP="001916A9">
      <w:pPr>
        <w:spacing w:line="269" w:lineRule="auto"/>
        <w:rPr>
          <w:b/>
          <w:bCs/>
          <w:rtl/>
        </w:rPr>
      </w:pPr>
      <w:r w:rsidRPr="00B97E44">
        <w:rPr>
          <w:rFonts w:hint="cs"/>
          <w:b/>
          <w:bCs/>
          <w:rtl/>
        </w:rPr>
        <w:t xml:space="preserve">יוצא אפוא כי </w:t>
      </w:r>
      <w:r w:rsidRPr="00B97E44">
        <w:rPr>
          <w:b/>
          <w:bCs/>
          <w:rtl/>
        </w:rPr>
        <w:t xml:space="preserve">במקום </w:t>
      </w:r>
      <w:r w:rsidRPr="00B97E44">
        <w:rPr>
          <w:rFonts w:hint="cs"/>
          <w:b/>
          <w:bCs/>
          <w:rtl/>
        </w:rPr>
        <w:t>שתוכנית החומש ותוכנית הפיתוח והשיקום של היישובים הסמוכים לחבל התקומה יעמידו</w:t>
      </w:r>
      <w:r w:rsidRPr="00B97E44">
        <w:rPr>
          <w:b/>
          <w:bCs/>
          <w:rtl/>
        </w:rPr>
        <w:t xml:space="preserve"> קרש קפיצה ל</w:t>
      </w:r>
      <w:r>
        <w:rPr>
          <w:rFonts w:hint="cs"/>
          <w:b/>
          <w:bCs/>
          <w:rtl/>
        </w:rPr>
        <w:t>פעילות</w:t>
      </w:r>
      <w:r w:rsidRPr="00B97E44">
        <w:rPr>
          <w:b/>
          <w:bCs/>
          <w:rtl/>
        </w:rPr>
        <w:t xml:space="preserve"> כלכלית מרחבית חדשה </w:t>
      </w:r>
      <w:r w:rsidRPr="00B97E44">
        <w:rPr>
          <w:rFonts w:hint="cs"/>
          <w:b/>
          <w:bCs/>
          <w:rtl/>
        </w:rPr>
        <w:t>-</w:t>
      </w:r>
      <w:r w:rsidRPr="00B97E44">
        <w:rPr>
          <w:b/>
          <w:bCs/>
          <w:rtl/>
        </w:rPr>
        <w:t xml:space="preserve"> </w:t>
      </w:r>
      <w:r w:rsidRPr="00B97E44">
        <w:rPr>
          <w:rFonts w:hint="cs"/>
          <w:b/>
          <w:bCs/>
          <w:rtl/>
        </w:rPr>
        <w:t>התוכניות הממשלתיות</w:t>
      </w:r>
      <w:r w:rsidRPr="00B97E44">
        <w:rPr>
          <w:b/>
          <w:bCs/>
          <w:rtl/>
        </w:rPr>
        <w:t xml:space="preserve"> מ</w:t>
      </w:r>
      <w:r w:rsidRPr="00B97E44">
        <w:rPr>
          <w:rFonts w:hint="cs"/>
          <w:b/>
          <w:bCs/>
          <w:rtl/>
        </w:rPr>
        <w:t xml:space="preserve">גבילות את עצמן לגבולות </w:t>
      </w:r>
      <w:r w:rsidRPr="00B97E44">
        <w:rPr>
          <w:rFonts w:hint="cs"/>
          <w:b/>
          <w:bCs/>
          <w:rtl/>
        </w:rPr>
        <w:t>המינהליים</w:t>
      </w:r>
      <w:r w:rsidRPr="00B97E44">
        <w:rPr>
          <w:rFonts w:hint="cs"/>
          <w:b/>
          <w:bCs/>
          <w:rtl/>
        </w:rPr>
        <w:t xml:space="preserve"> של האזורים שעליהם הן חלות ונמנעות מראייה מרחבית למימוש הפוטנציאל הטמון באזור לתועלת המדינה כולה. יודגש כי תיאום ושיתוף פעולה לא מצריך בהכרח השקעת תקציב באזורים שמחוץ לגבולות התוכנית ו</w:t>
      </w:r>
      <w:r w:rsidRPr="00B97E44">
        <w:rPr>
          <w:b/>
          <w:bCs/>
          <w:rtl/>
        </w:rPr>
        <w:t>קיימים כלים תכנוניים מתקדמים</w:t>
      </w:r>
      <w:r w:rsidRPr="00B97E44">
        <w:rPr>
          <w:rFonts w:hint="cs"/>
          <w:b/>
          <w:bCs/>
          <w:rtl/>
        </w:rPr>
        <w:t xml:space="preserve">, </w:t>
      </w:r>
      <w:r w:rsidRPr="00B97E44">
        <w:rPr>
          <w:b/>
          <w:bCs/>
          <w:rtl/>
        </w:rPr>
        <w:t>שיכולים להציע חלופה מקומית, משתפת ומכלילה</w:t>
      </w:r>
      <w:r>
        <w:rPr>
          <w:b/>
          <w:bCs/>
          <w:vertAlign w:val="superscript"/>
          <w:rtl/>
        </w:rPr>
        <w:footnoteReference w:id="163"/>
      </w:r>
      <w:r w:rsidRPr="00B97E44">
        <w:rPr>
          <w:rFonts w:hint="cs"/>
          <w:b/>
          <w:bCs/>
          <w:rtl/>
        </w:rPr>
        <w:t>.</w:t>
      </w:r>
    </w:p>
    <w:p w:rsidR="005B126E" w:rsidP="001916A9">
      <w:pPr>
        <w:spacing w:line="269" w:lineRule="auto"/>
        <w:ind w:left="3"/>
        <w:rPr>
          <w:sz w:val="24"/>
          <w:rtl/>
        </w:rPr>
      </w:pPr>
    </w:p>
    <w:p w:rsidR="005B126E" w:rsidP="001916A9">
      <w:pPr>
        <w:spacing w:line="269" w:lineRule="auto"/>
        <w:ind w:left="3"/>
        <w:rPr>
          <w:sz w:val="24"/>
          <w:rtl/>
        </w:rPr>
      </w:pPr>
      <w:r w:rsidRPr="00B97E44">
        <w:rPr>
          <w:rFonts w:hint="eastAsia"/>
          <w:sz w:val="24"/>
          <w:rtl/>
        </w:rPr>
        <w:t>עיריית</w:t>
      </w:r>
      <w:r w:rsidRPr="00B97E44">
        <w:rPr>
          <w:sz w:val="24"/>
          <w:rtl/>
        </w:rPr>
        <w:t xml:space="preserve"> </w:t>
      </w:r>
      <w:r w:rsidRPr="00B97E44">
        <w:rPr>
          <w:rFonts w:hint="eastAsia"/>
          <w:b/>
          <w:bCs/>
          <w:sz w:val="24"/>
          <w:rtl/>
        </w:rPr>
        <w:t>אופקים</w:t>
      </w:r>
      <w:r w:rsidRPr="00B97E44">
        <w:rPr>
          <w:sz w:val="24"/>
          <w:rtl/>
        </w:rPr>
        <w:t xml:space="preserve"> </w:t>
      </w:r>
      <w:r w:rsidRPr="00B97E44">
        <w:rPr>
          <w:rFonts w:hint="eastAsia"/>
          <w:sz w:val="24"/>
          <w:rtl/>
        </w:rPr>
        <w:t>מסרה</w:t>
      </w:r>
      <w:r w:rsidRPr="00B97E44">
        <w:rPr>
          <w:sz w:val="24"/>
          <w:rtl/>
        </w:rPr>
        <w:t xml:space="preserve"> </w:t>
      </w:r>
      <w:r w:rsidRPr="00B97E44">
        <w:rPr>
          <w:rFonts w:hint="eastAsia"/>
          <w:sz w:val="24"/>
          <w:rtl/>
        </w:rPr>
        <w:t>בתשובתה</w:t>
      </w:r>
      <w:r w:rsidRPr="00B97E44">
        <w:rPr>
          <w:sz w:val="24"/>
          <w:rtl/>
        </w:rPr>
        <w:t xml:space="preserve"> כי היא מצטרפת להמלצת מבקר</w:t>
      </w:r>
      <w:r w:rsidRPr="00B97E44">
        <w:rPr>
          <w:rFonts w:hint="cs"/>
          <w:sz w:val="24"/>
          <w:rtl/>
        </w:rPr>
        <w:t xml:space="preserve"> המדינה</w:t>
      </w:r>
      <w:r w:rsidRPr="00B97E44">
        <w:rPr>
          <w:sz w:val="24"/>
          <w:rtl/>
        </w:rPr>
        <w:t xml:space="preserve"> </w:t>
      </w:r>
      <w:r w:rsidRPr="00B97E44">
        <w:rPr>
          <w:rFonts w:hint="cs"/>
          <w:sz w:val="24"/>
          <w:rtl/>
        </w:rPr>
        <w:t>למינהלת</w:t>
      </w:r>
      <w:r w:rsidRPr="00B97E44">
        <w:rPr>
          <w:rFonts w:hint="cs"/>
          <w:sz w:val="24"/>
          <w:rtl/>
        </w:rPr>
        <w:t xml:space="preserve"> תקומה לשתף פעולה </w:t>
      </w:r>
      <w:r w:rsidRPr="00B97E44">
        <w:rPr>
          <w:rFonts w:hint="cs"/>
          <w:sz w:val="24"/>
          <w:rtl/>
        </w:rPr>
        <w:t>עימה</w:t>
      </w:r>
      <w:r w:rsidRPr="00B97E44">
        <w:rPr>
          <w:rFonts w:hint="cs"/>
          <w:sz w:val="24"/>
          <w:rtl/>
        </w:rPr>
        <w:t xml:space="preserve"> ולבחון את</w:t>
      </w:r>
      <w:r w:rsidRPr="00B97E44">
        <w:rPr>
          <w:sz w:val="24"/>
          <w:rtl/>
        </w:rPr>
        <w:t xml:space="preserve"> השפעת פעילות </w:t>
      </w:r>
      <w:r w:rsidRPr="00B97E44">
        <w:rPr>
          <w:rFonts w:hint="cs"/>
          <w:sz w:val="24"/>
          <w:rtl/>
        </w:rPr>
        <w:t>המינהלת</w:t>
      </w:r>
      <w:r w:rsidRPr="00B97E44">
        <w:rPr>
          <w:rFonts w:hint="cs"/>
          <w:sz w:val="24"/>
          <w:rtl/>
        </w:rPr>
        <w:t xml:space="preserve"> </w:t>
      </w:r>
      <w:r w:rsidRPr="00B97E44">
        <w:rPr>
          <w:sz w:val="24"/>
          <w:rtl/>
        </w:rPr>
        <w:t xml:space="preserve">בתחום </w:t>
      </w:r>
      <w:r w:rsidRPr="00B97E44">
        <w:rPr>
          <w:rFonts w:hint="eastAsia"/>
          <w:sz w:val="24"/>
          <w:rtl/>
        </w:rPr>
        <w:t>האגרו</w:t>
      </w:r>
      <w:r w:rsidRPr="00B97E44">
        <w:rPr>
          <w:rFonts w:hint="cs"/>
          <w:sz w:val="24"/>
          <w:rtl/>
        </w:rPr>
        <w:t>-</w:t>
      </w:r>
      <w:r w:rsidRPr="00B97E44">
        <w:rPr>
          <w:rFonts w:hint="eastAsia"/>
          <w:sz w:val="24"/>
          <w:rtl/>
        </w:rPr>
        <w:t>טק</w:t>
      </w:r>
      <w:r w:rsidRPr="00B97E44">
        <w:rPr>
          <w:sz w:val="24"/>
          <w:rtl/>
        </w:rPr>
        <w:t xml:space="preserve"> על פעילות עיריית אופקים</w:t>
      </w:r>
      <w:r w:rsidRPr="00B97E44">
        <w:rPr>
          <w:rFonts w:hint="cs"/>
          <w:sz w:val="24"/>
          <w:rtl/>
        </w:rPr>
        <w:t>.</w:t>
      </w:r>
    </w:p>
    <w:p w:rsidR="005B126E" w:rsidRPr="00B97E44" w:rsidP="001916A9">
      <w:pPr>
        <w:spacing w:line="269" w:lineRule="auto"/>
        <w:ind w:left="3"/>
        <w:rPr>
          <w:sz w:val="24"/>
          <w:rtl/>
        </w:rPr>
      </w:pPr>
    </w:p>
    <w:p w:rsidR="005B126E" w:rsidRPr="00B97E44" w:rsidP="001916A9">
      <w:pPr>
        <w:spacing w:line="269" w:lineRule="auto"/>
        <w:rPr>
          <w:rtl/>
        </w:rPr>
      </w:pPr>
      <w:r w:rsidRPr="00B97E44">
        <w:rPr>
          <w:rFonts w:hint="cs"/>
          <w:rtl/>
        </w:rPr>
        <w:t xml:space="preserve">המועצה האזורית </w:t>
      </w:r>
      <w:r w:rsidRPr="00B97E44">
        <w:rPr>
          <w:rFonts w:hint="cs"/>
          <w:b/>
          <w:bCs/>
          <w:rtl/>
        </w:rPr>
        <w:t>אשכול</w:t>
      </w:r>
      <w:r w:rsidRPr="00B97E44">
        <w:rPr>
          <w:rFonts w:hint="cs"/>
          <w:rtl/>
        </w:rPr>
        <w:t xml:space="preserve"> מסרה בתשובתה כי יש לפעול ולייצר סימביוזה ופיתוח של כלל הווקטורים בתחום החקלאות, וייתכן כי נכון לפתח תחומים חדשים כמו </w:t>
      </w:r>
      <w:r w:rsidRPr="00B97E44">
        <w:rPr>
          <w:rFonts w:hint="cs"/>
          <w:rtl/>
        </w:rPr>
        <w:t>האגרו</w:t>
      </w:r>
      <w:r w:rsidRPr="00B97E44">
        <w:rPr>
          <w:rFonts w:hint="cs"/>
          <w:rtl/>
        </w:rPr>
        <w:t>-טק אך לא פחות חשוב הוא לחזק את הקיים במועצות האזוריות בחבל.</w:t>
      </w:r>
    </w:p>
    <w:p w:rsidR="005B126E" w:rsidP="001916A9">
      <w:pPr>
        <w:spacing w:line="269" w:lineRule="auto"/>
        <w:rPr>
          <w:rtl/>
        </w:rPr>
      </w:pPr>
    </w:p>
    <w:p w:rsidR="005B126E" w:rsidRPr="00B97E44" w:rsidP="001916A9">
      <w:pPr>
        <w:spacing w:line="269" w:lineRule="auto"/>
        <w:rPr>
          <w:rtl/>
        </w:rPr>
      </w:pPr>
      <w:r w:rsidRPr="00B97E44">
        <w:rPr>
          <w:rFonts w:hint="cs"/>
          <w:rtl/>
        </w:rPr>
        <w:t>מינהלת תקומה מסרה בתשוב</w:t>
      </w:r>
      <w:r>
        <w:rPr>
          <w:rFonts w:hint="cs"/>
          <w:rtl/>
        </w:rPr>
        <w:t>ו</w:t>
      </w:r>
      <w:r w:rsidRPr="00B97E44">
        <w:rPr>
          <w:rFonts w:hint="cs"/>
          <w:rtl/>
        </w:rPr>
        <w:t>ת</w:t>
      </w:r>
      <w:r>
        <w:rPr>
          <w:rFonts w:hint="cs"/>
          <w:rtl/>
        </w:rPr>
        <w:t>י</w:t>
      </w:r>
      <w:r w:rsidRPr="00B97E44">
        <w:rPr>
          <w:rFonts w:hint="cs"/>
          <w:rtl/>
        </w:rPr>
        <w:t xml:space="preserve">ה כי </w:t>
      </w:r>
      <w:r w:rsidRPr="00B97E44">
        <w:rPr>
          <w:rtl/>
        </w:rPr>
        <w:t>עבודת המטה המקצועית שבחנה</w:t>
      </w:r>
      <w:r w:rsidRPr="00B97E44">
        <w:rPr>
          <w:rFonts w:hint="cs"/>
          <w:rtl/>
        </w:rPr>
        <w:t xml:space="preserve"> </w:t>
      </w:r>
      <w:r w:rsidRPr="00B97E44">
        <w:rPr>
          <w:rtl/>
        </w:rPr>
        <w:t>ואפיינה</w:t>
      </w:r>
      <w:r w:rsidRPr="00B97E44">
        <w:rPr>
          <w:rFonts w:hint="cs"/>
          <w:rtl/>
        </w:rPr>
        <w:t xml:space="preserve"> את</w:t>
      </w:r>
      <w:r w:rsidRPr="00B97E44">
        <w:rPr>
          <w:rtl/>
        </w:rPr>
        <w:t xml:space="preserve"> הצרכים ו</w:t>
      </w:r>
      <w:r w:rsidRPr="00B97E44">
        <w:rPr>
          <w:rFonts w:hint="cs"/>
          <w:rtl/>
        </w:rPr>
        <w:t>ה</w:t>
      </w:r>
      <w:r w:rsidRPr="00B97E44">
        <w:rPr>
          <w:rtl/>
        </w:rPr>
        <w:t xml:space="preserve">הזדמנויות בתחום </w:t>
      </w:r>
      <w:r w:rsidRPr="00B97E44">
        <w:rPr>
          <w:rtl/>
        </w:rPr>
        <w:t>האגרו</w:t>
      </w:r>
      <w:r w:rsidRPr="00B97E44">
        <w:rPr>
          <w:rFonts w:hint="cs"/>
          <w:rtl/>
        </w:rPr>
        <w:t>-</w:t>
      </w:r>
      <w:r w:rsidRPr="00B97E44">
        <w:rPr>
          <w:rtl/>
        </w:rPr>
        <w:t>טק נעשתה לאורך כל הדרך תוך שיתוף משרדי</w:t>
      </w:r>
      <w:r w:rsidRPr="00B97E44">
        <w:rPr>
          <w:rFonts w:hint="cs"/>
          <w:rtl/>
        </w:rPr>
        <w:t xml:space="preserve"> </w:t>
      </w:r>
      <w:r w:rsidRPr="00B97E44">
        <w:rPr>
          <w:rtl/>
        </w:rPr>
        <w:t>הממשלה הרלוונטיים ושיח עם גורמי מקצוע וגופים באזור</w:t>
      </w:r>
      <w:r w:rsidRPr="00B97E44">
        <w:t>.</w:t>
      </w:r>
      <w:r w:rsidRPr="00B97E44">
        <w:rPr>
          <w:rFonts w:hint="cs"/>
          <w:rtl/>
        </w:rPr>
        <w:t xml:space="preserve"> מינהלת תקומה ציינה כי </w:t>
      </w:r>
      <w:r w:rsidRPr="00B97E44">
        <w:rPr>
          <w:rtl/>
        </w:rPr>
        <w:t xml:space="preserve">בהתאם </w:t>
      </w:r>
      <w:r w:rsidRPr="00B97E44">
        <w:rPr>
          <w:rFonts w:hint="cs"/>
          <w:rtl/>
        </w:rPr>
        <w:t xml:space="preserve">לתוכנית החומש </w:t>
      </w:r>
      <w:r w:rsidRPr="00B97E44">
        <w:rPr>
          <w:rtl/>
        </w:rPr>
        <w:t>הוקמה ועדת היגוי בי</w:t>
      </w:r>
      <w:r w:rsidRPr="00B97E44">
        <w:rPr>
          <w:rFonts w:hint="cs"/>
          <w:rtl/>
        </w:rPr>
        <w:t>ן-</w:t>
      </w:r>
      <w:r w:rsidRPr="00B97E44">
        <w:rPr>
          <w:rtl/>
        </w:rPr>
        <w:t>משרדית לנושא</w:t>
      </w:r>
      <w:r w:rsidRPr="00B97E44">
        <w:rPr>
          <w:rFonts w:hint="cs"/>
          <w:rtl/>
        </w:rPr>
        <w:t xml:space="preserve"> ובדצמבר 2024 </w:t>
      </w:r>
      <w:r w:rsidRPr="00B97E44">
        <w:rPr>
          <w:rtl/>
        </w:rPr>
        <w:t xml:space="preserve">פורסם מבחן תמיכה </w:t>
      </w:r>
      <w:r w:rsidRPr="00B97E44">
        <w:rPr>
          <w:rFonts w:hint="cs"/>
          <w:rtl/>
        </w:rPr>
        <w:t>ל</w:t>
      </w:r>
      <w:r w:rsidRPr="00B97E44">
        <w:rPr>
          <w:rtl/>
        </w:rPr>
        <w:t xml:space="preserve">אשכול רשויות נגב מערבי אשר </w:t>
      </w:r>
      <w:r>
        <w:rPr>
          <w:rFonts w:hint="cs"/>
          <w:rtl/>
        </w:rPr>
        <w:t xml:space="preserve">עיריית </w:t>
      </w:r>
      <w:r w:rsidRPr="00B97E44">
        <w:rPr>
          <w:b/>
          <w:bCs/>
          <w:rtl/>
        </w:rPr>
        <w:t>אופקים</w:t>
      </w:r>
      <w:r w:rsidRPr="00B97E44">
        <w:rPr>
          <w:rtl/>
        </w:rPr>
        <w:t xml:space="preserve"> נמנית על הרשויות החברות בו</w:t>
      </w:r>
      <w:r w:rsidRPr="00B97E44">
        <w:rPr>
          <w:rFonts w:hint="cs"/>
          <w:rtl/>
        </w:rPr>
        <w:t>. אשכול הנגב המערבי, על פי התשובה, מפעיל את</w:t>
      </w:r>
      <w:r w:rsidRPr="00B97E44">
        <w:rPr>
          <w:rtl/>
        </w:rPr>
        <w:t xml:space="preserve"> </w:t>
      </w:r>
      <w:r w:rsidRPr="00B97E44">
        <w:rPr>
          <w:rFonts w:hint="cs"/>
          <w:rtl/>
        </w:rPr>
        <w:t>ה"</w:t>
      </w:r>
      <w:r w:rsidRPr="00B97E44">
        <w:rPr>
          <w:rtl/>
        </w:rPr>
        <w:t>אגרו-נגב</w:t>
      </w:r>
      <w:r w:rsidRPr="00B97E44">
        <w:rPr>
          <w:rFonts w:hint="cs"/>
          <w:rtl/>
        </w:rPr>
        <w:t xml:space="preserve">", הפועל </w:t>
      </w:r>
      <w:r w:rsidRPr="00B97E44">
        <w:rPr>
          <w:rtl/>
        </w:rPr>
        <w:t xml:space="preserve">לקידום </w:t>
      </w:r>
      <w:r w:rsidRPr="00B97E44">
        <w:rPr>
          <w:rtl/>
        </w:rPr>
        <w:t>האג</w:t>
      </w:r>
      <w:r w:rsidRPr="00B97E44">
        <w:rPr>
          <w:rFonts w:hint="cs"/>
          <w:rtl/>
        </w:rPr>
        <w:t>רו</w:t>
      </w:r>
      <w:r w:rsidRPr="00B97E44">
        <w:rPr>
          <w:rFonts w:hint="cs"/>
          <w:rtl/>
        </w:rPr>
        <w:t>-</w:t>
      </w:r>
      <w:r w:rsidRPr="00B97E44">
        <w:rPr>
          <w:rtl/>
        </w:rPr>
        <w:t xml:space="preserve">טק והחדשנות החקלאית במרחב ומרכז את עבודת </w:t>
      </w:r>
      <w:r w:rsidRPr="00B97E44">
        <w:rPr>
          <w:rtl/>
        </w:rPr>
        <w:t>הקלאסטר</w:t>
      </w:r>
      <w:r w:rsidRPr="00B97E44">
        <w:rPr>
          <w:rtl/>
        </w:rPr>
        <w:t>, תוך</w:t>
      </w:r>
      <w:r w:rsidRPr="00B97E44">
        <w:rPr>
          <w:rFonts w:hint="cs"/>
          <w:rtl/>
        </w:rPr>
        <w:t xml:space="preserve"> </w:t>
      </w:r>
      <w:r w:rsidRPr="00B97E44">
        <w:rPr>
          <w:rtl/>
        </w:rPr>
        <w:t>שיח עם שלל גורמים באזור</w:t>
      </w:r>
      <w:r w:rsidRPr="00B97E44">
        <w:rPr>
          <w:rFonts w:hint="cs"/>
          <w:rtl/>
        </w:rPr>
        <w:t>. מינהלת תקומה ציינה עוד</w:t>
      </w:r>
      <w:r w:rsidRPr="00B97E44">
        <w:rPr>
          <w:rtl/>
        </w:rPr>
        <w:t xml:space="preserve"> כי</w:t>
      </w:r>
      <w:r w:rsidRPr="00B97E44">
        <w:rPr>
          <w:rFonts w:hint="cs"/>
          <w:rtl/>
        </w:rPr>
        <w:t xml:space="preserve"> </w:t>
      </w:r>
      <w:r w:rsidRPr="00B97E44">
        <w:rPr>
          <w:rtl/>
        </w:rPr>
        <w:t>במהלך אפיון וגיבוש הת</w:t>
      </w:r>
      <w:r w:rsidRPr="00B97E44">
        <w:rPr>
          <w:rFonts w:hint="cs"/>
          <w:rtl/>
        </w:rPr>
        <w:t>ו</w:t>
      </w:r>
      <w:r w:rsidRPr="00B97E44">
        <w:rPr>
          <w:rtl/>
        </w:rPr>
        <w:t>כנית</w:t>
      </w:r>
      <w:r w:rsidRPr="00B97E44">
        <w:rPr>
          <w:rFonts w:hint="cs"/>
          <w:rtl/>
        </w:rPr>
        <w:t xml:space="preserve"> קיימו </w:t>
      </w:r>
      <w:r w:rsidRPr="00B97E44">
        <w:rPr>
          <w:rtl/>
        </w:rPr>
        <w:t>נציגי</w:t>
      </w:r>
      <w:r w:rsidRPr="00B97E44">
        <w:rPr>
          <w:rFonts w:hint="cs"/>
          <w:rtl/>
        </w:rPr>
        <w:t>ה שיח מקצועי והיכרות עם</w:t>
      </w:r>
      <w:r w:rsidRPr="00B97E44">
        <w:rPr>
          <w:rtl/>
        </w:rPr>
        <w:t xml:space="preserve"> תנועת אור</w:t>
      </w:r>
      <w:r w:rsidRPr="00B97E44">
        <w:rPr>
          <w:rFonts w:hint="cs"/>
          <w:rtl/>
        </w:rPr>
        <w:t>,</w:t>
      </w:r>
      <w:r w:rsidRPr="00B97E44">
        <w:rPr>
          <w:rtl/>
        </w:rPr>
        <w:t xml:space="preserve"> הפועלת לקידום</w:t>
      </w:r>
      <w:r w:rsidRPr="00B97E44">
        <w:rPr>
          <w:rFonts w:hint="cs"/>
          <w:rtl/>
        </w:rPr>
        <w:t xml:space="preserve"> </w:t>
      </w:r>
      <w:r w:rsidRPr="00B97E44">
        <w:rPr>
          <w:rtl/>
        </w:rPr>
        <w:t>האג</w:t>
      </w:r>
      <w:r w:rsidRPr="00B97E44">
        <w:rPr>
          <w:rFonts w:hint="cs"/>
          <w:rtl/>
        </w:rPr>
        <w:t>רו</w:t>
      </w:r>
      <w:r w:rsidRPr="00B97E44">
        <w:rPr>
          <w:rFonts w:hint="cs"/>
          <w:rtl/>
        </w:rPr>
        <w:t>-</w:t>
      </w:r>
      <w:r w:rsidRPr="00B97E44">
        <w:rPr>
          <w:rtl/>
        </w:rPr>
        <w:t>טק בעיר אופקים</w:t>
      </w:r>
      <w:r w:rsidRPr="00B97E44">
        <w:rPr>
          <w:rFonts w:hint="cs"/>
          <w:rtl/>
        </w:rPr>
        <w:t>,</w:t>
      </w:r>
      <w:r w:rsidRPr="00B97E44">
        <w:rPr>
          <w:rtl/>
        </w:rPr>
        <w:t xml:space="preserve"> </w:t>
      </w:r>
      <w:r w:rsidRPr="00B97E44">
        <w:rPr>
          <w:rFonts w:hint="cs"/>
          <w:rtl/>
        </w:rPr>
        <w:t>ו</w:t>
      </w:r>
      <w:r w:rsidRPr="00B97E44">
        <w:rPr>
          <w:rtl/>
        </w:rPr>
        <w:t>התרשמו</w:t>
      </w:r>
      <w:r w:rsidRPr="00B97E44">
        <w:rPr>
          <w:rFonts w:hint="cs"/>
          <w:rtl/>
        </w:rPr>
        <w:t xml:space="preserve"> </w:t>
      </w:r>
      <w:r w:rsidRPr="00B97E44">
        <w:rPr>
          <w:rtl/>
        </w:rPr>
        <w:t>כי מדובר בפעילות המתגבשת ועשויה לעמוד בהלימה עם תוכנית הפיתוח של מ</w:t>
      </w:r>
      <w:r w:rsidRPr="00B97E44">
        <w:rPr>
          <w:rFonts w:hint="cs"/>
          <w:rtl/>
        </w:rPr>
        <w:t>י</w:t>
      </w:r>
      <w:r w:rsidRPr="00B97E44">
        <w:rPr>
          <w:rtl/>
        </w:rPr>
        <w:t>נהלת תקומה</w:t>
      </w:r>
      <w:r w:rsidRPr="00B97E44">
        <w:rPr>
          <w:rFonts w:hint="cs"/>
          <w:rtl/>
        </w:rPr>
        <w:t xml:space="preserve"> </w:t>
      </w:r>
      <w:r w:rsidRPr="00B97E44">
        <w:rPr>
          <w:rtl/>
        </w:rPr>
        <w:t xml:space="preserve">בתחום. </w:t>
      </w:r>
      <w:r>
        <w:rPr>
          <w:rFonts w:hint="cs"/>
          <w:rtl/>
        </w:rPr>
        <w:t>המינהלת</w:t>
      </w:r>
      <w:r>
        <w:rPr>
          <w:rFonts w:hint="cs"/>
          <w:rtl/>
        </w:rPr>
        <w:t xml:space="preserve"> הוסיפה כי </w:t>
      </w:r>
      <w:r w:rsidRPr="00867B15">
        <w:rPr>
          <w:rtl/>
        </w:rPr>
        <w:t xml:space="preserve">תוכנית פיתוח </w:t>
      </w:r>
      <w:r w:rsidRPr="00867B15">
        <w:rPr>
          <w:rtl/>
        </w:rPr>
        <w:t>האג</w:t>
      </w:r>
      <w:r>
        <w:rPr>
          <w:rFonts w:hint="cs"/>
          <w:rtl/>
        </w:rPr>
        <w:t>רו</w:t>
      </w:r>
      <w:r>
        <w:rPr>
          <w:rFonts w:hint="cs"/>
          <w:rtl/>
        </w:rPr>
        <w:t>-</w:t>
      </w:r>
      <w:r w:rsidRPr="00867B15">
        <w:rPr>
          <w:rtl/>
        </w:rPr>
        <w:t xml:space="preserve">טק בחבל </w:t>
      </w:r>
      <w:r>
        <w:rPr>
          <w:rFonts w:hint="cs"/>
          <w:rtl/>
        </w:rPr>
        <w:t>ה</w:t>
      </w:r>
      <w:r w:rsidRPr="00867B15">
        <w:rPr>
          <w:rtl/>
        </w:rPr>
        <w:t xml:space="preserve">תקומה, </w:t>
      </w:r>
      <w:r>
        <w:rPr>
          <w:rFonts w:hint="cs"/>
          <w:rtl/>
        </w:rPr>
        <w:t xml:space="preserve">שהיא </w:t>
      </w:r>
      <w:r w:rsidRPr="00867B15">
        <w:rPr>
          <w:rtl/>
        </w:rPr>
        <w:t>מרכיב חשוב בתוכנית לפיתוח חקלאות החבל, מתמקדת בצירים מקבילים לאלה הנבחנים</w:t>
      </w:r>
      <w:r>
        <w:rPr>
          <w:rFonts w:hint="cs"/>
          <w:rtl/>
        </w:rPr>
        <w:t xml:space="preserve"> </w:t>
      </w:r>
      <w:r w:rsidRPr="00867B15">
        <w:rPr>
          <w:rtl/>
        </w:rPr>
        <w:t>ביוזמת אופקים</w:t>
      </w:r>
      <w:r>
        <w:rPr>
          <w:rFonts w:hint="cs"/>
          <w:rtl/>
        </w:rPr>
        <w:t xml:space="preserve"> ולכן עשויה להעצים את תחום </w:t>
      </w:r>
      <w:r>
        <w:rPr>
          <w:rFonts w:hint="cs"/>
          <w:rtl/>
        </w:rPr>
        <w:t>האגרו</w:t>
      </w:r>
      <w:r>
        <w:rPr>
          <w:rFonts w:hint="cs"/>
          <w:rtl/>
        </w:rPr>
        <w:t>-טק באזור ולא לעמוד בסתירה.</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משרד ראש הממשלה מסר בתשובתו כי </w:t>
      </w:r>
      <w:r w:rsidRPr="00B97E44">
        <w:rPr>
          <w:rtl/>
        </w:rPr>
        <w:t xml:space="preserve">בשיתוף משרד הכלכלה </w:t>
      </w:r>
      <w:r w:rsidRPr="00B97E44">
        <w:rPr>
          <w:rFonts w:hint="cs"/>
          <w:rtl/>
        </w:rPr>
        <w:t xml:space="preserve">הוא </w:t>
      </w:r>
      <w:r w:rsidRPr="00B97E44">
        <w:rPr>
          <w:rtl/>
        </w:rPr>
        <w:t xml:space="preserve">זיהה כבר בשנת 2019 את אזור הנגב המערבי </w:t>
      </w:r>
      <w:r w:rsidRPr="00B97E44">
        <w:rPr>
          <w:rtl/>
        </w:rPr>
        <w:t>כקלאס</w:t>
      </w:r>
      <w:r w:rsidRPr="00B97E44">
        <w:rPr>
          <w:rFonts w:hint="cs"/>
          <w:rtl/>
        </w:rPr>
        <w:t>ט</w:t>
      </w:r>
      <w:r w:rsidRPr="00B97E44">
        <w:rPr>
          <w:rtl/>
        </w:rPr>
        <w:t>ר</w:t>
      </w:r>
      <w:r w:rsidRPr="00B97E44">
        <w:rPr>
          <w:rtl/>
        </w:rPr>
        <w:t xml:space="preserve"> אגר</w:t>
      </w:r>
      <w:r w:rsidRPr="00B97E44">
        <w:rPr>
          <w:rFonts w:hint="cs"/>
          <w:rtl/>
        </w:rPr>
        <w:t>ו-</w:t>
      </w:r>
      <w:r w:rsidRPr="00B97E44">
        <w:rPr>
          <w:rtl/>
        </w:rPr>
        <w:t>טק</w:t>
      </w:r>
      <w:r w:rsidRPr="00B97E44">
        <w:rPr>
          <w:rFonts w:hint="cs"/>
          <w:rtl/>
        </w:rPr>
        <w:t xml:space="preserve"> וכי </w:t>
      </w:r>
      <w:r w:rsidRPr="00B97E44">
        <w:rPr>
          <w:rtl/>
        </w:rPr>
        <w:t xml:space="preserve">פעילות </w:t>
      </w:r>
      <w:r w:rsidRPr="00B97E44">
        <w:rPr>
          <w:rtl/>
        </w:rPr>
        <w:t>האגר</w:t>
      </w:r>
      <w:r w:rsidRPr="00B97E44">
        <w:rPr>
          <w:rFonts w:hint="cs"/>
          <w:rtl/>
        </w:rPr>
        <w:t>ו</w:t>
      </w:r>
      <w:r w:rsidRPr="00B97E44">
        <w:rPr>
          <w:rFonts w:hint="cs"/>
          <w:rtl/>
        </w:rPr>
        <w:t>-</w:t>
      </w:r>
      <w:r w:rsidRPr="00B97E44">
        <w:rPr>
          <w:rtl/>
        </w:rPr>
        <w:t xml:space="preserve">טק בחבל </w:t>
      </w:r>
      <w:r w:rsidRPr="00B97E44">
        <w:rPr>
          <w:rFonts w:hint="cs"/>
          <w:rtl/>
        </w:rPr>
        <w:t>ה</w:t>
      </w:r>
      <w:r w:rsidRPr="00B97E44">
        <w:rPr>
          <w:rtl/>
        </w:rPr>
        <w:t>תקומה וב</w:t>
      </w:r>
      <w:r w:rsidRPr="00AB6523">
        <w:rPr>
          <w:b/>
          <w:bCs/>
          <w:rtl/>
        </w:rPr>
        <w:t>אופקים</w:t>
      </w:r>
      <w:r w:rsidRPr="00B97E44">
        <w:rPr>
          <w:rtl/>
        </w:rPr>
        <w:t xml:space="preserve"> היא חלק מפעילויות נוספות של</w:t>
      </w:r>
      <w:r w:rsidRPr="00B97E44">
        <w:rPr>
          <w:rFonts w:hint="cs"/>
          <w:rtl/>
        </w:rPr>
        <w:t xml:space="preserve"> </w:t>
      </w:r>
      <w:r w:rsidRPr="00B97E44">
        <w:rPr>
          <w:rtl/>
        </w:rPr>
        <w:t>קל</w:t>
      </w:r>
      <w:r w:rsidRPr="00B97E44">
        <w:rPr>
          <w:rFonts w:hint="cs"/>
          <w:rtl/>
        </w:rPr>
        <w:t>א</w:t>
      </w:r>
      <w:r w:rsidRPr="00B97E44">
        <w:rPr>
          <w:rtl/>
        </w:rPr>
        <w:t>סטר</w:t>
      </w:r>
      <w:r w:rsidRPr="00B97E44">
        <w:rPr>
          <w:rtl/>
        </w:rPr>
        <w:t xml:space="preserve"> </w:t>
      </w:r>
      <w:r w:rsidRPr="00B97E44">
        <w:rPr>
          <w:rtl/>
        </w:rPr>
        <w:t>האגר</w:t>
      </w:r>
      <w:r w:rsidRPr="00B97E44">
        <w:rPr>
          <w:rFonts w:hint="cs"/>
          <w:rtl/>
        </w:rPr>
        <w:t>ו</w:t>
      </w:r>
      <w:r w:rsidRPr="00B97E44">
        <w:rPr>
          <w:rFonts w:hint="cs"/>
          <w:rtl/>
        </w:rPr>
        <w:t>-</w:t>
      </w:r>
      <w:r w:rsidRPr="00B97E44">
        <w:rPr>
          <w:rtl/>
        </w:rPr>
        <w:t>טק בנגב המערבי</w:t>
      </w:r>
      <w:r w:rsidRPr="00B97E44">
        <w:rPr>
          <w:rFonts w:hint="cs"/>
          <w:rtl/>
        </w:rPr>
        <w:t>.</w:t>
      </w:r>
      <w:r w:rsidRPr="00B97E44">
        <w:rPr>
          <w:rtl/>
        </w:rPr>
        <w:t xml:space="preserve"> כחלק</w:t>
      </w:r>
      <w:r w:rsidRPr="00B97E44">
        <w:rPr>
          <w:rFonts w:hint="cs"/>
          <w:rtl/>
        </w:rPr>
        <w:t xml:space="preserve"> </w:t>
      </w:r>
      <w:r w:rsidRPr="00B97E44">
        <w:rPr>
          <w:rtl/>
        </w:rPr>
        <w:t>מהראייה אזורית, בהחלטת ממשלה 3303, המשיך משרד ראש הממשלה</w:t>
      </w:r>
      <w:r w:rsidRPr="00B97E44">
        <w:rPr>
          <w:rFonts w:hint="cs"/>
          <w:rtl/>
        </w:rPr>
        <w:t>,</w:t>
      </w:r>
      <w:r w:rsidRPr="00B97E44">
        <w:rPr>
          <w:rtl/>
        </w:rPr>
        <w:t xml:space="preserve"> </w:t>
      </w:r>
      <w:r w:rsidRPr="00B97E44">
        <w:rPr>
          <w:rFonts w:hint="cs"/>
          <w:rtl/>
        </w:rPr>
        <w:t xml:space="preserve">על פי התשובה, </w:t>
      </w:r>
      <w:r w:rsidRPr="00B97E44">
        <w:rPr>
          <w:rtl/>
        </w:rPr>
        <w:t xml:space="preserve">לחזק את </w:t>
      </w:r>
      <w:r w:rsidRPr="00B97E44">
        <w:rPr>
          <w:rtl/>
        </w:rPr>
        <w:t>קלאסטר</w:t>
      </w:r>
      <w:r w:rsidRPr="00B97E44">
        <w:rPr>
          <w:rtl/>
        </w:rPr>
        <w:t xml:space="preserve"> </w:t>
      </w:r>
      <w:r w:rsidRPr="00B97E44">
        <w:rPr>
          <w:rtl/>
        </w:rPr>
        <w:t>האגר</w:t>
      </w:r>
      <w:r w:rsidRPr="00B97E44">
        <w:rPr>
          <w:rFonts w:hint="cs"/>
          <w:rtl/>
        </w:rPr>
        <w:t>ו</w:t>
      </w:r>
      <w:r w:rsidRPr="00B97E44">
        <w:rPr>
          <w:rFonts w:hint="cs"/>
          <w:rtl/>
        </w:rPr>
        <w:t>-</w:t>
      </w:r>
      <w:r w:rsidRPr="00B97E44">
        <w:rPr>
          <w:rtl/>
        </w:rPr>
        <w:t>טק בנגב</w:t>
      </w:r>
      <w:r w:rsidRPr="00B97E44">
        <w:rPr>
          <w:rFonts w:hint="cs"/>
          <w:rtl/>
        </w:rPr>
        <w:t xml:space="preserve"> </w:t>
      </w:r>
      <w:r w:rsidRPr="00B97E44">
        <w:rPr>
          <w:rtl/>
        </w:rPr>
        <w:t>המערבי באמצעות תקצוב הקמת מבנה אגר</w:t>
      </w:r>
      <w:r w:rsidRPr="00B97E44">
        <w:rPr>
          <w:rFonts w:hint="cs"/>
          <w:rtl/>
        </w:rPr>
        <w:t>ו-</w:t>
      </w:r>
      <w:r w:rsidRPr="00B97E44">
        <w:rPr>
          <w:rtl/>
        </w:rPr>
        <w:t>טק אזורי באופקים הכולל בין היתר גם מעבדות, וכן פיתוח</w:t>
      </w:r>
      <w:r w:rsidRPr="00B97E44">
        <w:rPr>
          <w:rFonts w:hint="cs"/>
          <w:rtl/>
        </w:rPr>
        <w:t xml:space="preserve"> אזור תעשיה</w:t>
      </w:r>
      <w:r w:rsidRPr="00B97E44">
        <w:rPr>
          <w:rtl/>
        </w:rPr>
        <w:t xml:space="preserve"> ייעודי לנושא.</w:t>
      </w:r>
      <w:r w:rsidRPr="00B97E44">
        <w:rPr>
          <w:rFonts w:hint="cs"/>
          <w:rtl/>
        </w:rPr>
        <w:t xml:space="preserve"> משרד ראש הממשלה קורא בתשובתו לשיתוף פעולה בין כלל השחקנים בנגב המערבי העוסקים בתחום זה.</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עיריית </w:t>
      </w:r>
      <w:r w:rsidRPr="00B97E44">
        <w:rPr>
          <w:rFonts w:hint="eastAsia"/>
          <w:b/>
          <w:bCs/>
          <w:rtl/>
        </w:rPr>
        <w:t>נתיבות</w:t>
      </w:r>
      <w:r w:rsidRPr="00B97E44">
        <w:rPr>
          <w:rFonts w:hint="cs"/>
          <w:rtl/>
        </w:rPr>
        <w:t xml:space="preserve"> ציינה בתשובתה כי המלחמה הובילה לפגיעה בחוסן </w:t>
      </w:r>
      <w:r>
        <w:rPr>
          <w:rFonts w:hint="cs"/>
          <w:rtl/>
        </w:rPr>
        <w:t>ה</w:t>
      </w:r>
      <w:r w:rsidRPr="00B97E44">
        <w:rPr>
          <w:rFonts w:hint="cs"/>
          <w:rtl/>
        </w:rPr>
        <w:t>חברתי</w:t>
      </w:r>
      <w:r>
        <w:rPr>
          <w:rFonts w:hint="cs"/>
          <w:rtl/>
        </w:rPr>
        <w:t xml:space="preserve"> - כלכלי</w:t>
      </w:r>
      <w:r w:rsidRPr="00B97E44">
        <w:rPr>
          <w:rFonts w:hint="cs"/>
          <w:rtl/>
        </w:rPr>
        <w:t xml:space="preserve"> של תושבי העיר וכי על הממשלה, בייחוד נוכח ההתפתחות האורבנית והדמוגרפית באזור, מוטלת האחריות לפעול ליצירת מנועי צמיחה כלכליים אזוריים שייתנו מענים לצורכיהם של כלל תושבי הנגב המערבי בתחומי התעסוקה, היזמות והתעשיות.</w:t>
      </w:r>
    </w:p>
    <w:p w:rsidR="005B126E" w:rsidP="001916A9">
      <w:pPr>
        <w:spacing w:line="269" w:lineRule="auto"/>
        <w:rPr>
          <w:b/>
          <w:bCs/>
          <w:rtl/>
        </w:rPr>
      </w:pPr>
    </w:p>
    <w:p w:rsidR="005B126E" w:rsidRPr="00B97E44" w:rsidP="001916A9">
      <w:pPr>
        <w:spacing w:line="269" w:lineRule="auto"/>
        <w:rPr>
          <w:b/>
          <w:bCs/>
          <w:rtl/>
        </w:rPr>
      </w:pPr>
      <w:r w:rsidRPr="00B97E44">
        <w:rPr>
          <w:rFonts w:hint="cs"/>
          <w:b/>
          <w:bCs/>
          <w:rtl/>
        </w:rPr>
        <w:t xml:space="preserve">משרד מבקר המדינה ממליץ למשרד ראש הממשלה </w:t>
      </w:r>
      <w:r w:rsidRPr="00B97E44">
        <w:rPr>
          <w:rFonts w:hint="cs"/>
          <w:b/>
          <w:bCs/>
          <w:rtl/>
        </w:rPr>
        <w:t>ולמינהלת</w:t>
      </w:r>
      <w:r w:rsidRPr="00B97E44">
        <w:rPr>
          <w:rFonts w:hint="cs"/>
          <w:b/>
          <w:bCs/>
          <w:rtl/>
        </w:rPr>
        <w:t xml:space="preserve"> תקומה לפעול לפיתוח מנועי צמיחה בנגב המערבי מנקודת מבט אזורית ולבחון, בין השאר, את ההשפעה האפשרית של פיתוח מנועי צמיחה בחבל התקומה על התעשייה הקיימת ברשויות הסמוכות. עוד ממליץ משרד מבקר המדינה </w:t>
      </w:r>
      <w:r w:rsidRPr="00B97E44">
        <w:rPr>
          <w:rFonts w:hint="cs"/>
          <w:b/>
          <w:bCs/>
          <w:rtl/>
        </w:rPr>
        <w:t>למינהלת</w:t>
      </w:r>
      <w:r w:rsidRPr="00B97E44">
        <w:rPr>
          <w:rFonts w:hint="cs"/>
          <w:b/>
          <w:bCs/>
          <w:rtl/>
        </w:rPr>
        <w:t xml:space="preserve"> תקומה לשתף פעולה עם הרשויות הסמוכות באופן ישיר בקידום תוכניות פיתוח אזוריות בכלל התחומים</w:t>
      </w:r>
      <w:r>
        <w:rPr>
          <w:rFonts w:hint="cs"/>
          <w:b/>
          <w:bCs/>
          <w:rtl/>
        </w:rPr>
        <w:t>,</w:t>
      </w:r>
      <w:r w:rsidRPr="00B97E44">
        <w:rPr>
          <w:rFonts w:hint="cs"/>
          <w:b/>
          <w:bCs/>
          <w:rtl/>
        </w:rPr>
        <w:t xml:space="preserve"> ובתחום </w:t>
      </w:r>
      <w:r w:rsidRPr="00B97E44">
        <w:rPr>
          <w:rFonts w:hint="cs"/>
          <w:b/>
          <w:bCs/>
          <w:rtl/>
        </w:rPr>
        <w:t>האגרו</w:t>
      </w:r>
      <w:r w:rsidRPr="00B97E44">
        <w:rPr>
          <w:rFonts w:hint="cs"/>
          <w:b/>
          <w:bCs/>
          <w:rtl/>
        </w:rPr>
        <w:t>-טק והחקלאות המתקדמת בפרט לקידום זמינות וביטחון מזון במדינת ישראל בכלל ובפרט לטובת חקלאי האזור ותושביו.</w:t>
      </w:r>
    </w:p>
    <w:p w:rsidR="005B126E" w:rsidP="001916A9">
      <w:pPr>
        <w:spacing w:line="269" w:lineRule="auto"/>
        <w:contextualSpacing/>
        <w:rPr>
          <w:b/>
          <w:bCs/>
          <w:rtl/>
        </w:rPr>
      </w:pPr>
    </w:p>
    <w:p w:rsidR="005B126E" w:rsidP="001916A9">
      <w:pPr>
        <w:spacing w:line="269" w:lineRule="auto"/>
        <w:contextualSpacing/>
        <w:rPr>
          <w:b/>
          <w:bCs/>
          <w:sz w:val="24"/>
          <w:rtl/>
        </w:rPr>
      </w:pPr>
      <w:r w:rsidRPr="00B97E44">
        <w:rPr>
          <w:rFonts w:hint="cs"/>
          <w:b/>
          <w:bCs/>
          <w:rtl/>
        </w:rPr>
        <w:t xml:space="preserve">יש חשיבות רבה בהסתכלות רחבה וצופה פני עתיד על המרחב של חבל התקומה ותוך התייחסות לרקע ההיסטורי שעיצב בעבר ומעצב בהווה את המרחב. </w:t>
      </w:r>
      <w:r w:rsidRPr="00B97E44">
        <w:rPr>
          <w:rFonts w:hint="cs"/>
          <w:b/>
          <w:bCs/>
          <w:sz w:val="24"/>
          <w:rtl/>
        </w:rPr>
        <w:t xml:space="preserve">ייתכן כי דווקא מינהלת תקומה, שהיא גוף חיצוני שהוקם לטובת חבל התקומה, יכולה לסייע בחיזוק מנגנוני השלטון האזורי, </w:t>
      </w:r>
      <w:r w:rsidRPr="00AB6523">
        <w:rPr>
          <w:rFonts w:hint="cs"/>
          <w:b/>
          <w:bCs/>
          <w:sz w:val="24"/>
          <w:rtl/>
        </w:rPr>
        <w:t>בקידום מנועי</w:t>
      </w:r>
      <w:r w:rsidRPr="00AB6523">
        <w:rPr>
          <w:b/>
          <w:bCs/>
          <w:sz w:val="24"/>
          <w:rtl/>
        </w:rPr>
        <w:t xml:space="preserve"> </w:t>
      </w:r>
      <w:r w:rsidRPr="00AB6523">
        <w:rPr>
          <w:rFonts w:hint="eastAsia"/>
          <w:b/>
          <w:bCs/>
          <w:sz w:val="24"/>
          <w:rtl/>
        </w:rPr>
        <w:t>צמיחה</w:t>
      </w:r>
      <w:r w:rsidRPr="00AB6523">
        <w:rPr>
          <w:b/>
          <w:bCs/>
          <w:sz w:val="24"/>
          <w:rtl/>
        </w:rPr>
        <w:t xml:space="preserve"> </w:t>
      </w:r>
      <w:r w:rsidRPr="00AB6523">
        <w:rPr>
          <w:rFonts w:hint="eastAsia"/>
          <w:b/>
          <w:bCs/>
          <w:sz w:val="24"/>
          <w:rtl/>
        </w:rPr>
        <w:t>אזוריים</w:t>
      </w:r>
      <w:r w:rsidRPr="00AB6523">
        <w:rPr>
          <w:rFonts w:hint="cs"/>
          <w:b/>
          <w:bCs/>
          <w:sz w:val="24"/>
          <w:rtl/>
        </w:rPr>
        <w:t>,</w:t>
      </w:r>
      <w:r w:rsidRPr="00B97E44">
        <w:rPr>
          <w:rFonts w:hint="cs"/>
          <w:b/>
          <w:bCs/>
          <w:sz w:val="24"/>
          <w:rtl/>
        </w:rPr>
        <w:t xml:space="preserve"> </w:t>
      </w:r>
      <w:r>
        <w:rPr>
          <w:rFonts w:hint="cs"/>
          <w:b/>
          <w:bCs/>
          <w:sz w:val="24"/>
          <w:rtl/>
        </w:rPr>
        <w:t>ביצירה וחיזוק</w:t>
      </w:r>
      <w:r w:rsidRPr="00B97E44">
        <w:rPr>
          <w:rFonts w:hint="cs"/>
          <w:b/>
          <w:bCs/>
          <w:sz w:val="24"/>
          <w:rtl/>
        </w:rPr>
        <w:t xml:space="preserve"> שיתופי פעולה עם הרשויות הסמוכות לחבל, </w:t>
      </w:r>
      <w:r>
        <w:rPr>
          <w:rFonts w:hint="cs"/>
          <w:b/>
          <w:bCs/>
          <w:sz w:val="24"/>
          <w:rtl/>
        </w:rPr>
        <w:t>בצמצום</w:t>
      </w:r>
      <w:r w:rsidRPr="00B97E44">
        <w:rPr>
          <w:rFonts w:hint="cs"/>
          <w:b/>
          <w:bCs/>
          <w:sz w:val="24"/>
          <w:rtl/>
        </w:rPr>
        <w:t xml:space="preserve"> </w:t>
      </w:r>
      <w:r w:rsidRPr="00AB6523">
        <w:rPr>
          <w:rFonts w:hint="cs"/>
          <w:b/>
          <w:bCs/>
          <w:sz w:val="24"/>
          <w:rtl/>
        </w:rPr>
        <w:t xml:space="preserve">תחרות </w:t>
      </w:r>
      <w:r w:rsidRPr="00AB6523">
        <w:rPr>
          <w:b/>
          <w:bCs/>
          <w:sz w:val="24"/>
          <w:rtl/>
        </w:rPr>
        <w:t xml:space="preserve">על </w:t>
      </w:r>
      <w:r w:rsidRPr="00AB6523">
        <w:rPr>
          <w:rFonts w:hint="cs"/>
          <w:b/>
          <w:bCs/>
          <w:sz w:val="24"/>
          <w:rtl/>
        </w:rPr>
        <w:t>מנוע</w:t>
      </w:r>
      <w:r w:rsidRPr="00AB6523">
        <w:rPr>
          <w:b/>
          <w:bCs/>
          <w:sz w:val="24"/>
          <w:rtl/>
        </w:rPr>
        <w:t xml:space="preserve">י </w:t>
      </w:r>
      <w:r w:rsidRPr="00AB6523">
        <w:rPr>
          <w:rFonts w:hint="eastAsia"/>
          <w:b/>
          <w:bCs/>
          <w:sz w:val="24"/>
          <w:rtl/>
        </w:rPr>
        <w:t>צמיחה</w:t>
      </w:r>
      <w:r w:rsidRPr="00AB6523">
        <w:rPr>
          <w:rFonts w:hint="cs"/>
          <w:b/>
          <w:bCs/>
          <w:sz w:val="24"/>
          <w:rtl/>
        </w:rPr>
        <w:t>,</w:t>
      </w:r>
      <w:r w:rsidRPr="00B97E44">
        <w:rPr>
          <w:rFonts w:hint="cs"/>
          <w:b/>
          <w:bCs/>
          <w:sz w:val="24"/>
          <w:rtl/>
        </w:rPr>
        <w:t xml:space="preserve"> על השקעות ועל הטבות ו</w:t>
      </w:r>
      <w:r>
        <w:rPr>
          <w:rFonts w:hint="cs"/>
          <w:b/>
          <w:bCs/>
          <w:sz w:val="24"/>
          <w:rtl/>
        </w:rPr>
        <w:t>בסיוע</w:t>
      </w:r>
      <w:r w:rsidRPr="00B97E44">
        <w:rPr>
          <w:rFonts w:hint="cs"/>
          <w:b/>
          <w:bCs/>
          <w:sz w:val="24"/>
          <w:rtl/>
        </w:rPr>
        <w:t xml:space="preserve"> לאזור </w:t>
      </w:r>
      <w:r w:rsidRPr="00B97E44">
        <w:rPr>
          <w:b/>
          <w:bCs/>
          <w:rtl/>
        </w:rPr>
        <w:t>לעצב לעצמו מסלול פיתוח מותאם, גמיש ורלוונטי</w:t>
      </w:r>
      <w:r w:rsidRPr="00B97E44">
        <w:rPr>
          <w:b/>
          <w:bCs/>
        </w:rPr>
        <w:t>.</w:t>
      </w:r>
      <w:r>
        <w:rPr>
          <w:b/>
          <w:bCs/>
          <w:vertAlign w:val="superscript"/>
        </w:rPr>
        <w:footnoteReference w:id="164"/>
      </w:r>
      <w:r w:rsidRPr="00B97E44">
        <w:rPr>
          <w:rFonts w:hint="cs"/>
          <w:rtl/>
        </w:rPr>
        <w:t xml:space="preserve"> </w:t>
      </w:r>
    </w:p>
    <w:p w:rsidR="005B126E" w:rsidRPr="00B97E44" w:rsidP="001916A9">
      <w:pPr>
        <w:spacing w:line="269" w:lineRule="auto"/>
        <w:contextualSpacing/>
        <w:rPr>
          <w:b/>
          <w:bCs/>
          <w:sz w:val="24"/>
          <w:rtl/>
        </w:rPr>
      </w:pPr>
    </w:p>
    <w:p w:rsidR="005B126E" w:rsidP="00FC6AA9">
      <w:pPr>
        <w:pStyle w:val="Heading2"/>
        <w:spacing w:before="240" w:line="269" w:lineRule="auto"/>
        <w:rPr>
          <w:rtl/>
        </w:rPr>
      </w:pPr>
      <w:r w:rsidRPr="00B97E44">
        <w:rPr>
          <w:rFonts w:hint="cs"/>
          <w:rtl/>
        </w:rPr>
        <w:t>ביקורת מעקב - דוח ביניים בנושא הליכי השיקום של יישובי הנגב המערבי</w:t>
      </w:r>
    </w:p>
    <w:p w:rsidR="005B126E" w:rsidRPr="00FC6AA9" w:rsidP="002201F1">
      <w:pPr>
        <w:rPr>
          <w:rtl/>
        </w:rPr>
      </w:pPr>
    </w:p>
    <w:p w:rsidR="005B126E" w:rsidRPr="00B97E44" w:rsidP="003474AA">
      <w:pPr>
        <w:pStyle w:val="Heading4"/>
        <w:rPr>
          <w:rtl/>
        </w:rPr>
      </w:pPr>
      <w:bookmarkStart w:id="74" w:name="_Hlk207637107"/>
      <w:r w:rsidRPr="00B97E44">
        <w:rPr>
          <w:rFonts w:hint="eastAsia"/>
          <w:rtl/>
        </w:rPr>
        <w:t>מגורי</w:t>
      </w:r>
      <w:r w:rsidRPr="00B97E44">
        <w:rPr>
          <w:rtl/>
        </w:rPr>
        <w:t xml:space="preserve"> </w:t>
      </w:r>
      <w:r w:rsidRPr="00B97E44">
        <w:rPr>
          <w:rFonts w:hint="eastAsia"/>
          <w:rtl/>
        </w:rPr>
        <w:t>הביניים</w:t>
      </w:r>
      <w:r w:rsidRPr="00B97E44">
        <w:rPr>
          <w:rtl/>
        </w:rPr>
        <w:t xml:space="preserve"> </w:t>
      </w:r>
      <w:r w:rsidRPr="00B97E44">
        <w:rPr>
          <w:rFonts w:hint="eastAsia"/>
          <w:rtl/>
        </w:rPr>
        <w:t>של</w:t>
      </w:r>
      <w:r w:rsidRPr="00B97E44">
        <w:rPr>
          <w:rtl/>
        </w:rPr>
        <w:t xml:space="preserve"> </w:t>
      </w:r>
      <w:r w:rsidRPr="00B97E44">
        <w:rPr>
          <w:rFonts w:hint="eastAsia"/>
          <w:rtl/>
        </w:rPr>
        <w:t>תושבי</w:t>
      </w:r>
      <w:r w:rsidRPr="00B97E44">
        <w:rPr>
          <w:rtl/>
        </w:rPr>
        <w:t xml:space="preserve"> </w:t>
      </w:r>
      <w:r w:rsidRPr="00B97E44">
        <w:rPr>
          <w:rFonts w:hint="eastAsia"/>
          <w:rtl/>
        </w:rPr>
        <w:t>הקיבוצים</w:t>
      </w:r>
      <w:r w:rsidRPr="00B97E44">
        <w:rPr>
          <w:rtl/>
        </w:rPr>
        <w:t xml:space="preserve"> </w:t>
      </w:r>
      <w:r w:rsidRPr="00B97E44">
        <w:rPr>
          <w:rFonts w:ascii="David" w:hAnsi="David" w:hint="eastAsia"/>
          <w:rtl/>
        </w:rPr>
        <w:t>בארי</w:t>
      </w:r>
      <w:r>
        <w:rPr>
          <w:rFonts w:ascii="David" w:hAnsi="David" w:hint="cs"/>
          <w:rtl/>
        </w:rPr>
        <w:t>,</w:t>
      </w:r>
      <w:r w:rsidRPr="00B97E44">
        <w:rPr>
          <w:rFonts w:ascii="David" w:hAnsi="David"/>
          <w:rtl/>
        </w:rPr>
        <w:t xml:space="preserve"> </w:t>
      </w:r>
      <w:r w:rsidRPr="00B97E44">
        <w:rPr>
          <w:rFonts w:ascii="David" w:hAnsi="David" w:hint="eastAsia"/>
          <w:rtl/>
        </w:rPr>
        <w:t>חולית</w:t>
      </w:r>
      <w:r>
        <w:rPr>
          <w:rFonts w:hint="cs"/>
          <w:rtl/>
        </w:rPr>
        <w:t xml:space="preserve"> וכפר עזה</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בביקורת זו </w:t>
      </w:r>
      <w:r w:rsidRPr="00B97E44">
        <w:rPr>
          <w:rtl/>
        </w:rPr>
        <w:t xml:space="preserve">בוצע מעקב אחר תיקון ליקויים </w:t>
      </w:r>
      <w:r w:rsidRPr="00B97E44">
        <w:rPr>
          <w:rFonts w:hint="cs"/>
          <w:rtl/>
        </w:rPr>
        <w:t xml:space="preserve">בשלושה נושאים </w:t>
      </w:r>
      <w:r w:rsidRPr="00B97E44">
        <w:rPr>
          <w:rtl/>
        </w:rPr>
        <w:t>שעלו בדוח הבי</w:t>
      </w:r>
      <w:r w:rsidRPr="00B97E44">
        <w:rPr>
          <w:rFonts w:hint="cs"/>
          <w:rtl/>
        </w:rPr>
        <w:t>ניים שפורסם בפברואר 2025 בנושא הליכי השיקום של יישובי הנגב המערבי</w:t>
      </w:r>
      <w:r>
        <w:rPr>
          <w:vertAlign w:val="superscript"/>
          <w:rtl/>
        </w:rPr>
        <w:footnoteReference w:id="165"/>
      </w:r>
      <w:r w:rsidRPr="00B97E44">
        <w:rPr>
          <w:rFonts w:hint="cs"/>
          <w:rtl/>
        </w:rPr>
        <w:t xml:space="preserve"> (להלן גם - </w:t>
      </w:r>
      <w:r>
        <w:rPr>
          <w:rFonts w:hint="cs"/>
          <w:rtl/>
        </w:rPr>
        <w:t>דוח הביניים</w:t>
      </w:r>
      <w:r w:rsidRPr="00B97E44">
        <w:rPr>
          <w:rFonts w:hint="cs"/>
          <w:rtl/>
        </w:rPr>
        <w:t>)</w:t>
      </w:r>
      <w:r w:rsidRPr="00B97E44">
        <w:rPr>
          <w:rtl/>
        </w:rPr>
        <w:t xml:space="preserve">, אשר כלל בדיקה </w:t>
      </w:r>
      <w:r w:rsidRPr="00B97E44">
        <w:rPr>
          <w:rFonts w:hint="cs"/>
          <w:rtl/>
        </w:rPr>
        <w:t xml:space="preserve">בנוגע לתקלות שעלו במגורי הביניים של הקיבוצים בארי, חולית וכפר עזה, את נושא ההנצחה והחלפת </w:t>
      </w:r>
      <w:r w:rsidRPr="00B97E44">
        <w:rPr>
          <w:rFonts w:hint="cs"/>
          <w:rtl/>
        </w:rPr>
        <w:t>המיגונית</w:t>
      </w:r>
      <w:r w:rsidRPr="00B97E44">
        <w:rPr>
          <w:rFonts w:hint="cs"/>
          <w:rtl/>
        </w:rPr>
        <w:t xml:space="preserve"> הפגועה בשכונת מישור הגפן ב</w:t>
      </w:r>
      <w:r w:rsidRPr="007E1C6B">
        <w:rPr>
          <w:rFonts w:hint="cs"/>
          <w:b/>
          <w:bCs/>
          <w:rtl/>
        </w:rPr>
        <w:t>אופקים</w:t>
      </w:r>
      <w:r w:rsidRPr="00B97E44">
        <w:rPr>
          <w:rFonts w:hint="cs"/>
          <w:rtl/>
        </w:rPr>
        <w:t xml:space="preserve"> וכן אספקת שירותי רווחה לתושבי העיר אופקים שנפגעו באירועי שבעה באוקטובר.</w:t>
      </w:r>
    </w:p>
    <w:p w:rsidR="005B126E" w:rsidRPr="00B97E44" w:rsidP="001916A9">
      <w:pPr>
        <w:spacing w:line="269" w:lineRule="auto"/>
        <w:rPr>
          <w:rtl/>
        </w:rPr>
      </w:pPr>
    </w:p>
    <w:p w:rsidR="005B126E" w:rsidRPr="00B97E44" w:rsidP="001916A9">
      <w:pPr>
        <w:pStyle w:val="Heading5"/>
        <w:spacing w:line="269" w:lineRule="auto"/>
        <w:rPr>
          <w:rtl/>
        </w:rPr>
      </w:pPr>
      <w:r w:rsidRPr="00B97E44">
        <w:rPr>
          <w:rtl/>
        </w:rPr>
        <w:t>הביקורת הקודמת</w:t>
      </w:r>
    </w:p>
    <w:p w:rsidR="005B126E" w:rsidP="001916A9">
      <w:pPr>
        <w:spacing w:line="269" w:lineRule="auto"/>
        <w:rPr>
          <w:b/>
          <w:bCs/>
          <w:rtl/>
        </w:rPr>
      </w:pPr>
    </w:p>
    <w:p w:rsidR="005B126E" w:rsidRPr="00AB6523" w:rsidP="001916A9">
      <w:pPr>
        <w:spacing w:line="269" w:lineRule="auto"/>
        <w:rPr>
          <w:rtl/>
        </w:rPr>
      </w:pPr>
      <w:r w:rsidRPr="00DC6823">
        <w:rPr>
          <w:rStyle w:val="7"/>
          <w:rtl/>
        </w:rPr>
        <w:t xml:space="preserve">הליקוי </w:t>
      </w:r>
      <w:r w:rsidRPr="00DC6823">
        <w:rPr>
          <w:rStyle w:val="7"/>
          <w:rFonts w:hint="cs"/>
          <w:rtl/>
        </w:rPr>
        <w:t>ב</w:t>
      </w:r>
      <w:r w:rsidRPr="00DC6823">
        <w:rPr>
          <w:rStyle w:val="7"/>
          <w:rtl/>
        </w:rPr>
        <w:t>דוח הקודם:</w:t>
      </w:r>
      <w:r w:rsidRPr="00AB6523">
        <w:rPr>
          <w:rtl/>
        </w:rPr>
        <w:t xml:space="preserve"> </w:t>
      </w:r>
      <w:r w:rsidRPr="00AB6523">
        <w:rPr>
          <w:rFonts w:ascii="David" w:hAnsi="David" w:hint="cs"/>
          <w:rtl/>
        </w:rPr>
        <w:t>מינהלת תקומה הקימה שבעה אתרים זמניים בסביבה כפרית, עבור שישה מהיישובים שנפגעו קשה באירועי שבעה באוקטובר כדי לשמר את המבנה הקהילתי של היישובים. באתרים אלה נבנו ושופצו</w:t>
      </w:r>
      <w:r w:rsidRPr="00AB6523">
        <w:rPr>
          <w:rtl/>
        </w:rPr>
        <w:t xml:space="preserve"> 7</w:t>
      </w:r>
      <w:r w:rsidRPr="00AB6523">
        <w:rPr>
          <w:rFonts w:hint="cs"/>
          <w:rtl/>
        </w:rPr>
        <w:t>11</w:t>
      </w:r>
      <w:r w:rsidRPr="00AB6523">
        <w:rPr>
          <w:rtl/>
        </w:rPr>
        <w:t xml:space="preserve"> יחידות דיור</w:t>
      </w:r>
      <w:r>
        <w:rPr>
          <w:vertAlign w:val="superscript"/>
          <w:rtl/>
        </w:rPr>
        <w:footnoteReference w:id="166"/>
      </w:r>
      <w:r w:rsidRPr="00AB6523">
        <w:rPr>
          <w:rFonts w:hint="cs"/>
          <w:rtl/>
        </w:rPr>
        <w:t xml:space="preserve">. </w:t>
      </w:r>
      <w:r w:rsidRPr="00AB6523">
        <w:rPr>
          <w:rtl/>
        </w:rPr>
        <w:t xml:space="preserve">המבנים באתרים </w:t>
      </w:r>
      <w:r w:rsidRPr="00AB6523">
        <w:rPr>
          <w:rFonts w:hint="cs"/>
          <w:rtl/>
        </w:rPr>
        <w:t>אלה</w:t>
      </w:r>
      <w:r w:rsidRPr="00AB6523">
        <w:rPr>
          <w:rtl/>
        </w:rPr>
        <w:t xml:space="preserve"> </w:t>
      </w:r>
      <w:r w:rsidRPr="00AB6523">
        <w:rPr>
          <w:rFonts w:hint="eastAsia"/>
          <w:rtl/>
        </w:rPr>
        <w:t>נבנו</w:t>
      </w:r>
      <w:r w:rsidRPr="00AB6523">
        <w:rPr>
          <w:rtl/>
        </w:rPr>
        <w:t xml:space="preserve"> על ידי החטיבה להתיישבות,</w:t>
      </w:r>
      <w:r w:rsidRPr="00AB6523">
        <w:t xml:space="preserve"> </w:t>
      </w:r>
      <w:r w:rsidRPr="00AB6523">
        <w:rPr>
          <w:rFonts w:hint="cs"/>
          <w:rtl/>
        </w:rPr>
        <w:t>ש</w:t>
      </w:r>
      <w:r w:rsidRPr="00AB6523">
        <w:rPr>
          <w:rFonts w:hint="eastAsia"/>
          <w:rtl/>
        </w:rPr>
        <w:t>לה</w:t>
      </w:r>
      <w:r w:rsidRPr="00AB6523">
        <w:rPr>
          <w:rFonts w:hint="cs"/>
          <w:rtl/>
        </w:rPr>
        <w:t xml:space="preserve"> </w:t>
      </w:r>
      <w:r w:rsidRPr="00AB6523">
        <w:rPr>
          <w:rFonts w:hint="eastAsia"/>
          <w:rtl/>
        </w:rPr>
        <w:t>היו</w:t>
      </w:r>
      <w:r w:rsidRPr="00AB6523">
        <w:rPr>
          <w:rtl/>
        </w:rPr>
        <w:t xml:space="preserve"> </w:t>
      </w:r>
      <w:r w:rsidRPr="00AB6523">
        <w:rPr>
          <w:rFonts w:hint="eastAsia"/>
          <w:rtl/>
        </w:rPr>
        <w:t>מכרזים</w:t>
      </w:r>
      <w:r w:rsidRPr="00AB6523">
        <w:rPr>
          <w:rtl/>
        </w:rPr>
        <w:t xml:space="preserve"> </w:t>
      </w:r>
      <w:r w:rsidRPr="00AB6523">
        <w:rPr>
          <w:rFonts w:hint="eastAsia"/>
          <w:rtl/>
        </w:rPr>
        <w:t>קיימים</w:t>
      </w:r>
      <w:r w:rsidRPr="00AB6523">
        <w:rPr>
          <w:rtl/>
        </w:rPr>
        <w:t xml:space="preserve"> </w:t>
      </w:r>
      <w:r w:rsidRPr="00AB6523">
        <w:rPr>
          <w:rFonts w:hint="eastAsia"/>
          <w:rtl/>
        </w:rPr>
        <w:t>לרכש</w:t>
      </w:r>
      <w:r w:rsidRPr="00AB6523">
        <w:rPr>
          <w:rtl/>
        </w:rPr>
        <w:t xml:space="preserve"> </w:t>
      </w:r>
      <w:r w:rsidRPr="00AB6523">
        <w:rPr>
          <w:rFonts w:hint="eastAsia"/>
          <w:rtl/>
        </w:rPr>
        <w:t>מבנים</w:t>
      </w:r>
      <w:r w:rsidRPr="00AB6523">
        <w:rPr>
          <w:rtl/>
        </w:rPr>
        <w:t xml:space="preserve"> </w:t>
      </w:r>
      <w:r w:rsidRPr="00AB6523">
        <w:rPr>
          <w:rFonts w:hint="cs"/>
          <w:rtl/>
        </w:rPr>
        <w:t>ולהקמתם.</w:t>
      </w:r>
      <w:r w:rsidRPr="00AB6523">
        <w:rPr>
          <w:rFonts w:ascii="David" w:hAnsi="David" w:hint="cs"/>
          <w:rtl/>
        </w:rPr>
        <w:t xml:space="preserve"> העלות של הקמת מבני המגורים הכפריים בשלושת היישובים הכפריים שנבדקו מוערכת בכמיליארד ש"ח</w:t>
      </w:r>
      <w:r>
        <w:rPr>
          <w:rFonts w:ascii="David" w:hAnsi="David"/>
          <w:vertAlign w:val="superscript"/>
          <w:rtl/>
        </w:rPr>
        <w:footnoteReference w:id="167"/>
      </w:r>
      <w:r w:rsidRPr="00AB6523">
        <w:rPr>
          <w:rFonts w:ascii="David" w:hAnsi="David" w:hint="cs"/>
          <w:rtl/>
        </w:rPr>
        <w:t>.</w:t>
      </w:r>
    </w:p>
    <w:p w:rsidR="005B126E" w:rsidP="001916A9">
      <w:pPr>
        <w:spacing w:line="269" w:lineRule="auto"/>
        <w:rPr>
          <w:rtl/>
        </w:rPr>
      </w:pPr>
    </w:p>
    <w:p w:rsidR="005B126E" w:rsidRPr="00AB6523" w:rsidP="001916A9">
      <w:pPr>
        <w:spacing w:line="269" w:lineRule="auto"/>
        <w:rPr>
          <w:rtl/>
        </w:rPr>
      </w:pPr>
      <w:r w:rsidRPr="00AB6523">
        <w:rPr>
          <w:rFonts w:hint="cs"/>
          <w:rtl/>
        </w:rPr>
        <w:t xml:space="preserve">בדוח </w:t>
      </w:r>
      <w:r w:rsidRPr="00AB6523">
        <w:rPr>
          <w:rFonts w:ascii="David" w:hAnsi="David" w:hint="cs"/>
          <w:rtl/>
        </w:rPr>
        <w:t>הביניים נמצאו ליקויים בהקמת מגורי הביניים ובמעבר של תושבי הקיבוצים כפר עזה לרוחמה, בארי לחצרים וחולית לרביבים</w:t>
      </w:r>
      <w:r>
        <w:rPr>
          <w:rFonts w:ascii="David" w:hAnsi="David"/>
          <w:vertAlign w:val="superscript"/>
          <w:rtl/>
        </w:rPr>
        <w:footnoteReference w:id="168"/>
      </w:r>
      <w:r w:rsidRPr="00AB6523">
        <w:rPr>
          <w:rFonts w:ascii="David" w:hAnsi="David" w:hint="cs"/>
          <w:rtl/>
        </w:rPr>
        <w:t>, עד לשיקום יישובי הקבע שנפגעו באירועי שבעה באוקטובר. בכלל זה עלה כי</w:t>
      </w:r>
      <w:r w:rsidRPr="00AB6523">
        <w:rPr>
          <w:rFonts w:hint="cs"/>
          <w:rtl/>
        </w:rPr>
        <w:t xml:space="preserve"> </w:t>
      </w:r>
      <w:r w:rsidRPr="00AB6523">
        <w:rPr>
          <w:rFonts w:hint="eastAsia"/>
          <w:rtl/>
        </w:rPr>
        <w:t>במבני</w:t>
      </w:r>
      <w:r w:rsidRPr="00AB6523">
        <w:rPr>
          <w:rtl/>
        </w:rPr>
        <w:t xml:space="preserve"> </w:t>
      </w:r>
      <w:r w:rsidRPr="00AB6523">
        <w:rPr>
          <w:rFonts w:hint="eastAsia"/>
          <w:rtl/>
        </w:rPr>
        <w:t>המגורים</w:t>
      </w:r>
      <w:r w:rsidRPr="00AB6523">
        <w:rPr>
          <w:rtl/>
        </w:rPr>
        <w:t xml:space="preserve"> </w:t>
      </w:r>
      <w:r w:rsidRPr="00AB6523">
        <w:rPr>
          <w:rFonts w:hint="cs"/>
          <w:rtl/>
        </w:rPr>
        <w:t>היו</w:t>
      </w:r>
      <w:r w:rsidRPr="00AB6523">
        <w:rPr>
          <w:rtl/>
        </w:rPr>
        <w:t xml:space="preserve"> </w:t>
      </w:r>
      <w:r w:rsidRPr="00AB6523">
        <w:rPr>
          <w:rFonts w:hint="eastAsia"/>
          <w:rtl/>
        </w:rPr>
        <w:t>ליקויים</w:t>
      </w:r>
      <w:r w:rsidRPr="00AB6523">
        <w:rPr>
          <w:rtl/>
        </w:rPr>
        <w:t xml:space="preserve">, </w:t>
      </w:r>
      <w:r w:rsidRPr="00AB6523">
        <w:rPr>
          <w:rFonts w:hint="cs"/>
          <w:rtl/>
        </w:rPr>
        <w:t xml:space="preserve">וכי </w:t>
      </w:r>
      <w:r w:rsidRPr="00AB6523">
        <w:rPr>
          <w:rFonts w:hint="eastAsia"/>
          <w:rtl/>
        </w:rPr>
        <w:t>התשתיות</w:t>
      </w:r>
      <w:r w:rsidRPr="00AB6523">
        <w:rPr>
          <w:rtl/>
        </w:rPr>
        <w:t xml:space="preserve"> </w:t>
      </w:r>
      <w:r w:rsidRPr="00AB6523">
        <w:rPr>
          <w:rFonts w:hint="eastAsia"/>
          <w:rtl/>
        </w:rPr>
        <w:t>סביב</w:t>
      </w:r>
      <w:r w:rsidRPr="00AB6523">
        <w:rPr>
          <w:rtl/>
        </w:rPr>
        <w:t xml:space="preserve"> </w:t>
      </w:r>
      <w:r w:rsidRPr="00AB6523">
        <w:rPr>
          <w:rFonts w:hint="eastAsia"/>
          <w:rtl/>
        </w:rPr>
        <w:t>הבתים</w:t>
      </w:r>
      <w:r w:rsidRPr="00AB6523">
        <w:rPr>
          <w:rtl/>
        </w:rPr>
        <w:t xml:space="preserve"> </w:t>
      </w:r>
      <w:r w:rsidRPr="00AB6523">
        <w:rPr>
          <w:rFonts w:hint="eastAsia"/>
          <w:rtl/>
        </w:rPr>
        <w:t>ובמרחב</w:t>
      </w:r>
      <w:r w:rsidRPr="00AB6523">
        <w:rPr>
          <w:rtl/>
        </w:rPr>
        <w:t xml:space="preserve"> </w:t>
      </w:r>
      <w:r w:rsidRPr="00AB6523">
        <w:rPr>
          <w:rFonts w:hint="eastAsia"/>
          <w:rtl/>
        </w:rPr>
        <w:t>הציבורי</w:t>
      </w:r>
      <w:r w:rsidRPr="00AB6523">
        <w:rPr>
          <w:rtl/>
        </w:rPr>
        <w:t xml:space="preserve"> </w:t>
      </w:r>
      <w:r w:rsidRPr="00AB6523">
        <w:rPr>
          <w:rFonts w:hint="eastAsia"/>
          <w:rtl/>
        </w:rPr>
        <w:t>טרם</w:t>
      </w:r>
      <w:r w:rsidRPr="00AB6523">
        <w:rPr>
          <w:rtl/>
        </w:rPr>
        <w:t xml:space="preserve"> </w:t>
      </w:r>
      <w:r w:rsidRPr="00AB6523">
        <w:rPr>
          <w:rFonts w:hint="eastAsia"/>
          <w:rtl/>
        </w:rPr>
        <w:t>הושלמו</w:t>
      </w:r>
      <w:r w:rsidRPr="00AB6523">
        <w:rPr>
          <w:rFonts w:hint="cs"/>
          <w:rtl/>
        </w:rPr>
        <w:t xml:space="preserve">. </w:t>
      </w:r>
      <w:r w:rsidRPr="00AB6523">
        <w:rPr>
          <w:rFonts w:ascii="David" w:hAnsi="David" w:hint="cs"/>
          <w:rtl/>
        </w:rPr>
        <w:t>עוד עלה בדוח כי</w:t>
      </w:r>
      <w:r w:rsidRPr="00AB6523">
        <w:rPr>
          <w:rFonts w:hint="cs"/>
          <w:rtl/>
        </w:rPr>
        <w:t xml:space="preserve"> נכון לאמצע ינואר 2025</w:t>
      </w:r>
      <w:r w:rsidRPr="00AB6523">
        <w:rPr>
          <w:rtl/>
        </w:rPr>
        <w:t xml:space="preserve"> נפתחו </w:t>
      </w:r>
      <w:r w:rsidRPr="00AB6523">
        <w:rPr>
          <w:rFonts w:hint="cs"/>
          <w:rtl/>
        </w:rPr>
        <w:t>יותר מ-</w:t>
      </w:r>
      <w:r w:rsidRPr="00AB6523">
        <w:rPr>
          <w:rtl/>
        </w:rPr>
        <w:t>700 קריאות ל</w:t>
      </w:r>
      <w:r w:rsidRPr="00AB6523">
        <w:rPr>
          <w:rFonts w:hint="cs"/>
          <w:rtl/>
        </w:rPr>
        <w:t>טיפול ב</w:t>
      </w:r>
      <w:r w:rsidRPr="00AB6523">
        <w:rPr>
          <w:rtl/>
        </w:rPr>
        <w:t>תקלות</w:t>
      </w:r>
      <w:r w:rsidRPr="00AB6523">
        <w:rPr>
          <w:rFonts w:hint="cs"/>
          <w:rtl/>
        </w:rPr>
        <w:t xml:space="preserve"> במבנים</w:t>
      </w:r>
      <w:r w:rsidRPr="00AB6523">
        <w:rPr>
          <w:rtl/>
        </w:rPr>
        <w:t xml:space="preserve"> בכלל האתרים</w:t>
      </w:r>
      <w:r w:rsidRPr="00AB6523">
        <w:rPr>
          <w:rFonts w:hint="cs"/>
          <w:rtl/>
        </w:rPr>
        <w:t xml:space="preserve"> </w:t>
      </w:r>
      <w:r w:rsidRPr="00AB6523">
        <w:rPr>
          <w:rtl/>
        </w:rPr>
        <w:t>הזמניים שהקימה החטיבה</w:t>
      </w:r>
      <w:r w:rsidRPr="00AB6523">
        <w:rPr>
          <w:rFonts w:hint="cs"/>
          <w:rtl/>
        </w:rPr>
        <w:t xml:space="preserve"> להתיישבות</w:t>
      </w:r>
      <w:r w:rsidRPr="00AB6523">
        <w:rPr>
          <w:rtl/>
        </w:rPr>
        <w:t xml:space="preserve"> </w:t>
      </w:r>
      <w:r w:rsidRPr="00AB6523">
        <w:rPr>
          <w:rFonts w:hint="cs"/>
          <w:rtl/>
        </w:rPr>
        <w:t>ובכ-200 מ</w:t>
      </w:r>
      <w:r w:rsidRPr="00AB6523">
        <w:rPr>
          <w:rtl/>
        </w:rPr>
        <w:t xml:space="preserve">תוכן הטיפול </w:t>
      </w:r>
      <w:r w:rsidRPr="00AB6523">
        <w:rPr>
          <w:rFonts w:hint="cs"/>
          <w:rtl/>
        </w:rPr>
        <w:t xml:space="preserve">טרם הסתיים עד למועד סיום הביקורת </w:t>
      </w:r>
      <w:r w:rsidRPr="00AB6523">
        <w:rPr>
          <w:rFonts w:hint="eastAsia"/>
          <w:rtl/>
        </w:rPr>
        <w:t>בדוח</w:t>
      </w:r>
      <w:r w:rsidRPr="00AB6523">
        <w:rPr>
          <w:rtl/>
        </w:rPr>
        <w:t xml:space="preserve"> </w:t>
      </w:r>
      <w:r w:rsidRPr="00AB6523">
        <w:rPr>
          <w:rFonts w:hint="eastAsia"/>
          <w:rtl/>
        </w:rPr>
        <w:t>הביניים</w:t>
      </w:r>
      <w:r w:rsidRPr="00AB6523">
        <w:rPr>
          <w:rtl/>
        </w:rPr>
        <w:t>.</w:t>
      </w:r>
    </w:p>
    <w:p w:rsidR="005B126E" w:rsidP="001916A9">
      <w:pPr>
        <w:spacing w:line="269" w:lineRule="auto"/>
        <w:rPr>
          <w:b/>
          <w:bCs/>
          <w:rtl/>
        </w:rPr>
      </w:pPr>
    </w:p>
    <w:p w:rsidR="005B126E" w:rsidRPr="00B97E44" w:rsidP="001916A9">
      <w:pPr>
        <w:spacing w:line="269" w:lineRule="auto"/>
        <w:rPr>
          <w:rFonts w:ascii="David" w:hAnsi="David"/>
          <w:rtl/>
        </w:rPr>
      </w:pPr>
      <w:r w:rsidRPr="00DC6823">
        <w:rPr>
          <w:rStyle w:val="7"/>
          <w:rtl/>
        </w:rPr>
        <w:t>ההמלצה</w:t>
      </w:r>
      <w:r w:rsidRPr="00DC6823">
        <w:rPr>
          <w:rStyle w:val="7"/>
          <w:rFonts w:hint="cs"/>
          <w:rtl/>
        </w:rPr>
        <w:t xml:space="preserve"> בד</w:t>
      </w:r>
      <w:r w:rsidRPr="00DC6823">
        <w:rPr>
          <w:rStyle w:val="7"/>
          <w:rtl/>
        </w:rPr>
        <w:t>וח הקודם:</w:t>
      </w:r>
      <w:r w:rsidRPr="00AB6523">
        <w:rPr>
          <w:rtl/>
        </w:rPr>
        <w:t xml:space="preserve"> </w:t>
      </w:r>
      <w:r w:rsidRPr="00AB6523">
        <w:rPr>
          <w:rFonts w:ascii="David" w:hAnsi="David" w:hint="cs"/>
          <w:rtl/>
        </w:rPr>
        <w:t xml:space="preserve">נוכח התקלות במגורים הזמניים המליץ משרד מבקר המדינה בדוח הביניים כי </w:t>
      </w:r>
      <w:r w:rsidRPr="00AB6523">
        <w:rPr>
          <w:rtl/>
        </w:rPr>
        <w:t xml:space="preserve">מינהלת תקומה </w:t>
      </w:r>
      <w:r w:rsidRPr="00AB6523">
        <w:rPr>
          <w:rFonts w:hint="cs"/>
          <w:rtl/>
        </w:rPr>
        <w:t>תפעל</w:t>
      </w:r>
      <w:r w:rsidRPr="00AB6523">
        <w:rPr>
          <w:rtl/>
        </w:rPr>
        <w:t xml:space="preserve"> להשלמת הבנייה</w:t>
      </w:r>
      <w:r w:rsidRPr="00AB6523">
        <w:rPr>
          <w:rFonts w:hint="cs"/>
          <w:rtl/>
        </w:rPr>
        <w:t xml:space="preserve"> </w:t>
      </w:r>
      <w:bookmarkStart w:id="75" w:name="_Hlk207189185"/>
      <w:r w:rsidRPr="00AB6523">
        <w:rPr>
          <w:rFonts w:hint="cs"/>
          <w:rtl/>
        </w:rPr>
        <w:t>והטיפול בתקלות</w:t>
      </w:r>
      <w:r w:rsidRPr="00AB6523">
        <w:rPr>
          <w:rtl/>
        </w:rPr>
        <w:t xml:space="preserve"> בשכונות בקיבוצים חצרים, רביבים ורוחמה</w:t>
      </w:r>
      <w:r w:rsidRPr="00AB6523">
        <w:rPr>
          <w:rFonts w:hint="cs"/>
          <w:rtl/>
        </w:rPr>
        <w:t xml:space="preserve"> ותסדיר את </w:t>
      </w:r>
      <w:r w:rsidRPr="00AB6523">
        <w:rPr>
          <w:rtl/>
        </w:rPr>
        <w:t>ביצועם של פיקוח ובקרה אפקטיביים על הקבלנים המבצעים והגורמים האחראים לתשתיות בשכונות החדשות שהוקמו</w:t>
      </w:r>
      <w:bookmarkEnd w:id="75"/>
      <w:r w:rsidRPr="00AB6523">
        <w:rPr>
          <w:rFonts w:hint="cs"/>
          <w:rtl/>
        </w:rPr>
        <w:t xml:space="preserve">, </w:t>
      </w:r>
      <w:r w:rsidRPr="00AB6523">
        <w:rPr>
          <w:rtl/>
        </w:rPr>
        <w:t>כדי לאפשר לתושבי הקיבוצים בארי, חולית וכפר עזה את הפניות הנדרשת כדי להשתקם באופן אישי וקהילתי</w:t>
      </w:r>
      <w:r w:rsidRPr="00AB6523">
        <w:rPr>
          <w:rFonts w:ascii="David" w:hAnsi="David" w:hint="cs"/>
          <w:rtl/>
        </w:rPr>
        <w:t>.</w:t>
      </w:r>
    </w:p>
    <w:p w:rsidR="005B126E" w:rsidP="001916A9">
      <w:pPr>
        <w:spacing w:line="269" w:lineRule="auto"/>
        <w:rPr>
          <w:sz w:val="24"/>
          <w:rtl/>
        </w:rPr>
      </w:pPr>
    </w:p>
    <w:p w:rsidR="005B126E" w:rsidRPr="00AB6523" w:rsidP="001916A9">
      <w:pPr>
        <w:spacing w:line="269" w:lineRule="auto"/>
        <w:rPr>
          <w:sz w:val="24"/>
          <w:rtl/>
        </w:rPr>
      </w:pPr>
      <w:r w:rsidRPr="00B97E44">
        <w:rPr>
          <w:rFonts w:hint="cs"/>
          <w:sz w:val="24"/>
          <w:rtl/>
        </w:rPr>
        <w:t xml:space="preserve">בתשובתה לדוח הביניים השיבה מינהלת תקומה כי מתוך הבנה לדחיפות שבאכלוס יחידות הדיור הזמניות, התקבלה החלטה בנוגע לסף המינימלי של הביצוע שעמידה בו מאפשרת כניסה ליחידת </w:t>
      </w:r>
      <w:r w:rsidRPr="00AB6523">
        <w:rPr>
          <w:rFonts w:hint="cs"/>
          <w:sz w:val="24"/>
          <w:rtl/>
        </w:rPr>
        <w:t>דיור, כיוון שהמשך המגורים במלונות גובה מחירים בתחומי חיים רבים.</w:t>
      </w:r>
    </w:p>
    <w:p w:rsidR="005B126E" w:rsidP="001916A9">
      <w:pPr>
        <w:spacing w:line="269" w:lineRule="auto"/>
        <w:rPr>
          <w:rtl/>
        </w:rPr>
      </w:pPr>
    </w:p>
    <w:p w:rsidR="005B126E" w:rsidRPr="00AB6523" w:rsidP="001916A9">
      <w:pPr>
        <w:spacing w:line="269" w:lineRule="auto"/>
        <w:rPr>
          <w:rtl/>
        </w:rPr>
      </w:pPr>
      <w:r w:rsidRPr="00AB6523">
        <w:rPr>
          <w:rtl/>
        </w:rPr>
        <w:t xml:space="preserve">החטיבה </w:t>
      </w:r>
      <w:r w:rsidRPr="00AB6523">
        <w:rPr>
          <w:rFonts w:hint="cs"/>
          <w:rtl/>
        </w:rPr>
        <w:t xml:space="preserve">להתיישבות השיבה כי היא </w:t>
      </w:r>
      <w:r w:rsidRPr="00AB6523">
        <w:rPr>
          <w:rtl/>
        </w:rPr>
        <w:t xml:space="preserve">אינה </w:t>
      </w:r>
      <w:r w:rsidRPr="00AB6523">
        <w:rPr>
          <w:rFonts w:hint="cs"/>
          <w:rtl/>
        </w:rPr>
        <w:t xml:space="preserve">מכחישה את </w:t>
      </w:r>
      <w:r w:rsidRPr="00AB6523">
        <w:rPr>
          <w:rtl/>
        </w:rPr>
        <w:t>העובדה שהיו תקלות וש</w:t>
      </w:r>
      <w:r w:rsidRPr="00AB6523">
        <w:rPr>
          <w:rFonts w:hint="cs"/>
          <w:rtl/>
        </w:rPr>
        <w:t xml:space="preserve">נדרש זמן רב יחסית לתקנן, </w:t>
      </w:r>
      <w:r w:rsidRPr="00AB6523">
        <w:rPr>
          <w:rtl/>
        </w:rPr>
        <w:t>אך</w:t>
      </w:r>
      <w:r w:rsidRPr="00AB6523">
        <w:rPr>
          <w:rFonts w:hint="cs"/>
          <w:rtl/>
        </w:rPr>
        <w:t xml:space="preserve"> </w:t>
      </w:r>
      <w:r w:rsidRPr="00AB6523">
        <w:rPr>
          <w:rtl/>
        </w:rPr>
        <w:t>לא היו תקלות שהוזנחו</w:t>
      </w:r>
      <w:r w:rsidRPr="00AB6523">
        <w:rPr>
          <w:rFonts w:hint="cs"/>
          <w:rtl/>
        </w:rPr>
        <w:t>. עוד הדגישה החטיבה כי</w:t>
      </w:r>
      <w:r w:rsidRPr="00AB6523">
        <w:rPr>
          <w:rtl/>
        </w:rPr>
        <w:t xml:space="preserve"> לא ניתן</w:t>
      </w:r>
      <w:r w:rsidRPr="00AB6523">
        <w:rPr>
          <w:rFonts w:hint="cs"/>
          <w:rtl/>
        </w:rPr>
        <w:t xml:space="preserve"> </w:t>
      </w:r>
      <w:r w:rsidRPr="00AB6523">
        <w:rPr>
          <w:rtl/>
        </w:rPr>
        <w:t xml:space="preserve">להתעלם </w:t>
      </w:r>
      <w:r w:rsidRPr="00AB6523">
        <w:rPr>
          <w:rFonts w:hint="cs"/>
          <w:rtl/>
        </w:rPr>
        <w:t>מהמספר העצום</w:t>
      </w:r>
      <w:r w:rsidRPr="00AB6523">
        <w:rPr>
          <w:rtl/>
        </w:rPr>
        <w:t xml:space="preserve"> של מבנים שכלל הספקים סיפקו </w:t>
      </w:r>
      <w:r w:rsidRPr="00AB6523">
        <w:rPr>
          <w:rFonts w:hint="cs"/>
          <w:rtl/>
        </w:rPr>
        <w:t>בעת ובעונה אחת</w:t>
      </w:r>
      <w:r w:rsidRPr="00AB6523">
        <w:rPr>
          <w:rtl/>
        </w:rPr>
        <w:t xml:space="preserve"> לאתרים שונים, ול</w:t>
      </w:r>
      <w:r w:rsidRPr="00AB6523">
        <w:rPr>
          <w:rFonts w:hint="cs"/>
          <w:rtl/>
        </w:rPr>
        <w:t>עובדה שה</w:t>
      </w:r>
      <w:r w:rsidRPr="00AB6523">
        <w:rPr>
          <w:rtl/>
        </w:rPr>
        <w:t>ייתה</w:t>
      </w:r>
      <w:r w:rsidRPr="00AB6523">
        <w:rPr>
          <w:rFonts w:hint="cs"/>
          <w:rtl/>
        </w:rPr>
        <w:t xml:space="preserve"> לכך </w:t>
      </w:r>
      <w:r w:rsidRPr="00AB6523">
        <w:rPr>
          <w:rtl/>
        </w:rPr>
        <w:t>השפעה על היכולת להיות נגישים לביצוע תיקונים בזמינות גבוהה</w:t>
      </w:r>
      <w:r w:rsidRPr="00AB6523">
        <w:t>.</w:t>
      </w:r>
    </w:p>
    <w:p w:rsidR="005B126E" w:rsidRPr="00AB6523" w:rsidP="001916A9">
      <w:pPr>
        <w:spacing w:line="269" w:lineRule="auto"/>
        <w:rPr>
          <w:rtl/>
        </w:rPr>
      </w:pPr>
    </w:p>
    <w:p w:rsidR="005B126E" w:rsidRPr="00AB6523" w:rsidP="001916A9">
      <w:pPr>
        <w:pStyle w:val="Heading5"/>
        <w:spacing w:line="269" w:lineRule="auto"/>
        <w:rPr>
          <w:rtl/>
        </w:rPr>
      </w:pPr>
      <w:r w:rsidRPr="00AB6523">
        <w:rPr>
          <w:rFonts w:hint="eastAsia"/>
          <w:rtl/>
        </w:rPr>
        <w:t>ביקורת</w:t>
      </w:r>
      <w:r w:rsidRPr="00AB6523">
        <w:rPr>
          <w:rtl/>
        </w:rPr>
        <w:t xml:space="preserve"> </w:t>
      </w:r>
      <w:r w:rsidRPr="00AB6523">
        <w:rPr>
          <w:rFonts w:hint="eastAsia"/>
          <w:rtl/>
        </w:rPr>
        <w:t>המעקב</w:t>
      </w:r>
    </w:p>
    <w:p w:rsidR="005B126E" w:rsidP="001916A9">
      <w:pPr>
        <w:spacing w:line="269" w:lineRule="auto"/>
        <w:rPr>
          <w:rtl/>
        </w:rPr>
      </w:pPr>
    </w:p>
    <w:p w:rsidR="005B126E" w:rsidRPr="00B97E44" w:rsidP="001916A9">
      <w:pPr>
        <w:spacing w:line="269" w:lineRule="auto"/>
        <w:rPr>
          <w:rtl/>
        </w:rPr>
      </w:pPr>
      <w:r w:rsidRPr="00AB6523">
        <w:rPr>
          <w:rFonts w:hint="eastAsia"/>
          <w:rtl/>
        </w:rPr>
        <w:t>במעקב</w:t>
      </w:r>
      <w:r w:rsidRPr="00AB6523">
        <w:rPr>
          <w:rtl/>
        </w:rPr>
        <w:t xml:space="preserve"> שערך משרד מבקר המדינה </w:t>
      </w:r>
      <w:r w:rsidRPr="00AB6523">
        <w:rPr>
          <w:rFonts w:hint="cs"/>
          <w:rtl/>
        </w:rPr>
        <w:t xml:space="preserve">אחר </w:t>
      </w:r>
      <w:r w:rsidRPr="00AB6523">
        <w:rPr>
          <w:rtl/>
        </w:rPr>
        <w:t xml:space="preserve">טיפול בתקלות שעלו במבנים הזמניים </w:t>
      </w:r>
      <w:r w:rsidRPr="00AB6523">
        <w:rPr>
          <w:rFonts w:hint="cs"/>
          <w:rtl/>
        </w:rPr>
        <w:t>ב</w:t>
      </w:r>
      <w:r w:rsidRPr="00AB6523">
        <w:rPr>
          <w:rtl/>
        </w:rPr>
        <w:t xml:space="preserve">חודשים מרץ </w:t>
      </w:r>
      <w:r w:rsidRPr="00AB6523">
        <w:rPr>
          <w:rFonts w:hint="cs"/>
          <w:rtl/>
        </w:rPr>
        <w:t>-</w:t>
      </w:r>
      <w:r w:rsidRPr="00AB6523">
        <w:rPr>
          <w:rtl/>
        </w:rPr>
        <w:t xml:space="preserve"> מאי 2025 במגורי ה</w:t>
      </w:r>
      <w:r w:rsidRPr="00AB6523">
        <w:rPr>
          <w:rFonts w:hint="cs"/>
          <w:rtl/>
        </w:rPr>
        <w:t>ביניים</w:t>
      </w:r>
      <w:r w:rsidRPr="00AB6523">
        <w:rPr>
          <w:rtl/>
        </w:rPr>
        <w:t xml:space="preserve"> עלה כלהלן:</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בקיבוץ חצרים הוקם מתחם של 287 יחידות דיור חלופיות לתושבי בארי. במהלך שלושת החודשים שנבדקו התקבלו 213 דיווחים על תקלה אחת או יותר במבנים; כלומר ב-74% מהמבנים דווחו תקלות. </w:t>
      </w:r>
    </w:p>
    <w:p w:rsidR="005B126E" w:rsidP="001916A9">
      <w:pPr>
        <w:spacing w:line="269" w:lineRule="auto"/>
        <w:rPr>
          <w:rtl/>
        </w:rPr>
      </w:pPr>
    </w:p>
    <w:p w:rsidR="005B126E" w:rsidP="001916A9">
      <w:pPr>
        <w:spacing w:line="269" w:lineRule="auto"/>
        <w:rPr>
          <w:rtl/>
        </w:rPr>
      </w:pPr>
      <w:r w:rsidRPr="00B97E44">
        <w:rPr>
          <w:rFonts w:hint="cs"/>
          <w:rtl/>
        </w:rPr>
        <w:t xml:space="preserve">בקיבוץ רוחמה הוקמו 172 מבני מגורים, 5 גני ילדים, 2 מבני חינוך בלתי פורמלי ומבנה קהילתי נוסף. מלבד מבנים אלו הוקמו 20 מבנים טרומיים ומתחם </w:t>
      </w:r>
      <w:r w:rsidRPr="00B97E44">
        <w:rPr>
          <w:rFonts w:hint="cs"/>
          <w:rtl/>
        </w:rPr>
        <w:t>האורחן</w:t>
      </w:r>
      <w:r w:rsidRPr="00B97E44">
        <w:rPr>
          <w:rFonts w:hint="cs"/>
          <w:rtl/>
        </w:rPr>
        <w:t xml:space="preserve"> הכולל 20 יחידות דיור נוספות. בתקופה הנבדקת התקבלו 84 דיווחים על תקלה אחת או יותר ב-4</w:t>
      </w:r>
      <w:r>
        <w:rPr>
          <w:rFonts w:hint="cs"/>
          <w:rtl/>
        </w:rPr>
        <w:t>0</w:t>
      </w:r>
      <w:r w:rsidRPr="00B97E44">
        <w:rPr>
          <w:rFonts w:hint="cs"/>
          <w:rtl/>
        </w:rPr>
        <w:t xml:space="preserve">% מהמבנים. </w:t>
      </w:r>
    </w:p>
    <w:p w:rsidR="005B126E" w:rsidRPr="00B97E44" w:rsidP="001916A9">
      <w:pPr>
        <w:spacing w:line="269" w:lineRule="auto"/>
        <w:rPr>
          <w:rtl/>
        </w:rPr>
      </w:pPr>
      <w:r w:rsidRPr="00B97E44">
        <w:rPr>
          <w:rFonts w:hint="cs"/>
          <w:rtl/>
        </w:rPr>
        <w:t xml:space="preserve">בקיבוץ רביבים הוקם מתחם של 61 יחידות דיור חלופיות לתושבי קיבוץ חולית ו-2 מבני ציבור. בתקופה הנבדקת התקבלו 28 דיווחים על תקלה אחת או יותר ב-44% מהמבנים. </w:t>
      </w:r>
    </w:p>
    <w:p w:rsidR="005B126E" w:rsidP="001916A9">
      <w:pPr>
        <w:spacing w:line="269" w:lineRule="auto"/>
        <w:rPr>
          <w:b/>
          <w:bCs/>
          <w:rtl/>
        </w:rPr>
      </w:pPr>
    </w:p>
    <w:p w:rsidR="005B126E" w:rsidRPr="00B97E44" w:rsidP="001916A9">
      <w:pPr>
        <w:spacing w:line="269" w:lineRule="auto"/>
        <w:rPr>
          <w:b/>
          <w:bCs/>
          <w:rtl/>
        </w:rPr>
      </w:pPr>
      <w:r w:rsidRPr="00B97E44">
        <w:rPr>
          <w:rFonts w:hint="cs"/>
          <w:b/>
          <w:bCs/>
          <w:rtl/>
        </w:rPr>
        <w:t xml:space="preserve">עולה כי גם </w:t>
      </w:r>
      <w:bookmarkStart w:id="76" w:name="_Hlk207637278"/>
      <w:r w:rsidRPr="00B97E44">
        <w:rPr>
          <w:rFonts w:hint="cs"/>
          <w:b/>
          <w:bCs/>
          <w:rtl/>
        </w:rPr>
        <w:t xml:space="preserve">לאחר שבועות ארוכים שבהם התושבים מתגוררים במגורים הזמניים, בחלק ניכר מהמבנים היו תקלות (74% מהמבנים </w:t>
      </w:r>
      <w:r w:rsidRPr="00527A32">
        <w:rPr>
          <w:rFonts w:hint="cs"/>
          <w:b/>
          <w:bCs/>
          <w:rtl/>
        </w:rPr>
        <w:t>בחצרים</w:t>
      </w:r>
      <w:r w:rsidRPr="00527A32">
        <w:rPr>
          <w:b/>
          <w:bCs/>
          <w:rtl/>
        </w:rPr>
        <w:t>, 4</w:t>
      </w:r>
      <w:r w:rsidRPr="00AB6523">
        <w:rPr>
          <w:b/>
          <w:bCs/>
          <w:rtl/>
        </w:rPr>
        <w:t>0</w:t>
      </w:r>
      <w:r w:rsidRPr="00527A32">
        <w:rPr>
          <w:b/>
          <w:bCs/>
          <w:rtl/>
        </w:rPr>
        <w:t>%</w:t>
      </w:r>
      <w:r w:rsidRPr="00527A32">
        <w:rPr>
          <w:rFonts w:hint="cs"/>
          <w:b/>
          <w:bCs/>
          <w:rtl/>
        </w:rPr>
        <w:t xml:space="preserve"> מהמבנים</w:t>
      </w:r>
      <w:r w:rsidRPr="00B97E44">
        <w:rPr>
          <w:rFonts w:hint="cs"/>
          <w:b/>
          <w:bCs/>
          <w:rtl/>
        </w:rPr>
        <w:t xml:space="preserve"> ברוחמה ו-44% מהמבנים ברביבים). התקלות היו בתחומי האיטום, האינסטלציה והתשתיות וכללו נזילות, דלתות שלא נסגרות, עובש ורטיבות, שיש במטבח שהתנתק, סדקים בקירות וכד'. זמן ההמתנה הממוצע לתיקון התקלות בכל אחד מהאתרים עמד על כשבוע.</w:t>
      </w:r>
    </w:p>
    <w:p w:rsidR="005B126E" w:rsidP="001916A9">
      <w:pPr>
        <w:spacing w:line="269" w:lineRule="auto"/>
        <w:rPr>
          <w:b/>
          <w:bCs/>
          <w:rtl/>
        </w:rPr>
      </w:pPr>
    </w:p>
    <w:p w:rsidR="005B126E" w:rsidRPr="00B97E44" w:rsidP="001916A9">
      <w:pPr>
        <w:spacing w:line="269" w:lineRule="auto"/>
        <w:rPr>
          <w:b/>
          <w:bCs/>
          <w:rtl/>
        </w:rPr>
      </w:pPr>
      <w:r w:rsidRPr="00B97E44">
        <w:rPr>
          <w:rFonts w:hint="eastAsia"/>
          <w:b/>
          <w:bCs/>
          <w:rtl/>
        </w:rPr>
        <w:t>כמו</w:t>
      </w:r>
      <w:r w:rsidRPr="00B97E44">
        <w:rPr>
          <w:b/>
          <w:bCs/>
          <w:rtl/>
        </w:rPr>
        <w:t xml:space="preserve"> כן, </w:t>
      </w:r>
      <w:r w:rsidRPr="00B97E44">
        <w:rPr>
          <w:rFonts w:hint="eastAsia"/>
          <w:b/>
          <w:bCs/>
          <w:rtl/>
        </w:rPr>
        <w:t>בביקורת</w:t>
      </w:r>
      <w:r w:rsidRPr="00B97E44">
        <w:rPr>
          <w:b/>
          <w:bCs/>
          <w:rtl/>
        </w:rPr>
        <w:t xml:space="preserve"> </w:t>
      </w:r>
      <w:r w:rsidRPr="00B97E44">
        <w:rPr>
          <w:rFonts w:hint="eastAsia"/>
          <w:b/>
          <w:bCs/>
          <w:rtl/>
        </w:rPr>
        <w:t>עלה</w:t>
      </w:r>
      <w:r w:rsidRPr="00B97E44">
        <w:rPr>
          <w:b/>
          <w:bCs/>
          <w:rtl/>
        </w:rPr>
        <w:t xml:space="preserve"> </w:t>
      </w:r>
      <w:r w:rsidRPr="00B97E44">
        <w:rPr>
          <w:rFonts w:hint="eastAsia"/>
          <w:b/>
          <w:bCs/>
          <w:rtl/>
        </w:rPr>
        <w:t>כי</w:t>
      </w:r>
      <w:r w:rsidRPr="00B97E44">
        <w:rPr>
          <w:b/>
          <w:bCs/>
          <w:rtl/>
        </w:rPr>
        <w:t xml:space="preserve"> </w:t>
      </w:r>
      <w:r w:rsidRPr="00B97E44">
        <w:rPr>
          <w:rFonts w:hint="eastAsia"/>
          <w:b/>
          <w:bCs/>
          <w:rtl/>
        </w:rPr>
        <w:t>במקרים</w:t>
      </w:r>
      <w:r w:rsidRPr="00B97E44">
        <w:rPr>
          <w:b/>
          <w:bCs/>
          <w:rtl/>
        </w:rPr>
        <w:t xml:space="preserve"> </w:t>
      </w:r>
      <w:r w:rsidRPr="00B97E44">
        <w:rPr>
          <w:rFonts w:hint="eastAsia"/>
          <w:b/>
          <w:bCs/>
          <w:rtl/>
        </w:rPr>
        <w:t>רבים</w:t>
      </w:r>
      <w:r w:rsidRPr="00B97E44">
        <w:rPr>
          <w:b/>
          <w:bCs/>
          <w:rtl/>
        </w:rPr>
        <w:t xml:space="preserve"> </w:t>
      </w:r>
      <w:r w:rsidRPr="00B97E44">
        <w:rPr>
          <w:rFonts w:hint="eastAsia"/>
          <w:b/>
          <w:bCs/>
          <w:rtl/>
        </w:rPr>
        <w:t>התקלות</w:t>
      </w:r>
      <w:r w:rsidRPr="00B97E44">
        <w:rPr>
          <w:b/>
          <w:bCs/>
          <w:rtl/>
        </w:rPr>
        <w:t xml:space="preserve"> </w:t>
      </w:r>
      <w:r w:rsidRPr="00B97E44">
        <w:rPr>
          <w:rFonts w:hint="eastAsia"/>
          <w:b/>
          <w:bCs/>
          <w:rtl/>
        </w:rPr>
        <w:t>לא</w:t>
      </w:r>
      <w:r w:rsidRPr="00B97E44">
        <w:rPr>
          <w:b/>
          <w:bCs/>
          <w:rtl/>
        </w:rPr>
        <w:t xml:space="preserve"> </w:t>
      </w:r>
      <w:r w:rsidRPr="00B97E44">
        <w:rPr>
          <w:rFonts w:hint="eastAsia"/>
          <w:b/>
          <w:bCs/>
          <w:rtl/>
        </w:rPr>
        <w:t>טופלו</w:t>
      </w:r>
      <w:r w:rsidRPr="00B97E44">
        <w:rPr>
          <w:b/>
          <w:bCs/>
          <w:rtl/>
        </w:rPr>
        <w:t xml:space="preserve"> </w:t>
      </w:r>
      <w:r w:rsidRPr="00B97E44">
        <w:rPr>
          <w:rFonts w:hint="eastAsia"/>
          <w:b/>
          <w:bCs/>
          <w:rtl/>
        </w:rPr>
        <w:t>גם</w:t>
      </w:r>
      <w:r w:rsidRPr="00B97E44">
        <w:rPr>
          <w:b/>
          <w:bCs/>
          <w:rtl/>
        </w:rPr>
        <w:t xml:space="preserve"> </w:t>
      </w:r>
      <w:r w:rsidRPr="00B97E44">
        <w:rPr>
          <w:rFonts w:hint="eastAsia"/>
          <w:b/>
          <w:bCs/>
          <w:rtl/>
        </w:rPr>
        <w:t>כעבור</w:t>
      </w:r>
      <w:r w:rsidRPr="00B97E44">
        <w:rPr>
          <w:b/>
          <w:bCs/>
          <w:rtl/>
        </w:rPr>
        <w:t xml:space="preserve"> </w:t>
      </w:r>
      <w:r w:rsidRPr="00B97E44">
        <w:rPr>
          <w:rFonts w:hint="eastAsia"/>
          <w:b/>
          <w:bCs/>
          <w:rtl/>
        </w:rPr>
        <w:t>שבועיים</w:t>
      </w:r>
      <w:r w:rsidRPr="00B97E44">
        <w:rPr>
          <w:b/>
          <w:bCs/>
          <w:rtl/>
        </w:rPr>
        <w:t xml:space="preserve"> </w:t>
      </w:r>
      <w:r w:rsidRPr="00B97E44">
        <w:rPr>
          <w:rFonts w:hint="eastAsia"/>
          <w:b/>
          <w:bCs/>
          <w:rtl/>
        </w:rPr>
        <w:t>ויותר</w:t>
      </w:r>
      <w:r w:rsidRPr="00B97E44">
        <w:rPr>
          <w:b/>
          <w:bCs/>
          <w:rtl/>
        </w:rPr>
        <w:t xml:space="preserve">: </w:t>
      </w:r>
      <w:r w:rsidRPr="00B97E44">
        <w:rPr>
          <w:rFonts w:hint="eastAsia"/>
          <w:b/>
          <w:bCs/>
          <w:rtl/>
        </w:rPr>
        <w:t>במגורי</w:t>
      </w:r>
      <w:r w:rsidRPr="00B97E44">
        <w:rPr>
          <w:b/>
          <w:bCs/>
          <w:rtl/>
        </w:rPr>
        <w:t xml:space="preserve"> </w:t>
      </w:r>
      <w:r w:rsidRPr="00B97E44">
        <w:rPr>
          <w:rFonts w:hint="eastAsia"/>
          <w:b/>
          <w:bCs/>
          <w:rtl/>
        </w:rPr>
        <w:t>הביניים</w:t>
      </w:r>
      <w:r w:rsidRPr="00B97E44">
        <w:rPr>
          <w:b/>
          <w:bCs/>
          <w:rtl/>
        </w:rPr>
        <w:t xml:space="preserve"> </w:t>
      </w:r>
      <w:r w:rsidRPr="00B97E44">
        <w:rPr>
          <w:rFonts w:hint="eastAsia"/>
          <w:b/>
          <w:bCs/>
          <w:rtl/>
        </w:rPr>
        <w:t>ברוחמה</w:t>
      </w:r>
      <w:r w:rsidRPr="00B97E44">
        <w:rPr>
          <w:b/>
          <w:bCs/>
          <w:rtl/>
        </w:rPr>
        <w:t xml:space="preserve"> </w:t>
      </w:r>
      <w:r w:rsidRPr="00B97E44">
        <w:rPr>
          <w:rFonts w:hint="eastAsia"/>
          <w:b/>
          <w:bCs/>
          <w:rtl/>
        </w:rPr>
        <w:t>היו</w:t>
      </w:r>
      <w:r w:rsidRPr="00B97E44">
        <w:rPr>
          <w:b/>
          <w:bCs/>
          <w:rtl/>
        </w:rPr>
        <w:t xml:space="preserve"> </w:t>
      </w:r>
      <w:r w:rsidRPr="00B97E44">
        <w:rPr>
          <w:rFonts w:hint="eastAsia"/>
          <w:b/>
          <w:bCs/>
          <w:rtl/>
        </w:rPr>
        <w:t>אריחים</w:t>
      </w:r>
      <w:r w:rsidRPr="00B97E44">
        <w:rPr>
          <w:b/>
          <w:bCs/>
          <w:rtl/>
        </w:rPr>
        <w:t xml:space="preserve"> </w:t>
      </w:r>
      <w:r w:rsidRPr="00B97E44">
        <w:rPr>
          <w:rFonts w:hint="eastAsia"/>
          <w:b/>
          <w:bCs/>
          <w:rtl/>
        </w:rPr>
        <w:t>מתנדנדים</w:t>
      </w:r>
      <w:r w:rsidRPr="00B97E44">
        <w:rPr>
          <w:b/>
          <w:bCs/>
          <w:rtl/>
        </w:rPr>
        <w:t xml:space="preserve"> </w:t>
      </w:r>
      <w:r w:rsidRPr="00B97E44">
        <w:rPr>
          <w:rFonts w:hint="eastAsia"/>
          <w:b/>
          <w:bCs/>
          <w:rtl/>
        </w:rPr>
        <w:t>שלא</w:t>
      </w:r>
      <w:r w:rsidRPr="00B97E44">
        <w:rPr>
          <w:b/>
          <w:bCs/>
          <w:rtl/>
        </w:rPr>
        <w:t xml:space="preserve"> </w:t>
      </w:r>
      <w:r w:rsidRPr="00B97E44">
        <w:rPr>
          <w:rFonts w:hint="eastAsia"/>
          <w:b/>
          <w:bCs/>
          <w:rtl/>
        </w:rPr>
        <w:t>טופלו</w:t>
      </w:r>
      <w:r w:rsidRPr="00B97E44">
        <w:rPr>
          <w:b/>
          <w:bCs/>
          <w:rtl/>
        </w:rPr>
        <w:t xml:space="preserve"> </w:t>
      </w:r>
      <w:r w:rsidRPr="00B97E44">
        <w:rPr>
          <w:rFonts w:hint="eastAsia"/>
          <w:b/>
          <w:bCs/>
          <w:rtl/>
        </w:rPr>
        <w:t>גם</w:t>
      </w:r>
      <w:r w:rsidRPr="00B97E44">
        <w:rPr>
          <w:b/>
          <w:bCs/>
          <w:rtl/>
        </w:rPr>
        <w:t xml:space="preserve"> </w:t>
      </w:r>
      <w:r w:rsidRPr="00B97E44">
        <w:rPr>
          <w:rFonts w:hint="eastAsia"/>
          <w:b/>
          <w:bCs/>
          <w:rtl/>
        </w:rPr>
        <w:t>כעבור</w:t>
      </w:r>
      <w:r w:rsidRPr="00B97E44">
        <w:rPr>
          <w:b/>
          <w:bCs/>
          <w:rtl/>
        </w:rPr>
        <w:t xml:space="preserve"> </w:t>
      </w:r>
      <w:r w:rsidRPr="00B97E44">
        <w:rPr>
          <w:rFonts w:hint="eastAsia"/>
          <w:b/>
          <w:bCs/>
          <w:rtl/>
        </w:rPr>
        <w:t>יותר</w:t>
      </w:r>
      <w:r w:rsidRPr="00B97E44">
        <w:rPr>
          <w:b/>
          <w:bCs/>
          <w:rtl/>
        </w:rPr>
        <w:t xml:space="preserve"> </w:t>
      </w:r>
      <w:r w:rsidRPr="00B97E44">
        <w:rPr>
          <w:rFonts w:hint="eastAsia"/>
          <w:b/>
          <w:bCs/>
          <w:rtl/>
        </w:rPr>
        <w:t>מ</w:t>
      </w:r>
      <w:r w:rsidRPr="00B97E44">
        <w:rPr>
          <w:b/>
          <w:bCs/>
          <w:rtl/>
        </w:rPr>
        <w:t xml:space="preserve">-100 </w:t>
      </w:r>
      <w:r w:rsidRPr="00B97E44">
        <w:rPr>
          <w:rFonts w:hint="eastAsia"/>
          <w:b/>
          <w:bCs/>
          <w:rtl/>
        </w:rPr>
        <w:t>ימים</w:t>
      </w:r>
      <w:r w:rsidRPr="00B97E44">
        <w:rPr>
          <w:b/>
          <w:bCs/>
          <w:rtl/>
        </w:rPr>
        <w:t>;</w:t>
      </w:r>
      <w:r w:rsidRPr="00B97E44">
        <w:rPr>
          <w:b/>
          <w:bCs/>
        </w:rPr>
        <w:t xml:space="preserve"> </w:t>
      </w:r>
      <w:r w:rsidRPr="00B97E44">
        <w:rPr>
          <w:rFonts w:hint="eastAsia"/>
          <w:b/>
          <w:bCs/>
          <w:rtl/>
        </w:rPr>
        <w:t>רטיבות</w:t>
      </w:r>
      <w:r w:rsidRPr="00B97E44">
        <w:rPr>
          <w:b/>
          <w:bCs/>
          <w:rtl/>
        </w:rPr>
        <w:t xml:space="preserve"> בקירות שלא טופלה גם כעבור 70 יום; דלתות פנים שלא נסגרות שלא תוקנו גם כעבור 60 יום; מרצפות סדוקות ותריסים תקולים שלא טופלו גם כעבור יותר מחודש; ונקודות חשמל חשופות בממ"ד שטופלו רק כעבור 20 ימים. </w:t>
      </w:r>
    </w:p>
    <w:bookmarkEnd w:id="76"/>
    <w:p w:rsidR="005B126E" w:rsidP="001916A9">
      <w:pPr>
        <w:spacing w:line="269" w:lineRule="auto"/>
        <w:rPr>
          <w:rtl/>
        </w:rPr>
      </w:pPr>
    </w:p>
    <w:p w:rsidR="005B126E" w:rsidRPr="00B97E44" w:rsidP="001916A9">
      <w:pPr>
        <w:spacing w:line="269" w:lineRule="auto"/>
        <w:rPr>
          <w:rtl/>
        </w:rPr>
      </w:pPr>
      <w:r w:rsidRPr="00B97E44">
        <w:rPr>
          <w:rFonts w:hint="cs"/>
          <w:rtl/>
        </w:rPr>
        <w:t>גם במגורי הביניים בחצרים מסגרת חלון שהתפוררה הוחלפה רק אחרי 40 יום; סתימה של חור בקיר טופלה רק אחרי 25 ימים;</w:t>
      </w:r>
      <w:r w:rsidRPr="00B97E44">
        <w:rPr>
          <w:rFonts w:hint="cs"/>
        </w:rPr>
        <w:t xml:space="preserve"> </w:t>
      </w:r>
      <w:r w:rsidRPr="00B97E44">
        <w:rPr>
          <w:rFonts w:hint="cs"/>
          <w:rtl/>
        </w:rPr>
        <w:t>וסגירת נקודת חשמל במקלחת רק כעבור 12 ימים.</w:t>
      </w:r>
      <w:r w:rsidRPr="00B97E44">
        <w:rPr>
          <w:rFonts w:hint="cs"/>
        </w:rPr>
        <w:t xml:space="preserve"> </w:t>
      </w:r>
    </w:p>
    <w:p w:rsidR="005B126E" w:rsidP="001916A9">
      <w:pPr>
        <w:spacing w:line="269" w:lineRule="auto"/>
        <w:rPr>
          <w:rFonts w:ascii="David" w:hAnsi="David"/>
          <w:rtl/>
        </w:rPr>
      </w:pPr>
    </w:p>
    <w:p w:rsidR="005B126E" w:rsidP="001916A9">
      <w:pPr>
        <w:spacing w:line="269" w:lineRule="auto"/>
        <w:rPr>
          <w:rFonts w:ascii="David" w:hAnsi="David"/>
          <w:rtl/>
        </w:rPr>
      </w:pPr>
      <w:r w:rsidRPr="00B97E44">
        <w:rPr>
          <w:rFonts w:ascii="David" w:hAnsi="David" w:hint="cs"/>
          <w:rtl/>
        </w:rPr>
        <w:t>נמצא כי תקלות עיכבו גם את מועד המסירה של יחידות דיור בקיבוץ רוחמה לתושבי קיבוץ כפר עזה. בדוח הביניים שפורסם בחודש פברואר 2025 מסרה החטיבה להתיישבות כי כלל המבנים בקיבוץ רוחמה היו אמורים להימסר לתושבי כפר עזה עד לסוף אותו החודש.</w:t>
      </w:r>
    </w:p>
    <w:p w:rsidR="005B126E" w:rsidRPr="00B97E44" w:rsidP="001916A9">
      <w:pPr>
        <w:spacing w:line="269" w:lineRule="auto"/>
        <w:rPr>
          <w:rFonts w:ascii="David" w:hAnsi="David"/>
          <w:rtl/>
        </w:rPr>
      </w:pPr>
    </w:p>
    <w:p w:rsidR="005B126E" w:rsidP="001916A9">
      <w:pPr>
        <w:spacing w:line="269" w:lineRule="auto"/>
        <w:rPr>
          <w:rFonts w:ascii="David" w:hAnsi="David"/>
          <w:rtl/>
        </w:rPr>
      </w:pPr>
      <w:r w:rsidRPr="00B97E44">
        <w:rPr>
          <w:rFonts w:ascii="David" w:hAnsi="David" w:hint="cs"/>
          <w:b/>
          <w:bCs/>
          <w:rtl/>
        </w:rPr>
        <w:t>עם זאת, בביקורת זו עלה כי אף שלפי מינהלת תקומה והחטיבה להתיישבות כלל מבני המגורים הזמניים בקיבוץ רוחמה נמסרו לתושבי קיבוץ כפר עזה עד סוף מרץ 2025 גם בסוף אפריל 2025 תקלות במבנים לא אפשרו מגורים הולמים לתושבים.</w:t>
      </w:r>
      <w:r w:rsidRPr="00B97E44">
        <w:rPr>
          <w:rFonts w:ascii="David" w:hAnsi="David"/>
          <w:b/>
          <w:bCs/>
          <w:rtl/>
        </w:rPr>
        <w:t xml:space="preserve"> </w:t>
      </w:r>
    </w:p>
    <w:p w:rsidR="005B126E" w:rsidP="001916A9">
      <w:pPr>
        <w:spacing w:line="269" w:lineRule="auto"/>
        <w:jc w:val="center"/>
        <w:rPr>
          <w:rFonts w:ascii="David" w:hAnsi="David"/>
          <w:rtl/>
        </w:rPr>
      </w:pPr>
    </w:p>
    <w:p w:rsidR="005B126E" w:rsidRPr="00B97E44" w:rsidP="001916A9">
      <w:pPr>
        <w:keepNext/>
        <w:keepLines/>
        <w:spacing w:line="269" w:lineRule="auto"/>
        <w:jc w:val="center"/>
        <w:rPr>
          <w:rFonts w:ascii="David" w:hAnsi="David"/>
          <w:b/>
          <w:bCs/>
          <w:rtl/>
        </w:rPr>
      </w:pPr>
      <w:r w:rsidRPr="00B97E44">
        <w:rPr>
          <w:rFonts w:ascii="David" w:hAnsi="David" w:hint="cs"/>
          <w:rtl/>
        </w:rPr>
        <w:t>תמונה 14:</w:t>
      </w:r>
      <w:r w:rsidRPr="00B97E44">
        <w:rPr>
          <w:rFonts w:ascii="David" w:hAnsi="David" w:hint="cs"/>
          <w:b/>
          <w:bCs/>
          <w:rtl/>
        </w:rPr>
        <w:t xml:space="preserve"> תקלה בשירותים במגורים הזמניים ב</w:t>
      </w:r>
      <w:r>
        <w:rPr>
          <w:rFonts w:ascii="David" w:hAnsi="David" w:hint="cs"/>
          <w:b/>
          <w:bCs/>
          <w:rtl/>
        </w:rPr>
        <w:t xml:space="preserve">קיבוץ </w:t>
      </w:r>
      <w:r w:rsidRPr="00B97E44">
        <w:rPr>
          <w:rFonts w:ascii="David" w:hAnsi="David" w:hint="cs"/>
          <w:b/>
          <w:bCs/>
          <w:rtl/>
        </w:rPr>
        <w:t>רוחמה,</w:t>
      </w:r>
      <w:r w:rsidR="001916A9">
        <w:rPr>
          <w:rFonts w:ascii="David" w:hAnsi="David" w:hint="cs"/>
          <w:b/>
          <w:bCs/>
          <w:rtl/>
        </w:rPr>
        <w:t xml:space="preserve"> 30.4.25</w:t>
      </w:r>
    </w:p>
    <w:p w:rsidR="005B126E" w:rsidRPr="00B97E44" w:rsidP="001916A9">
      <w:pPr>
        <w:spacing w:line="269" w:lineRule="auto"/>
        <w:jc w:val="center"/>
        <w:rPr>
          <w:rFonts w:ascii="David" w:hAnsi="David"/>
          <w:b/>
          <w:bCs/>
          <w:rtl/>
        </w:rPr>
      </w:pPr>
      <w:r w:rsidRPr="00B97E44">
        <w:rPr>
          <w:rFonts w:ascii="David" w:hAnsi="David"/>
          <w:b/>
          <w:bCs/>
          <w:noProof/>
        </w:rPr>
        <w:drawing>
          <wp:inline distT="0" distB="0" distL="0" distR="0">
            <wp:extent cx="1786255" cy="3127375"/>
            <wp:effectExtent l="0" t="0" r="4445" b="0"/>
            <wp:docPr id="4" name="תמונה 4" descr="תמונה של ליקויים בחיפוי חדר השירות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bwMode="auto">
                    <a:xfrm>
                      <a:off x="0" y="0"/>
                      <a:ext cx="1786255" cy="3127375"/>
                    </a:xfrm>
                    <a:prstGeom prst="rect">
                      <a:avLst/>
                    </a:prstGeom>
                    <a:noFill/>
                  </pic:spPr>
                </pic:pic>
              </a:graphicData>
            </a:graphic>
          </wp:inline>
        </w:drawing>
      </w:r>
    </w:p>
    <w:p w:rsidR="005B126E" w:rsidRPr="00B97E44" w:rsidP="001916A9">
      <w:pPr>
        <w:spacing w:line="269" w:lineRule="auto"/>
        <w:jc w:val="left"/>
        <w:rPr>
          <w:rFonts w:ascii="David" w:hAnsi="David"/>
          <w:szCs w:val="20"/>
          <w:rtl/>
        </w:rPr>
      </w:pPr>
      <w:r w:rsidRPr="00B97E44">
        <w:rPr>
          <w:rFonts w:ascii="David" w:hAnsi="David" w:hint="cs"/>
          <w:szCs w:val="20"/>
          <w:rtl/>
        </w:rPr>
        <w:t>צילום: תושב כפר עזה במגורים הזמניים ב</w:t>
      </w:r>
      <w:r>
        <w:rPr>
          <w:rFonts w:ascii="David" w:hAnsi="David" w:hint="cs"/>
          <w:szCs w:val="20"/>
          <w:rtl/>
        </w:rPr>
        <w:t xml:space="preserve">קיבוץ </w:t>
      </w:r>
      <w:r w:rsidRPr="00B97E44">
        <w:rPr>
          <w:rFonts w:ascii="David" w:hAnsi="David" w:hint="cs"/>
          <w:szCs w:val="20"/>
          <w:rtl/>
        </w:rPr>
        <w:t>רוחמה,</w:t>
      </w:r>
      <w:r w:rsidR="001916A9">
        <w:rPr>
          <w:rFonts w:ascii="David" w:hAnsi="David" w:hint="cs"/>
          <w:szCs w:val="20"/>
          <w:rtl/>
        </w:rPr>
        <w:t xml:space="preserve"> 30.4.25</w:t>
      </w:r>
      <w:r w:rsidRPr="00B97E44">
        <w:rPr>
          <w:rFonts w:ascii="David" w:hAnsi="David" w:hint="cs"/>
          <w:szCs w:val="20"/>
          <w:rtl/>
        </w:rPr>
        <w:t>.</w:t>
      </w:r>
    </w:p>
    <w:p w:rsidR="005B126E" w:rsidP="001916A9">
      <w:pPr>
        <w:autoSpaceDE w:val="0"/>
        <w:autoSpaceDN w:val="0"/>
        <w:adjustRightInd w:val="0"/>
        <w:spacing w:line="269" w:lineRule="auto"/>
        <w:rPr>
          <w:rFonts w:ascii="David" w:hAnsi="David"/>
          <w:sz w:val="24"/>
          <w:rtl/>
        </w:rPr>
      </w:pPr>
    </w:p>
    <w:p w:rsidR="005B126E" w:rsidRPr="00B97E44" w:rsidP="001916A9">
      <w:pPr>
        <w:autoSpaceDE w:val="0"/>
        <w:autoSpaceDN w:val="0"/>
        <w:adjustRightInd w:val="0"/>
        <w:spacing w:line="269" w:lineRule="auto"/>
        <w:rPr>
          <w:b/>
          <w:rtl/>
        </w:rPr>
      </w:pPr>
      <w:r w:rsidRPr="00B97E44">
        <w:rPr>
          <w:rFonts w:ascii="David" w:hAnsi="David"/>
          <w:sz w:val="24"/>
          <w:rtl/>
        </w:rPr>
        <w:t xml:space="preserve">החטיבה </w:t>
      </w:r>
      <w:r w:rsidRPr="00B97E44">
        <w:rPr>
          <w:rFonts w:ascii="David" w:hAnsi="David" w:hint="cs"/>
          <w:sz w:val="24"/>
          <w:rtl/>
        </w:rPr>
        <w:t xml:space="preserve">להתיישבות מסרה בתשובתה למשרד מבקר המדינה מנובמבר 2025 כי היא </w:t>
      </w:r>
      <w:r w:rsidRPr="00B97E44">
        <w:rPr>
          <w:rFonts w:ascii="David" w:hAnsi="David"/>
          <w:sz w:val="24"/>
          <w:rtl/>
        </w:rPr>
        <w:t>בנתה שבעה אתרי מגורי</w:t>
      </w:r>
      <w:r w:rsidRPr="00B97E44">
        <w:rPr>
          <w:rFonts w:ascii="David" w:hAnsi="David" w:hint="cs"/>
          <w:sz w:val="24"/>
          <w:rtl/>
        </w:rPr>
        <w:t xml:space="preserve">ם </w:t>
      </w:r>
      <w:r w:rsidRPr="00B97E44">
        <w:rPr>
          <w:rFonts w:ascii="David" w:hAnsi="David"/>
          <w:sz w:val="24"/>
          <w:rtl/>
        </w:rPr>
        <w:t xml:space="preserve">זמניים שכוללים נכון </w:t>
      </w:r>
      <w:r w:rsidRPr="00B97E44">
        <w:rPr>
          <w:rFonts w:ascii="David" w:hAnsi="David" w:hint="cs"/>
          <w:sz w:val="24"/>
          <w:rtl/>
        </w:rPr>
        <w:t>למועד התשובה</w:t>
      </w:r>
      <w:r w:rsidRPr="00B97E44">
        <w:rPr>
          <w:rFonts w:ascii="David" w:hAnsi="David"/>
          <w:sz w:val="24"/>
          <w:rtl/>
        </w:rPr>
        <w:t xml:space="preserve"> 727 מבני מגורים ומבני ציבור, מתוכם 700 מבנים חדשים</w:t>
      </w:r>
      <w:r w:rsidRPr="00B97E44">
        <w:rPr>
          <w:rFonts w:ascii="David" w:hAnsi="David" w:hint="cs"/>
          <w:sz w:val="24"/>
          <w:rtl/>
        </w:rPr>
        <w:t xml:space="preserve"> </w:t>
      </w:r>
      <w:r w:rsidRPr="00B97E44">
        <w:rPr>
          <w:rFonts w:ascii="David" w:hAnsi="David"/>
          <w:sz w:val="24"/>
          <w:rtl/>
        </w:rPr>
        <w:t>ו</w:t>
      </w:r>
      <w:r w:rsidRPr="00B97E44">
        <w:rPr>
          <w:rFonts w:ascii="David" w:hAnsi="David" w:hint="cs"/>
          <w:sz w:val="24"/>
          <w:rtl/>
        </w:rPr>
        <w:t>-</w:t>
      </w:r>
      <w:r w:rsidRPr="00B97E44">
        <w:rPr>
          <w:rFonts w:ascii="David" w:hAnsi="David"/>
          <w:sz w:val="24"/>
          <w:rtl/>
        </w:rPr>
        <w:t>27 מבנים ישנים של החטיבה להתיישבות שהועברו מאתרים שונים, עבור הקהילות והתושבים</w:t>
      </w:r>
      <w:r w:rsidRPr="00B97E44">
        <w:rPr>
          <w:rFonts w:ascii="David" w:hAnsi="David" w:hint="cs"/>
          <w:sz w:val="24"/>
          <w:rtl/>
        </w:rPr>
        <w:t xml:space="preserve"> </w:t>
      </w:r>
      <w:r w:rsidRPr="00B97E44">
        <w:rPr>
          <w:rFonts w:ascii="David" w:hAnsi="David"/>
          <w:sz w:val="24"/>
          <w:rtl/>
        </w:rPr>
        <w:t xml:space="preserve">שפונו מבתיהם. </w:t>
      </w:r>
    </w:p>
    <w:p w:rsidR="005B126E" w:rsidRPr="00B97E44" w:rsidP="001916A9">
      <w:pPr>
        <w:spacing w:line="269" w:lineRule="auto"/>
        <w:ind w:left="-567"/>
        <w:rPr>
          <w:szCs w:val="20"/>
          <w:rtl/>
        </w:rPr>
      </w:pPr>
    </w:p>
    <w:p w:rsidR="005B126E" w:rsidRPr="00B97E44" w:rsidP="001916A9">
      <w:pPr>
        <w:autoSpaceDE w:val="0"/>
        <w:autoSpaceDN w:val="0"/>
        <w:adjustRightInd w:val="0"/>
        <w:spacing w:line="269" w:lineRule="auto"/>
        <w:rPr>
          <w:b/>
          <w:rtl/>
        </w:rPr>
      </w:pPr>
      <w:r w:rsidRPr="00B97E44">
        <w:rPr>
          <w:rFonts w:ascii="David" w:hAnsi="David" w:hint="cs"/>
          <w:sz w:val="24"/>
          <w:rtl/>
        </w:rPr>
        <w:t>החטיבה להתיישבות</w:t>
      </w:r>
      <w:r w:rsidRPr="00B97E44">
        <w:rPr>
          <w:rFonts w:ascii="David" w:hAnsi="David"/>
          <w:sz w:val="24"/>
          <w:rtl/>
        </w:rPr>
        <w:t xml:space="preserve"> </w:t>
      </w:r>
      <w:r w:rsidRPr="00B97E44">
        <w:rPr>
          <w:rFonts w:ascii="David" w:hAnsi="David" w:hint="cs"/>
          <w:sz w:val="24"/>
          <w:rtl/>
        </w:rPr>
        <w:t xml:space="preserve">מסרה בתשובתה </w:t>
      </w:r>
      <w:r w:rsidRPr="00B97E44">
        <w:rPr>
          <w:rFonts w:ascii="David" w:hAnsi="David" w:hint="eastAsia"/>
          <w:sz w:val="24"/>
          <w:rtl/>
        </w:rPr>
        <w:t>כי</w:t>
      </w:r>
      <w:r w:rsidRPr="00B97E44">
        <w:rPr>
          <w:rFonts w:ascii="David" w:hAnsi="David"/>
          <w:sz w:val="24"/>
          <w:rtl/>
        </w:rPr>
        <w:t xml:space="preserve"> ככלל, מדיניות החטיבה היא להקפיד על מסירת מבנים לאכלוס רק לאחר השלמת סיור בדק ותיקון</w:t>
      </w:r>
      <w:r w:rsidRPr="00B97E44">
        <w:rPr>
          <w:sz w:val="24"/>
          <w:rtl/>
        </w:rPr>
        <w:t xml:space="preserve"> </w:t>
      </w:r>
      <w:r w:rsidRPr="00B97E44">
        <w:rPr>
          <w:rFonts w:ascii="David" w:hAnsi="David" w:hint="cs"/>
          <w:sz w:val="24"/>
          <w:rtl/>
        </w:rPr>
        <w:t>הדרוש תיקון על ידי</w:t>
      </w:r>
      <w:r w:rsidRPr="00B97E44">
        <w:rPr>
          <w:rFonts w:ascii="David" w:hAnsi="David"/>
          <w:sz w:val="24"/>
          <w:rtl/>
        </w:rPr>
        <w:t xml:space="preserve"> הספק</w:t>
      </w:r>
      <w:r w:rsidRPr="00B97E44">
        <w:rPr>
          <w:rFonts w:ascii="David" w:hAnsi="David" w:hint="cs"/>
          <w:sz w:val="24"/>
          <w:rtl/>
        </w:rPr>
        <w:t xml:space="preserve">, </w:t>
      </w:r>
      <w:r w:rsidRPr="00B97E44">
        <w:rPr>
          <w:rFonts w:ascii="David" w:hAnsi="David"/>
          <w:sz w:val="24"/>
          <w:rtl/>
        </w:rPr>
        <w:t xml:space="preserve">אולם מצב זה לא היה ישים בנסיבות </w:t>
      </w:r>
      <w:r w:rsidRPr="00B97E44">
        <w:rPr>
          <w:rFonts w:ascii="David" w:hAnsi="David" w:hint="cs"/>
          <w:sz w:val="24"/>
          <w:rtl/>
        </w:rPr>
        <w:t>ש</w:t>
      </w:r>
      <w:r w:rsidRPr="00B97E44">
        <w:rPr>
          <w:rFonts w:ascii="David" w:hAnsi="David"/>
          <w:sz w:val="24"/>
          <w:rtl/>
        </w:rPr>
        <w:t>בהן נדרשה החטיבה לאכלס</w:t>
      </w:r>
      <w:r w:rsidRPr="00B97E44">
        <w:rPr>
          <w:rFonts w:ascii="David" w:hAnsi="David" w:hint="cs"/>
          <w:sz w:val="24"/>
          <w:rtl/>
        </w:rPr>
        <w:t xml:space="preserve"> את</w:t>
      </w:r>
      <w:r w:rsidRPr="00B97E44">
        <w:rPr>
          <w:rFonts w:ascii="David" w:hAnsi="David"/>
          <w:sz w:val="24"/>
          <w:rtl/>
        </w:rPr>
        <w:t xml:space="preserve"> </w:t>
      </w:r>
      <w:r w:rsidRPr="00B97E44">
        <w:rPr>
          <w:rFonts w:ascii="David" w:hAnsi="David" w:hint="cs"/>
          <w:sz w:val="24"/>
          <w:rtl/>
        </w:rPr>
        <w:t>ה</w:t>
      </w:r>
      <w:r w:rsidRPr="00B97E44">
        <w:rPr>
          <w:rFonts w:ascii="David" w:hAnsi="David"/>
          <w:sz w:val="24"/>
          <w:rtl/>
        </w:rPr>
        <w:t xml:space="preserve">קהילות </w:t>
      </w:r>
      <w:r w:rsidRPr="00B97E44">
        <w:rPr>
          <w:rFonts w:ascii="David" w:hAnsi="David" w:hint="cs"/>
          <w:sz w:val="24"/>
          <w:rtl/>
        </w:rPr>
        <w:t>ה</w:t>
      </w:r>
      <w:r w:rsidRPr="00B97E44">
        <w:rPr>
          <w:rFonts w:ascii="David" w:hAnsi="David"/>
          <w:sz w:val="24"/>
          <w:rtl/>
        </w:rPr>
        <w:t>עקורות, לאחר ששהו תקופה ארוכה</w:t>
      </w:r>
      <w:r w:rsidRPr="00B97E44">
        <w:rPr>
          <w:rFonts w:ascii="David" w:hAnsi="David" w:hint="cs"/>
          <w:sz w:val="24"/>
          <w:rtl/>
        </w:rPr>
        <w:t xml:space="preserve"> </w:t>
      </w:r>
      <w:r w:rsidRPr="00B97E44">
        <w:rPr>
          <w:rFonts w:ascii="David" w:hAnsi="David"/>
          <w:sz w:val="24"/>
          <w:rtl/>
        </w:rPr>
        <w:t>מאוד במלונות. לכן</w:t>
      </w:r>
      <w:r w:rsidRPr="00B97E44">
        <w:rPr>
          <w:rFonts w:ascii="David" w:hAnsi="David" w:hint="cs"/>
          <w:sz w:val="24"/>
          <w:rtl/>
        </w:rPr>
        <w:t xml:space="preserve"> </w:t>
      </w:r>
      <w:r w:rsidRPr="00B97E44">
        <w:rPr>
          <w:rFonts w:ascii="David" w:hAnsi="David"/>
          <w:sz w:val="24"/>
          <w:rtl/>
        </w:rPr>
        <w:t>אוכלסו מבנים אף</w:t>
      </w:r>
      <w:r w:rsidRPr="00B97E44">
        <w:rPr>
          <w:rFonts w:ascii="David" w:hAnsi="David" w:hint="cs"/>
          <w:sz w:val="24"/>
          <w:rtl/>
        </w:rPr>
        <w:t xml:space="preserve"> </w:t>
      </w:r>
      <w:r w:rsidRPr="00B97E44">
        <w:rPr>
          <w:rFonts w:ascii="David" w:hAnsi="David"/>
          <w:sz w:val="24"/>
          <w:rtl/>
        </w:rPr>
        <w:t>אם טרם ה</w:t>
      </w:r>
      <w:r w:rsidRPr="00B97E44">
        <w:rPr>
          <w:rFonts w:ascii="David" w:hAnsi="David" w:hint="cs"/>
          <w:sz w:val="24"/>
          <w:rtl/>
        </w:rPr>
        <w:t>ושלמו</w:t>
      </w:r>
      <w:r w:rsidRPr="00B97E44">
        <w:rPr>
          <w:rFonts w:ascii="David" w:hAnsi="David"/>
          <w:sz w:val="24"/>
          <w:rtl/>
        </w:rPr>
        <w:t xml:space="preserve"> מלוא התיקונים</w:t>
      </w:r>
      <w:r w:rsidRPr="00B97E44">
        <w:rPr>
          <w:rFonts w:ascii="David" w:hAnsi="David" w:hint="cs"/>
          <w:sz w:val="24"/>
          <w:rtl/>
        </w:rPr>
        <w:t xml:space="preserve"> שנדרשו</w:t>
      </w:r>
      <w:r w:rsidRPr="00B97E44">
        <w:rPr>
          <w:rFonts w:ascii="David" w:hAnsi="David"/>
          <w:sz w:val="24"/>
          <w:rtl/>
        </w:rPr>
        <w:t xml:space="preserve"> בסיורי הבדק</w:t>
      </w:r>
      <w:r w:rsidRPr="00B97E44">
        <w:rPr>
          <w:rFonts w:ascii="David" w:hAnsi="David" w:hint="cs"/>
          <w:sz w:val="24"/>
          <w:rtl/>
        </w:rPr>
        <w:t>, כל עוד לא</w:t>
      </w:r>
      <w:r w:rsidRPr="00B97E44">
        <w:rPr>
          <w:rFonts w:ascii="David" w:hAnsi="David"/>
          <w:sz w:val="24"/>
          <w:rtl/>
        </w:rPr>
        <w:t xml:space="preserve"> התגלו בהם ליקויים מהותיים או בטיחותיים</w:t>
      </w:r>
      <w:r w:rsidRPr="00B97E44">
        <w:rPr>
          <w:rFonts w:hint="cs"/>
          <w:sz w:val="24"/>
          <w:rtl/>
        </w:rPr>
        <w:t>.</w:t>
      </w:r>
    </w:p>
    <w:p w:rsidR="005B126E" w:rsidP="001916A9">
      <w:pPr>
        <w:autoSpaceDE w:val="0"/>
        <w:autoSpaceDN w:val="0"/>
        <w:adjustRightInd w:val="0"/>
        <w:spacing w:line="269" w:lineRule="auto"/>
        <w:rPr>
          <w:rFonts w:ascii="David" w:hAnsi="David"/>
          <w:sz w:val="24"/>
          <w:rtl/>
        </w:rPr>
      </w:pPr>
    </w:p>
    <w:p w:rsidR="005B126E" w:rsidRPr="00B97E44" w:rsidP="001916A9">
      <w:pPr>
        <w:autoSpaceDE w:val="0"/>
        <w:autoSpaceDN w:val="0"/>
        <w:adjustRightInd w:val="0"/>
        <w:spacing w:line="269" w:lineRule="auto"/>
        <w:rPr>
          <w:rtl/>
        </w:rPr>
      </w:pPr>
      <w:r w:rsidRPr="00B97E44">
        <w:rPr>
          <w:rFonts w:ascii="David" w:hAnsi="David" w:hint="cs"/>
          <w:sz w:val="24"/>
          <w:rtl/>
        </w:rPr>
        <w:t xml:space="preserve">ביחס לעיכוב במסירת המבנים בקיבוץ רוחמה, מסרה החטיבה כי העיכוב נגרם בשל שינוי שערך קיבוץ כפר עזה במבנים במימון עצמי וללא מעורבות של החטיבה להתיישבות ואף בניגוד להסכם שנערך מולה. </w:t>
      </w:r>
    </w:p>
    <w:p w:rsidR="005B126E" w:rsidP="001916A9">
      <w:pPr>
        <w:autoSpaceDE w:val="0"/>
        <w:autoSpaceDN w:val="0"/>
        <w:adjustRightInd w:val="0"/>
        <w:spacing w:line="269" w:lineRule="auto"/>
        <w:rPr>
          <w:rtl/>
        </w:rPr>
      </w:pPr>
    </w:p>
    <w:p w:rsidR="005B126E" w:rsidRPr="00B97E44" w:rsidP="001916A9">
      <w:pPr>
        <w:autoSpaceDE w:val="0"/>
        <w:autoSpaceDN w:val="0"/>
        <w:adjustRightInd w:val="0"/>
        <w:spacing w:line="269" w:lineRule="auto"/>
        <w:rPr>
          <w:rtl/>
        </w:rPr>
      </w:pPr>
      <w:r w:rsidRPr="00B97E44">
        <w:rPr>
          <w:rFonts w:hint="cs"/>
          <w:rtl/>
        </w:rPr>
        <w:t>מתשובתה של מינהלת תקומה עלה כי התגלה עיכוב במסירת עשר יחידות דיור בקיבוץ רוחמה ואלו נמסרו עד סוף אפריל 2025.</w:t>
      </w:r>
    </w:p>
    <w:p w:rsidR="005B126E" w:rsidP="001916A9">
      <w:pPr>
        <w:spacing w:line="269" w:lineRule="auto"/>
        <w:rPr>
          <w:b/>
          <w:bCs/>
          <w:rtl/>
        </w:rPr>
      </w:pPr>
    </w:p>
    <w:p w:rsidR="005B126E" w:rsidP="001916A9">
      <w:pPr>
        <w:spacing w:line="269" w:lineRule="auto"/>
        <w:rPr>
          <w:b/>
          <w:bCs/>
          <w:rtl/>
        </w:rPr>
      </w:pPr>
      <w:r w:rsidRPr="00B97E44">
        <w:rPr>
          <w:rFonts w:hint="eastAsia"/>
          <w:b/>
          <w:bCs/>
          <w:rtl/>
        </w:rPr>
        <w:t>בביקורת</w:t>
      </w:r>
      <w:r w:rsidRPr="00B97E44">
        <w:rPr>
          <w:b/>
          <w:bCs/>
          <w:rtl/>
        </w:rPr>
        <w:t xml:space="preserve"> </w:t>
      </w:r>
      <w:r w:rsidRPr="00B97E44">
        <w:rPr>
          <w:rFonts w:hint="eastAsia"/>
          <w:b/>
          <w:bCs/>
          <w:rtl/>
        </w:rPr>
        <w:t>הקודמת</w:t>
      </w:r>
      <w:r w:rsidRPr="00B97E44">
        <w:rPr>
          <w:b/>
          <w:bCs/>
          <w:rtl/>
        </w:rPr>
        <w:t xml:space="preserve"> נמצאו ליקויים בהקמת מגורי הביניים ובמעבר של תושבי הקיבוצים כפר עזה לרוחמה, בארי לחצרים וחולית לרביבים, עד לשיקום יישובי הקבע שנפגעו באירועי שבעה באוקטובר. בכלל זה עלה כי במבני המגורים היו ליקויים והומלץ </w:t>
      </w:r>
      <w:r w:rsidRPr="00B97E44">
        <w:rPr>
          <w:b/>
          <w:bCs/>
          <w:rtl/>
        </w:rPr>
        <w:t>למ</w:t>
      </w:r>
      <w:r w:rsidRPr="00B97E44">
        <w:rPr>
          <w:rFonts w:hint="cs"/>
          <w:b/>
          <w:bCs/>
          <w:rtl/>
        </w:rPr>
        <w:t>י</w:t>
      </w:r>
      <w:r w:rsidRPr="00B97E44">
        <w:rPr>
          <w:b/>
          <w:bCs/>
          <w:rtl/>
        </w:rPr>
        <w:t>נהלת</w:t>
      </w:r>
      <w:r w:rsidRPr="00B97E44">
        <w:rPr>
          <w:b/>
          <w:bCs/>
          <w:rtl/>
        </w:rPr>
        <w:t xml:space="preserve"> תקומה </w:t>
      </w:r>
      <w:r w:rsidRPr="00B97E44">
        <w:rPr>
          <w:rFonts w:hint="eastAsia"/>
          <w:b/>
          <w:bCs/>
          <w:rtl/>
        </w:rPr>
        <w:t>לפעול</w:t>
      </w:r>
      <w:r w:rsidRPr="00B97E44">
        <w:rPr>
          <w:b/>
          <w:bCs/>
          <w:rtl/>
        </w:rPr>
        <w:t xml:space="preserve"> </w:t>
      </w:r>
      <w:r w:rsidRPr="00B97E44">
        <w:rPr>
          <w:rFonts w:hint="eastAsia"/>
          <w:b/>
          <w:bCs/>
          <w:rtl/>
        </w:rPr>
        <w:t>ל</w:t>
      </w:r>
      <w:r w:rsidRPr="00B97E44">
        <w:rPr>
          <w:b/>
          <w:bCs/>
          <w:rtl/>
        </w:rPr>
        <w:t>טיפול בתקלות בשכונות בקיבוצים חצרים, רביבים ורוחמה ו</w:t>
      </w:r>
      <w:r w:rsidRPr="00B97E44">
        <w:rPr>
          <w:rFonts w:hint="eastAsia"/>
          <w:b/>
          <w:bCs/>
          <w:rtl/>
        </w:rPr>
        <w:t>לה</w:t>
      </w:r>
      <w:r w:rsidRPr="00B97E44">
        <w:rPr>
          <w:b/>
          <w:bCs/>
          <w:rtl/>
        </w:rPr>
        <w:t xml:space="preserve">סדיר את ביצועם של פיקוח ובקרה אפקטיביים על הקבלנים המבצעים והגורמים האחראים לתשתיות בשכונות החדשות שהוקמו. </w:t>
      </w:r>
      <w:r w:rsidRPr="00B97E44">
        <w:rPr>
          <w:rFonts w:hint="eastAsia"/>
          <w:b/>
          <w:bCs/>
          <w:rtl/>
        </w:rPr>
        <w:t>בביקורת</w:t>
      </w:r>
      <w:r w:rsidRPr="00B97E44">
        <w:rPr>
          <w:b/>
          <w:bCs/>
          <w:rtl/>
        </w:rPr>
        <w:t xml:space="preserve"> המעקב נמצא </w:t>
      </w:r>
      <w:r w:rsidRPr="00B97E44">
        <w:rPr>
          <w:rFonts w:hint="eastAsia"/>
          <w:b/>
          <w:bCs/>
          <w:rtl/>
        </w:rPr>
        <w:t>כי</w:t>
      </w:r>
      <w:r w:rsidRPr="00B97E44">
        <w:rPr>
          <w:b/>
          <w:bCs/>
          <w:rtl/>
        </w:rPr>
        <w:t xml:space="preserve"> הליקוי תוקן במידה </w:t>
      </w:r>
      <w:r>
        <w:rPr>
          <w:rFonts w:hint="cs"/>
          <w:b/>
          <w:bCs/>
          <w:rtl/>
        </w:rPr>
        <w:t>חלקית, חלה התקדמות ניכרת בהשלמת האתרים הזמניים, אולם</w:t>
      </w:r>
      <w:r w:rsidRPr="00B97E44">
        <w:rPr>
          <w:b/>
          <w:bCs/>
          <w:rtl/>
        </w:rPr>
        <w:t xml:space="preserve"> לאחר שבועות ארוכים שבהם התושבים </w:t>
      </w:r>
      <w:r>
        <w:rPr>
          <w:rFonts w:hint="cs"/>
          <w:b/>
          <w:bCs/>
          <w:rtl/>
        </w:rPr>
        <w:t xml:space="preserve">התגוררו </w:t>
      </w:r>
      <w:r w:rsidRPr="00B97E44">
        <w:rPr>
          <w:b/>
          <w:bCs/>
          <w:rtl/>
        </w:rPr>
        <w:t>במגורים הזמניים, בחלק ניכר מהמבנים היו תקלות. התקלות היו בתחומי האיטום, האינסטלציה והתשתיות וכללו נזילות, דלתות שלא נסגרות, עובש ורטיבות, שיש במטבח שהתנתק, סדקים בקירות ו</w:t>
      </w:r>
      <w:r w:rsidRPr="00B97E44">
        <w:rPr>
          <w:rFonts w:hint="cs"/>
          <w:b/>
          <w:bCs/>
          <w:rtl/>
        </w:rPr>
        <w:t>עוד</w:t>
      </w:r>
      <w:r w:rsidRPr="00B97E44">
        <w:rPr>
          <w:b/>
          <w:bCs/>
          <w:rtl/>
        </w:rPr>
        <w:t>.</w:t>
      </w:r>
      <w:r>
        <w:rPr>
          <w:rFonts w:hint="cs"/>
          <w:b/>
          <w:bCs/>
          <w:rtl/>
        </w:rPr>
        <w:t xml:space="preserve"> </w:t>
      </w:r>
    </w:p>
    <w:p w:rsidR="005B126E" w:rsidRPr="00B97E44" w:rsidP="001916A9">
      <w:pPr>
        <w:spacing w:line="269" w:lineRule="auto"/>
      </w:pPr>
    </w:p>
    <w:p w:rsidR="005B126E" w:rsidRPr="00944018" w:rsidP="001916A9">
      <w:pPr>
        <w:spacing w:line="269" w:lineRule="auto"/>
        <w:jc w:val="center"/>
        <w:rPr>
          <w:b/>
          <w:bCs/>
          <w:rtl/>
        </w:rPr>
      </w:pPr>
      <w:r w:rsidRPr="00944018">
        <w:rPr>
          <w:b/>
          <w:bCs/>
          <w:rtl/>
        </w:rPr>
        <w:t>מידת תיקון הליקוי</w:t>
      </w:r>
    </w:p>
    <w:p w:rsidR="005B126E" w:rsidRPr="00B97E44" w:rsidP="001916A9">
      <w:pPr>
        <w:keepNext/>
        <w:keepLines/>
        <w:spacing w:line="269" w:lineRule="auto"/>
        <w:jc w:val="center"/>
        <w:rPr>
          <w:b/>
          <w:bCs/>
          <w:rtl/>
        </w:rPr>
      </w:pPr>
    </w:p>
    <w:p w:rsidR="005B126E" w:rsidRPr="00B97E44" w:rsidP="001916A9">
      <w:pPr>
        <w:spacing w:line="269" w:lineRule="auto"/>
        <w:jc w:val="center"/>
        <w:rPr>
          <w:rtl/>
        </w:rPr>
      </w:pPr>
      <w:r w:rsidRPr="00B97E44">
        <w:rPr>
          <w:noProof/>
          <w:sz w:val="24"/>
        </w:rPr>
        <w:drawing>
          <wp:inline distT="0" distB="0" distL="0" distR="0">
            <wp:extent cx="4324350" cy="933450"/>
            <wp:effectExtent l="0" t="0" r="0" b="0"/>
            <wp:docPr id="36" name="תמונה 36"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1"/>
                    <pic:cNvPicPr>
                      <a:picLocks noChangeAspect="1" noChangeArrowheads="1"/>
                    </pic:cNvPicPr>
                  </pic:nvPicPr>
                  <pic:blipFill>
                    <a:blip xmlns:r="http://schemas.openxmlformats.org/officeDocument/2006/relationships" r:embed="rId4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324350" cy="933450"/>
                    </a:xfrm>
                    <a:prstGeom prst="rect">
                      <a:avLst/>
                    </a:prstGeom>
                    <a:noFill/>
                    <a:ln>
                      <a:noFill/>
                    </a:ln>
                  </pic:spPr>
                </pic:pic>
              </a:graphicData>
            </a:graphic>
          </wp:inline>
        </w:drawing>
      </w:r>
    </w:p>
    <w:p w:rsidR="005B126E" w:rsidRPr="00B97E44" w:rsidP="001916A9">
      <w:pPr>
        <w:autoSpaceDE w:val="0"/>
        <w:autoSpaceDN w:val="0"/>
        <w:adjustRightInd w:val="0"/>
        <w:spacing w:line="269" w:lineRule="auto"/>
        <w:rPr>
          <w:rFonts w:ascii="David" w:hAnsi="David"/>
          <w:sz w:val="24"/>
          <w:rtl/>
        </w:rPr>
      </w:pPr>
      <w:r w:rsidRPr="00B97E44">
        <w:rPr>
          <w:rFonts w:ascii="David" w:hAnsi="David" w:hint="cs"/>
          <w:sz w:val="24"/>
          <w:rtl/>
        </w:rPr>
        <w:t>יצוין כי בהתאם להסכמי ההתקשרות של החטיבה להתיישבות עם הקבלנים לאספקת המבנים היבילים, במהלך תקופת הבדק</w:t>
      </w:r>
      <w:r>
        <w:rPr>
          <w:rFonts w:ascii="David" w:hAnsi="David"/>
          <w:sz w:val="24"/>
          <w:vertAlign w:val="superscript"/>
          <w:rtl/>
        </w:rPr>
        <w:footnoteReference w:id="169"/>
      </w:r>
      <w:r w:rsidRPr="00B97E44">
        <w:rPr>
          <w:rFonts w:ascii="David" w:hAnsi="David" w:hint="cs"/>
          <w:sz w:val="24"/>
          <w:rtl/>
        </w:rPr>
        <w:t xml:space="preserve"> על הקבלנים לתקן נזק או פגם שנגרם בשל עבודה לקויה או שימוש בחומרים פגומים, ובלבד שהדרישה לתיקונם נמסרה לקבלן לא יאוחר משלושה חודשים לאחר תום תקופת הבדק. נוסף על כך הקבלנים חייבים לתקן על חשבונם כל אי-התאמה או פגם שנתגלו במבנה בתוך חמש שנים אחר גמר תקופת הבדק, ואם אי-ההתאמה או הפגם אינם ניתנים לתיקון יהיו חייבים בתשלום פיצויים לחטיבה להתיישבות. במקרה שהחטיבה להתיישבות מסרה לקבלנים דרישה לתיקון פגמים במבנים בתוך פרק הזמן שהוגדר בהסכם אך הקבלנים לא תיקנו אותם, כי אז החטיבה להתיישבות רשאית על פי ההסכם לבצע את התיקונים על ידי קבלן אחר או בכל דרך אחרת ולנכות את הוצאותיו לכך בתוספת של 12% מכל סכום שיגיע לקבלן, לרבות באמצעות חילוט ערבויות. </w:t>
      </w:r>
    </w:p>
    <w:p w:rsidR="005B126E" w:rsidP="001916A9">
      <w:pPr>
        <w:spacing w:line="269" w:lineRule="auto"/>
        <w:rPr>
          <w:b/>
          <w:bCs/>
          <w:rtl/>
        </w:rPr>
      </w:pPr>
    </w:p>
    <w:p w:rsidR="005B126E" w:rsidRPr="00B97E44" w:rsidP="001916A9">
      <w:pPr>
        <w:spacing w:line="269" w:lineRule="auto"/>
        <w:rPr>
          <w:b/>
          <w:rtl/>
        </w:rPr>
      </w:pPr>
      <w:r w:rsidRPr="00B97E44">
        <w:rPr>
          <w:rFonts w:hint="eastAsia"/>
          <w:b/>
          <w:bCs/>
          <w:rtl/>
        </w:rPr>
        <w:t>מומלץ</w:t>
      </w:r>
      <w:r w:rsidRPr="00B97E44">
        <w:rPr>
          <w:b/>
          <w:bCs/>
          <w:rtl/>
        </w:rPr>
        <w:t xml:space="preserve"> </w:t>
      </w:r>
      <w:r w:rsidRPr="00B97E44">
        <w:rPr>
          <w:rFonts w:hint="eastAsia"/>
          <w:b/>
          <w:bCs/>
          <w:rtl/>
        </w:rPr>
        <w:t>כי</w:t>
      </w:r>
      <w:r w:rsidRPr="00B97E44">
        <w:rPr>
          <w:b/>
          <w:bCs/>
          <w:rtl/>
        </w:rPr>
        <w:t xml:space="preserve"> </w:t>
      </w:r>
      <w:r w:rsidRPr="00B97E44">
        <w:rPr>
          <w:rFonts w:hint="eastAsia"/>
          <w:b/>
          <w:bCs/>
          <w:rtl/>
        </w:rPr>
        <w:t>החטיבה</w:t>
      </w:r>
      <w:r w:rsidRPr="00B97E44">
        <w:rPr>
          <w:b/>
          <w:bCs/>
          <w:rtl/>
        </w:rPr>
        <w:t xml:space="preserve"> </w:t>
      </w:r>
      <w:r w:rsidRPr="00B97E44">
        <w:rPr>
          <w:rFonts w:hint="eastAsia"/>
          <w:b/>
          <w:bCs/>
          <w:rtl/>
        </w:rPr>
        <w:t>להתיישבות</w:t>
      </w:r>
      <w:r w:rsidRPr="00B97E44">
        <w:rPr>
          <w:b/>
          <w:bCs/>
          <w:rtl/>
        </w:rPr>
        <w:t xml:space="preserve"> </w:t>
      </w:r>
      <w:r w:rsidRPr="00B97E44">
        <w:rPr>
          <w:rFonts w:hint="eastAsia"/>
          <w:b/>
          <w:bCs/>
          <w:rtl/>
        </w:rPr>
        <w:t>תפעל</w:t>
      </w:r>
      <w:r w:rsidRPr="00B97E44">
        <w:rPr>
          <w:b/>
          <w:bCs/>
          <w:rtl/>
        </w:rPr>
        <w:t xml:space="preserve"> </w:t>
      </w:r>
      <w:r w:rsidRPr="00B97E44">
        <w:rPr>
          <w:rFonts w:hint="eastAsia"/>
          <w:b/>
          <w:bCs/>
          <w:rtl/>
        </w:rPr>
        <w:t>בכלים</w:t>
      </w:r>
      <w:r w:rsidRPr="00B97E44">
        <w:rPr>
          <w:b/>
          <w:bCs/>
          <w:rtl/>
        </w:rPr>
        <w:t xml:space="preserve"> </w:t>
      </w:r>
      <w:r w:rsidRPr="00B97E44">
        <w:rPr>
          <w:rFonts w:hint="eastAsia"/>
          <w:b/>
          <w:bCs/>
          <w:rtl/>
        </w:rPr>
        <w:t>העומדים</w:t>
      </w:r>
      <w:r w:rsidRPr="00B97E44">
        <w:rPr>
          <w:b/>
          <w:bCs/>
          <w:rtl/>
        </w:rPr>
        <w:t xml:space="preserve"> </w:t>
      </w:r>
      <w:r w:rsidRPr="00B97E44">
        <w:rPr>
          <w:rFonts w:hint="eastAsia"/>
          <w:b/>
          <w:bCs/>
          <w:rtl/>
        </w:rPr>
        <w:t>לרשותה</w:t>
      </w:r>
      <w:r w:rsidRPr="00B97E44">
        <w:rPr>
          <w:b/>
          <w:bCs/>
          <w:rtl/>
        </w:rPr>
        <w:t xml:space="preserve"> בהתאם להסכמי ההתקשרות על מנת לאכוף את תיקון הליקויים </w:t>
      </w:r>
      <w:r w:rsidRPr="00B97E44">
        <w:rPr>
          <w:rFonts w:hint="eastAsia"/>
          <w:b/>
          <w:bCs/>
          <w:rtl/>
        </w:rPr>
        <w:t>במגורים</w:t>
      </w:r>
      <w:r w:rsidRPr="00B97E44">
        <w:rPr>
          <w:b/>
          <w:bCs/>
          <w:rtl/>
        </w:rPr>
        <w:t xml:space="preserve"> הזמניים באופן המיטבי והמהיר </w:t>
      </w:r>
      <w:r w:rsidRPr="00B97E44">
        <w:rPr>
          <w:rFonts w:hint="eastAsia"/>
          <w:b/>
          <w:bCs/>
          <w:rtl/>
        </w:rPr>
        <w:t>ביותר</w:t>
      </w:r>
      <w:r w:rsidRPr="00B97E44">
        <w:rPr>
          <w:b/>
          <w:bCs/>
          <w:rtl/>
        </w:rPr>
        <w:t>.</w:t>
      </w:r>
      <w:bookmarkEnd w:id="74"/>
    </w:p>
    <w:p w:rsidR="005B126E" w:rsidP="001916A9">
      <w:pPr>
        <w:spacing w:line="269" w:lineRule="auto"/>
        <w:rPr>
          <w:rFonts w:ascii="David" w:hAnsi="David"/>
          <w:sz w:val="24"/>
          <w:rtl/>
        </w:rPr>
      </w:pPr>
    </w:p>
    <w:p w:rsidR="005B126E" w:rsidRPr="00B97E44" w:rsidP="001916A9">
      <w:pPr>
        <w:spacing w:line="269" w:lineRule="auto"/>
        <w:rPr>
          <w:rFonts w:ascii="David" w:hAnsi="David"/>
          <w:sz w:val="24"/>
          <w:szCs w:val="20"/>
          <w:rtl/>
        </w:rPr>
      </w:pPr>
      <w:r w:rsidRPr="00B97E44">
        <w:rPr>
          <w:rFonts w:ascii="David" w:hAnsi="David" w:hint="cs"/>
          <w:sz w:val="24"/>
          <w:rtl/>
        </w:rPr>
        <w:t xml:space="preserve">החטיבה להתיישבות הדגישה בתשובתה </w:t>
      </w:r>
      <w:r w:rsidRPr="00B97E44">
        <w:rPr>
          <w:rFonts w:ascii="David" w:hAnsi="David" w:hint="eastAsia"/>
          <w:sz w:val="24"/>
          <w:rtl/>
        </w:rPr>
        <w:t>כי</w:t>
      </w:r>
      <w:r w:rsidRPr="00B97E44">
        <w:rPr>
          <w:rFonts w:ascii="David" w:hAnsi="David"/>
          <w:sz w:val="24"/>
          <w:rtl/>
        </w:rPr>
        <w:t xml:space="preserve"> אינה מתחמקת מהעובדה שהיו תקלות שלחלקן נדרש זמן ארוך יחסית עד שתוקנו. </w:t>
      </w:r>
      <w:r w:rsidRPr="00B97E44">
        <w:rPr>
          <w:rFonts w:ascii="David" w:hAnsi="David" w:hint="cs"/>
          <w:sz w:val="24"/>
          <w:rtl/>
        </w:rPr>
        <w:t xml:space="preserve">על פי התשובה, </w:t>
      </w:r>
      <w:r w:rsidRPr="00B97E44">
        <w:rPr>
          <w:rFonts w:ascii="David" w:hAnsi="David"/>
          <w:sz w:val="24"/>
          <w:rtl/>
        </w:rPr>
        <w:t>במהלך השנה הראשונה קיימת אחריות של ספק המבנה לתקלות העולות</w:t>
      </w:r>
      <w:r w:rsidRPr="00B97E44">
        <w:rPr>
          <w:rFonts w:ascii="David" w:hAnsi="David" w:hint="cs"/>
          <w:sz w:val="24"/>
          <w:rtl/>
        </w:rPr>
        <w:t xml:space="preserve"> ו</w:t>
      </w:r>
      <w:r w:rsidRPr="00B97E44">
        <w:rPr>
          <w:rFonts w:ascii="David" w:hAnsi="David"/>
          <w:sz w:val="24"/>
          <w:rtl/>
        </w:rPr>
        <w:t xml:space="preserve">החטיבה עושה כל מאמץ לוודא שהספקים מתקנים את הדרוש באופן </w:t>
      </w:r>
      <w:r w:rsidRPr="00B97E44">
        <w:rPr>
          <w:rFonts w:ascii="David" w:hAnsi="David"/>
          <w:sz w:val="24"/>
          <w:rtl/>
        </w:rPr>
        <w:t>מיידי</w:t>
      </w:r>
      <w:r w:rsidRPr="00B97E44">
        <w:rPr>
          <w:rFonts w:ascii="David" w:hAnsi="David" w:hint="cs"/>
          <w:sz w:val="24"/>
          <w:rtl/>
        </w:rPr>
        <w:t>,</w:t>
      </w:r>
      <w:r w:rsidRPr="00B97E44">
        <w:rPr>
          <w:rFonts w:ascii="David" w:hAnsi="David"/>
          <w:sz w:val="24"/>
          <w:rtl/>
        </w:rPr>
        <w:t xml:space="preserve"> אולם </w:t>
      </w:r>
      <w:r w:rsidRPr="00B97E44">
        <w:rPr>
          <w:rFonts w:ascii="David" w:hAnsi="David" w:hint="cs"/>
          <w:sz w:val="24"/>
          <w:rtl/>
        </w:rPr>
        <w:t>כמות</w:t>
      </w:r>
      <w:r w:rsidRPr="00B97E44">
        <w:rPr>
          <w:rFonts w:ascii="David" w:hAnsi="David"/>
          <w:sz w:val="24"/>
          <w:rtl/>
        </w:rPr>
        <w:t xml:space="preserve"> </w:t>
      </w:r>
      <w:r w:rsidRPr="00B97E44">
        <w:rPr>
          <w:rFonts w:ascii="David" w:hAnsi="David" w:hint="cs"/>
          <w:sz w:val="24"/>
          <w:rtl/>
        </w:rPr>
        <w:t>ה</w:t>
      </w:r>
      <w:r w:rsidRPr="00B97E44">
        <w:rPr>
          <w:rFonts w:ascii="David" w:hAnsi="David"/>
          <w:sz w:val="24"/>
          <w:rtl/>
        </w:rPr>
        <w:t xml:space="preserve">מבנים </w:t>
      </w:r>
      <w:r w:rsidRPr="00B97E44">
        <w:rPr>
          <w:rFonts w:ascii="David" w:hAnsi="David" w:hint="cs"/>
          <w:sz w:val="24"/>
          <w:rtl/>
        </w:rPr>
        <w:t>ש</w:t>
      </w:r>
      <w:r w:rsidRPr="00B97E44">
        <w:rPr>
          <w:rFonts w:ascii="David" w:hAnsi="David"/>
          <w:sz w:val="24"/>
          <w:rtl/>
        </w:rPr>
        <w:t xml:space="preserve">הספקים סיפקו </w:t>
      </w:r>
      <w:r w:rsidRPr="00B97E44">
        <w:rPr>
          <w:rFonts w:ascii="David" w:hAnsi="David" w:hint="cs"/>
          <w:sz w:val="24"/>
          <w:rtl/>
        </w:rPr>
        <w:t xml:space="preserve">בו בזמן </w:t>
      </w:r>
      <w:r w:rsidRPr="00B97E44">
        <w:rPr>
          <w:rFonts w:ascii="David" w:hAnsi="David"/>
          <w:sz w:val="24"/>
          <w:rtl/>
        </w:rPr>
        <w:t>לאתרים שונים, השפ</w:t>
      </w:r>
      <w:r w:rsidRPr="00B97E44">
        <w:rPr>
          <w:rFonts w:ascii="David" w:hAnsi="David" w:hint="cs"/>
          <w:sz w:val="24"/>
          <w:rtl/>
        </w:rPr>
        <w:t>י</w:t>
      </w:r>
      <w:r w:rsidRPr="00B97E44">
        <w:rPr>
          <w:rFonts w:ascii="David" w:hAnsi="David"/>
          <w:sz w:val="24"/>
          <w:rtl/>
        </w:rPr>
        <w:t xml:space="preserve">עה על </w:t>
      </w:r>
      <w:r w:rsidRPr="00B97E44">
        <w:rPr>
          <w:rFonts w:ascii="David" w:hAnsi="David" w:hint="cs"/>
          <w:sz w:val="24"/>
          <w:rtl/>
        </w:rPr>
        <w:t xml:space="preserve">הנגישות והזמינות שלהם </w:t>
      </w:r>
      <w:r w:rsidRPr="00B97E44">
        <w:rPr>
          <w:rFonts w:ascii="David" w:hAnsi="David"/>
          <w:sz w:val="24"/>
          <w:rtl/>
        </w:rPr>
        <w:t>לביצוע תיקונים</w:t>
      </w:r>
      <w:r w:rsidRPr="00B97E44">
        <w:rPr>
          <w:rFonts w:ascii="David" w:hAnsi="David" w:hint="cs"/>
          <w:sz w:val="24"/>
          <w:szCs w:val="20"/>
          <w:rtl/>
        </w:rPr>
        <w:t>.</w:t>
      </w:r>
    </w:p>
    <w:p w:rsidR="005B126E" w:rsidP="001916A9">
      <w:pPr>
        <w:autoSpaceDE w:val="0"/>
        <w:autoSpaceDN w:val="0"/>
        <w:adjustRightInd w:val="0"/>
        <w:spacing w:line="269" w:lineRule="auto"/>
        <w:rPr>
          <w:rFonts w:ascii="David" w:hAnsi="David"/>
          <w:sz w:val="24"/>
          <w:rtl/>
        </w:rPr>
      </w:pPr>
    </w:p>
    <w:p w:rsidR="005B126E" w:rsidP="001916A9">
      <w:pPr>
        <w:autoSpaceDE w:val="0"/>
        <w:autoSpaceDN w:val="0"/>
        <w:adjustRightInd w:val="0"/>
        <w:spacing w:line="269" w:lineRule="auto"/>
        <w:rPr>
          <w:rtl/>
        </w:rPr>
      </w:pPr>
      <w:r w:rsidRPr="00B97E44">
        <w:rPr>
          <w:rFonts w:ascii="David" w:hAnsi="David"/>
          <w:sz w:val="24"/>
          <w:rtl/>
        </w:rPr>
        <w:t>החטיבה להתיישבות</w:t>
      </w:r>
      <w:r w:rsidRPr="00B97E44">
        <w:rPr>
          <w:rFonts w:ascii="David" w:hAnsi="David" w:hint="cs"/>
          <w:sz w:val="24"/>
          <w:rtl/>
        </w:rPr>
        <w:t xml:space="preserve"> הוסיפה כי היא </w:t>
      </w:r>
      <w:r w:rsidRPr="00B97E44">
        <w:rPr>
          <w:rFonts w:ascii="David" w:hAnsi="David"/>
          <w:sz w:val="24"/>
          <w:rtl/>
        </w:rPr>
        <w:t>מפעילה מנגנון שירות ומעקב מובנה לטיפול בכלל התקלות המדווחות</w:t>
      </w:r>
      <w:r w:rsidRPr="00B97E44">
        <w:rPr>
          <w:rFonts w:ascii="David" w:hAnsi="David" w:hint="cs"/>
          <w:sz w:val="24"/>
          <w:rtl/>
        </w:rPr>
        <w:t xml:space="preserve"> </w:t>
      </w:r>
      <w:r w:rsidRPr="00B97E44">
        <w:rPr>
          <w:rFonts w:ascii="David" w:hAnsi="David"/>
          <w:sz w:val="24"/>
          <w:rtl/>
        </w:rPr>
        <w:t xml:space="preserve">במבנים. בכל מקרה שבו נדרשה התערבות </w:t>
      </w:r>
      <w:r w:rsidRPr="00B97E44">
        <w:rPr>
          <w:rFonts w:ascii="David" w:hAnsi="David"/>
          <w:sz w:val="24"/>
          <w:rtl/>
        </w:rPr>
        <w:t>מיידית</w:t>
      </w:r>
      <w:r w:rsidRPr="00B97E44">
        <w:rPr>
          <w:rFonts w:ascii="David" w:hAnsi="David"/>
          <w:sz w:val="24"/>
          <w:rtl/>
        </w:rPr>
        <w:t xml:space="preserve"> ניתן מענה בזמן קצר, והעיכובים</w:t>
      </w:r>
      <w:r w:rsidRPr="00B97E44">
        <w:rPr>
          <w:rFonts w:ascii="David" w:hAnsi="David" w:hint="cs"/>
          <w:sz w:val="24"/>
          <w:rtl/>
        </w:rPr>
        <w:t xml:space="preserve"> </w:t>
      </w:r>
      <w:r w:rsidRPr="00B97E44">
        <w:rPr>
          <w:rFonts w:ascii="David" w:hAnsi="David"/>
          <w:sz w:val="24"/>
          <w:rtl/>
        </w:rPr>
        <w:t>הבודדים שנרשמו נבעו מנסיבות חיצוניות</w:t>
      </w:r>
      <w:r w:rsidRPr="00B97E44">
        <w:rPr>
          <w:rFonts w:ascii="David" w:hAnsi="David" w:hint="cs"/>
          <w:sz w:val="24"/>
          <w:rtl/>
        </w:rPr>
        <w:t>. כמו כן, ביולי 2025 השיקה החטיבה מ</w:t>
      </w:r>
      <w:r w:rsidRPr="00B97E44">
        <w:rPr>
          <w:rFonts w:ascii="David" w:hAnsi="David"/>
          <w:sz w:val="24"/>
          <w:rtl/>
        </w:rPr>
        <w:t>ערכת ממוחשבת חדשה לניהול קריאות שירות, טיפול בתקלות</w:t>
      </w:r>
      <w:r w:rsidRPr="00B97E44">
        <w:rPr>
          <w:rFonts w:ascii="David" w:hAnsi="David" w:hint="cs"/>
          <w:sz w:val="24"/>
          <w:rtl/>
        </w:rPr>
        <w:t xml:space="preserve"> </w:t>
      </w:r>
      <w:r w:rsidRPr="00B97E44">
        <w:rPr>
          <w:rFonts w:ascii="David" w:hAnsi="David"/>
          <w:sz w:val="24"/>
          <w:rtl/>
        </w:rPr>
        <w:t>ובקרה על מענה בשטח. נוסף</w:t>
      </w:r>
      <w:r w:rsidRPr="00B97E44">
        <w:rPr>
          <w:rFonts w:ascii="David" w:hAnsi="David" w:hint="cs"/>
          <w:sz w:val="24"/>
          <w:rtl/>
        </w:rPr>
        <w:t xml:space="preserve"> על כך</w:t>
      </w:r>
      <w:r w:rsidRPr="00B97E44">
        <w:rPr>
          <w:rFonts w:ascii="David" w:hAnsi="David"/>
          <w:sz w:val="24"/>
          <w:rtl/>
        </w:rPr>
        <w:t>, הוקמו יחידות אחזקה ייעודיות באתרי המגורים השונים במטרה להבטיח זמינות גבוהה, טיפול אפקטיבי</w:t>
      </w:r>
      <w:r w:rsidRPr="00B97E44">
        <w:rPr>
          <w:rFonts w:ascii="David" w:hAnsi="David" w:hint="cs"/>
          <w:sz w:val="24"/>
          <w:rtl/>
        </w:rPr>
        <w:t xml:space="preserve"> </w:t>
      </w:r>
      <w:r w:rsidRPr="00B97E44">
        <w:rPr>
          <w:rFonts w:ascii="David" w:hAnsi="David"/>
          <w:sz w:val="24"/>
          <w:rtl/>
        </w:rPr>
        <w:t>ומתן שירות מיטבי לדיירים</w:t>
      </w:r>
      <w:r w:rsidRPr="00B97E44">
        <w:rPr>
          <w:rFonts w:ascii="David" w:hAnsi="David"/>
          <w:sz w:val="24"/>
        </w:rPr>
        <w:t xml:space="preserve"> .</w:t>
      </w:r>
      <w:r w:rsidRPr="00B97E44">
        <w:rPr>
          <w:rFonts w:ascii="David" w:hAnsi="David" w:hint="cs"/>
          <w:sz w:val="24"/>
          <w:rtl/>
        </w:rPr>
        <w:t xml:space="preserve">כמו כן, </w:t>
      </w:r>
      <w:r w:rsidRPr="00B97E44">
        <w:rPr>
          <w:rFonts w:ascii="David" w:hAnsi="David"/>
          <w:sz w:val="24"/>
          <w:rtl/>
        </w:rPr>
        <w:t>במקרים שבהם הקבלנים לא הגיעו לתקן את התקלות של שנת הבדק במועד, פעלה החטיבה</w:t>
      </w:r>
      <w:r w:rsidRPr="00B97E44">
        <w:rPr>
          <w:rFonts w:ascii="David" w:hAnsi="David" w:hint="cs"/>
          <w:sz w:val="24"/>
          <w:rtl/>
        </w:rPr>
        <w:t xml:space="preserve"> </w:t>
      </w:r>
      <w:r w:rsidRPr="00B97E44">
        <w:rPr>
          <w:rFonts w:ascii="David" w:hAnsi="David"/>
          <w:sz w:val="24"/>
          <w:rtl/>
        </w:rPr>
        <w:t xml:space="preserve">מיוזמתה ושלחה קבלני אחזקה מטעמה לשטח, </w:t>
      </w:r>
      <w:r w:rsidRPr="00B97E44">
        <w:rPr>
          <w:rFonts w:ascii="David" w:hAnsi="David" w:hint="cs"/>
          <w:sz w:val="24"/>
          <w:rtl/>
        </w:rPr>
        <w:t>כדי</w:t>
      </w:r>
      <w:r w:rsidRPr="00B97E44">
        <w:rPr>
          <w:rFonts w:ascii="David" w:hAnsi="David"/>
          <w:sz w:val="24"/>
          <w:rtl/>
        </w:rPr>
        <w:t xml:space="preserve"> לוודא כי הדיירים יקבלו מענה מהיר ומלא</w:t>
      </w:r>
      <w:r w:rsidRPr="00B97E44">
        <w:rPr>
          <w:rFonts w:ascii="David" w:hAnsi="David"/>
          <w:sz w:val="24"/>
        </w:rPr>
        <w:t>.</w:t>
      </w:r>
      <w:r w:rsidRPr="00B97E44">
        <w:rPr>
          <w:rFonts w:ascii="David" w:hAnsi="David"/>
          <w:sz w:val="24"/>
          <w:rtl/>
        </w:rPr>
        <w:t xml:space="preserve"> </w:t>
      </w:r>
    </w:p>
    <w:p w:rsidR="005B126E" w:rsidRPr="00B97E44" w:rsidP="001916A9">
      <w:pPr>
        <w:autoSpaceDE w:val="0"/>
        <w:autoSpaceDN w:val="0"/>
        <w:adjustRightInd w:val="0"/>
        <w:spacing w:line="269" w:lineRule="auto"/>
        <w:rPr>
          <w:rtl/>
        </w:rPr>
      </w:pPr>
    </w:p>
    <w:p w:rsidR="005B126E" w:rsidRPr="00B97E44" w:rsidP="001916A9">
      <w:pPr>
        <w:autoSpaceDE w:val="0"/>
        <w:autoSpaceDN w:val="0"/>
        <w:adjustRightInd w:val="0"/>
        <w:spacing w:line="269" w:lineRule="auto"/>
        <w:rPr>
          <w:rtl/>
        </w:rPr>
      </w:pPr>
      <w:r w:rsidRPr="00B97E44">
        <w:rPr>
          <w:rFonts w:ascii="David" w:hAnsi="David"/>
          <w:sz w:val="24"/>
          <w:rtl/>
        </w:rPr>
        <w:t xml:space="preserve">החטיבה </w:t>
      </w:r>
      <w:r w:rsidRPr="00B97E44">
        <w:rPr>
          <w:rFonts w:ascii="David" w:hAnsi="David" w:hint="cs"/>
          <w:sz w:val="24"/>
          <w:rtl/>
        </w:rPr>
        <w:t xml:space="preserve">השיבה עוד כי היא </w:t>
      </w:r>
      <w:r w:rsidRPr="00B97E44">
        <w:rPr>
          <w:rFonts w:ascii="David" w:hAnsi="David"/>
          <w:sz w:val="24"/>
          <w:rtl/>
        </w:rPr>
        <w:t>בחנה באופן שוטף את ביצועי הקבלנים והספקים ונקטה צעדים ניהוליים בהתאם</w:t>
      </w:r>
      <w:r w:rsidRPr="00B97E44">
        <w:rPr>
          <w:rFonts w:ascii="David" w:hAnsi="David" w:hint="cs"/>
          <w:sz w:val="24"/>
          <w:rtl/>
        </w:rPr>
        <w:t xml:space="preserve"> </w:t>
      </w:r>
      <w:r w:rsidRPr="00B97E44">
        <w:rPr>
          <w:rFonts w:ascii="David" w:hAnsi="David"/>
          <w:sz w:val="24"/>
          <w:rtl/>
        </w:rPr>
        <w:t>לצורך, אך בחרה להפעיל סנקציות כספיות במשורה ובזהירות, לאחר בחינה מעמיקה של מכלול</w:t>
      </w:r>
      <w:r w:rsidRPr="00B97E44">
        <w:rPr>
          <w:rFonts w:ascii="David" w:hAnsi="David" w:hint="cs"/>
          <w:sz w:val="24"/>
          <w:rtl/>
        </w:rPr>
        <w:t xml:space="preserve"> </w:t>
      </w:r>
      <w:r w:rsidRPr="00B97E44">
        <w:rPr>
          <w:rFonts w:ascii="David" w:hAnsi="David"/>
          <w:sz w:val="24"/>
          <w:rtl/>
        </w:rPr>
        <w:t>הנסיבות בכל מקרה לגופו</w:t>
      </w:r>
      <w:r w:rsidRPr="00B97E44">
        <w:rPr>
          <w:rFonts w:ascii="David" w:hAnsi="David" w:hint="cs"/>
          <w:sz w:val="24"/>
          <w:rtl/>
        </w:rPr>
        <w:t xml:space="preserve"> שכן</w:t>
      </w:r>
      <w:r w:rsidRPr="00B97E44">
        <w:rPr>
          <w:rFonts w:ascii="David" w:hAnsi="David"/>
          <w:sz w:val="24"/>
          <w:rtl/>
        </w:rPr>
        <w:t xml:space="preserve"> תקופת הביצוע לוותה בתנאים מורכבים במיוחד</w:t>
      </w:r>
      <w:r w:rsidRPr="00B97E44">
        <w:rPr>
          <w:rFonts w:ascii="David" w:hAnsi="David" w:hint="cs"/>
          <w:sz w:val="24"/>
          <w:rtl/>
        </w:rPr>
        <w:t>.</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החטיבה להתיישבות הדגישה עוד בתשובתה כי </w:t>
      </w:r>
      <w:r w:rsidRPr="00B97E44">
        <w:rPr>
          <w:rtl/>
        </w:rPr>
        <w:t>כלל ההערות שנכללו בדוח הביניים נבחנו לעומקן ותוקנו באופן כמעט מלא.</w:t>
      </w:r>
      <w:r w:rsidRPr="00B97E44">
        <w:rPr>
          <w:rFonts w:hint="cs"/>
          <w:rtl/>
        </w:rPr>
        <w:t xml:space="preserve"> </w:t>
      </w:r>
      <w:r w:rsidRPr="00B97E44">
        <w:rPr>
          <w:rtl/>
        </w:rPr>
        <w:t>החטיבה חיזקה את מנגנוני הפיקוח, הבקרה והלמידה הארגונית,</w:t>
      </w:r>
      <w:r w:rsidRPr="00B97E44">
        <w:rPr>
          <w:rFonts w:hint="cs"/>
          <w:rtl/>
        </w:rPr>
        <w:t xml:space="preserve"> </w:t>
      </w:r>
      <w:r w:rsidRPr="00B97E44">
        <w:rPr>
          <w:rtl/>
        </w:rPr>
        <w:t>במטרה לשפר את תהליכי הביצוע, להבטיח עמידה בסטנדרטים מקצועיים גבוהים ולחזק את אמון</w:t>
      </w:r>
      <w:r w:rsidRPr="00B97E44">
        <w:rPr>
          <w:rFonts w:hint="cs"/>
          <w:rtl/>
        </w:rPr>
        <w:t xml:space="preserve"> ה</w:t>
      </w:r>
      <w:r w:rsidRPr="00B97E44">
        <w:rPr>
          <w:rtl/>
        </w:rPr>
        <w:t>גורמים השותפים בעשייתה.</w:t>
      </w:r>
    </w:p>
    <w:p w:rsidR="005B126E" w:rsidP="001916A9">
      <w:pPr>
        <w:spacing w:line="269" w:lineRule="auto"/>
        <w:rPr>
          <w:rtl/>
        </w:rPr>
      </w:pPr>
    </w:p>
    <w:p w:rsidR="005B126E" w:rsidP="001916A9">
      <w:pPr>
        <w:spacing w:line="269" w:lineRule="auto"/>
        <w:rPr>
          <w:rtl/>
        </w:rPr>
      </w:pPr>
      <w:r w:rsidRPr="00B97E44">
        <w:rPr>
          <w:rFonts w:hint="cs"/>
          <w:rtl/>
        </w:rPr>
        <w:t>מינהלת תקומה מסרה בתשוב</w:t>
      </w:r>
      <w:r>
        <w:rPr>
          <w:rFonts w:hint="cs"/>
          <w:rtl/>
        </w:rPr>
        <w:t>ו</w:t>
      </w:r>
      <w:r w:rsidRPr="00B97E44">
        <w:rPr>
          <w:rFonts w:hint="cs"/>
          <w:rtl/>
        </w:rPr>
        <w:t>ת</w:t>
      </w:r>
      <w:r>
        <w:rPr>
          <w:rFonts w:hint="cs"/>
          <w:rtl/>
        </w:rPr>
        <w:t>י</w:t>
      </w:r>
      <w:r w:rsidRPr="00B97E44">
        <w:rPr>
          <w:rFonts w:hint="cs"/>
          <w:rtl/>
        </w:rPr>
        <w:t xml:space="preserve">ה כי </w:t>
      </w:r>
      <w:r>
        <w:rPr>
          <w:rFonts w:hint="cs"/>
          <w:rtl/>
        </w:rPr>
        <w:t xml:space="preserve">היא </w:t>
      </w:r>
      <w:r>
        <w:rPr>
          <w:rtl/>
        </w:rPr>
        <w:t>מעמידה את המימון הנדרש לתחזוקת אתרי הביניים</w:t>
      </w:r>
      <w:r>
        <w:rPr>
          <w:rFonts w:hint="cs"/>
          <w:rtl/>
        </w:rPr>
        <w:t xml:space="preserve"> ולטיפול בתקלות במבנים ובתשתיות</w:t>
      </w:r>
      <w:r w:rsidRPr="00B97E44">
        <w:rPr>
          <w:rFonts w:hint="cs"/>
          <w:rtl/>
        </w:rPr>
        <w:t xml:space="preserve"> </w:t>
      </w:r>
      <w:r>
        <w:rPr>
          <w:rtl/>
        </w:rPr>
        <w:t>תוך מעקב</w:t>
      </w:r>
      <w:r>
        <w:rPr>
          <w:rFonts w:hint="cs"/>
          <w:rtl/>
        </w:rPr>
        <w:t xml:space="preserve"> </w:t>
      </w:r>
      <w:r>
        <w:rPr>
          <w:rtl/>
        </w:rPr>
        <w:t xml:space="preserve">מתמיד מול נציגי </w:t>
      </w:r>
      <w:r>
        <w:rPr>
          <w:rFonts w:hint="cs"/>
          <w:rtl/>
        </w:rPr>
        <w:t>החטיבה להתיישבות ונ</w:t>
      </w:r>
      <w:r>
        <w:rPr>
          <w:rtl/>
        </w:rPr>
        <w:t>ציגי הקהילות עד להשלמת העבודות ומתן</w:t>
      </w:r>
      <w:r>
        <w:rPr>
          <w:rFonts w:hint="cs"/>
          <w:rtl/>
        </w:rPr>
        <w:t xml:space="preserve"> </w:t>
      </w:r>
      <w:r>
        <w:rPr>
          <w:rtl/>
        </w:rPr>
        <w:t>המענה הנדרש.</w:t>
      </w:r>
      <w:r>
        <w:rPr>
          <w:rFonts w:hint="cs"/>
          <w:rtl/>
        </w:rPr>
        <w:t xml:space="preserve"> עוד הוסיפה </w:t>
      </w:r>
      <w:r>
        <w:rPr>
          <w:rFonts w:hint="cs"/>
          <w:rtl/>
        </w:rPr>
        <w:t>המינהלת</w:t>
      </w:r>
      <w:r>
        <w:rPr>
          <w:rFonts w:hint="cs"/>
          <w:rtl/>
        </w:rPr>
        <w:t xml:space="preserve"> כי </w:t>
      </w:r>
      <w:r w:rsidRPr="00B97E44">
        <w:rPr>
          <w:rFonts w:hint="cs"/>
          <w:rtl/>
        </w:rPr>
        <w:t xml:space="preserve">נציגיה מגיעים לכל אתרי </w:t>
      </w:r>
      <w:r>
        <w:rPr>
          <w:rFonts w:hint="cs"/>
          <w:rtl/>
        </w:rPr>
        <w:t>מגורי</w:t>
      </w:r>
      <w:r w:rsidRPr="00B97E44">
        <w:rPr>
          <w:rFonts w:hint="cs"/>
          <w:rtl/>
        </w:rPr>
        <w:t xml:space="preserve"> הביניים לפי הצורך ובאופן יזום כדי לעקוב מקרוב אחר הטיפול בליקויים שהועלו בישיבות סטטוס ולוודא שאכן טופלו. </w:t>
      </w:r>
    </w:p>
    <w:p w:rsidR="005B126E" w:rsidRPr="00B97E44" w:rsidP="001916A9">
      <w:pPr>
        <w:spacing w:line="269" w:lineRule="auto"/>
        <w:rPr>
          <w:sz w:val="24"/>
          <w:rtl/>
        </w:rPr>
      </w:pPr>
    </w:p>
    <w:p w:rsidR="005B126E" w:rsidRPr="00B97E44" w:rsidP="003474AA">
      <w:pPr>
        <w:pStyle w:val="Heading4"/>
        <w:rPr>
          <w:rtl/>
        </w:rPr>
      </w:pPr>
      <w:r w:rsidRPr="00B97E44">
        <w:rPr>
          <w:rFonts w:hint="cs"/>
          <w:rtl/>
        </w:rPr>
        <w:t>מעקב - שכונת מישור הגפן באופקים - הנצחה</w:t>
      </w:r>
    </w:p>
    <w:p w:rsidR="005B126E" w:rsidRPr="00B97E44" w:rsidP="001916A9">
      <w:pPr>
        <w:spacing w:line="269" w:lineRule="auto"/>
        <w:rPr>
          <w:rtl/>
        </w:rPr>
      </w:pPr>
    </w:p>
    <w:p w:rsidR="005B126E" w:rsidRPr="00DE29D1" w:rsidP="001916A9">
      <w:pPr>
        <w:pStyle w:val="Heading5"/>
        <w:spacing w:line="269" w:lineRule="auto"/>
        <w:rPr>
          <w:rtl/>
        </w:rPr>
      </w:pPr>
      <w:r w:rsidRPr="00DE29D1">
        <w:rPr>
          <w:rtl/>
        </w:rPr>
        <w:t>הביקורת הקודמת</w:t>
      </w:r>
    </w:p>
    <w:p w:rsidR="005B126E" w:rsidP="001916A9">
      <w:pPr>
        <w:spacing w:line="269" w:lineRule="auto"/>
        <w:rPr>
          <w:rtl/>
        </w:rPr>
      </w:pPr>
    </w:p>
    <w:p w:rsidR="005B126E" w:rsidRPr="00B97E44" w:rsidP="001916A9">
      <w:pPr>
        <w:spacing w:line="269" w:lineRule="auto"/>
        <w:rPr>
          <w:b/>
          <w:bCs/>
          <w:rtl/>
        </w:rPr>
      </w:pPr>
      <w:r w:rsidRPr="00B97E44">
        <w:rPr>
          <w:rFonts w:hint="cs"/>
          <w:rtl/>
        </w:rPr>
        <w:t>באירועי שבעה באוקטובר חדרו מחבלים לשכונת מישור הגפן ב</w:t>
      </w:r>
      <w:r w:rsidRPr="00B97E44">
        <w:rPr>
          <w:rFonts w:hint="eastAsia"/>
          <w:b/>
          <w:bCs/>
          <w:rtl/>
        </w:rPr>
        <w:t>אופקים</w:t>
      </w:r>
      <w:r w:rsidRPr="00B97E44">
        <w:rPr>
          <w:rFonts w:ascii="David" w:hAnsi="David" w:hint="cs"/>
          <w:rtl/>
        </w:rPr>
        <w:t>, המרוחקת כ-21 ק"מ מרצועת עזה,</w:t>
      </w:r>
      <w:r w:rsidRPr="00B97E44">
        <w:rPr>
          <w:rFonts w:hint="cs"/>
          <w:rtl/>
        </w:rPr>
        <w:t xml:space="preserve"> ורצחו </w:t>
      </w:r>
      <w:r>
        <w:rPr>
          <w:rFonts w:hint="cs"/>
          <w:rtl/>
        </w:rPr>
        <w:t>24 תושבים</w:t>
      </w:r>
      <w:r w:rsidRPr="00B97E44">
        <w:rPr>
          <w:rFonts w:hint="cs"/>
          <w:rtl/>
        </w:rPr>
        <w:t xml:space="preserve"> ושישה אנשי כוחות הביטחון</w:t>
      </w:r>
      <w:r w:rsidRPr="00B97E44">
        <w:rPr>
          <w:rtl/>
        </w:rPr>
        <w:t xml:space="preserve"> </w:t>
      </w:r>
      <w:r w:rsidRPr="00B97E44">
        <w:rPr>
          <w:rFonts w:hint="cs"/>
          <w:rtl/>
        </w:rPr>
        <w:t xml:space="preserve">- </w:t>
      </w:r>
      <w:r w:rsidRPr="00B97E44">
        <w:rPr>
          <w:rtl/>
        </w:rPr>
        <w:t>חלקם בבתיהם, חלקם במרחב המוגן המשותף</w:t>
      </w:r>
      <w:r w:rsidRPr="00B97E44">
        <w:rPr>
          <w:rFonts w:hint="cs"/>
          <w:rtl/>
        </w:rPr>
        <w:t xml:space="preserve"> ו</w:t>
      </w:r>
      <w:r w:rsidRPr="00B97E44">
        <w:rPr>
          <w:rtl/>
        </w:rPr>
        <w:t>חלקם ברחוב.</w:t>
      </w:r>
    </w:p>
    <w:p w:rsidR="005B126E" w:rsidP="001916A9">
      <w:pPr>
        <w:spacing w:line="269" w:lineRule="auto"/>
        <w:rPr>
          <w:b/>
          <w:bCs/>
          <w:rtl/>
        </w:rPr>
      </w:pPr>
    </w:p>
    <w:p w:rsidR="005B126E" w:rsidRPr="00B97E44" w:rsidP="001916A9">
      <w:pPr>
        <w:spacing w:line="269" w:lineRule="auto"/>
        <w:rPr>
          <w:rtl/>
        </w:rPr>
      </w:pPr>
      <w:r w:rsidRPr="00DC6823">
        <w:rPr>
          <w:rStyle w:val="7"/>
          <w:rFonts w:hint="cs"/>
          <w:rtl/>
        </w:rPr>
        <w:t>הליקוי בדוח הקודם:</w:t>
      </w:r>
      <w:r w:rsidRPr="00B97E44">
        <w:rPr>
          <w:rFonts w:hint="cs"/>
          <w:b/>
          <w:bCs/>
          <w:rtl/>
        </w:rPr>
        <w:t xml:space="preserve"> </w:t>
      </w:r>
      <w:r w:rsidRPr="00B97E44">
        <w:rPr>
          <w:rFonts w:hint="cs"/>
          <w:rtl/>
        </w:rPr>
        <w:t xml:space="preserve">בדוח הביניים עלה כי תושבים בחרו להנציח בעצמם את הנרצחים והנופלים באירועי שבעה באוקטובר בשכונה באופן ארעי ובלתי מתוחזק וכי בשכונה יש </w:t>
      </w:r>
      <w:r w:rsidRPr="00B97E44">
        <w:rPr>
          <w:rFonts w:hint="cs"/>
          <w:rtl/>
        </w:rPr>
        <w:t>מיגונית</w:t>
      </w:r>
      <w:r w:rsidRPr="00B97E44">
        <w:rPr>
          <w:rFonts w:hint="cs"/>
          <w:rtl/>
        </w:rPr>
        <w:t xml:space="preserve"> שבה כתמי דם ופגיעות ירי מאותם האירועים. </w:t>
      </w:r>
      <w:bookmarkStart w:id="77" w:name="_Hlk204495067"/>
      <w:r w:rsidRPr="00B97E44">
        <w:rPr>
          <w:rFonts w:hint="cs"/>
          <w:rtl/>
        </w:rPr>
        <w:t xml:space="preserve">עוד עלה בדוח הביניים כי על פי דברי </w:t>
      </w:r>
      <w:r w:rsidRPr="00B97E44">
        <w:rPr>
          <w:rtl/>
        </w:rPr>
        <w:t>התושבים</w:t>
      </w:r>
      <w:r w:rsidRPr="00B97E44">
        <w:rPr>
          <w:rFonts w:hint="cs"/>
          <w:rtl/>
        </w:rPr>
        <w:t>,</w:t>
      </w:r>
      <w:r w:rsidRPr="00B97E44">
        <w:rPr>
          <w:rtl/>
        </w:rPr>
        <w:t xml:space="preserve"> החורים </w:t>
      </w:r>
      <w:r w:rsidRPr="00B97E44">
        <w:rPr>
          <w:rFonts w:hint="eastAsia"/>
          <w:rtl/>
        </w:rPr>
        <w:t>במיגונית</w:t>
      </w:r>
      <w:r w:rsidRPr="00B97E44">
        <w:rPr>
          <w:rtl/>
        </w:rPr>
        <w:t xml:space="preserve"> מהירי באירועי </w:t>
      </w:r>
      <w:r w:rsidRPr="00B97E44">
        <w:rPr>
          <w:rFonts w:hint="eastAsia"/>
          <w:rtl/>
        </w:rPr>
        <w:t>שבעה</w:t>
      </w:r>
      <w:r w:rsidRPr="00B97E44">
        <w:rPr>
          <w:rtl/>
        </w:rPr>
        <w:t xml:space="preserve"> באוקטובר וכתמי הדם שנותרו בתוכה מזכירים להם באופן מתמיד את הטראומה שעברו.</w:t>
      </w:r>
    </w:p>
    <w:bookmarkEnd w:id="77"/>
    <w:p w:rsidR="005B126E" w:rsidP="001916A9">
      <w:pPr>
        <w:spacing w:line="269" w:lineRule="auto"/>
        <w:rPr>
          <w:b/>
          <w:bCs/>
          <w:rtl/>
        </w:rPr>
      </w:pPr>
    </w:p>
    <w:p w:rsidR="005B126E" w:rsidRPr="00B97E44" w:rsidP="001916A9">
      <w:pPr>
        <w:spacing w:line="269" w:lineRule="auto"/>
        <w:rPr>
          <w:rtl/>
        </w:rPr>
      </w:pPr>
      <w:r w:rsidRPr="00DC6823">
        <w:rPr>
          <w:rStyle w:val="7"/>
          <w:rFonts w:hint="cs"/>
          <w:rtl/>
        </w:rPr>
        <w:t>ההמלצה בדוח הקודם:</w:t>
      </w:r>
      <w:r w:rsidRPr="00B97E44">
        <w:rPr>
          <w:rFonts w:hint="cs"/>
          <w:b/>
          <w:bCs/>
          <w:rtl/>
        </w:rPr>
        <w:t xml:space="preserve"> </w:t>
      </w:r>
      <w:r w:rsidRPr="00B97E44">
        <w:rPr>
          <w:rFonts w:hint="cs"/>
          <w:rtl/>
        </w:rPr>
        <w:t xml:space="preserve">על משרד ראש הממשלה בשיתוף מינהלת תקומה לקדם ללא דיחוי את הקמתו של תאגיד הנצחה שיופקד על יסודו של אתר הנצחה מרכזי שבו יוכלו משפחות הנרצחים והנופלים לזכות להנצחה של יקיריהן. </w:t>
      </w:r>
      <w:r w:rsidRPr="00B97E44">
        <w:rPr>
          <w:rFonts w:hint="eastAsia"/>
          <w:rtl/>
        </w:rPr>
        <w:t>נוסף</w:t>
      </w:r>
      <w:r w:rsidRPr="00B97E44">
        <w:rPr>
          <w:rtl/>
        </w:rPr>
        <w:t xml:space="preserve"> </w:t>
      </w:r>
      <w:r w:rsidRPr="00B97E44">
        <w:rPr>
          <w:rFonts w:hint="eastAsia"/>
          <w:rtl/>
        </w:rPr>
        <w:t>על</w:t>
      </w:r>
      <w:r w:rsidRPr="00B97E44">
        <w:rPr>
          <w:rtl/>
        </w:rPr>
        <w:t xml:space="preserve"> </w:t>
      </w:r>
      <w:r w:rsidRPr="00B97E44">
        <w:rPr>
          <w:rFonts w:hint="eastAsia"/>
          <w:rtl/>
        </w:rPr>
        <w:t>כך</w:t>
      </w:r>
      <w:r w:rsidRPr="00B97E44">
        <w:rPr>
          <w:rFonts w:hint="cs"/>
          <w:rtl/>
        </w:rPr>
        <w:t xml:space="preserve">, על משרד ראש הממשלה לוודא כי אף שעיריית </w:t>
      </w:r>
      <w:r w:rsidRPr="00B97E44">
        <w:rPr>
          <w:rFonts w:hint="eastAsia"/>
          <w:b/>
          <w:bCs/>
          <w:rtl/>
        </w:rPr>
        <w:t>אופקים</w:t>
      </w:r>
      <w:r w:rsidRPr="00B97E44">
        <w:rPr>
          <w:rFonts w:hint="cs"/>
          <w:rtl/>
        </w:rPr>
        <w:t xml:space="preserve"> אינה נכללת בחבל התקומה, היא תהיה מעורבת בהנצחת תושבי העיר ואנשי כוחות הביטחון אשר נרצחו בעיר באירועי שבעה באוקטובר.</w:t>
      </w:r>
    </w:p>
    <w:p w:rsidR="005B126E" w:rsidP="001916A9">
      <w:pPr>
        <w:spacing w:line="269" w:lineRule="auto"/>
        <w:rPr>
          <w:rFonts w:eastAsiaTheme="majorEastAsia"/>
          <w:bCs/>
          <w:spacing w:val="40"/>
          <w:rtl/>
        </w:rPr>
      </w:pPr>
    </w:p>
    <w:p w:rsidR="005B126E" w:rsidRPr="00B97E44" w:rsidP="001916A9">
      <w:pPr>
        <w:spacing w:line="269" w:lineRule="auto"/>
        <w:rPr>
          <w:rtl/>
        </w:rPr>
      </w:pPr>
      <w:r w:rsidRPr="00DC6823">
        <w:rPr>
          <w:rStyle w:val="7"/>
          <w:rFonts w:hint="eastAsia"/>
          <w:rtl/>
        </w:rPr>
        <w:t>תגובת</w:t>
      </w:r>
      <w:r w:rsidRPr="00DC6823">
        <w:rPr>
          <w:rStyle w:val="7"/>
          <w:rtl/>
        </w:rPr>
        <w:t xml:space="preserve"> הגופים המבוקרים </w:t>
      </w:r>
      <w:r w:rsidRPr="00DC6823">
        <w:rPr>
          <w:rStyle w:val="7"/>
          <w:rFonts w:hint="eastAsia"/>
          <w:rtl/>
        </w:rPr>
        <w:t>בדוח</w:t>
      </w:r>
      <w:r w:rsidRPr="00DC6823">
        <w:rPr>
          <w:rStyle w:val="7"/>
          <w:rtl/>
        </w:rPr>
        <w:t xml:space="preserve"> </w:t>
      </w:r>
      <w:r w:rsidRPr="00DC6823">
        <w:rPr>
          <w:rStyle w:val="7"/>
          <w:rFonts w:hint="eastAsia"/>
          <w:rtl/>
        </w:rPr>
        <w:t>הקודם</w:t>
      </w:r>
      <w:r w:rsidRPr="00DC6823">
        <w:rPr>
          <w:rStyle w:val="7"/>
          <w:rFonts w:hint="cs"/>
          <w:rtl/>
        </w:rPr>
        <w:t>:</w:t>
      </w:r>
      <w:r w:rsidRPr="00B97E44">
        <w:rPr>
          <w:rFonts w:hint="cs"/>
          <w:rtl/>
        </w:rPr>
        <w:t xml:space="preserve"> במענה לדוח הביניים השיבה עיריית </w:t>
      </w:r>
      <w:r w:rsidRPr="00B97E44">
        <w:rPr>
          <w:rFonts w:hint="eastAsia"/>
          <w:b/>
          <w:bCs/>
          <w:rtl/>
        </w:rPr>
        <w:t>אופקים</w:t>
      </w:r>
      <w:r w:rsidRPr="00B97E44">
        <w:rPr>
          <w:rFonts w:hint="cs"/>
          <w:rtl/>
        </w:rPr>
        <w:t xml:space="preserve"> בינואר 2025 כי היא </w:t>
      </w:r>
      <w:r w:rsidRPr="00B97E44">
        <w:rPr>
          <w:rtl/>
        </w:rPr>
        <w:t xml:space="preserve">פרסמה קול קורא לאומנים וליוצרים להציע הצעות להנצחה והקימה ועדת הנצחה בשיתוף העירייה ומשפחות הנרצחים. עוד </w:t>
      </w:r>
      <w:r w:rsidRPr="00B97E44">
        <w:rPr>
          <w:rFonts w:hint="cs"/>
          <w:rtl/>
        </w:rPr>
        <w:t>מסרה העירייה כי</w:t>
      </w:r>
      <w:r w:rsidRPr="00B97E44">
        <w:rPr>
          <w:rtl/>
        </w:rPr>
        <w:t xml:space="preserve"> ההנצחה </w:t>
      </w:r>
      <w:r w:rsidRPr="00B97E44">
        <w:rPr>
          <w:rFonts w:hint="eastAsia"/>
          <w:rtl/>
        </w:rPr>
        <w:t>בשכונת</w:t>
      </w:r>
      <w:r w:rsidRPr="00B97E44">
        <w:rPr>
          <w:rtl/>
        </w:rPr>
        <w:t xml:space="preserve"> </w:t>
      </w:r>
      <w:r w:rsidRPr="00B97E44">
        <w:rPr>
          <w:rFonts w:hint="eastAsia"/>
          <w:rtl/>
        </w:rPr>
        <w:t>מישור</w:t>
      </w:r>
      <w:r w:rsidRPr="00B97E44">
        <w:rPr>
          <w:rtl/>
        </w:rPr>
        <w:t xml:space="preserve"> </w:t>
      </w:r>
      <w:r w:rsidRPr="00B97E44">
        <w:rPr>
          <w:rFonts w:hint="eastAsia"/>
          <w:rtl/>
        </w:rPr>
        <w:t>הגפן</w:t>
      </w:r>
      <w:r w:rsidRPr="00B97E44">
        <w:rPr>
          <w:rtl/>
        </w:rPr>
        <w:t xml:space="preserve"> </w:t>
      </w:r>
      <w:r w:rsidRPr="00B97E44">
        <w:rPr>
          <w:rFonts w:hint="eastAsia"/>
          <w:rtl/>
        </w:rPr>
        <w:t>היא</w:t>
      </w:r>
      <w:r w:rsidRPr="00B97E44">
        <w:rPr>
          <w:rtl/>
        </w:rPr>
        <w:t xml:space="preserve"> </w:t>
      </w:r>
      <w:r w:rsidRPr="00B97E44">
        <w:rPr>
          <w:rFonts w:hint="eastAsia"/>
          <w:rtl/>
        </w:rPr>
        <w:t>הנצחה</w:t>
      </w:r>
      <w:r w:rsidRPr="00B97E44">
        <w:rPr>
          <w:rtl/>
        </w:rPr>
        <w:t xml:space="preserve"> </w:t>
      </w:r>
      <w:r w:rsidRPr="00B97E44">
        <w:rPr>
          <w:rFonts w:hint="eastAsia"/>
          <w:rtl/>
        </w:rPr>
        <w:t>ארעית</w:t>
      </w:r>
      <w:r w:rsidRPr="00B97E44">
        <w:rPr>
          <w:rtl/>
        </w:rPr>
        <w:t xml:space="preserve"> </w:t>
      </w:r>
      <w:r w:rsidRPr="00B97E44">
        <w:rPr>
          <w:rFonts w:hint="cs"/>
          <w:rtl/>
        </w:rPr>
        <w:t xml:space="preserve">שבוצעה בגין </w:t>
      </w:r>
      <w:r w:rsidRPr="00B97E44">
        <w:rPr>
          <w:rtl/>
        </w:rPr>
        <w:t xml:space="preserve">צורך </w:t>
      </w:r>
      <w:r w:rsidRPr="00B97E44">
        <w:rPr>
          <w:rFonts w:hint="cs"/>
          <w:rtl/>
        </w:rPr>
        <w:t>שעלה בקרב</w:t>
      </w:r>
      <w:r w:rsidRPr="00B97E44">
        <w:rPr>
          <w:rtl/>
        </w:rPr>
        <w:t xml:space="preserve"> </w:t>
      </w:r>
      <w:r w:rsidRPr="00B97E44">
        <w:rPr>
          <w:rFonts w:hint="cs"/>
          <w:rtl/>
        </w:rPr>
        <w:t xml:space="preserve">מי </w:t>
      </w:r>
      <w:r w:rsidRPr="00B97E44">
        <w:rPr>
          <w:rtl/>
        </w:rPr>
        <w:t>שבני משפחת</w:t>
      </w:r>
      <w:r w:rsidRPr="00B97E44">
        <w:rPr>
          <w:rFonts w:hint="cs"/>
          <w:rtl/>
        </w:rPr>
        <w:t>ו</w:t>
      </w:r>
      <w:r w:rsidRPr="00B97E44">
        <w:rPr>
          <w:rtl/>
        </w:rPr>
        <w:t xml:space="preserve"> נרצחו</w:t>
      </w:r>
      <w:r w:rsidRPr="00B97E44">
        <w:rPr>
          <w:rFonts w:hint="cs"/>
          <w:rtl/>
        </w:rPr>
        <w:t xml:space="preserve"> וכי</w:t>
      </w:r>
      <w:r w:rsidRPr="00B97E44">
        <w:rPr>
          <w:rtl/>
        </w:rPr>
        <w:t xml:space="preserve"> מרבית </w:t>
      </w:r>
      <w:r w:rsidRPr="00B97E44">
        <w:rPr>
          <w:rFonts w:hint="eastAsia"/>
          <w:rtl/>
        </w:rPr>
        <w:t>המיגוניות</w:t>
      </w:r>
      <w:r w:rsidRPr="00B97E44">
        <w:rPr>
          <w:rtl/>
        </w:rPr>
        <w:t xml:space="preserve"> בעיר הוחלפו</w:t>
      </w:r>
      <w:r w:rsidRPr="00B97E44">
        <w:rPr>
          <w:rFonts w:hint="cs"/>
          <w:rtl/>
        </w:rPr>
        <w:t>,</w:t>
      </w:r>
      <w:r w:rsidRPr="00B97E44">
        <w:rPr>
          <w:rtl/>
        </w:rPr>
        <w:t xml:space="preserve"> </w:t>
      </w:r>
      <w:r w:rsidRPr="00B97E44">
        <w:rPr>
          <w:rFonts w:hint="eastAsia"/>
          <w:rtl/>
        </w:rPr>
        <w:t>ו</w:t>
      </w:r>
      <w:r w:rsidRPr="00B97E44">
        <w:rPr>
          <w:rFonts w:hint="cs"/>
          <w:rtl/>
        </w:rPr>
        <w:t xml:space="preserve">רק </w:t>
      </w:r>
      <w:r w:rsidRPr="00B97E44">
        <w:rPr>
          <w:rFonts w:hint="eastAsia"/>
          <w:rtl/>
        </w:rPr>
        <w:t>מיגוניות</w:t>
      </w:r>
      <w:r w:rsidRPr="00B97E44">
        <w:rPr>
          <w:rtl/>
        </w:rPr>
        <w:t xml:space="preserve"> בודדות נשארו עם סימני ירי או דם</w:t>
      </w:r>
      <w:r w:rsidRPr="00B97E44">
        <w:rPr>
          <w:rFonts w:hint="cs"/>
          <w:rtl/>
        </w:rPr>
        <w:t xml:space="preserve"> וכי גם הן הוחלפו בעקבות הביקורת.</w:t>
      </w:r>
    </w:p>
    <w:p w:rsidR="005B126E" w:rsidP="001916A9">
      <w:pPr>
        <w:spacing w:line="269" w:lineRule="auto"/>
        <w:rPr>
          <w:rtl/>
        </w:rPr>
      </w:pPr>
    </w:p>
    <w:p w:rsidR="005B126E" w:rsidRPr="00B97E44" w:rsidP="001916A9">
      <w:pPr>
        <w:spacing w:line="269" w:lineRule="auto"/>
        <w:rPr>
          <w:rtl/>
        </w:rPr>
      </w:pPr>
      <w:r w:rsidRPr="00B97E44">
        <w:rPr>
          <w:rFonts w:hint="cs"/>
          <w:rtl/>
        </w:rPr>
        <w:t xml:space="preserve">משרד ראש הממשלה מסר כי הוא מבצע עבודת מטה כדי להכין מתווה ארוך טווח להנצחה אשר יעוגן בחקיקה וייקבע בהסכמה ציבורית רחבה. </w:t>
      </w:r>
    </w:p>
    <w:p w:rsidR="005B126E" w:rsidRPr="00B97E44" w:rsidP="001916A9">
      <w:pPr>
        <w:spacing w:line="269" w:lineRule="auto"/>
        <w:rPr>
          <w:rtl/>
        </w:rPr>
      </w:pPr>
    </w:p>
    <w:p w:rsidR="005B126E" w:rsidRPr="00DE29D1" w:rsidP="001916A9">
      <w:pPr>
        <w:pStyle w:val="Heading5"/>
        <w:spacing w:line="269" w:lineRule="auto"/>
        <w:rPr>
          <w:rtl/>
        </w:rPr>
      </w:pPr>
      <w:r w:rsidRPr="00DE29D1">
        <w:rPr>
          <w:rFonts w:hint="cs"/>
          <w:rtl/>
        </w:rPr>
        <w:t>ביקורת המעקב</w:t>
      </w:r>
    </w:p>
    <w:p w:rsidR="005B126E" w:rsidRPr="00B97E44" w:rsidP="002201F1">
      <w:pPr>
        <w:rPr>
          <w:rtl/>
        </w:rPr>
      </w:pPr>
    </w:p>
    <w:p w:rsidR="005B126E" w:rsidRPr="00B97E44" w:rsidP="001916A9">
      <w:pPr>
        <w:spacing w:line="269" w:lineRule="auto"/>
        <w:rPr>
          <w:b/>
          <w:bCs/>
          <w:rtl/>
        </w:rPr>
      </w:pPr>
      <w:r w:rsidRPr="00B97E44">
        <w:rPr>
          <w:rFonts w:hint="eastAsia"/>
          <w:b/>
          <w:bCs/>
          <w:rtl/>
        </w:rPr>
        <w:t>בביקורת</w:t>
      </w:r>
      <w:r w:rsidRPr="00B97E44">
        <w:rPr>
          <w:b/>
          <w:bCs/>
          <w:rtl/>
        </w:rPr>
        <w:t xml:space="preserve"> </w:t>
      </w:r>
      <w:r w:rsidRPr="00B97E44">
        <w:rPr>
          <w:rFonts w:hint="eastAsia"/>
          <w:b/>
          <w:bCs/>
          <w:rtl/>
        </w:rPr>
        <w:t>המעקב</w:t>
      </w:r>
      <w:r w:rsidRPr="00B97E44">
        <w:rPr>
          <w:b/>
          <w:bCs/>
          <w:rtl/>
        </w:rPr>
        <w:t xml:space="preserve"> </w:t>
      </w:r>
      <w:r w:rsidRPr="00B97E44">
        <w:rPr>
          <w:rFonts w:hint="eastAsia"/>
          <w:b/>
          <w:bCs/>
          <w:rtl/>
        </w:rPr>
        <w:t>נמצא</w:t>
      </w:r>
      <w:r w:rsidRPr="00B97E44">
        <w:rPr>
          <w:b/>
          <w:bCs/>
          <w:rtl/>
        </w:rPr>
        <w:t xml:space="preserve"> </w:t>
      </w:r>
      <w:r w:rsidRPr="00B97E44">
        <w:rPr>
          <w:rFonts w:hint="eastAsia"/>
          <w:b/>
          <w:bCs/>
          <w:rtl/>
        </w:rPr>
        <w:t>בסיור</w:t>
      </w:r>
      <w:r w:rsidRPr="00B97E44">
        <w:rPr>
          <w:b/>
          <w:bCs/>
          <w:rtl/>
        </w:rPr>
        <w:t xml:space="preserve"> </w:t>
      </w:r>
      <w:r w:rsidRPr="00B97E44">
        <w:rPr>
          <w:rFonts w:hint="eastAsia"/>
          <w:b/>
          <w:bCs/>
          <w:rtl/>
        </w:rPr>
        <w:t>שערך</w:t>
      </w:r>
      <w:r w:rsidRPr="00B97E44">
        <w:rPr>
          <w:b/>
          <w:bCs/>
          <w:rtl/>
        </w:rPr>
        <w:t xml:space="preserve"> </w:t>
      </w:r>
      <w:r w:rsidRPr="00B97E44">
        <w:rPr>
          <w:rFonts w:hint="eastAsia"/>
          <w:b/>
          <w:bCs/>
          <w:rtl/>
        </w:rPr>
        <w:t>צוות</w:t>
      </w:r>
      <w:r w:rsidRPr="00B97E44">
        <w:rPr>
          <w:b/>
          <w:bCs/>
          <w:rtl/>
        </w:rPr>
        <w:t xml:space="preserve"> </w:t>
      </w:r>
      <w:r w:rsidRPr="00B97E44">
        <w:rPr>
          <w:rFonts w:hint="eastAsia"/>
          <w:b/>
          <w:bCs/>
          <w:rtl/>
        </w:rPr>
        <w:t>הביקורת</w:t>
      </w:r>
      <w:r w:rsidRPr="00B97E44">
        <w:rPr>
          <w:b/>
          <w:bCs/>
          <w:rtl/>
        </w:rPr>
        <w:t xml:space="preserve"> </w:t>
      </w:r>
      <w:r w:rsidRPr="00B97E44">
        <w:rPr>
          <w:rFonts w:hint="eastAsia"/>
          <w:b/>
          <w:bCs/>
          <w:rtl/>
        </w:rPr>
        <w:t>ביולי</w:t>
      </w:r>
      <w:r w:rsidRPr="00B97E44">
        <w:rPr>
          <w:b/>
          <w:bCs/>
          <w:rtl/>
        </w:rPr>
        <w:t xml:space="preserve"> 2025 </w:t>
      </w:r>
      <w:r w:rsidRPr="00B97E44">
        <w:rPr>
          <w:rFonts w:hint="eastAsia"/>
          <w:b/>
          <w:bCs/>
          <w:rtl/>
        </w:rPr>
        <w:t>בשכונת</w:t>
      </w:r>
      <w:r w:rsidRPr="00B97E44">
        <w:rPr>
          <w:b/>
          <w:bCs/>
          <w:rtl/>
        </w:rPr>
        <w:t xml:space="preserve"> </w:t>
      </w:r>
      <w:r w:rsidRPr="00B97E44">
        <w:rPr>
          <w:rFonts w:hint="eastAsia"/>
          <w:b/>
          <w:bCs/>
          <w:rtl/>
        </w:rPr>
        <w:t>מישור</w:t>
      </w:r>
      <w:r w:rsidRPr="00B97E44">
        <w:rPr>
          <w:b/>
          <w:bCs/>
          <w:rtl/>
        </w:rPr>
        <w:t xml:space="preserve"> </w:t>
      </w:r>
      <w:r w:rsidRPr="00B97E44">
        <w:rPr>
          <w:rFonts w:hint="eastAsia"/>
          <w:b/>
          <w:bCs/>
          <w:rtl/>
        </w:rPr>
        <w:t>הגפן</w:t>
      </w:r>
      <w:r w:rsidRPr="00B97E44">
        <w:rPr>
          <w:b/>
          <w:bCs/>
          <w:rtl/>
        </w:rPr>
        <w:t xml:space="preserve"> </w:t>
      </w:r>
      <w:r w:rsidRPr="00B97E44">
        <w:rPr>
          <w:rFonts w:hint="eastAsia"/>
          <w:b/>
          <w:bCs/>
          <w:rtl/>
        </w:rPr>
        <w:t>באופקים</w:t>
      </w:r>
      <w:r w:rsidRPr="00B97E44">
        <w:rPr>
          <w:b/>
          <w:bCs/>
          <w:rtl/>
        </w:rPr>
        <w:t xml:space="preserve"> כי גם 22 חודשים לאחר האירועים, ועל אף תשובת עיריית אופקים בדוח הביניים, ההנצחה של הנופלים והנרצחים עודנה ארעית ואינה מתוחזקת וכי </w:t>
      </w:r>
      <w:r w:rsidRPr="00B97E44">
        <w:rPr>
          <w:rFonts w:hint="eastAsia"/>
          <w:b/>
          <w:bCs/>
          <w:rtl/>
        </w:rPr>
        <w:t>בשכונה</w:t>
      </w:r>
      <w:r w:rsidRPr="00B97E44">
        <w:rPr>
          <w:b/>
          <w:bCs/>
          <w:rtl/>
        </w:rPr>
        <w:t xml:space="preserve"> </w:t>
      </w:r>
      <w:r w:rsidRPr="00B97E44">
        <w:rPr>
          <w:rFonts w:hint="eastAsia"/>
          <w:b/>
          <w:bCs/>
          <w:rtl/>
        </w:rPr>
        <w:t>עדיין</w:t>
      </w:r>
      <w:r w:rsidRPr="00B97E44">
        <w:rPr>
          <w:b/>
          <w:bCs/>
          <w:rtl/>
        </w:rPr>
        <w:t xml:space="preserve"> עומדת </w:t>
      </w:r>
      <w:r w:rsidRPr="00B97E44">
        <w:rPr>
          <w:rFonts w:hint="eastAsia"/>
          <w:b/>
          <w:bCs/>
          <w:rtl/>
        </w:rPr>
        <w:t>מיגונית</w:t>
      </w:r>
      <w:r w:rsidRPr="00B97E44">
        <w:rPr>
          <w:b/>
          <w:bCs/>
          <w:rtl/>
        </w:rPr>
        <w:t xml:space="preserve"> שאומנם </w:t>
      </w:r>
      <w:r w:rsidRPr="00B97E44">
        <w:rPr>
          <w:rFonts w:hint="eastAsia"/>
          <w:b/>
          <w:bCs/>
          <w:rtl/>
        </w:rPr>
        <w:t>נוקתה</w:t>
      </w:r>
      <w:r w:rsidRPr="00B97E44">
        <w:rPr>
          <w:b/>
          <w:bCs/>
          <w:rtl/>
        </w:rPr>
        <w:t xml:space="preserve"> מכתמי הדם אך נותרו בה חורים רבים מהירי </w:t>
      </w:r>
      <w:r w:rsidRPr="00B97E44">
        <w:rPr>
          <w:rFonts w:hint="eastAsia"/>
          <w:b/>
          <w:bCs/>
          <w:rtl/>
        </w:rPr>
        <w:t>מ</w:t>
      </w:r>
      <w:r w:rsidRPr="00B97E44">
        <w:rPr>
          <w:b/>
          <w:bCs/>
          <w:rtl/>
        </w:rPr>
        <w:t xml:space="preserve">אירועי </w:t>
      </w:r>
      <w:r w:rsidRPr="00B97E44">
        <w:rPr>
          <w:rFonts w:hint="eastAsia"/>
          <w:b/>
          <w:bCs/>
          <w:rtl/>
        </w:rPr>
        <w:t>שבעה</w:t>
      </w:r>
      <w:r w:rsidRPr="00B97E44">
        <w:rPr>
          <w:b/>
          <w:bCs/>
          <w:rtl/>
        </w:rPr>
        <w:t xml:space="preserve"> באוקטובר.</w:t>
      </w:r>
    </w:p>
    <w:p w:rsidR="005B126E" w:rsidRPr="00B97E44" w:rsidP="001916A9">
      <w:pPr>
        <w:spacing w:line="269" w:lineRule="auto"/>
        <w:rPr>
          <w:rtl/>
        </w:rPr>
      </w:pPr>
    </w:p>
    <w:p w:rsidR="005B126E" w:rsidRPr="00B97E44" w:rsidP="00FC6AA9">
      <w:pPr>
        <w:keepNext/>
        <w:keepLines/>
        <w:spacing w:line="360" w:lineRule="auto"/>
        <w:jc w:val="center"/>
      </w:pPr>
      <w:r w:rsidRPr="00B97E44">
        <w:rPr>
          <w:rFonts w:hint="cs"/>
          <w:rtl/>
        </w:rPr>
        <w:t xml:space="preserve">תמונות 15 - 17: </w:t>
      </w:r>
      <w:r w:rsidRPr="00B97E44">
        <w:rPr>
          <w:rFonts w:hint="cs"/>
          <w:b/>
          <w:bCs/>
          <w:rtl/>
        </w:rPr>
        <w:t>הנצחה פרטית של נרצחים והרוגים באירועי שבעה באוקטובר</w:t>
      </w:r>
      <w:r w:rsidRPr="00B97E44">
        <w:rPr>
          <w:b/>
          <w:bCs/>
          <w:rtl/>
        </w:rPr>
        <w:t xml:space="preserve"> באופקים</w:t>
      </w:r>
    </w:p>
    <w:tbl>
      <w:tblPr>
        <w:bidiVisual/>
        <w:tblW w:w="0" w:type="auto"/>
        <w:tblLook w:val="04A0"/>
      </w:tblPr>
      <w:tblGrid>
        <w:gridCol w:w="2737"/>
        <w:gridCol w:w="2866"/>
        <w:gridCol w:w="2866"/>
      </w:tblGrid>
      <w:tr w:rsidTr="00FF2A74">
        <w:tblPrEx>
          <w:tblW w:w="0" w:type="auto"/>
          <w:tblLook w:val="04A0"/>
        </w:tblPrEx>
        <w:tc>
          <w:tcPr>
            <w:tcW w:w="2737" w:type="dxa"/>
          </w:tcPr>
          <w:p w:rsidR="005B126E" w:rsidRPr="00B97E44" w:rsidP="001916A9">
            <w:pPr>
              <w:spacing w:line="269" w:lineRule="auto"/>
              <w:rPr>
                <w:rtl/>
              </w:rPr>
            </w:pPr>
            <w:r w:rsidRPr="00B97E44">
              <w:rPr>
                <w:noProof/>
              </w:rPr>
              <w:drawing>
                <wp:inline distT="0" distB="0" distL="0" distR="0">
                  <wp:extent cx="1516380" cy="2228850"/>
                  <wp:effectExtent l="0" t="0" r="7620" b="0"/>
                  <wp:docPr id="78" name="תמונה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1"/>
                          <pic:cNvPicPr>
                            <a:picLocks noChangeAspect="1" noChangeArrowheads="1"/>
                          </pic:cNvPicPr>
                        </pic:nvPicPr>
                        <pic:blipFill>
                          <a:blip xmlns:r="http://schemas.openxmlformats.org/officeDocument/2006/relationships" r:embed="rId4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517148" cy="222997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737" w:type="dxa"/>
          </w:tcPr>
          <w:p w:rsidR="005B126E" w:rsidRPr="00B97E44" w:rsidP="001916A9">
            <w:pPr>
              <w:spacing w:line="269" w:lineRule="auto"/>
            </w:pPr>
            <w:r w:rsidRPr="00B97E44">
              <w:rPr>
                <w:noProof/>
              </w:rPr>
              <w:drawing>
                <wp:inline distT="0" distB="0" distL="0" distR="0">
                  <wp:extent cx="1683262" cy="2246400"/>
                  <wp:effectExtent l="0" t="0" r="0" b="1905"/>
                  <wp:docPr id="79" name="תמונה 79" descr="תמונה של תושב אופקים שנהרג במתקפת השבעה באוקטוב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2"/>
                          <pic:cNvPicPr>
                            <a:picLocks noChangeAspect="1" noChangeArrowheads="1"/>
                          </pic:cNvPicPr>
                        </pic:nvPicPr>
                        <pic:blipFill>
                          <a:blip xmlns:r="http://schemas.openxmlformats.org/officeDocument/2006/relationships" r:embed="rId50" cstate="screen">
                            <a:extLst>
                              <a:ext xmlns:a="http://schemas.openxmlformats.org/drawingml/2006/main" uri="{28A0092B-C50C-407E-A947-70E740481C1C}">
                                <a14:useLocalDpi xmlns:a14="http://schemas.microsoft.com/office/drawing/2010/main" val="0"/>
                              </a:ext>
                            </a:extLst>
                          </a:blip>
                          <a:stretch>
                            <a:fillRect/>
                          </a:stretch>
                        </pic:blipFill>
                        <pic:spPr bwMode="auto">
                          <a:xfrm>
                            <a:off x="0" y="0"/>
                            <a:ext cx="1683262" cy="2246400"/>
                          </a:xfrm>
                          <a:prstGeom prst="rect">
                            <a:avLst/>
                          </a:prstGeom>
                          <a:noFill/>
                          <a:ln>
                            <a:noFill/>
                          </a:ln>
                        </pic:spPr>
                      </pic:pic>
                    </a:graphicData>
                  </a:graphic>
                </wp:inline>
              </w:drawing>
            </w:r>
          </w:p>
        </w:tc>
        <w:tc>
          <w:tcPr>
            <w:tcW w:w="2737" w:type="dxa"/>
          </w:tcPr>
          <w:p w:rsidR="005B126E" w:rsidRPr="00B97E44" w:rsidP="001916A9">
            <w:pPr>
              <w:spacing w:line="269" w:lineRule="auto"/>
              <w:rPr>
                <w:rtl/>
              </w:rPr>
            </w:pPr>
            <w:r w:rsidRPr="00B97E44">
              <w:rPr>
                <w:noProof/>
              </w:rPr>
              <w:drawing>
                <wp:inline distT="0" distB="0" distL="0" distR="0">
                  <wp:extent cx="1683261" cy="2244348"/>
                  <wp:effectExtent l="0" t="0" r="0" b="3810"/>
                  <wp:docPr id="80" name="תמונה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3"/>
                          <pic:cNvPicPr>
                            <a:picLocks noChangeAspect="1" noChangeArrowheads="1"/>
                          </pic:cNvPicPr>
                        </pic:nvPicPr>
                        <pic:blipFill>
                          <a:blip xmlns:r="http://schemas.openxmlformats.org/officeDocument/2006/relationships" r:embed="rId5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83261" cy="2244348"/>
                          </a:xfrm>
                          <a:prstGeom prst="rect">
                            <a:avLst/>
                          </a:prstGeom>
                          <a:noFill/>
                          <a:ln>
                            <a:noFill/>
                          </a:ln>
                        </pic:spPr>
                      </pic:pic>
                    </a:graphicData>
                  </a:graphic>
                </wp:inline>
              </w:drawing>
            </w:r>
          </w:p>
        </w:tc>
      </w:tr>
    </w:tbl>
    <w:p w:rsidR="005B126E" w:rsidRPr="00B97E44" w:rsidP="001916A9">
      <w:pPr>
        <w:spacing w:line="269" w:lineRule="auto"/>
        <w:jc w:val="left"/>
        <w:rPr>
          <w:sz w:val="16"/>
          <w:szCs w:val="20"/>
          <w:rtl/>
        </w:rPr>
      </w:pPr>
      <w:r w:rsidRPr="00B97E44">
        <w:rPr>
          <w:rFonts w:hint="cs"/>
          <w:sz w:val="16"/>
          <w:szCs w:val="20"/>
          <w:rtl/>
        </w:rPr>
        <w:t>צולם בידי צוות הביקורת ביולי 2025.</w:t>
      </w:r>
    </w:p>
    <w:p w:rsidR="005B126E" w:rsidRPr="00B97E44" w:rsidP="001916A9">
      <w:pPr>
        <w:spacing w:line="269" w:lineRule="auto"/>
        <w:rPr>
          <w:rtl/>
        </w:rPr>
      </w:pPr>
    </w:p>
    <w:p w:rsidR="005B126E" w:rsidRPr="00B97E44" w:rsidP="00FC6AA9">
      <w:pPr>
        <w:keepNext/>
        <w:keepLines/>
        <w:spacing w:line="360" w:lineRule="auto"/>
        <w:jc w:val="center"/>
        <w:rPr>
          <w:rtl/>
        </w:rPr>
      </w:pPr>
      <w:r w:rsidRPr="00B97E44">
        <w:rPr>
          <w:rFonts w:hint="cs"/>
          <w:rtl/>
        </w:rPr>
        <w:t xml:space="preserve">תמונות 18 - 19: </w:t>
      </w:r>
      <w:r w:rsidRPr="00B97E44">
        <w:rPr>
          <w:rFonts w:hint="cs"/>
          <w:b/>
          <w:bCs/>
          <w:rtl/>
        </w:rPr>
        <w:t xml:space="preserve">סימני הירי </w:t>
      </w:r>
      <w:r w:rsidRPr="00B97E44">
        <w:rPr>
          <w:rFonts w:hint="cs"/>
          <w:b/>
          <w:bCs/>
          <w:rtl/>
        </w:rPr>
        <w:t>במיגונית</w:t>
      </w:r>
      <w:r w:rsidRPr="00B97E44">
        <w:rPr>
          <w:rFonts w:hint="cs"/>
          <w:b/>
          <w:bCs/>
          <w:rtl/>
        </w:rPr>
        <w:t xml:space="preserve"> ברחוב התמר באופקים</w:t>
      </w:r>
    </w:p>
    <w:tbl>
      <w:tblPr>
        <w:bidiVisual/>
        <w:tblW w:w="0" w:type="auto"/>
        <w:jc w:val="center"/>
        <w:tblLook w:val="04A0"/>
      </w:tblPr>
      <w:tblGrid>
        <w:gridCol w:w="4105"/>
        <w:gridCol w:w="4106"/>
      </w:tblGrid>
      <w:tr w:rsidTr="008D5921">
        <w:tblPrEx>
          <w:tblW w:w="0" w:type="auto"/>
          <w:jc w:val="center"/>
          <w:tblLook w:val="04A0"/>
        </w:tblPrEx>
        <w:trPr>
          <w:jc w:val="center"/>
        </w:trPr>
        <w:tc>
          <w:tcPr>
            <w:tcW w:w="4105" w:type="dxa"/>
          </w:tcPr>
          <w:p w:rsidR="005B126E" w:rsidRPr="00B97E44" w:rsidP="001916A9">
            <w:pPr>
              <w:spacing w:line="269" w:lineRule="auto"/>
            </w:pPr>
            <w:r w:rsidRPr="00B97E44">
              <w:rPr>
                <w:noProof/>
              </w:rPr>
              <w:drawing>
                <wp:inline distT="0" distB="0" distL="0" distR="0">
                  <wp:extent cx="2160270" cy="2880000"/>
                  <wp:effectExtent l="0" t="0" r="0" b="0"/>
                  <wp:docPr id="12" name="תמונה 12" descr="סימני פגיעות ירי במיגוני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descr="cid:62964BA4-29D2-4E2C-B65A-3BE1A7C14909"/>
                          <pic:cNvPicPr>
                            <a:picLocks noChangeAspect="1" noChangeArrowheads="1"/>
                          </pic:cNvPicPr>
                        </pic:nvPicPr>
                        <pic:blipFill>
                          <a:blip xmlns:r="http://schemas.openxmlformats.org/officeDocument/2006/relationships" r:embed="rId52" r:link="rId5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160270" cy="2880000"/>
                          </a:xfrm>
                          <a:prstGeom prst="rect">
                            <a:avLst/>
                          </a:prstGeom>
                          <a:noFill/>
                          <a:ln>
                            <a:noFill/>
                          </a:ln>
                        </pic:spPr>
                      </pic:pic>
                    </a:graphicData>
                  </a:graphic>
                </wp:inline>
              </w:drawing>
            </w:r>
          </w:p>
        </w:tc>
        <w:tc>
          <w:tcPr>
            <w:tcW w:w="4106" w:type="dxa"/>
          </w:tcPr>
          <w:p w:rsidR="005B126E" w:rsidRPr="00B97E44" w:rsidP="001916A9">
            <w:pPr>
              <w:spacing w:line="269" w:lineRule="auto"/>
              <w:rPr>
                <w:rtl/>
              </w:rPr>
            </w:pPr>
            <w:r w:rsidRPr="00B97E44">
              <w:rPr>
                <w:noProof/>
              </w:rPr>
              <w:drawing>
                <wp:inline distT="0" distB="0" distL="0" distR="0">
                  <wp:extent cx="2160270" cy="2880000"/>
                  <wp:effectExtent l="0" t="0" r="0" b="0"/>
                  <wp:docPr id="14" name="תמונה 14" descr="סימני פגיעות ירי במיגוני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 descr="cid:74C9C64E-300F-427C-A8E9-5201F8A0A58D"/>
                          <pic:cNvPicPr>
                            <a:picLocks noChangeAspect="1" noChangeArrowheads="1"/>
                          </pic:cNvPicPr>
                        </pic:nvPicPr>
                        <pic:blipFill>
                          <a:blip xmlns:r="http://schemas.openxmlformats.org/officeDocument/2006/relationships" r:embed="rId54" r:link="rId5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160270" cy="2880000"/>
                          </a:xfrm>
                          <a:prstGeom prst="rect">
                            <a:avLst/>
                          </a:prstGeom>
                          <a:noFill/>
                          <a:ln>
                            <a:noFill/>
                          </a:ln>
                        </pic:spPr>
                      </pic:pic>
                    </a:graphicData>
                  </a:graphic>
                </wp:inline>
              </w:drawing>
            </w:r>
          </w:p>
        </w:tc>
      </w:tr>
    </w:tbl>
    <w:p w:rsidR="005B126E" w:rsidRPr="00B97E44" w:rsidP="001916A9">
      <w:pPr>
        <w:spacing w:line="269" w:lineRule="auto"/>
        <w:jc w:val="left"/>
        <w:rPr>
          <w:sz w:val="16"/>
          <w:szCs w:val="20"/>
          <w:rtl/>
        </w:rPr>
      </w:pPr>
      <w:r w:rsidRPr="00B97E44">
        <w:rPr>
          <w:rFonts w:hint="cs"/>
          <w:sz w:val="16"/>
          <w:szCs w:val="20"/>
          <w:rtl/>
        </w:rPr>
        <w:t>צולם בידי צוות הביקורת ביולי 2025.</w:t>
      </w:r>
    </w:p>
    <w:p w:rsidR="005B126E" w:rsidRPr="00B97E44" w:rsidP="001916A9">
      <w:pPr>
        <w:spacing w:line="269" w:lineRule="auto"/>
        <w:rPr>
          <w:sz w:val="16"/>
          <w:szCs w:val="20"/>
          <w:rtl/>
        </w:rPr>
      </w:pPr>
    </w:p>
    <w:p w:rsidR="005B126E" w:rsidP="001916A9">
      <w:pPr>
        <w:spacing w:line="269" w:lineRule="auto"/>
        <w:rPr>
          <w:b/>
          <w:bCs/>
          <w:rtl/>
        </w:rPr>
      </w:pPr>
      <w:r w:rsidRPr="00B97E44">
        <w:rPr>
          <w:rFonts w:hint="eastAsia"/>
          <w:b/>
          <w:bCs/>
          <w:rtl/>
        </w:rPr>
        <w:t>בביקורת</w:t>
      </w:r>
      <w:r w:rsidRPr="00B97E44">
        <w:rPr>
          <w:b/>
          <w:bCs/>
          <w:rtl/>
        </w:rPr>
        <w:t xml:space="preserve"> הקודמת עלה כי תושבים בשכונת מישור הגפן בחרו להנציח בעצמם את הנרצחים והנופלים באירועי שבעה באוקטובר בשכונה וכי קיימת </w:t>
      </w:r>
      <w:r w:rsidRPr="00B97E44">
        <w:rPr>
          <w:b/>
          <w:bCs/>
          <w:rtl/>
        </w:rPr>
        <w:t>מיגונית</w:t>
      </w:r>
      <w:r w:rsidRPr="00B97E44">
        <w:rPr>
          <w:b/>
          <w:bCs/>
          <w:rtl/>
        </w:rPr>
        <w:t xml:space="preserve"> בשכונה שבה כתמי דם ופגיעות ירי מאותם האירועים. </w:t>
      </w:r>
      <w:r w:rsidRPr="00B97E44">
        <w:rPr>
          <w:rFonts w:hint="eastAsia"/>
          <w:b/>
          <w:bCs/>
          <w:rtl/>
        </w:rPr>
        <w:t>בביקורת</w:t>
      </w:r>
      <w:r w:rsidRPr="00B97E44">
        <w:rPr>
          <w:b/>
          <w:bCs/>
          <w:rtl/>
        </w:rPr>
        <w:t xml:space="preserve"> </w:t>
      </w:r>
      <w:r w:rsidRPr="00B97E44">
        <w:rPr>
          <w:rFonts w:hint="eastAsia"/>
          <w:b/>
          <w:bCs/>
          <w:rtl/>
        </w:rPr>
        <w:t>המעקב</w:t>
      </w:r>
      <w:r w:rsidRPr="00B97E44">
        <w:rPr>
          <w:b/>
          <w:bCs/>
          <w:rtl/>
        </w:rPr>
        <w:t xml:space="preserve"> </w:t>
      </w:r>
      <w:r w:rsidRPr="00B97E44">
        <w:rPr>
          <w:rFonts w:hint="eastAsia"/>
          <w:b/>
          <w:bCs/>
          <w:rtl/>
        </w:rPr>
        <w:t>נמצא</w:t>
      </w:r>
      <w:r w:rsidRPr="00B97E44">
        <w:rPr>
          <w:b/>
          <w:bCs/>
          <w:rtl/>
        </w:rPr>
        <w:t xml:space="preserve"> </w:t>
      </w:r>
      <w:r w:rsidRPr="00B97E44">
        <w:rPr>
          <w:rFonts w:hint="eastAsia"/>
          <w:b/>
          <w:bCs/>
          <w:rtl/>
        </w:rPr>
        <w:t>כי</w:t>
      </w:r>
      <w:r w:rsidRPr="00B97E44">
        <w:rPr>
          <w:b/>
          <w:bCs/>
          <w:rtl/>
        </w:rPr>
        <w:t xml:space="preserve"> ההנצחה של הנופלים והנרצחים עודנה ארעית ואינה מתוחזקת </w:t>
      </w:r>
      <w:r w:rsidRPr="00B97E44">
        <w:rPr>
          <w:rFonts w:hint="eastAsia"/>
          <w:b/>
          <w:bCs/>
          <w:rtl/>
        </w:rPr>
        <w:t>והמיגונית</w:t>
      </w:r>
      <w:r w:rsidRPr="00B97E44">
        <w:rPr>
          <w:b/>
          <w:bCs/>
          <w:rtl/>
        </w:rPr>
        <w:t xml:space="preserve"> </w:t>
      </w:r>
      <w:r w:rsidRPr="00B97E44">
        <w:rPr>
          <w:rFonts w:hint="eastAsia"/>
          <w:b/>
          <w:bCs/>
          <w:rtl/>
        </w:rPr>
        <w:t>נוקתה</w:t>
      </w:r>
      <w:r w:rsidRPr="00B97E44">
        <w:rPr>
          <w:b/>
          <w:bCs/>
          <w:rtl/>
        </w:rPr>
        <w:t xml:space="preserve"> מכתמי דם אך לא תוקנו סימני הירי.</w:t>
      </w:r>
      <w:r w:rsidRPr="00B97E44">
        <w:rPr>
          <w:rtl/>
        </w:rPr>
        <w:t xml:space="preserve"> </w:t>
      </w:r>
      <w:r w:rsidRPr="00B97E44">
        <w:rPr>
          <w:rFonts w:hint="eastAsia"/>
          <w:b/>
          <w:bCs/>
          <w:rtl/>
        </w:rPr>
        <w:t>משכך</w:t>
      </w:r>
      <w:r w:rsidRPr="00B97E44">
        <w:rPr>
          <w:b/>
          <w:bCs/>
          <w:rtl/>
        </w:rPr>
        <w:t xml:space="preserve">, </w:t>
      </w:r>
      <w:r w:rsidRPr="00B97E44">
        <w:rPr>
          <w:b/>
          <w:bCs/>
          <w:rtl/>
        </w:rPr>
        <w:t>המיגונית</w:t>
      </w:r>
      <w:r w:rsidRPr="00B97E44">
        <w:rPr>
          <w:b/>
          <w:bCs/>
          <w:rtl/>
        </w:rPr>
        <w:t xml:space="preserve"> ובה פגיעות ירי עדיין מוצבת בשכונה ומשמשת תזכורת מוחשית לאירועי שבעה באוקטובר תוך שאמורה לשמש את התושבים בעת אזעקות.</w:t>
      </w:r>
    </w:p>
    <w:p w:rsidR="005B126E" w:rsidRPr="00B97E44" w:rsidP="001916A9">
      <w:pPr>
        <w:spacing w:line="269" w:lineRule="auto"/>
        <w:rPr>
          <w:b/>
          <w:bCs/>
        </w:rPr>
      </w:pPr>
    </w:p>
    <w:p w:rsidR="005B126E" w:rsidRPr="00944018" w:rsidP="001916A9">
      <w:pPr>
        <w:spacing w:line="269" w:lineRule="auto"/>
        <w:jc w:val="center"/>
        <w:rPr>
          <w:b/>
          <w:bCs/>
          <w:rtl/>
        </w:rPr>
      </w:pPr>
      <w:r w:rsidRPr="00944018">
        <w:rPr>
          <w:b/>
          <w:bCs/>
          <w:rtl/>
        </w:rPr>
        <w:t>מידת תיקון הליקוי</w:t>
      </w:r>
    </w:p>
    <w:p w:rsidR="005B126E" w:rsidRPr="00B97E44" w:rsidP="001916A9">
      <w:pPr>
        <w:spacing w:line="269" w:lineRule="auto"/>
        <w:jc w:val="center"/>
        <w:rPr>
          <w:rtl/>
        </w:rPr>
      </w:pPr>
      <w:r w:rsidRPr="00B97E44">
        <w:rPr>
          <w:noProof/>
          <w:sz w:val="24"/>
        </w:rPr>
        <w:drawing>
          <wp:inline distT="0" distB="0" distL="0" distR="0">
            <wp:extent cx="4324350" cy="933450"/>
            <wp:effectExtent l="0" t="0" r="0" b="0"/>
            <wp:docPr id="41" name="תמונה 41"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1"/>
                    <pic:cNvPicPr>
                      <a:picLocks noChangeAspect="1" noChangeArrowheads="1"/>
                    </pic:cNvPicPr>
                  </pic:nvPicPr>
                  <pic:blipFill>
                    <a:blip xmlns:r="http://schemas.openxmlformats.org/officeDocument/2006/relationships" r:embed="rId4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324350" cy="933450"/>
                    </a:xfrm>
                    <a:prstGeom prst="rect">
                      <a:avLst/>
                    </a:prstGeom>
                    <a:noFill/>
                    <a:ln>
                      <a:noFill/>
                    </a:ln>
                  </pic:spPr>
                </pic:pic>
              </a:graphicData>
            </a:graphic>
          </wp:inline>
        </w:drawing>
      </w:r>
    </w:p>
    <w:p w:rsidR="005B126E" w:rsidRPr="00B97E44" w:rsidP="001916A9">
      <w:pPr>
        <w:spacing w:line="269" w:lineRule="auto"/>
        <w:rPr>
          <w:rtl/>
        </w:rPr>
      </w:pPr>
      <w:r w:rsidRPr="00B97E44">
        <w:rPr>
          <w:rFonts w:hint="eastAsia"/>
          <w:sz w:val="24"/>
          <w:rtl/>
        </w:rPr>
        <w:t>עיריית</w:t>
      </w:r>
      <w:r w:rsidRPr="00B97E44">
        <w:rPr>
          <w:sz w:val="24"/>
          <w:rtl/>
        </w:rPr>
        <w:t xml:space="preserve"> </w:t>
      </w:r>
      <w:r w:rsidRPr="00B97E44">
        <w:rPr>
          <w:rFonts w:hint="eastAsia"/>
          <w:b/>
          <w:bCs/>
          <w:sz w:val="24"/>
          <w:rtl/>
        </w:rPr>
        <w:t>אופקים</w:t>
      </w:r>
      <w:r w:rsidRPr="00B97E44">
        <w:rPr>
          <w:sz w:val="24"/>
          <w:rtl/>
        </w:rPr>
        <w:t xml:space="preserve"> </w:t>
      </w:r>
      <w:r w:rsidRPr="00B97E44">
        <w:rPr>
          <w:rFonts w:hint="eastAsia"/>
          <w:sz w:val="24"/>
          <w:rtl/>
        </w:rPr>
        <w:t>מסרה</w:t>
      </w:r>
      <w:r w:rsidRPr="00B97E44">
        <w:rPr>
          <w:sz w:val="24"/>
          <w:rtl/>
        </w:rPr>
        <w:t xml:space="preserve"> </w:t>
      </w:r>
      <w:r w:rsidRPr="00B97E44">
        <w:rPr>
          <w:rFonts w:hint="eastAsia"/>
          <w:sz w:val="24"/>
          <w:rtl/>
        </w:rPr>
        <w:t>בתשובתה</w:t>
      </w:r>
      <w:r w:rsidRPr="00B97E44">
        <w:rPr>
          <w:sz w:val="24"/>
          <w:rtl/>
        </w:rPr>
        <w:t xml:space="preserve"> כי בעקבות ביקורת </w:t>
      </w:r>
      <w:r w:rsidRPr="00B97E44">
        <w:rPr>
          <w:rFonts w:hint="cs"/>
          <w:sz w:val="24"/>
          <w:rtl/>
        </w:rPr>
        <w:t xml:space="preserve">המעקב היא </w:t>
      </w:r>
      <w:r w:rsidRPr="00B97E44">
        <w:rPr>
          <w:sz w:val="24"/>
          <w:rtl/>
        </w:rPr>
        <w:t xml:space="preserve">תיקנה את </w:t>
      </w:r>
      <w:r w:rsidRPr="00B97E44">
        <w:rPr>
          <w:rFonts w:hint="eastAsia"/>
          <w:sz w:val="24"/>
          <w:rtl/>
        </w:rPr>
        <w:t>המיגונית</w:t>
      </w:r>
      <w:r w:rsidRPr="00B97E44">
        <w:rPr>
          <w:sz w:val="24"/>
          <w:rtl/>
        </w:rPr>
        <w:t xml:space="preserve"> כך </w:t>
      </w:r>
      <w:r w:rsidRPr="00B97E44">
        <w:rPr>
          <w:rFonts w:hint="cs"/>
          <w:sz w:val="24"/>
          <w:rtl/>
        </w:rPr>
        <w:t>שסימני הירי</w:t>
      </w:r>
      <w:r w:rsidRPr="00B97E44">
        <w:rPr>
          <w:sz w:val="24"/>
          <w:rtl/>
        </w:rPr>
        <w:t xml:space="preserve"> </w:t>
      </w:r>
      <w:r w:rsidRPr="00B97E44">
        <w:rPr>
          <w:rFonts w:hint="cs"/>
          <w:sz w:val="24"/>
          <w:rtl/>
        </w:rPr>
        <w:t>ממתקפת הטרור ב</w:t>
      </w:r>
      <w:r w:rsidRPr="00B97E44">
        <w:rPr>
          <w:rFonts w:hint="eastAsia"/>
          <w:sz w:val="24"/>
          <w:rtl/>
        </w:rPr>
        <w:t>שבעה</w:t>
      </w:r>
      <w:r w:rsidRPr="00B97E44">
        <w:rPr>
          <w:sz w:val="24"/>
          <w:rtl/>
        </w:rPr>
        <w:t xml:space="preserve"> </w:t>
      </w:r>
      <w:r w:rsidRPr="00B97E44">
        <w:rPr>
          <w:rFonts w:hint="eastAsia"/>
          <w:sz w:val="24"/>
          <w:rtl/>
        </w:rPr>
        <w:t>באוקטובר</w:t>
      </w:r>
      <w:r w:rsidRPr="00B97E44">
        <w:rPr>
          <w:rFonts w:hint="cs"/>
          <w:sz w:val="24"/>
          <w:rtl/>
        </w:rPr>
        <w:t xml:space="preserve"> לא ייראו. אשר להנצחה בשכונת מישור הגפן השיבה העירייה </w:t>
      </w:r>
      <w:r w:rsidRPr="00B97E44">
        <w:rPr>
          <w:rFonts w:hint="eastAsia"/>
          <w:rtl/>
        </w:rPr>
        <w:t>כי</w:t>
      </w:r>
      <w:r w:rsidRPr="00B97E44">
        <w:rPr>
          <w:rtl/>
        </w:rPr>
        <w:t xml:space="preserve"> </w:t>
      </w:r>
      <w:r w:rsidRPr="00B97E44">
        <w:rPr>
          <w:rFonts w:hint="cs"/>
          <w:rtl/>
        </w:rPr>
        <w:t xml:space="preserve">היא ביצעה פעולות הנצחה מידיות אך </w:t>
      </w:r>
      <w:r w:rsidRPr="00B97E44">
        <w:rPr>
          <w:rFonts w:hint="eastAsia"/>
          <w:rtl/>
        </w:rPr>
        <w:t>הנצחה</w:t>
      </w:r>
      <w:r w:rsidRPr="00B97E44">
        <w:rPr>
          <w:rtl/>
        </w:rPr>
        <w:t xml:space="preserve"> </w:t>
      </w:r>
      <w:r w:rsidRPr="00B97E44">
        <w:rPr>
          <w:rFonts w:hint="eastAsia"/>
          <w:rtl/>
        </w:rPr>
        <w:t>איכותית</w:t>
      </w:r>
      <w:r w:rsidRPr="00B97E44">
        <w:rPr>
          <w:rtl/>
        </w:rPr>
        <w:t xml:space="preserve"> </w:t>
      </w:r>
      <w:r w:rsidRPr="00B97E44">
        <w:rPr>
          <w:rFonts w:hint="eastAsia"/>
          <w:rtl/>
        </w:rPr>
        <w:t>מצריכה</w:t>
      </w:r>
      <w:r w:rsidRPr="00B97E44">
        <w:rPr>
          <w:rtl/>
        </w:rPr>
        <w:t xml:space="preserve"> </w:t>
      </w:r>
      <w:r w:rsidRPr="00B97E44">
        <w:rPr>
          <w:rFonts w:hint="cs"/>
          <w:rtl/>
        </w:rPr>
        <w:t>זמן</w:t>
      </w:r>
      <w:r w:rsidRPr="00B97E44">
        <w:rPr>
          <w:rtl/>
        </w:rPr>
        <w:t xml:space="preserve"> </w:t>
      </w:r>
      <w:r w:rsidRPr="00B97E44">
        <w:rPr>
          <w:rFonts w:hint="cs"/>
          <w:rtl/>
        </w:rPr>
        <w:t>והיא</w:t>
      </w:r>
      <w:r w:rsidRPr="00B97E44">
        <w:rPr>
          <w:rtl/>
        </w:rPr>
        <w:t xml:space="preserve"> </w:t>
      </w:r>
      <w:r w:rsidRPr="00B97E44">
        <w:rPr>
          <w:rFonts w:hint="eastAsia"/>
          <w:rtl/>
        </w:rPr>
        <w:t>פועלת</w:t>
      </w:r>
      <w:r w:rsidRPr="00B97E44">
        <w:rPr>
          <w:rtl/>
        </w:rPr>
        <w:t xml:space="preserve"> </w:t>
      </w:r>
      <w:r w:rsidRPr="00B97E44">
        <w:rPr>
          <w:rFonts w:hint="cs"/>
          <w:rtl/>
        </w:rPr>
        <w:t xml:space="preserve">לקדם </w:t>
      </w:r>
      <w:r w:rsidRPr="00B97E44">
        <w:rPr>
          <w:rFonts w:hint="eastAsia"/>
          <w:rtl/>
        </w:rPr>
        <w:t>הקמת</w:t>
      </w:r>
      <w:r w:rsidRPr="00B97E44">
        <w:rPr>
          <w:rtl/>
        </w:rPr>
        <w:t xml:space="preserve"> </w:t>
      </w:r>
      <w:r w:rsidRPr="00B97E44">
        <w:rPr>
          <w:rFonts w:hint="eastAsia"/>
          <w:rtl/>
        </w:rPr>
        <w:t>חלל</w:t>
      </w:r>
      <w:r w:rsidRPr="00B97E44">
        <w:rPr>
          <w:rtl/>
        </w:rPr>
        <w:t xml:space="preserve"> </w:t>
      </w:r>
      <w:r w:rsidRPr="00B97E44">
        <w:rPr>
          <w:rFonts w:hint="eastAsia"/>
          <w:rtl/>
        </w:rPr>
        <w:t>הנצחה</w:t>
      </w:r>
      <w:r w:rsidRPr="00B97E44">
        <w:rPr>
          <w:rtl/>
        </w:rPr>
        <w:t xml:space="preserve"> </w:t>
      </w:r>
      <w:r w:rsidRPr="00B97E44">
        <w:rPr>
          <w:rFonts w:hint="eastAsia"/>
          <w:rtl/>
        </w:rPr>
        <w:t>ייעודי</w:t>
      </w:r>
      <w:r w:rsidRPr="00B97E44">
        <w:rPr>
          <w:rtl/>
        </w:rPr>
        <w:t xml:space="preserve"> </w:t>
      </w:r>
      <w:r w:rsidRPr="00B97E44">
        <w:rPr>
          <w:rFonts w:hint="cs"/>
          <w:rtl/>
        </w:rPr>
        <w:t>ש</w:t>
      </w:r>
      <w:r w:rsidRPr="00B97E44">
        <w:rPr>
          <w:rFonts w:hint="eastAsia"/>
          <w:rtl/>
        </w:rPr>
        <w:t>בו</w:t>
      </w:r>
      <w:r w:rsidRPr="00B97E44">
        <w:rPr>
          <w:rtl/>
        </w:rPr>
        <w:t xml:space="preserve"> </w:t>
      </w:r>
      <w:r w:rsidRPr="00B97E44">
        <w:rPr>
          <w:rFonts w:hint="eastAsia"/>
          <w:rtl/>
        </w:rPr>
        <w:t>יוקרנו</w:t>
      </w:r>
      <w:r w:rsidRPr="00B97E44">
        <w:rPr>
          <w:rtl/>
        </w:rPr>
        <w:t xml:space="preserve"> </w:t>
      </w:r>
      <w:r w:rsidRPr="00B97E44">
        <w:rPr>
          <w:rFonts w:hint="eastAsia"/>
          <w:rtl/>
        </w:rPr>
        <w:t>סרטים</w:t>
      </w:r>
      <w:r w:rsidRPr="00B97E44">
        <w:rPr>
          <w:rtl/>
        </w:rPr>
        <w:t xml:space="preserve"> </w:t>
      </w:r>
      <w:r w:rsidRPr="00B97E44">
        <w:rPr>
          <w:rFonts w:hint="eastAsia"/>
          <w:rtl/>
        </w:rPr>
        <w:t>שהוכנו</w:t>
      </w:r>
      <w:r w:rsidRPr="00B97E44">
        <w:rPr>
          <w:rtl/>
        </w:rPr>
        <w:t xml:space="preserve"> </w:t>
      </w:r>
      <w:r w:rsidRPr="00B97E44">
        <w:rPr>
          <w:rFonts w:hint="eastAsia"/>
          <w:rtl/>
        </w:rPr>
        <w:t>על</w:t>
      </w:r>
      <w:r w:rsidRPr="00B97E44">
        <w:rPr>
          <w:rtl/>
        </w:rPr>
        <w:t xml:space="preserve"> </w:t>
      </w:r>
      <w:r w:rsidRPr="00B97E44">
        <w:rPr>
          <w:rFonts w:hint="eastAsia"/>
          <w:rtl/>
        </w:rPr>
        <w:t>כל</w:t>
      </w:r>
      <w:r w:rsidRPr="00B97E44">
        <w:rPr>
          <w:rtl/>
        </w:rPr>
        <w:t xml:space="preserve"> </w:t>
      </w:r>
      <w:r w:rsidRPr="00B97E44">
        <w:rPr>
          <w:rFonts w:hint="eastAsia"/>
          <w:rtl/>
        </w:rPr>
        <w:t>אחד</w:t>
      </w:r>
      <w:r w:rsidRPr="00B97E44">
        <w:rPr>
          <w:rtl/>
        </w:rPr>
        <w:t xml:space="preserve"> </w:t>
      </w:r>
      <w:r w:rsidRPr="00B97E44">
        <w:rPr>
          <w:rFonts w:hint="eastAsia"/>
          <w:rtl/>
        </w:rPr>
        <w:t>מהנרצחים</w:t>
      </w:r>
      <w:r w:rsidRPr="00B97E44">
        <w:rPr>
          <w:rtl/>
        </w:rPr>
        <w:t xml:space="preserve"> </w:t>
      </w:r>
      <w:r w:rsidRPr="00B97E44">
        <w:rPr>
          <w:rFonts w:hint="eastAsia"/>
          <w:rtl/>
        </w:rPr>
        <w:t>והנופלים</w:t>
      </w:r>
      <w:r w:rsidRPr="00B97E44">
        <w:rPr>
          <w:rtl/>
        </w:rPr>
        <w:t xml:space="preserve">, </w:t>
      </w:r>
      <w:r w:rsidRPr="00B97E44">
        <w:rPr>
          <w:rFonts w:hint="cs"/>
          <w:rtl/>
        </w:rPr>
        <w:t xml:space="preserve">מסלול סיור בשכונה מלווה </w:t>
      </w:r>
      <w:r w:rsidRPr="00B97E44">
        <w:rPr>
          <w:rFonts w:hint="cs"/>
          <w:rtl/>
        </w:rPr>
        <w:t>ב</w:t>
      </w:r>
      <w:r w:rsidRPr="00B97E44">
        <w:rPr>
          <w:rFonts w:hint="eastAsia"/>
          <w:rtl/>
        </w:rPr>
        <w:t>מסביר</w:t>
      </w:r>
      <w:r w:rsidRPr="00B97E44">
        <w:rPr>
          <w:rFonts w:hint="cs"/>
          <w:rtl/>
        </w:rPr>
        <w:t>ן</w:t>
      </w:r>
      <w:r w:rsidRPr="00B97E44">
        <w:rPr>
          <w:rtl/>
        </w:rPr>
        <w:t xml:space="preserve"> </w:t>
      </w:r>
      <w:r w:rsidRPr="00B97E44">
        <w:rPr>
          <w:rFonts w:hint="eastAsia"/>
          <w:rtl/>
        </w:rPr>
        <w:t>קולי</w:t>
      </w:r>
      <w:r w:rsidRPr="00B97E44">
        <w:rPr>
          <w:rFonts w:hint="cs"/>
          <w:rtl/>
        </w:rPr>
        <w:t xml:space="preserve"> </w:t>
      </w:r>
      <w:r w:rsidRPr="00B97E44">
        <w:rPr>
          <w:rtl/>
        </w:rPr>
        <w:t>ו</w:t>
      </w:r>
      <w:r w:rsidRPr="00B97E44">
        <w:rPr>
          <w:rFonts w:hint="cs"/>
          <w:rtl/>
        </w:rPr>
        <w:t xml:space="preserve">הקמת </w:t>
      </w:r>
      <w:r w:rsidRPr="00B97E44">
        <w:rPr>
          <w:rtl/>
        </w:rPr>
        <w:t>אנדרט</w:t>
      </w:r>
      <w:r w:rsidRPr="00B97E44">
        <w:rPr>
          <w:rFonts w:hint="cs"/>
          <w:rtl/>
        </w:rPr>
        <w:t>א</w:t>
      </w:r>
      <w:r w:rsidRPr="00B97E44">
        <w:rPr>
          <w:rtl/>
        </w:rPr>
        <w:t xml:space="preserve">ות. </w:t>
      </w:r>
      <w:r w:rsidRPr="00B97E44">
        <w:rPr>
          <w:rFonts w:hint="cs"/>
          <w:rtl/>
        </w:rPr>
        <w:t>עוד ציינה העירייה כי היא נמצאת בשיח מתמיד עם תושבי השכונה, וההנצחה הפרטית עלתה כצורך של התושבים אשר קרובי משפחתם נרצחו בשבעה באוקטובר והיא יוצאת מנקודת הנחה כי בחלוף הזמן הם יסכימו להסתפק במיזמי הנצחה מוסדיים.</w:t>
      </w:r>
    </w:p>
    <w:p w:rsidR="005B126E" w:rsidP="001916A9">
      <w:pPr>
        <w:autoSpaceDE w:val="0"/>
        <w:autoSpaceDN w:val="0"/>
        <w:adjustRightInd w:val="0"/>
        <w:spacing w:line="269" w:lineRule="auto"/>
        <w:rPr>
          <w:rtl/>
        </w:rPr>
      </w:pPr>
    </w:p>
    <w:p w:rsidR="005B126E" w:rsidRPr="00B97E44" w:rsidP="001916A9">
      <w:pPr>
        <w:autoSpaceDE w:val="0"/>
        <w:autoSpaceDN w:val="0"/>
        <w:adjustRightInd w:val="0"/>
        <w:spacing w:line="269" w:lineRule="auto"/>
        <w:rPr>
          <w:rtl/>
        </w:rPr>
      </w:pPr>
      <w:r w:rsidRPr="00B97E44">
        <w:rPr>
          <w:rFonts w:hint="cs"/>
          <w:rtl/>
        </w:rPr>
        <w:t xml:space="preserve">משרד ראש הממשלה </w:t>
      </w:r>
      <w:r w:rsidRPr="00B97E44">
        <w:rPr>
          <w:rFonts w:ascii="David" w:hAnsi="David" w:hint="cs"/>
          <w:sz w:val="24"/>
          <w:rtl/>
        </w:rPr>
        <w:t xml:space="preserve">מסר בתשובתו למשרד מבקר המדינה כי הוא </w:t>
      </w:r>
      <w:r w:rsidRPr="00B97E44">
        <w:rPr>
          <w:rFonts w:ascii="David" w:hAnsi="David"/>
          <w:sz w:val="24"/>
          <w:rtl/>
        </w:rPr>
        <w:t>קידם וגיבש נוסח חוק "הנצחה וזיכרון לאירועי שמיני עצרת השב</w:t>
      </w:r>
      <w:r w:rsidRPr="00B97E44">
        <w:rPr>
          <w:rFonts w:ascii="David" w:hAnsi="David" w:hint="cs"/>
          <w:sz w:val="24"/>
          <w:rtl/>
        </w:rPr>
        <w:t xml:space="preserve">עה </w:t>
      </w:r>
      <w:r w:rsidRPr="00B97E44">
        <w:rPr>
          <w:rFonts w:ascii="David" w:hAnsi="David"/>
          <w:sz w:val="24"/>
          <w:rtl/>
        </w:rPr>
        <w:t xml:space="preserve">באוקטובר" </w:t>
      </w:r>
      <w:r w:rsidRPr="00B97E44">
        <w:rPr>
          <w:rFonts w:ascii="David" w:hAnsi="David" w:hint="cs"/>
          <w:sz w:val="24"/>
          <w:rtl/>
        </w:rPr>
        <w:t>ש</w:t>
      </w:r>
      <w:r w:rsidRPr="00B97E44">
        <w:rPr>
          <w:rFonts w:ascii="David" w:hAnsi="David"/>
          <w:sz w:val="24"/>
          <w:rtl/>
        </w:rPr>
        <w:t>אושר בוועדת שרים לענייני חקיקה ביוני 2025. בהסדר המוצע בחוק</w:t>
      </w:r>
      <w:r w:rsidRPr="00B97E44">
        <w:rPr>
          <w:rFonts w:ascii="David" w:hAnsi="David" w:hint="cs"/>
          <w:sz w:val="24"/>
          <w:rtl/>
        </w:rPr>
        <w:t>,</w:t>
      </w:r>
      <w:r w:rsidRPr="00B97E44">
        <w:rPr>
          <w:rFonts w:ascii="David" w:hAnsi="David"/>
          <w:sz w:val="24"/>
          <w:rtl/>
        </w:rPr>
        <w:t xml:space="preserve"> תאגיד</w:t>
      </w:r>
      <w:r w:rsidRPr="00B97E44">
        <w:rPr>
          <w:rFonts w:ascii="David" w:hAnsi="David" w:hint="cs"/>
          <w:sz w:val="24"/>
          <w:rtl/>
        </w:rPr>
        <w:t xml:space="preserve"> </w:t>
      </w:r>
      <w:r w:rsidRPr="00B97E44">
        <w:rPr>
          <w:rFonts w:ascii="David" w:hAnsi="David"/>
          <w:sz w:val="24"/>
          <w:rtl/>
        </w:rPr>
        <w:t>ההנצחה לא יעסוק בהנצחה תוך יישובי</w:t>
      </w:r>
      <w:r w:rsidRPr="00B97E44">
        <w:rPr>
          <w:rFonts w:ascii="David" w:hAnsi="David" w:hint="cs"/>
          <w:sz w:val="24"/>
          <w:rtl/>
        </w:rPr>
        <w:t>ת</w:t>
      </w:r>
      <w:r w:rsidRPr="00B97E44">
        <w:rPr>
          <w:rFonts w:ascii="David" w:hAnsi="David"/>
          <w:sz w:val="24"/>
          <w:rtl/>
        </w:rPr>
        <w:t xml:space="preserve"> ולכל יישוב תהיה הפררוגטיבה להחליט כיצד והיכן יוקמו אתרי</w:t>
      </w:r>
      <w:r w:rsidRPr="00B97E44">
        <w:rPr>
          <w:rFonts w:ascii="David" w:hAnsi="David" w:hint="cs"/>
          <w:sz w:val="24"/>
          <w:rtl/>
        </w:rPr>
        <w:t xml:space="preserve"> </w:t>
      </w:r>
      <w:r w:rsidRPr="00B97E44">
        <w:rPr>
          <w:rFonts w:ascii="David" w:hAnsi="David"/>
          <w:sz w:val="24"/>
          <w:rtl/>
        </w:rPr>
        <w:t xml:space="preserve">ההנצחה במסגרת היישוב, </w:t>
      </w:r>
      <w:r w:rsidRPr="00B97E44">
        <w:rPr>
          <w:rFonts w:ascii="David" w:hAnsi="David" w:hint="cs"/>
          <w:sz w:val="24"/>
          <w:rtl/>
        </w:rPr>
        <w:t>ו</w:t>
      </w:r>
      <w:r w:rsidRPr="00B97E44">
        <w:rPr>
          <w:rFonts w:ascii="David" w:hAnsi="David"/>
          <w:sz w:val="24"/>
          <w:rtl/>
        </w:rPr>
        <w:t xml:space="preserve">היישובים </w:t>
      </w:r>
      <w:r w:rsidRPr="00B97E44">
        <w:rPr>
          <w:rFonts w:ascii="David" w:hAnsi="David" w:hint="cs"/>
          <w:sz w:val="24"/>
          <w:rtl/>
        </w:rPr>
        <w:t xml:space="preserve">יוכלו לקבל </w:t>
      </w:r>
      <w:r w:rsidRPr="00B97E44">
        <w:rPr>
          <w:rFonts w:ascii="David" w:hAnsi="David"/>
          <w:sz w:val="24"/>
          <w:rtl/>
        </w:rPr>
        <w:t>תמיכה בעניין זה ממשרד המורשת.</w:t>
      </w:r>
    </w:p>
    <w:p w:rsidR="005B126E" w:rsidRPr="00B97E44" w:rsidP="001916A9">
      <w:pPr>
        <w:spacing w:line="269" w:lineRule="auto"/>
        <w:rPr>
          <w:sz w:val="16"/>
          <w:szCs w:val="20"/>
          <w:rtl/>
        </w:rPr>
      </w:pPr>
    </w:p>
    <w:p w:rsidR="005B126E" w:rsidRPr="00B97E44" w:rsidP="001916A9">
      <w:pPr>
        <w:spacing w:line="269" w:lineRule="auto"/>
        <w:rPr>
          <w:b/>
          <w:bCs/>
          <w:rtl/>
        </w:rPr>
      </w:pPr>
      <w:r w:rsidRPr="00B97E44">
        <w:rPr>
          <w:rFonts w:hint="cs"/>
          <w:b/>
          <w:bCs/>
          <w:rtl/>
        </w:rPr>
        <w:t xml:space="preserve">משרד מבקר המדינה ממליץ למשרד ראש הממשלה ולעיריית אופקים </w:t>
      </w:r>
      <w:r>
        <w:rPr>
          <w:rFonts w:hint="cs"/>
          <w:b/>
          <w:bCs/>
          <w:rtl/>
        </w:rPr>
        <w:t>להשלים</w:t>
      </w:r>
      <w:r w:rsidRPr="00B97E44">
        <w:rPr>
          <w:rFonts w:hint="cs"/>
          <w:b/>
          <w:bCs/>
          <w:rtl/>
        </w:rPr>
        <w:t xml:space="preserve"> בהקדם אסדרת הנצחה קבועה שתכבד את הנרצחים והחללים באופקים תוך שיביאו בחשבון את היכולת לתחזק ולשמר את אתרי ההנצחה לשנים רבות ובאופן ראוי והולם.</w:t>
      </w:r>
    </w:p>
    <w:p w:rsidR="005B126E" w:rsidRPr="00B97E44" w:rsidP="001916A9">
      <w:pPr>
        <w:spacing w:line="269" w:lineRule="auto"/>
        <w:ind w:left="-567"/>
        <w:rPr>
          <w:szCs w:val="20"/>
          <w:rtl/>
        </w:rPr>
      </w:pPr>
    </w:p>
    <w:p w:rsidR="005B126E" w:rsidRPr="00B97E44" w:rsidP="003474AA">
      <w:pPr>
        <w:pStyle w:val="Heading4"/>
        <w:rPr>
          <w:b/>
          <w:rtl/>
        </w:rPr>
      </w:pPr>
      <w:r w:rsidRPr="00B97E44">
        <w:rPr>
          <w:rFonts w:hint="cs"/>
          <w:rtl/>
        </w:rPr>
        <w:t>עיריית אופקים - טיפול בתושבים</w:t>
      </w:r>
    </w:p>
    <w:p w:rsidR="005B126E" w:rsidRPr="00B97E44" w:rsidP="001916A9">
      <w:pPr>
        <w:spacing w:line="269" w:lineRule="auto"/>
        <w:rPr>
          <w:b/>
          <w:bCs/>
          <w:rtl/>
        </w:rPr>
      </w:pPr>
    </w:p>
    <w:p w:rsidR="005B126E" w:rsidRPr="00B97E44" w:rsidP="001916A9">
      <w:pPr>
        <w:pStyle w:val="Heading5"/>
        <w:spacing w:line="269" w:lineRule="auto"/>
        <w:rPr>
          <w:rtl/>
        </w:rPr>
      </w:pPr>
      <w:r w:rsidRPr="00B97E44">
        <w:rPr>
          <w:rtl/>
        </w:rPr>
        <w:t>הביקורת הקודמת</w:t>
      </w:r>
    </w:p>
    <w:p w:rsidR="005B126E" w:rsidP="001916A9">
      <w:pPr>
        <w:spacing w:line="269" w:lineRule="auto"/>
        <w:rPr>
          <w:rtl/>
        </w:rPr>
      </w:pPr>
    </w:p>
    <w:p w:rsidR="005B126E" w:rsidRPr="00B97E44" w:rsidP="001916A9">
      <w:pPr>
        <w:spacing w:line="269" w:lineRule="auto"/>
        <w:rPr>
          <w:rtl/>
        </w:rPr>
      </w:pPr>
      <w:r w:rsidRPr="00B97E44">
        <w:rPr>
          <w:rFonts w:hint="cs"/>
          <w:rtl/>
        </w:rPr>
        <w:t>בחוות דעת של הקואליציה הישראלית לטראומה</w:t>
      </w:r>
      <w:r>
        <w:rPr>
          <w:vertAlign w:val="superscript"/>
          <w:rtl/>
        </w:rPr>
        <w:footnoteReference w:id="170"/>
      </w:r>
      <w:r w:rsidRPr="00B97E44">
        <w:rPr>
          <w:rFonts w:hint="cs"/>
          <w:rtl/>
        </w:rPr>
        <w:t xml:space="preserve"> מיוני 2024 בנוגע לתושבי </w:t>
      </w:r>
      <w:r w:rsidRPr="00B97E44">
        <w:rPr>
          <w:rFonts w:hint="eastAsia"/>
          <w:b/>
          <w:bCs/>
          <w:rtl/>
        </w:rPr>
        <w:t>אופקים</w:t>
      </w:r>
      <w:r w:rsidRPr="00B97E44">
        <w:rPr>
          <w:rFonts w:hint="cs"/>
          <w:rtl/>
        </w:rPr>
        <w:t xml:space="preserve"> נכתב: "</w:t>
      </w:r>
      <w:r w:rsidRPr="00B97E44">
        <w:rPr>
          <w:rtl/>
        </w:rPr>
        <w:t>העובדה כי תושבים רבים נחשפו באופן ישיר לאירועים הקשים ולקרבות של כוחות הביטחון מובילה את ההתמודדות של התושבים עם הטראומה למצבים אותם לא היינו רגילים לראות במרכז החוסן. החשיפה הישירה ו</w:t>
      </w:r>
      <w:r w:rsidRPr="00B97E44">
        <w:rPr>
          <w:rFonts w:hint="cs"/>
          <w:rtl/>
        </w:rPr>
        <w:t>ה</w:t>
      </w:r>
      <w:r w:rsidRPr="00B97E44">
        <w:rPr>
          <w:rtl/>
        </w:rPr>
        <w:t>עקיפה של עיר המונה 30,000 תושבים כאשר מרביתם מכירים את כולם, עיר פריפריאלית משפחתית בעלת מאפיינים ייחודים במרחב מובילה להשפעה ישירה של הטראומה גם על אלו שלא חוו באופן ישיר את הזוועות. המחשבה על מחבלים שמסתובבים בעיר והתושבים חשופים לאיום נשארה לאורך חודשים רבים ועם זה התושבים נאלצים להתמודד</w:t>
      </w:r>
      <w:r w:rsidRPr="00B97E44">
        <w:rPr>
          <w:rFonts w:hint="cs"/>
          <w:rtl/>
        </w:rPr>
        <w:t>"</w:t>
      </w:r>
      <w:r w:rsidRPr="00B97E44">
        <w:rPr>
          <w:rtl/>
        </w:rPr>
        <w:t>.</w:t>
      </w:r>
    </w:p>
    <w:p w:rsidR="005B126E" w:rsidP="001916A9">
      <w:pPr>
        <w:spacing w:line="269" w:lineRule="auto"/>
        <w:rPr>
          <w:rFonts w:ascii="David" w:hAnsi="David"/>
          <w:rtl/>
        </w:rPr>
      </w:pPr>
    </w:p>
    <w:p w:rsidR="005B126E" w:rsidRPr="00B97E44" w:rsidP="001916A9">
      <w:pPr>
        <w:spacing w:line="269" w:lineRule="auto"/>
        <w:rPr>
          <w:rFonts w:ascii="David" w:hAnsi="David"/>
          <w:rtl/>
        </w:rPr>
      </w:pPr>
      <w:r w:rsidRPr="00B97E44">
        <w:rPr>
          <w:rFonts w:ascii="David" w:hAnsi="David" w:hint="cs"/>
          <w:rtl/>
        </w:rPr>
        <w:t>בחודשים</w:t>
      </w:r>
      <w:r w:rsidRPr="00B97E44">
        <w:rPr>
          <w:rFonts w:ascii="David" w:hAnsi="David"/>
          <w:rtl/>
        </w:rPr>
        <w:t xml:space="preserve"> נובמבר</w:t>
      </w:r>
      <w:r w:rsidRPr="00B97E44">
        <w:rPr>
          <w:rFonts w:ascii="David" w:hAnsi="David" w:hint="cs"/>
          <w:rtl/>
        </w:rPr>
        <w:t xml:space="preserve"> 2023</w:t>
      </w:r>
      <w:r w:rsidRPr="00B97E44">
        <w:rPr>
          <w:rFonts w:ascii="David" w:hAnsi="David"/>
          <w:rtl/>
        </w:rPr>
        <w:t xml:space="preserve"> עד מאי 2024 טופלו כ-</w:t>
      </w:r>
      <w:r w:rsidRPr="00B97E44">
        <w:rPr>
          <w:rFonts w:ascii="David" w:hAnsi="David" w:hint="cs"/>
          <w:rtl/>
        </w:rPr>
        <w:t>3,500</w:t>
      </w:r>
      <w:r w:rsidRPr="00B97E44">
        <w:rPr>
          <w:rFonts w:ascii="David" w:hAnsi="David"/>
          <w:rtl/>
        </w:rPr>
        <w:t xml:space="preserve"> תושבי</w:t>
      </w:r>
      <w:r w:rsidRPr="00B97E44">
        <w:rPr>
          <w:rFonts w:ascii="David" w:hAnsi="David" w:hint="cs"/>
          <w:rtl/>
        </w:rPr>
        <w:t xml:space="preserve"> </w:t>
      </w:r>
      <w:r w:rsidRPr="00B97E44">
        <w:rPr>
          <w:rFonts w:ascii="David" w:hAnsi="David" w:hint="eastAsia"/>
          <w:b/>
          <w:bCs/>
          <w:rtl/>
        </w:rPr>
        <w:t>אופקים</w:t>
      </w:r>
      <w:r w:rsidRPr="00B97E44">
        <w:rPr>
          <w:rFonts w:ascii="David" w:hAnsi="David" w:hint="cs"/>
          <w:rtl/>
        </w:rPr>
        <w:t xml:space="preserve"> ב</w:t>
      </w:r>
      <w:r w:rsidRPr="00B97E44">
        <w:rPr>
          <w:rFonts w:ascii="David" w:hAnsi="David"/>
          <w:rtl/>
        </w:rPr>
        <w:t>י</w:t>
      </w:r>
      <w:r w:rsidRPr="00B97E44">
        <w:rPr>
          <w:rFonts w:ascii="David" w:hAnsi="David" w:hint="cs"/>
          <w:rtl/>
        </w:rPr>
        <w:t>די</w:t>
      </w:r>
      <w:r w:rsidRPr="00B97E44">
        <w:rPr>
          <w:rFonts w:ascii="David" w:hAnsi="David"/>
          <w:rtl/>
        </w:rPr>
        <w:t xml:space="preserve"> 60 מטפלים</w:t>
      </w:r>
      <w:r w:rsidRPr="00B97E44">
        <w:rPr>
          <w:rFonts w:ascii="David" w:hAnsi="David" w:hint="cs"/>
          <w:rtl/>
        </w:rPr>
        <w:t xml:space="preserve"> במרכז החוסן שהקימה העירייה לאחר האירועים, על רצף התערבות שבין מפגש חד-פעמי לבין סדרה של 24 מפגשים</w:t>
      </w:r>
      <w:r w:rsidRPr="00B97E44">
        <w:rPr>
          <w:rFonts w:ascii="David" w:hAnsi="David"/>
          <w:rtl/>
        </w:rPr>
        <w:t xml:space="preserve">. נכון למאי 2024 </w:t>
      </w:r>
      <w:r w:rsidRPr="00B97E44">
        <w:rPr>
          <w:rFonts w:ascii="David" w:hAnsi="David" w:hint="cs"/>
          <w:rtl/>
        </w:rPr>
        <w:t>המתינו כ-400 מהתושבים</w:t>
      </w:r>
      <w:r w:rsidRPr="00B97E44">
        <w:rPr>
          <w:rFonts w:ascii="David" w:hAnsi="David"/>
          <w:rtl/>
        </w:rPr>
        <w:t xml:space="preserve"> להתחלת הטיפול</w:t>
      </w:r>
      <w:r w:rsidRPr="00B97E44">
        <w:rPr>
          <w:rFonts w:ascii="David" w:hAnsi="David" w:hint="cs"/>
          <w:rtl/>
        </w:rPr>
        <w:t>,</w:t>
      </w:r>
      <w:r w:rsidRPr="00B97E44">
        <w:rPr>
          <w:rFonts w:ascii="David" w:hAnsi="David"/>
          <w:rtl/>
        </w:rPr>
        <w:t xml:space="preserve"> ו</w:t>
      </w:r>
      <w:r w:rsidRPr="00B97E44">
        <w:rPr>
          <w:rFonts w:ascii="David" w:hAnsi="David" w:hint="cs"/>
          <w:rtl/>
        </w:rPr>
        <w:t xml:space="preserve">בכל שבוע התקבלו </w:t>
      </w:r>
      <w:r w:rsidRPr="00B97E44">
        <w:rPr>
          <w:rFonts w:ascii="David" w:hAnsi="David"/>
          <w:rtl/>
        </w:rPr>
        <w:t>כ-</w:t>
      </w:r>
      <w:r w:rsidRPr="00B97E44">
        <w:rPr>
          <w:rFonts w:ascii="David" w:hAnsi="David" w:hint="cs"/>
          <w:rtl/>
        </w:rPr>
        <w:t>25</w:t>
      </w:r>
      <w:r w:rsidRPr="00B97E44">
        <w:rPr>
          <w:rFonts w:ascii="David" w:hAnsi="David"/>
          <w:rtl/>
        </w:rPr>
        <w:t xml:space="preserve"> פניות חדשות </w:t>
      </w:r>
      <w:r w:rsidRPr="00B97E44">
        <w:rPr>
          <w:rFonts w:ascii="David" w:hAnsi="David" w:hint="cs"/>
          <w:rtl/>
        </w:rPr>
        <w:t>להתחיל בטיפול, וזמן ההמתנה הממוצע לתחילת הטיפול היה כ-60 ימים</w:t>
      </w:r>
      <w:r w:rsidRPr="00B97E44">
        <w:rPr>
          <w:rFonts w:ascii="David" w:hAnsi="David"/>
          <w:rtl/>
        </w:rPr>
        <w:t>.</w:t>
      </w:r>
      <w:r w:rsidRPr="00B97E44">
        <w:rPr>
          <w:rFonts w:ascii="David" w:hAnsi="David" w:hint="cs"/>
          <w:rtl/>
        </w:rPr>
        <w:t xml:space="preserve"> כמו כן, מקרב </w:t>
      </w:r>
      <w:r w:rsidRPr="00B97E44">
        <w:rPr>
          <w:rFonts w:ascii="David" w:hAnsi="David"/>
          <w:rtl/>
        </w:rPr>
        <w:t xml:space="preserve">כ-800 תלמידים תושבי שכונת מישור הגפן </w:t>
      </w:r>
      <w:r w:rsidRPr="00B97E44">
        <w:rPr>
          <w:rFonts w:ascii="David" w:hAnsi="David" w:hint="cs"/>
          <w:rtl/>
        </w:rPr>
        <w:t>הזקוקים</w:t>
      </w:r>
      <w:r w:rsidRPr="00B97E44">
        <w:rPr>
          <w:rFonts w:ascii="David" w:hAnsi="David"/>
          <w:rtl/>
        </w:rPr>
        <w:t xml:space="preserve"> לטיפול בעקבות </w:t>
      </w:r>
      <w:r w:rsidRPr="00B97E44">
        <w:rPr>
          <w:rFonts w:ascii="David" w:hAnsi="David" w:hint="cs"/>
          <w:rtl/>
        </w:rPr>
        <w:t>מתקפת הטרור</w:t>
      </w:r>
      <w:r w:rsidRPr="00B97E44">
        <w:rPr>
          <w:rFonts w:ascii="David" w:hAnsi="David"/>
          <w:rtl/>
        </w:rPr>
        <w:t xml:space="preserve"> </w:t>
      </w:r>
      <w:r w:rsidRPr="00B97E44">
        <w:rPr>
          <w:rFonts w:ascii="David" w:hAnsi="David" w:hint="cs"/>
          <w:rtl/>
        </w:rPr>
        <w:t>ב</w:t>
      </w:r>
      <w:r w:rsidRPr="00B97E44">
        <w:rPr>
          <w:rFonts w:ascii="David" w:hAnsi="David"/>
          <w:rtl/>
        </w:rPr>
        <w:t>שבעה באוקטובר, 600 סיימו</w:t>
      </w:r>
      <w:r w:rsidRPr="00B97E44">
        <w:rPr>
          <w:rFonts w:ascii="David" w:hAnsi="David" w:hint="cs"/>
          <w:rtl/>
        </w:rPr>
        <w:t xml:space="preserve"> </w:t>
      </w:r>
      <w:r w:rsidRPr="00B97E44">
        <w:rPr>
          <w:rFonts w:ascii="David" w:hAnsi="David"/>
          <w:rtl/>
        </w:rPr>
        <w:t xml:space="preserve">טיפול קבוצתי ואישי ו-200 </w:t>
      </w:r>
      <w:r w:rsidRPr="00B97E44">
        <w:rPr>
          <w:rFonts w:ascii="David" w:hAnsi="David" w:hint="cs"/>
          <w:rtl/>
        </w:rPr>
        <w:t>המתינו</w:t>
      </w:r>
      <w:r w:rsidRPr="00B97E44">
        <w:rPr>
          <w:rFonts w:ascii="David" w:hAnsi="David"/>
          <w:rtl/>
        </w:rPr>
        <w:t xml:space="preserve"> להתחלת טיפול אישי.</w:t>
      </w:r>
      <w:r w:rsidRPr="00B97E44">
        <w:rPr>
          <w:rFonts w:ascii="David" w:hAnsi="David" w:hint="cs"/>
          <w:rtl/>
        </w:rPr>
        <w:t xml:space="preserve"> </w:t>
      </w:r>
    </w:p>
    <w:p w:rsidR="005B126E" w:rsidP="001916A9">
      <w:pPr>
        <w:spacing w:line="269" w:lineRule="auto"/>
        <w:rPr>
          <w:sz w:val="24"/>
          <w:rtl/>
        </w:rPr>
      </w:pPr>
    </w:p>
    <w:p w:rsidR="005B126E" w:rsidRPr="00B97E44" w:rsidP="001916A9">
      <w:pPr>
        <w:spacing w:line="269" w:lineRule="auto"/>
        <w:rPr>
          <w:rtl/>
        </w:rPr>
      </w:pPr>
      <w:r w:rsidRPr="00B97E44">
        <w:rPr>
          <w:rFonts w:hint="eastAsia"/>
          <w:sz w:val="24"/>
          <w:rtl/>
        </w:rPr>
        <w:t>על</w:t>
      </w:r>
      <w:r w:rsidRPr="00B97E44">
        <w:rPr>
          <w:sz w:val="24"/>
          <w:rtl/>
        </w:rPr>
        <w:t xml:space="preserve"> פי נתוני מרכז החוסן</w:t>
      </w:r>
      <w:r w:rsidRPr="00B97E44">
        <w:rPr>
          <w:rFonts w:hint="cs"/>
          <w:sz w:val="24"/>
          <w:rtl/>
        </w:rPr>
        <w:t>,</w:t>
      </w:r>
      <w:r w:rsidRPr="00B97E44">
        <w:rPr>
          <w:sz w:val="24"/>
          <w:rtl/>
        </w:rPr>
        <w:t xml:space="preserve"> </w:t>
      </w:r>
      <w:r w:rsidRPr="00B97E44">
        <w:rPr>
          <w:rFonts w:hint="eastAsia"/>
          <w:sz w:val="24"/>
          <w:rtl/>
        </w:rPr>
        <w:t>נכון</w:t>
      </w:r>
      <w:r w:rsidRPr="00B97E44">
        <w:rPr>
          <w:sz w:val="24"/>
          <w:rtl/>
        </w:rPr>
        <w:t xml:space="preserve"> </w:t>
      </w:r>
      <w:r w:rsidRPr="00B97E44">
        <w:rPr>
          <w:rFonts w:hint="eastAsia"/>
          <w:sz w:val="24"/>
          <w:rtl/>
        </w:rPr>
        <w:t>לדצמבר</w:t>
      </w:r>
      <w:r w:rsidRPr="00B97E44">
        <w:rPr>
          <w:sz w:val="24"/>
          <w:rtl/>
        </w:rPr>
        <w:t xml:space="preserve"> 2024 </w:t>
      </w:r>
      <w:r w:rsidRPr="00B97E44">
        <w:rPr>
          <w:rFonts w:hint="eastAsia"/>
          <w:sz w:val="24"/>
          <w:rtl/>
        </w:rPr>
        <w:t>עלה</w:t>
      </w:r>
      <w:r w:rsidRPr="00B97E44">
        <w:rPr>
          <w:sz w:val="24"/>
          <w:rtl/>
        </w:rPr>
        <w:t xml:space="preserve"> </w:t>
      </w:r>
      <w:r w:rsidRPr="00B97E44">
        <w:rPr>
          <w:rFonts w:hint="eastAsia"/>
          <w:sz w:val="24"/>
          <w:rtl/>
        </w:rPr>
        <w:t>מספר</w:t>
      </w:r>
      <w:r w:rsidRPr="00B97E44">
        <w:rPr>
          <w:sz w:val="24"/>
          <w:rtl/>
        </w:rPr>
        <w:t xml:space="preserve"> </w:t>
      </w:r>
      <w:r w:rsidRPr="00B97E44">
        <w:rPr>
          <w:rFonts w:hint="eastAsia"/>
          <w:sz w:val="24"/>
          <w:rtl/>
        </w:rPr>
        <w:t>הממתינים</w:t>
      </w:r>
      <w:r w:rsidRPr="00B97E44">
        <w:rPr>
          <w:sz w:val="24"/>
          <w:rtl/>
        </w:rPr>
        <w:t xml:space="preserve"> </w:t>
      </w:r>
      <w:r w:rsidRPr="00B97E44">
        <w:rPr>
          <w:rFonts w:hint="eastAsia"/>
          <w:sz w:val="24"/>
          <w:rtl/>
        </w:rPr>
        <w:t>לתחילת</w:t>
      </w:r>
      <w:r w:rsidRPr="00B97E44">
        <w:rPr>
          <w:sz w:val="24"/>
          <w:rtl/>
        </w:rPr>
        <w:t xml:space="preserve"> </w:t>
      </w:r>
      <w:r w:rsidRPr="00B97E44">
        <w:rPr>
          <w:rFonts w:hint="eastAsia"/>
          <w:sz w:val="24"/>
          <w:rtl/>
        </w:rPr>
        <w:t>הטיפול</w:t>
      </w:r>
      <w:r w:rsidRPr="00B97E44">
        <w:rPr>
          <w:sz w:val="24"/>
          <w:rtl/>
        </w:rPr>
        <w:t xml:space="preserve"> </w:t>
      </w:r>
      <w:r w:rsidRPr="00B97E44">
        <w:rPr>
          <w:rFonts w:hint="eastAsia"/>
          <w:sz w:val="24"/>
          <w:rtl/>
        </w:rPr>
        <w:t>במרכז</w:t>
      </w:r>
      <w:r w:rsidRPr="00B97E44">
        <w:rPr>
          <w:sz w:val="24"/>
          <w:rtl/>
        </w:rPr>
        <w:t xml:space="preserve"> </w:t>
      </w:r>
      <w:r w:rsidRPr="00B97E44">
        <w:rPr>
          <w:rFonts w:hint="eastAsia"/>
          <w:sz w:val="24"/>
          <w:rtl/>
        </w:rPr>
        <w:t>החוסן</w:t>
      </w:r>
      <w:r w:rsidRPr="00B97E44">
        <w:rPr>
          <w:sz w:val="24"/>
          <w:rtl/>
        </w:rPr>
        <w:t xml:space="preserve"> </w:t>
      </w:r>
      <w:r w:rsidRPr="00B97E44">
        <w:rPr>
          <w:rFonts w:hint="eastAsia"/>
          <w:sz w:val="24"/>
          <w:rtl/>
        </w:rPr>
        <w:t>ל</w:t>
      </w:r>
      <w:r w:rsidRPr="00B97E44">
        <w:rPr>
          <w:sz w:val="24"/>
          <w:rtl/>
        </w:rPr>
        <w:t xml:space="preserve">-500 </w:t>
      </w:r>
      <w:r w:rsidRPr="00B97E44">
        <w:rPr>
          <w:rFonts w:hint="eastAsia"/>
          <w:sz w:val="24"/>
          <w:rtl/>
        </w:rPr>
        <w:t>תושבים</w:t>
      </w:r>
      <w:r w:rsidRPr="00B97E44">
        <w:rPr>
          <w:sz w:val="24"/>
          <w:rtl/>
        </w:rPr>
        <w:t xml:space="preserve"> </w:t>
      </w:r>
      <w:r w:rsidRPr="00B97E44">
        <w:rPr>
          <w:rFonts w:hint="eastAsia"/>
          <w:sz w:val="24"/>
          <w:rtl/>
        </w:rPr>
        <w:t>ועלה</w:t>
      </w:r>
      <w:r w:rsidRPr="00B97E44">
        <w:rPr>
          <w:sz w:val="24"/>
          <w:rtl/>
        </w:rPr>
        <w:t xml:space="preserve"> </w:t>
      </w:r>
      <w:r w:rsidRPr="00B97E44">
        <w:rPr>
          <w:rFonts w:hint="eastAsia"/>
          <w:sz w:val="24"/>
          <w:rtl/>
        </w:rPr>
        <w:t>מספר</w:t>
      </w:r>
      <w:r w:rsidRPr="00B97E44">
        <w:rPr>
          <w:sz w:val="24"/>
          <w:rtl/>
        </w:rPr>
        <w:t xml:space="preserve"> </w:t>
      </w:r>
      <w:r w:rsidRPr="00B97E44">
        <w:rPr>
          <w:rFonts w:hint="eastAsia"/>
          <w:sz w:val="24"/>
          <w:rtl/>
        </w:rPr>
        <w:t>הפניות</w:t>
      </w:r>
      <w:r w:rsidRPr="00B97E44">
        <w:rPr>
          <w:sz w:val="24"/>
          <w:rtl/>
        </w:rPr>
        <w:t xml:space="preserve"> </w:t>
      </w:r>
      <w:r w:rsidRPr="00B97E44">
        <w:rPr>
          <w:rFonts w:hint="eastAsia"/>
          <w:sz w:val="24"/>
          <w:rtl/>
        </w:rPr>
        <w:t>החדשות</w:t>
      </w:r>
      <w:r w:rsidRPr="00B97E44">
        <w:rPr>
          <w:sz w:val="24"/>
          <w:rtl/>
        </w:rPr>
        <w:t xml:space="preserve"> </w:t>
      </w:r>
      <w:r w:rsidRPr="00B97E44">
        <w:rPr>
          <w:rFonts w:hint="eastAsia"/>
          <w:sz w:val="24"/>
          <w:rtl/>
        </w:rPr>
        <w:t>המתקבלות</w:t>
      </w:r>
      <w:r w:rsidRPr="00B97E44">
        <w:rPr>
          <w:sz w:val="24"/>
          <w:rtl/>
        </w:rPr>
        <w:t xml:space="preserve"> </w:t>
      </w:r>
      <w:r w:rsidRPr="00B97E44">
        <w:rPr>
          <w:rFonts w:hint="eastAsia"/>
          <w:sz w:val="24"/>
          <w:rtl/>
        </w:rPr>
        <w:t>בממוצע</w:t>
      </w:r>
      <w:r w:rsidRPr="00B97E44">
        <w:rPr>
          <w:sz w:val="24"/>
          <w:rtl/>
        </w:rPr>
        <w:t xml:space="preserve"> </w:t>
      </w:r>
      <w:r w:rsidRPr="00B97E44">
        <w:rPr>
          <w:rFonts w:hint="eastAsia"/>
          <w:sz w:val="24"/>
          <w:rtl/>
        </w:rPr>
        <w:t>מדי</w:t>
      </w:r>
      <w:r w:rsidRPr="00B97E44">
        <w:rPr>
          <w:sz w:val="24"/>
          <w:rtl/>
        </w:rPr>
        <w:t xml:space="preserve"> </w:t>
      </w:r>
      <w:r w:rsidRPr="00B97E44">
        <w:rPr>
          <w:rFonts w:hint="eastAsia"/>
          <w:sz w:val="24"/>
          <w:rtl/>
        </w:rPr>
        <w:t>שבוע</w:t>
      </w:r>
      <w:r w:rsidRPr="00B97E44">
        <w:rPr>
          <w:sz w:val="24"/>
          <w:rtl/>
        </w:rPr>
        <w:t xml:space="preserve"> </w:t>
      </w:r>
      <w:r w:rsidRPr="00B97E44">
        <w:rPr>
          <w:rFonts w:hint="eastAsia"/>
          <w:sz w:val="24"/>
          <w:rtl/>
        </w:rPr>
        <w:t>ל</w:t>
      </w:r>
      <w:r w:rsidRPr="00B97E44">
        <w:rPr>
          <w:sz w:val="24"/>
          <w:rtl/>
        </w:rPr>
        <w:t xml:space="preserve">-30. </w:t>
      </w:r>
      <w:r w:rsidRPr="00B97E44">
        <w:rPr>
          <w:rFonts w:hint="eastAsia"/>
          <w:sz w:val="24"/>
          <w:rtl/>
        </w:rPr>
        <w:t>זמן</w:t>
      </w:r>
      <w:r w:rsidRPr="00B97E44">
        <w:rPr>
          <w:sz w:val="24"/>
          <w:rtl/>
        </w:rPr>
        <w:t xml:space="preserve"> </w:t>
      </w:r>
      <w:r w:rsidRPr="00B97E44">
        <w:rPr>
          <w:rFonts w:hint="eastAsia"/>
          <w:sz w:val="24"/>
          <w:rtl/>
        </w:rPr>
        <w:t>ההמתנה</w:t>
      </w:r>
      <w:r w:rsidRPr="00B97E44">
        <w:rPr>
          <w:sz w:val="24"/>
          <w:rtl/>
        </w:rPr>
        <w:t xml:space="preserve"> </w:t>
      </w:r>
      <w:r w:rsidRPr="00B97E44">
        <w:rPr>
          <w:rFonts w:hint="eastAsia"/>
          <w:sz w:val="24"/>
          <w:rtl/>
        </w:rPr>
        <w:t>הממוצע</w:t>
      </w:r>
      <w:r w:rsidRPr="00B97E44">
        <w:rPr>
          <w:sz w:val="24"/>
          <w:rtl/>
        </w:rPr>
        <w:t xml:space="preserve"> </w:t>
      </w:r>
      <w:r w:rsidRPr="00B97E44">
        <w:rPr>
          <w:rFonts w:hint="eastAsia"/>
          <w:sz w:val="24"/>
          <w:rtl/>
        </w:rPr>
        <w:t>לתחילת</w:t>
      </w:r>
      <w:r w:rsidRPr="00B97E44">
        <w:rPr>
          <w:sz w:val="24"/>
          <w:rtl/>
        </w:rPr>
        <w:t xml:space="preserve"> </w:t>
      </w:r>
      <w:r w:rsidRPr="00B97E44">
        <w:rPr>
          <w:rFonts w:hint="eastAsia"/>
          <w:sz w:val="24"/>
          <w:rtl/>
        </w:rPr>
        <w:t>הטיפול</w:t>
      </w:r>
      <w:r w:rsidRPr="00B97E44">
        <w:rPr>
          <w:sz w:val="24"/>
          <w:rtl/>
        </w:rPr>
        <w:t xml:space="preserve"> </w:t>
      </w:r>
      <w:r w:rsidRPr="00B97E44">
        <w:rPr>
          <w:rFonts w:hint="eastAsia"/>
          <w:sz w:val="24"/>
          <w:rtl/>
        </w:rPr>
        <w:t>נותר</w:t>
      </w:r>
      <w:r w:rsidRPr="00B97E44">
        <w:rPr>
          <w:sz w:val="24"/>
          <w:rtl/>
        </w:rPr>
        <w:t xml:space="preserve"> </w:t>
      </w:r>
      <w:r w:rsidRPr="00B97E44">
        <w:rPr>
          <w:rFonts w:hint="eastAsia"/>
          <w:sz w:val="24"/>
          <w:rtl/>
        </w:rPr>
        <w:t>בעינו</w:t>
      </w:r>
      <w:r w:rsidRPr="00B97E44">
        <w:rPr>
          <w:rFonts w:hint="cs"/>
          <w:sz w:val="24"/>
          <w:rtl/>
        </w:rPr>
        <w:t>.</w:t>
      </w:r>
    </w:p>
    <w:p w:rsidR="005B126E" w:rsidP="001916A9">
      <w:pPr>
        <w:spacing w:line="269" w:lineRule="auto"/>
        <w:rPr>
          <w:rtl/>
        </w:rPr>
      </w:pPr>
    </w:p>
    <w:p w:rsidR="005B126E" w:rsidRPr="001916A9" w:rsidP="001916A9">
      <w:pPr>
        <w:spacing w:line="269" w:lineRule="auto"/>
        <w:rPr>
          <w:rtl/>
        </w:rPr>
      </w:pPr>
      <w:r w:rsidRPr="00B97E44">
        <w:rPr>
          <w:rFonts w:hint="cs"/>
          <w:rtl/>
        </w:rPr>
        <w:t>עוד עלה כי</w:t>
      </w:r>
      <w:r w:rsidRPr="00B97E44">
        <w:rPr>
          <w:rtl/>
        </w:rPr>
        <w:t xml:space="preserve"> </w:t>
      </w:r>
      <w:r w:rsidRPr="00B97E44">
        <w:rPr>
          <w:rFonts w:hint="eastAsia"/>
          <w:rtl/>
        </w:rPr>
        <w:t>פעילויות</w:t>
      </w:r>
      <w:r w:rsidRPr="00B97E44">
        <w:rPr>
          <w:rtl/>
        </w:rPr>
        <w:t xml:space="preserve"> </w:t>
      </w:r>
      <w:r w:rsidRPr="00B97E44">
        <w:rPr>
          <w:rFonts w:hint="eastAsia"/>
          <w:rtl/>
        </w:rPr>
        <w:t>להגברת</w:t>
      </w:r>
      <w:r w:rsidRPr="00B97E44">
        <w:rPr>
          <w:rtl/>
        </w:rPr>
        <w:t xml:space="preserve"> </w:t>
      </w:r>
      <w:r w:rsidRPr="00B97E44">
        <w:rPr>
          <w:rFonts w:hint="eastAsia"/>
          <w:rtl/>
        </w:rPr>
        <w:t>החוסן</w:t>
      </w:r>
      <w:r w:rsidRPr="00B97E44">
        <w:rPr>
          <w:rtl/>
        </w:rPr>
        <w:t xml:space="preserve"> </w:t>
      </w:r>
      <w:r w:rsidRPr="00B97E44">
        <w:rPr>
          <w:rFonts w:hint="eastAsia"/>
          <w:rtl/>
        </w:rPr>
        <w:t>הקהילתי</w:t>
      </w:r>
      <w:r w:rsidRPr="00B97E44">
        <w:rPr>
          <w:rtl/>
        </w:rPr>
        <w:t xml:space="preserve"> </w:t>
      </w:r>
      <w:r w:rsidRPr="00B97E44">
        <w:rPr>
          <w:rFonts w:hint="eastAsia"/>
          <w:rtl/>
        </w:rPr>
        <w:t>התלויות</w:t>
      </w:r>
      <w:r w:rsidRPr="00B97E44">
        <w:rPr>
          <w:rtl/>
        </w:rPr>
        <w:t xml:space="preserve"> </w:t>
      </w:r>
      <w:r w:rsidRPr="00B97E44">
        <w:rPr>
          <w:rFonts w:hint="eastAsia"/>
          <w:rtl/>
        </w:rPr>
        <w:t>בפילנתרופיה</w:t>
      </w:r>
      <w:r w:rsidRPr="00B97E44">
        <w:rPr>
          <w:rtl/>
        </w:rPr>
        <w:t xml:space="preserve"> </w:t>
      </w:r>
      <w:r w:rsidRPr="00B97E44">
        <w:rPr>
          <w:rFonts w:hint="eastAsia"/>
          <w:rtl/>
        </w:rPr>
        <w:t>מתבצעות</w:t>
      </w:r>
      <w:r w:rsidRPr="00B97E44">
        <w:rPr>
          <w:rtl/>
        </w:rPr>
        <w:t xml:space="preserve"> </w:t>
      </w:r>
      <w:r w:rsidRPr="00B97E44">
        <w:rPr>
          <w:rFonts w:hint="eastAsia"/>
          <w:rtl/>
        </w:rPr>
        <w:t>למשך</w:t>
      </w:r>
      <w:r w:rsidRPr="00B97E44">
        <w:rPr>
          <w:rtl/>
        </w:rPr>
        <w:t xml:space="preserve"> </w:t>
      </w:r>
      <w:r w:rsidRPr="00B97E44">
        <w:rPr>
          <w:rFonts w:hint="eastAsia"/>
          <w:rtl/>
        </w:rPr>
        <w:t>תקופה</w:t>
      </w:r>
      <w:r w:rsidRPr="00B97E44">
        <w:rPr>
          <w:rtl/>
        </w:rPr>
        <w:t xml:space="preserve"> </w:t>
      </w:r>
      <w:r w:rsidRPr="00B97E44">
        <w:rPr>
          <w:rFonts w:hint="eastAsia"/>
          <w:rtl/>
        </w:rPr>
        <w:t>מוגבלת</w:t>
      </w:r>
      <w:r w:rsidRPr="00B97E44">
        <w:rPr>
          <w:rtl/>
        </w:rPr>
        <w:t xml:space="preserve"> </w:t>
      </w:r>
      <w:r w:rsidRPr="00B97E44">
        <w:rPr>
          <w:rFonts w:hint="eastAsia"/>
          <w:rtl/>
        </w:rPr>
        <w:t>אשר</w:t>
      </w:r>
      <w:r w:rsidRPr="00B97E44">
        <w:rPr>
          <w:rtl/>
        </w:rPr>
        <w:t xml:space="preserve"> </w:t>
      </w:r>
      <w:r w:rsidRPr="00B97E44">
        <w:rPr>
          <w:rFonts w:hint="eastAsia"/>
          <w:rtl/>
        </w:rPr>
        <w:t>לא</w:t>
      </w:r>
      <w:r w:rsidRPr="00B97E44">
        <w:rPr>
          <w:rtl/>
        </w:rPr>
        <w:t xml:space="preserve"> </w:t>
      </w:r>
      <w:r w:rsidRPr="00B97E44">
        <w:rPr>
          <w:rFonts w:hint="eastAsia"/>
          <w:rtl/>
        </w:rPr>
        <w:t>די</w:t>
      </w:r>
      <w:r w:rsidRPr="00B97E44">
        <w:rPr>
          <w:rtl/>
        </w:rPr>
        <w:t xml:space="preserve"> </w:t>
      </w:r>
      <w:r w:rsidRPr="00B97E44">
        <w:rPr>
          <w:rFonts w:hint="eastAsia"/>
          <w:rtl/>
        </w:rPr>
        <w:t>בה</w:t>
      </w:r>
      <w:r w:rsidRPr="00B97E44">
        <w:rPr>
          <w:rtl/>
        </w:rPr>
        <w:t xml:space="preserve"> </w:t>
      </w:r>
      <w:r w:rsidRPr="00B97E44">
        <w:rPr>
          <w:rFonts w:hint="eastAsia"/>
          <w:rtl/>
        </w:rPr>
        <w:t>לביסוס</w:t>
      </w:r>
      <w:r w:rsidRPr="00B97E44">
        <w:rPr>
          <w:rtl/>
        </w:rPr>
        <w:t xml:space="preserve"> </w:t>
      </w:r>
      <w:r w:rsidRPr="00B97E44">
        <w:rPr>
          <w:rFonts w:hint="eastAsia"/>
          <w:rtl/>
        </w:rPr>
        <w:t>חוסן</w:t>
      </w:r>
      <w:r w:rsidRPr="00B97E44">
        <w:rPr>
          <w:rtl/>
        </w:rPr>
        <w:t xml:space="preserve"> </w:t>
      </w:r>
      <w:r w:rsidRPr="00B97E44">
        <w:rPr>
          <w:rFonts w:hint="eastAsia"/>
          <w:rtl/>
        </w:rPr>
        <w:t>קהילתי</w:t>
      </w:r>
      <w:r w:rsidRPr="00B97E44">
        <w:rPr>
          <w:rtl/>
        </w:rPr>
        <w:t>.</w:t>
      </w:r>
    </w:p>
    <w:p w:rsidR="005B126E" w:rsidRPr="00B97E44" w:rsidP="001916A9">
      <w:pPr>
        <w:spacing w:line="269" w:lineRule="auto"/>
        <w:rPr>
          <w:rFonts w:ascii="David" w:hAnsi="David"/>
          <w:sz w:val="24"/>
          <w:rtl/>
        </w:rPr>
      </w:pPr>
      <w:r w:rsidRPr="00DC6823">
        <w:rPr>
          <w:rStyle w:val="7"/>
          <w:rFonts w:hint="cs"/>
          <w:rtl/>
        </w:rPr>
        <w:t>הליקוי בדוח הקודם:</w:t>
      </w:r>
      <w:r w:rsidRPr="00B97E44">
        <w:rPr>
          <w:rFonts w:ascii="David" w:hAnsi="David" w:hint="cs"/>
          <w:b/>
          <w:bCs/>
          <w:sz w:val="24"/>
          <w:rtl/>
        </w:rPr>
        <w:t xml:space="preserve"> </w:t>
      </w:r>
      <w:r w:rsidRPr="00B97E44">
        <w:rPr>
          <w:rFonts w:ascii="David" w:hAnsi="David" w:hint="eastAsia"/>
          <w:sz w:val="24"/>
          <w:rtl/>
        </w:rPr>
        <w:t>עיריית</w:t>
      </w:r>
      <w:r w:rsidRPr="00B97E44">
        <w:rPr>
          <w:rFonts w:ascii="David" w:hAnsi="David"/>
          <w:sz w:val="24"/>
          <w:rtl/>
        </w:rPr>
        <w:t xml:space="preserve"> </w:t>
      </w:r>
      <w:r w:rsidRPr="00B97E44">
        <w:rPr>
          <w:rFonts w:ascii="David" w:hAnsi="David" w:hint="eastAsia"/>
          <w:b/>
          <w:bCs/>
          <w:sz w:val="24"/>
          <w:rtl/>
        </w:rPr>
        <w:t>אופקים</w:t>
      </w:r>
      <w:r w:rsidRPr="00B97E44">
        <w:rPr>
          <w:rFonts w:ascii="David" w:hAnsi="David"/>
          <w:b/>
          <w:bCs/>
          <w:sz w:val="24"/>
          <w:rtl/>
        </w:rPr>
        <w:t xml:space="preserve"> </w:t>
      </w:r>
      <w:r w:rsidRPr="00B97E44">
        <w:rPr>
          <w:rFonts w:ascii="David" w:hAnsi="David"/>
          <w:sz w:val="24"/>
          <w:rtl/>
        </w:rPr>
        <w:t xml:space="preserve">מתקשה </w:t>
      </w:r>
      <w:r w:rsidRPr="00B97E44">
        <w:rPr>
          <w:rFonts w:ascii="David" w:hAnsi="David" w:hint="cs"/>
          <w:sz w:val="24"/>
          <w:rtl/>
        </w:rPr>
        <w:t>לתת</w:t>
      </w:r>
      <w:r w:rsidRPr="00B97E44">
        <w:rPr>
          <w:rFonts w:ascii="David" w:hAnsi="David"/>
          <w:sz w:val="24"/>
          <w:rtl/>
        </w:rPr>
        <w:t xml:space="preserve"> מענה לתושביה </w:t>
      </w:r>
      <w:r w:rsidRPr="00B97E44">
        <w:rPr>
          <w:rFonts w:ascii="David" w:hAnsi="David" w:hint="eastAsia"/>
          <w:sz w:val="24"/>
          <w:rtl/>
        </w:rPr>
        <w:t>שנפגעו</w:t>
      </w:r>
      <w:r w:rsidRPr="00B97E44">
        <w:rPr>
          <w:rFonts w:ascii="David" w:hAnsi="David"/>
          <w:sz w:val="24"/>
          <w:rtl/>
        </w:rPr>
        <w:t xml:space="preserve"> </w:t>
      </w:r>
      <w:r w:rsidRPr="00B97E44">
        <w:rPr>
          <w:rFonts w:ascii="David" w:hAnsi="David" w:hint="eastAsia"/>
          <w:sz w:val="24"/>
          <w:rtl/>
        </w:rPr>
        <w:t>קשות</w:t>
      </w:r>
      <w:r w:rsidRPr="00B97E44">
        <w:rPr>
          <w:rFonts w:ascii="David" w:hAnsi="David"/>
          <w:sz w:val="24"/>
          <w:rtl/>
        </w:rPr>
        <w:t xml:space="preserve"> </w:t>
      </w:r>
      <w:r w:rsidRPr="00B97E44">
        <w:rPr>
          <w:rFonts w:ascii="David" w:hAnsi="David" w:hint="eastAsia"/>
          <w:sz w:val="24"/>
          <w:rtl/>
        </w:rPr>
        <w:t>ב</w:t>
      </w:r>
      <w:r w:rsidRPr="00B97E44">
        <w:rPr>
          <w:rFonts w:ascii="David" w:hAnsi="David"/>
          <w:sz w:val="24"/>
          <w:rtl/>
        </w:rPr>
        <w:t xml:space="preserve">אירועי שבעה באוקטובר. </w:t>
      </w:r>
      <w:bookmarkStart w:id="78" w:name="_Hlk184736542"/>
      <w:r w:rsidRPr="00B97E44">
        <w:rPr>
          <w:rFonts w:ascii="David" w:hAnsi="David" w:hint="eastAsia"/>
          <w:sz w:val="24"/>
          <w:rtl/>
        </w:rPr>
        <w:t>עקב</w:t>
      </w:r>
      <w:r w:rsidRPr="00B97E44">
        <w:rPr>
          <w:rFonts w:ascii="David" w:hAnsi="David"/>
          <w:sz w:val="24"/>
          <w:rtl/>
        </w:rPr>
        <w:t xml:space="preserve"> כך תושבים </w:t>
      </w:r>
      <w:r w:rsidRPr="00B97E44">
        <w:rPr>
          <w:rFonts w:ascii="David" w:hAnsi="David" w:hint="eastAsia"/>
          <w:sz w:val="24"/>
          <w:rtl/>
        </w:rPr>
        <w:t>אלה</w:t>
      </w:r>
      <w:r w:rsidRPr="00B97E44">
        <w:rPr>
          <w:rFonts w:ascii="David" w:hAnsi="David"/>
          <w:sz w:val="24"/>
          <w:rtl/>
        </w:rPr>
        <w:t xml:space="preserve"> </w:t>
      </w:r>
      <w:r w:rsidRPr="00B97E44">
        <w:rPr>
          <w:rFonts w:ascii="David" w:hAnsi="David" w:hint="eastAsia"/>
          <w:sz w:val="24"/>
          <w:rtl/>
        </w:rPr>
        <w:t>לא</w:t>
      </w:r>
      <w:r w:rsidRPr="00B97E44">
        <w:rPr>
          <w:rFonts w:ascii="David" w:hAnsi="David"/>
          <w:sz w:val="24"/>
          <w:rtl/>
        </w:rPr>
        <w:t xml:space="preserve"> </w:t>
      </w:r>
      <w:r w:rsidRPr="00B97E44">
        <w:rPr>
          <w:rFonts w:ascii="David" w:hAnsi="David" w:hint="eastAsia"/>
          <w:sz w:val="24"/>
          <w:rtl/>
        </w:rPr>
        <w:t>זכו</w:t>
      </w:r>
      <w:r w:rsidRPr="00B97E44">
        <w:rPr>
          <w:rFonts w:ascii="David" w:hAnsi="David"/>
          <w:sz w:val="24"/>
          <w:rtl/>
        </w:rPr>
        <w:t xml:space="preserve"> </w:t>
      </w:r>
      <w:r w:rsidRPr="00B97E44">
        <w:rPr>
          <w:rFonts w:ascii="David" w:hAnsi="David" w:hint="eastAsia"/>
          <w:sz w:val="24"/>
          <w:rtl/>
        </w:rPr>
        <w:t>למענה</w:t>
      </w:r>
      <w:r w:rsidRPr="00B97E44">
        <w:rPr>
          <w:rFonts w:ascii="David" w:hAnsi="David"/>
          <w:sz w:val="24"/>
          <w:rtl/>
        </w:rPr>
        <w:t xml:space="preserve"> </w:t>
      </w:r>
      <w:r w:rsidRPr="00B97E44">
        <w:rPr>
          <w:rFonts w:ascii="David" w:hAnsi="David" w:hint="eastAsia"/>
          <w:sz w:val="24"/>
          <w:rtl/>
        </w:rPr>
        <w:t>מהיר</w:t>
      </w:r>
      <w:r w:rsidRPr="00B97E44">
        <w:rPr>
          <w:rFonts w:ascii="David" w:hAnsi="David"/>
          <w:sz w:val="24"/>
          <w:rtl/>
        </w:rPr>
        <w:t xml:space="preserve"> </w:t>
      </w:r>
      <w:r w:rsidRPr="00B97E44">
        <w:rPr>
          <w:rFonts w:ascii="David" w:hAnsi="David" w:hint="eastAsia"/>
          <w:sz w:val="24"/>
          <w:rtl/>
        </w:rPr>
        <w:t>ומעמיק</w:t>
      </w:r>
      <w:r w:rsidRPr="00B97E44">
        <w:rPr>
          <w:rFonts w:ascii="David" w:hAnsi="David"/>
          <w:sz w:val="24"/>
          <w:rtl/>
        </w:rPr>
        <w:t xml:space="preserve"> </w:t>
      </w:r>
      <w:r w:rsidRPr="00B97E44">
        <w:rPr>
          <w:rFonts w:ascii="David" w:hAnsi="David" w:hint="eastAsia"/>
          <w:sz w:val="24"/>
          <w:rtl/>
        </w:rPr>
        <w:t>דיו</w:t>
      </w:r>
      <w:r w:rsidRPr="00B97E44">
        <w:rPr>
          <w:rFonts w:ascii="David" w:hAnsi="David"/>
          <w:sz w:val="24"/>
          <w:rtl/>
        </w:rPr>
        <w:t xml:space="preserve"> בעניין הטיפול בפגיעותיהם האמורות</w:t>
      </w:r>
      <w:r w:rsidRPr="00B97E44">
        <w:rPr>
          <w:rFonts w:ascii="David" w:hAnsi="David"/>
          <w:rtl/>
        </w:rPr>
        <w:t>.</w:t>
      </w:r>
      <w:r w:rsidRPr="00B97E44">
        <w:rPr>
          <w:rFonts w:ascii="David" w:hAnsi="David"/>
          <w:sz w:val="24"/>
          <w:rtl/>
        </w:rPr>
        <w:t xml:space="preserve"> </w:t>
      </w:r>
    </w:p>
    <w:bookmarkEnd w:id="78"/>
    <w:p w:rsidR="005B126E" w:rsidP="001916A9">
      <w:pPr>
        <w:spacing w:line="269" w:lineRule="auto"/>
        <w:rPr>
          <w:b/>
          <w:bCs/>
          <w:rtl/>
        </w:rPr>
      </w:pPr>
    </w:p>
    <w:p w:rsidR="005B126E" w:rsidRPr="00B97E44" w:rsidP="001916A9">
      <w:pPr>
        <w:spacing w:line="269" w:lineRule="auto"/>
        <w:rPr>
          <w:rtl/>
        </w:rPr>
      </w:pPr>
      <w:r w:rsidRPr="00DC6823">
        <w:rPr>
          <w:rStyle w:val="7"/>
          <w:rFonts w:hint="cs"/>
          <w:rtl/>
        </w:rPr>
        <w:t>ההמלצה בדוח הקודם:</w:t>
      </w:r>
      <w:r w:rsidRPr="00B97E44">
        <w:rPr>
          <w:rtl/>
        </w:rPr>
        <w:t xml:space="preserve"> על משרד ראש הממשלה לוודא כי במסגרת גיבוש החלטת הממשלה בדבר מתן מענה לאזורים נוספים שנפגעו באירועי שבעה באוקטובר </w:t>
      </w:r>
      <w:r w:rsidRPr="00B97E44">
        <w:rPr>
          <w:rFonts w:hint="eastAsia"/>
          <w:rtl/>
        </w:rPr>
        <w:t>יינתן</w:t>
      </w:r>
      <w:r w:rsidRPr="00B97E44">
        <w:rPr>
          <w:rtl/>
        </w:rPr>
        <w:t xml:space="preserve"> </w:t>
      </w:r>
      <w:r w:rsidRPr="00B97E44">
        <w:rPr>
          <w:rFonts w:hint="eastAsia"/>
          <w:rtl/>
        </w:rPr>
        <w:t>מענה</w:t>
      </w:r>
      <w:r w:rsidRPr="00B97E44">
        <w:rPr>
          <w:rtl/>
        </w:rPr>
        <w:t xml:space="preserve"> </w:t>
      </w:r>
      <w:r w:rsidRPr="00B97E44">
        <w:rPr>
          <w:rFonts w:hint="eastAsia"/>
          <w:rtl/>
        </w:rPr>
        <w:t>גם</w:t>
      </w:r>
      <w:r w:rsidRPr="00B97E44">
        <w:rPr>
          <w:rtl/>
        </w:rPr>
        <w:t xml:space="preserve"> </w:t>
      </w:r>
      <w:r w:rsidRPr="00B97E44">
        <w:rPr>
          <w:rFonts w:hint="eastAsia"/>
          <w:rtl/>
        </w:rPr>
        <w:t>לעיריית</w:t>
      </w:r>
      <w:r w:rsidRPr="00B97E44">
        <w:rPr>
          <w:rtl/>
        </w:rPr>
        <w:t xml:space="preserve"> </w:t>
      </w:r>
      <w:r w:rsidRPr="00B97E44">
        <w:rPr>
          <w:rFonts w:hint="eastAsia"/>
          <w:b/>
          <w:bCs/>
          <w:rtl/>
        </w:rPr>
        <w:t>אופקים</w:t>
      </w:r>
      <w:r w:rsidRPr="00B97E44">
        <w:rPr>
          <w:rtl/>
        </w:rPr>
        <w:t xml:space="preserve">. </w:t>
      </w:r>
      <w:r w:rsidRPr="00B97E44">
        <w:rPr>
          <w:rFonts w:hint="eastAsia"/>
          <w:rtl/>
        </w:rPr>
        <w:t>כמו</w:t>
      </w:r>
      <w:r w:rsidRPr="00B97E44">
        <w:rPr>
          <w:rtl/>
        </w:rPr>
        <w:t xml:space="preserve"> </w:t>
      </w:r>
      <w:r w:rsidRPr="00B97E44">
        <w:rPr>
          <w:rFonts w:hint="eastAsia"/>
          <w:rtl/>
        </w:rPr>
        <w:t>כן</w:t>
      </w:r>
      <w:r w:rsidRPr="00B97E44">
        <w:rPr>
          <w:rtl/>
        </w:rPr>
        <w:t xml:space="preserve"> </w:t>
      </w:r>
      <w:r w:rsidRPr="00B97E44">
        <w:rPr>
          <w:rFonts w:hint="eastAsia"/>
          <w:rtl/>
        </w:rPr>
        <w:t>על</w:t>
      </w:r>
      <w:r w:rsidRPr="00B97E44">
        <w:rPr>
          <w:rtl/>
        </w:rPr>
        <w:t xml:space="preserve"> </w:t>
      </w:r>
      <w:r w:rsidRPr="00B97E44">
        <w:rPr>
          <w:rFonts w:hint="eastAsia"/>
          <w:rtl/>
        </w:rPr>
        <w:t>המשרד</w:t>
      </w:r>
      <w:r w:rsidRPr="00B97E44">
        <w:rPr>
          <w:rtl/>
        </w:rPr>
        <w:t xml:space="preserve"> </w:t>
      </w:r>
      <w:r w:rsidRPr="00B97E44">
        <w:rPr>
          <w:rFonts w:hint="eastAsia"/>
          <w:rtl/>
        </w:rPr>
        <w:t>לוודא</w:t>
      </w:r>
      <w:r w:rsidRPr="00B97E44">
        <w:rPr>
          <w:rtl/>
        </w:rPr>
        <w:t xml:space="preserve"> </w:t>
      </w:r>
      <w:r w:rsidRPr="00B97E44">
        <w:rPr>
          <w:rFonts w:hint="eastAsia"/>
          <w:rtl/>
        </w:rPr>
        <w:t>כי</w:t>
      </w:r>
      <w:r w:rsidRPr="00B97E44">
        <w:rPr>
          <w:rtl/>
        </w:rPr>
        <w:t xml:space="preserve"> על אף האתגרים המוניציפליים המשמעותיים העומדים לפתחה של </w:t>
      </w:r>
      <w:r w:rsidRPr="00B97E44">
        <w:rPr>
          <w:rFonts w:hint="eastAsia"/>
          <w:rtl/>
        </w:rPr>
        <w:t>העירייה</w:t>
      </w:r>
      <w:r w:rsidRPr="00B97E44">
        <w:rPr>
          <w:rtl/>
        </w:rPr>
        <w:t xml:space="preserve">, בין השאר בעקבות </w:t>
      </w:r>
      <w:r w:rsidRPr="00B97E44">
        <w:rPr>
          <w:rFonts w:hint="eastAsia"/>
          <w:rtl/>
        </w:rPr>
        <w:t>החתימה</w:t>
      </w:r>
      <w:r w:rsidRPr="00B97E44">
        <w:rPr>
          <w:rtl/>
        </w:rPr>
        <w:t xml:space="preserve"> על הסכמי הגג, העברת המענים ת</w:t>
      </w:r>
      <w:r w:rsidRPr="00B97E44">
        <w:rPr>
          <w:rFonts w:hint="eastAsia"/>
          <w:rtl/>
        </w:rPr>
        <w:t>ותאם</w:t>
      </w:r>
      <w:r w:rsidRPr="00B97E44">
        <w:rPr>
          <w:rtl/>
        </w:rPr>
        <w:t xml:space="preserve"> לצרכים שנקבעו בהחלטת </w:t>
      </w:r>
      <w:r w:rsidRPr="00B97E44">
        <w:rPr>
          <w:rFonts w:hint="eastAsia"/>
          <w:rtl/>
        </w:rPr>
        <w:t>ה</w:t>
      </w:r>
      <w:r w:rsidRPr="00B97E44">
        <w:rPr>
          <w:rtl/>
        </w:rPr>
        <w:t>ממשלה 2336</w:t>
      </w:r>
      <w:r w:rsidRPr="00B97E44">
        <w:rPr>
          <w:rFonts w:hint="cs"/>
          <w:rtl/>
        </w:rPr>
        <w:t>.</w:t>
      </w:r>
    </w:p>
    <w:p w:rsidR="005B126E" w:rsidRPr="00B97E44" w:rsidP="001916A9">
      <w:pPr>
        <w:spacing w:line="269" w:lineRule="auto"/>
        <w:rPr>
          <w:rtl/>
        </w:rPr>
      </w:pPr>
    </w:p>
    <w:p w:rsidR="005B126E" w:rsidRPr="00B97E44" w:rsidP="001916A9">
      <w:pPr>
        <w:pStyle w:val="Heading5"/>
        <w:spacing w:line="269" w:lineRule="auto"/>
        <w:rPr>
          <w:rtl/>
        </w:rPr>
      </w:pPr>
      <w:bookmarkStart w:id="79" w:name="_Hlk208478523"/>
      <w:r w:rsidRPr="00B97E44">
        <w:rPr>
          <w:rFonts w:hint="cs"/>
          <w:rtl/>
        </w:rPr>
        <w:t xml:space="preserve">ביקורת </w:t>
      </w:r>
      <w:r>
        <w:rPr>
          <w:rFonts w:hint="cs"/>
          <w:rtl/>
        </w:rPr>
        <w:t>ה</w:t>
      </w:r>
      <w:r w:rsidRPr="00B97E44">
        <w:rPr>
          <w:rFonts w:hint="cs"/>
          <w:rtl/>
        </w:rPr>
        <w:t>מעקב</w:t>
      </w:r>
    </w:p>
    <w:p w:rsidR="005B126E" w:rsidP="001916A9">
      <w:pPr>
        <w:autoSpaceDE w:val="0"/>
        <w:autoSpaceDN w:val="0"/>
        <w:adjustRightInd w:val="0"/>
        <w:spacing w:line="269" w:lineRule="auto"/>
        <w:rPr>
          <w:rFonts w:ascii="David" w:hAnsi="David"/>
          <w:b/>
          <w:bCs/>
          <w:sz w:val="24"/>
          <w:rtl/>
        </w:rPr>
      </w:pPr>
    </w:p>
    <w:p w:rsidR="005B126E" w:rsidRPr="00B97E44" w:rsidP="001916A9">
      <w:pPr>
        <w:autoSpaceDE w:val="0"/>
        <w:autoSpaceDN w:val="0"/>
        <w:adjustRightInd w:val="0"/>
        <w:spacing w:line="269" w:lineRule="auto"/>
        <w:rPr>
          <w:rFonts w:ascii="David" w:hAnsi="David"/>
          <w:b/>
          <w:bCs/>
          <w:sz w:val="24"/>
          <w:rtl/>
        </w:rPr>
      </w:pPr>
      <w:r w:rsidRPr="00B97E44">
        <w:rPr>
          <w:rFonts w:ascii="David" w:hAnsi="David" w:hint="eastAsia"/>
          <w:b/>
          <w:bCs/>
          <w:sz w:val="24"/>
          <w:rtl/>
        </w:rPr>
        <w:t>נמצא</w:t>
      </w:r>
      <w:r w:rsidRPr="00B97E44">
        <w:rPr>
          <w:rFonts w:ascii="David" w:hAnsi="David"/>
          <w:b/>
          <w:bCs/>
          <w:sz w:val="24"/>
          <w:rtl/>
        </w:rPr>
        <w:t xml:space="preserve"> כי </w:t>
      </w:r>
      <w:r w:rsidRPr="00B97E44">
        <w:rPr>
          <w:rFonts w:ascii="David" w:hAnsi="David" w:hint="eastAsia"/>
          <w:b/>
          <w:bCs/>
          <w:sz w:val="24"/>
          <w:rtl/>
        </w:rPr>
        <w:t>באוגוסט</w:t>
      </w:r>
      <w:r w:rsidRPr="00B97E44">
        <w:rPr>
          <w:rFonts w:ascii="David" w:hAnsi="David"/>
          <w:b/>
          <w:bCs/>
          <w:sz w:val="24"/>
          <w:rtl/>
        </w:rPr>
        <w:t xml:space="preserve"> 2025 </w:t>
      </w:r>
      <w:bookmarkStart w:id="80" w:name="_Hlk207185666"/>
      <w:r w:rsidRPr="00B97E44">
        <w:rPr>
          <w:rFonts w:ascii="David" w:hAnsi="David" w:hint="eastAsia"/>
          <w:b/>
          <w:bCs/>
          <w:sz w:val="24"/>
          <w:rtl/>
        </w:rPr>
        <w:t>אישרה</w:t>
      </w:r>
      <w:r w:rsidRPr="00B97E44">
        <w:rPr>
          <w:rFonts w:ascii="David" w:hAnsi="David"/>
          <w:b/>
          <w:bCs/>
          <w:sz w:val="24"/>
          <w:rtl/>
        </w:rPr>
        <w:t xml:space="preserve"> הממשלה תוכנית לשיקום ופיתוח </w:t>
      </w:r>
      <w:r w:rsidRPr="00B97E44">
        <w:rPr>
          <w:rFonts w:ascii="David" w:hAnsi="David" w:hint="eastAsia"/>
          <w:b/>
          <w:bCs/>
          <w:sz w:val="24"/>
          <w:rtl/>
        </w:rPr>
        <w:t>היישובים</w:t>
      </w:r>
      <w:r w:rsidRPr="00B97E44">
        <w:rPr>
          <w:rFonts w:ascii="David" w:hAnsi="David"/>
          <w:b/>
          <w:bCs/>
          <w:sz w:val="24"/>
          <w:rtl/>
        </w:rPr>
        <w:t xml:space="preserve"> </w:t>
      </w:r>
      <w:r w:rsidRPr="00B97E44">
        <w:rPr>
          <w:rFonts w:ascii="David" w:hAnsi="David" w:hint="eastAsia"/>
          <w:b/>
          <w:bCs/>
          <w:sz w:val="24"/>
          <w:rtl/>
        </w:rPr>
        <w:t>הסמוכים</w:t>
      </w:r>
      <w:r w:rsidRPr="00B97E44">
        <w:rPr>
          <w:rFonts w:ascii="David" w:hAnsi="David"/>
          <w:b/>
          <w:bCs/>
          <w:sz w:val="24"/>
          <w:rtl/>
        </w:rPr>
        <w:t xml:space="preserve"> </w:t>
      </w:r>
      <w:r w:rsidRPr="00B97E44">
        <w:rPr>
          <w:rFonts w:ascii="David" w:hAnsi="David" w:hint="eastAsia"/>
          <w:b/>
          <w:bCs/>
          <w:sz w:val="24"/>
          <w:rtl/>
        </w:rPr>
        <w:t>לחבל</w:t>
      </w:r>
      <w:r w:rsidRPr="00B97E44">
        <w:rPr>
          <w:rFonts w:ascii="David" w:hAnsi="David"/>
          <w:b/>
          <w:bCs/>
          <w:sz w:val="24"/>
          <w:rtl/>
        </w:rPr>
        <w:t xml:space="preserve"> </w:t>
      </w:r>
      <w:r w:rsidRPr="00B97E44">
        <w:rPr>
          <w:rFonts w:ascii="David" w:hAnsi="David" w:hint="eastAsia"/>
          <w:b/>
          <w:bCs/>
          <w:sz w:val="24"/>
          <w:rtl/>
        </w:rPr>
        <w:t>התקומה</w:t>
      </w:r>
      <w:r w:rsidRPr="00B97E44">
        <w:rPr>
          <w:rFonts w:ascii="David" w:hAnsi="David"/>
          <w:b/>
          <w:bCs/>
          <w:sz w:val="24"/>
          <w:rtl/>
        </w:rPr>
        <w:t xml:space="preserve"> </w:t>
      </w:r>
      <w:r w:rsidRPr="00B97E44">
        <w:rPr>
          <w:rFonts w:ascii="David" w:hAnsi="David" w:hint="cs"/>
          <w:b/>
          <w:bCs/>
          <w:sz w:val="24"/>
          <w:rtl/>
        </w:rPr>
        <w:t>ו</w:t>
      </w:r>
      <w:r w:rsidRPr="00B97E44">
        <w:rPr>
          <w:rFonts w:ascii="David" w:hAnsi="David"/>
          <w:b/>
          <w:bCs/>
          <w:sz w:val="24"/>
          <w:rtl/>
        </w:rPr>
        <w:t xml:space="preserve">במסגרתה תוקצבו הרשויות המקומיות הסמוכות לחבל התקומה ובהן עיריית </w:t>
      </w:r>
      <w:r w:rsidRPr="00B97E44">
        <w:rPr>
          <w:rFonts w:ascii="David" w:hAnsi="David" w:hint="eastAsia"/>
          <w:b/>
          <w:bCs/>
          <w:sz w:val="24"/>
          <w:rtl/>
        </w:rPr>
        <w:t>אופקים</w:t>
      </w:r>
      <w:r w:rsidRPr="00B97E44">
        <w:rPr>
          <w:rFonts w:ascii="David" w:hAnsi="David"/>
          <w:b/>
          <w:bCs/>
          <w:sz w:val="24"/>
          <w:rtl/>
        </w:rPr>
        <w:t xml:space="preserve"> ב-53 מיליו</w:t>
      </w:r>
      <w:r>
        <w:rPr>
          <w:rFonts w:ascii="David" w:hAnsi="David" w:hint="cs"/>
          <w:b/>
          <w:bCs/>
          <w:sz w:val="24"/>
          <w:rtl/>
        </w:rPr>
        <w:t>ני</w:t>
      </w:r>
      <w:r w:rsidRPr="00B97E44">
        <w:rPr>
          <w:rFonts w:ascii="David" w:hAnsi="David"/>
          <w:b/>
          <w:bCs/>
          <w:sz w:val="24"/>
          <w:rtl/>
        </w:rPr>
        <w:t xml:space="preserve"> ש"ח לטובת תוכניות בתחום הרווחה</w:t>
      </w:r>
      <w:bookmarkEnd w:id="80"/>
      <w:r w:rsidRPr="00B97E44">
        <w:rPr>
          <w:rFonts w:ascii="David" w:hAnsi="David"/>
          <w:b/>
          <w:bCs/>
          <w:sz w:val="24"/>
          <w:rtl/>
        </w:rPr>
        <w:t>, לרבות תוכניות לטובת ילדים ונוער בסי</w:t>
      </w:r>
      <w:r w:rsidRPr="00B97E44">
        <w:rPr>
          <w:rFonts w:ascii="David" w:hAnsi="David" w:hint="eastAsia"/>
          <w:b/>
          <w:bCs/>
          <w:sz w:val="24"/>
          <w:rtl/>
        </w:rPr>
        <w:t>כון</w:t>
      </w:r>
      <w:r w:rsidRPr="00B97E44">
        <w:rPr>
          <w:rFonts w:ascii="David" w:hAnsi="David"/>
          <w:b/>
          <w:bCs/>
          <w:sz w:val="24"/>
          <w:rtl/>
        </w:rPr>
        <w:t xml:space="preserve">, אוכלוסיות במשבר, </w:t>
      </w:r>
      <w:r w:rsidRPr="00B97E44">
        <w:rPr>
          <w:rFonts w:ascii="David" w:hAnsi="David" w:hint="eastAsia"/>
          <w:b/>
          <w:bCs/>
          <w:sz w:val="24"/>
          <w:rtl/>
        </w:rPr>
        <w:t>משפחות</w:t>
      </w:r>
      <w:r w:rsidRPr="00B97E44">
        <w:rPr>
          <w:rFonts w:ascii="David" w:hAnsi="David"/>
          <w:b/>
          <w:bCs/>
          <w:sz w:val="24"/>
          <w:rtl/>
        </w:rPr>
        <w:t xml:space="preserve"> ואזרחים ותיקי</w:t>
      </w:r>
      <w:r w:rsidRPr="00B97E44">
        <w:rPr>
          <w:rFonts w:ascii="David" w:hAnsi="David" w:hint="eastAsia"/>
          <w:b/>
          <w:bCs/>
          <w:sz w:val="24"/>
          <w:rtl/>
        </w:rPr>
        <w:t>ם</w:t>
      </w:r>
      <w:r w:rsidRPr="00B97E44">
        <w:rPr>
          <w:rFonts w:ascii="David" w:hAnsi="David"/>
          <w:b/>
          <w:bCs/>
          <w:sz w:val="24"/>
          <w:rtl/>
        </w:rPr>
        <w:t>. כמו כן, א</w:t>
      </w:r>
      <w:r w:rsidRPr="00B97E44">
        <w:rPr>
          <w:rFonts w:ascii="David" w:hAnsi="David" w:hint="eastAsia"/>
          <w:b/>
          <w:bCs/>
          <w:sz w:val="24"/>
          <w:rtl/>
        </w:rPr>
        <w:t>ושרה</w:t>
      </w:r>
      <w:r w:rsidRPr="00B97E44">
        <w:rPr>
          <w:rFonts w:ascii="David" w:hAnsi="David"/>
          <w:b/>
          <w:bCs/>
          <w:sz w:val="24"/>
          <w:rtl/>
        </w:rPr>
        <w:t xml:space="preserve"> </w:t>
      </w:r>
      <w:r w:rsidRPr="00B97E44">
        <w:rPr>
          <w:rFonts w:ascii="David" w:hAnsi="David" w:hint="eastAsia"/>
          <w:b/>
          <w:bCs/>
          <w:sz w:val="24"/>
          <w:rtl/>
        </w:rPr>
        <w:t>תוספת</w:t>
      </w:r>
      <w:r w:rsidRPr="00B97E44">
        <w:rPr>
          <w:rFonts w:ascii="David" w:hAnsi="David"/>
          <w:b/>
          <w:bCs/>
          <w:sz w:val="24"/>
          <w:rtl/>
        </w:rPr>
        <w:t xml:space="preserve"> </w:t>
      </w:r>
      <w:r w:rsidRPr="00B97E44">
        <w:rPr>
          <w:rFonts w:ascii="David" w:hAnsi="David" w:hint="eastAsia"/>
          <w:b/>
          <w:bCs/>
          <w:sz w:val="24"/>
          <w:rtl/>
        </w:rPr>
        <w:t>של</w:t>
      </w:r>
      <w:r w:rsidRPr="00B97E44">
        <w:rPr>
          <w:rFonts w:ascii="David" w:hAnsi="David"/>
          <w:b/>
          <w:bCs/>
          <w:sz w:val="24"/>
          <w:rtl/>
        </w:rPr>
        <w:t xml:space="preserve"> </w:t>
      </w:r>
      <w:r w:rsidRPr="00B97E44">
        <w:rPr>
          <w:rFonts w:ascii="David" w:hAnsi="David" w:hint="eastAsia"/>
          <w:b/>
          <w:bCs/>
          <w:sz w:val="24"/>
          <w:rtl/>
        </w:rPr>
        <w:t>שישה</w:t>
      </w:r>
      <w:r w:rsidRPr="00B97E44">
        <w:rPr>
          <w:rFonts w:ascii="David" w:hAnsi="David"/>
          <w:b/>
          <w:bCs/>
          <w:sz w:val="24"/>
          <w:rtl/>
        </w:rPr>
        <w:t xml:space="preserve"> </w:t>
      </w:r>
      <w:r w:rsidRPr="00B97E44">
        <w:rPr>
          <w:rFonts w:ascii="David" w:hAnsi="David" w:hint="eastAsia"/>
          <w:b/>
          <w:bCs/>
          <w:sz w:val="24"/>
          <w:rtl/>
        </w:rPr>
        <w:t>תקני</w:t>
      </w:r>
      <w:r w:rsidRPr="00B97E44">
        <w:rPr>
          <w:rFonts w:ascii="David" w:hAnsi="David"/>
          <w:b/>
          <w:bCs/>
          <w:sz w:val="24"/>
          <w:rtl/>
        </w:rPr>
        <w:t xml:space="preserve"> כוח האדם ב</w:t>
      </w:r>
      <w:r w:rsidRPr="00B97E44">
        <w:rPr>
          <w:rFonts w:ascii="David" w:hAnsi="David" w:hint="eastAsia"/>
          <w:b/>
          <w:bCs/>
          <w:sz w:val="24"/>
          <w:rtl/>
        </w:rPr>
        <w:t>מחלקה</w:t>
      </w:r>
      <w:r w:rsidRPr="00B97E44">
        <w:rPr>
          <w:b/>
          <w:bCs/>
          <w:rtl/>
        </w:rPr>
        <w:t xml:space="preserve"> לשירותים חברתיים בעיר</w:t>
      </w:r>
      <w:r w:rsidRPr="00B97E44">
        <w:rPr>
          <w:rFonts w:hint="eastAsia"/>
          <w:b/>
          <w:bCs/>
          <w:rtl/>
        </w:rPr>
        <w:t>יית</w:t>
      </w:r>
      <w:r w:rsidRPr="00B97E44">
        <w:rPr>
          <w:b/>
          <w:bCs/>
          <w:rtl/>
        </w:rPr>
        <w:t xml:space="preserve"> </w:t>
      </w:r>
      <w:r w:rsidRPr="00B97E44">
        <w:rPr>
          <w:rFonts w:hint="eastAsia"/>
          <w:b/>
          <w:bCs/>
          <w:rtl/>
        </w:rPr>
        <w:t>אופקים</w:t>
      </w:r>
      <w:r w:rsidRPr="00B97E44">
        <w:rPr>
          <w:rFonts w:ascii="David" w:hAnsi="David"/>
          <w:b/>
          <w:bCs/>
          <w:sz w:val="24"/>
          <w:rtl/>
        </w:rPr>
        <w:t xml:space="preserve"> </w:t>
      </w:r>
      <w:r w:rsidRPr="00B97E44">
        <w:rPr>
          <w:rFonts w:ascii="David" w:hAnsi="David" w:hint="eastAsia"/>
          <w:b/>
          <w:bCs/>
          <w:sz w:val="24"/>
          <w:rtl/>
        </w:rPr>
        <w:t>ונקבע</w:t>
      </w:r>
      <w:r w:rsidRPr="00B97E44">
        <w:rPr>
          <w:rFonts w:ascii="David" w:hAnsi="David"/>
          <w:b/>
          <w:bCs/>
          <w:sz w:val="24"/>
          <w:rtl/>
        </w:rPr>
        <w:t xml:space="preserve"> </w:t>
      </w:r>
      <w:r w:rsidRPr="00B97E44">
        <w:rPr>
          <w:rFonts w:ascii="David" w:hAnsi="David" w:hint="eastAsia"/>
          <w:b/>
          <w:bCs/>
          <w:sz w:val="24"/>
          <w:rtl/>
        </w:rPr>
        <w:t>כי</w:t>
      </w:r>
      <w:r w:rsidRPr="00B97E44">
        <w:rPr>
          <w:rFonts w:ascii="David" w:hAnsi="David"/>
          <w:b/>
          <w:bCs/>
          <w:sz w:val="24"/>
          <w:rtl/>
        </w:rPr>
        <w:t xml:space="preserve"> </w:t>
      </w:r>
      <w:r w:rsidRPr="00B97E44">
        <w:rPr>
          <w:rFonts w:ascii="David" w:hAnsi="David" w:hint="eastAsia"/>
          <w:b/>
          <w:bCs/>
          <w:sz w:val="24"/>
          <w:rtl/>
        </w:rPr>
        <w:t>משרד</w:t>
      </w:r>
      <w:r w:rsidRPr="00B97E44">
        <w:rPr>
          <w:rFonts w:ascii="David" w:hAnsi="David"/>
          <w:b/>
          <w:bCs/>
          <w:sz w:val="24"/>
          <w:rtl/>
        </w:rPr>
        <w:t xml:space="preserve"> </w:t>
      </w:r>
      <w:r w:rsidRPr="00B97E44">
        <w:rPr>
          <w:rFonts w:ascii="David" w:hAnsi="David" w:hint="eastAsia"/>
          <w:b/>
          <w:bCs/>
          <w:sz w:val="24"/>
          <w:rtl/>
        </w:rPr>
        <w:t>הרווחה</w:t>
      </w:r>
      <w:r w:rsidRPr="00B97E44">
        <w:rPr>
          <w:rFonts w:ascii="David" w:hAnsi="David"/>
          <w:b/>
          <w:bCs/>
          <w:sz w:val="24"/>
          <w:rtl/>
        </w:rPr>
        <w:t xml:space="preserve"> </w:t>
      </w:r>
      <w:r w:rsidRPr="00B97E44">
        <w:rPr>
          <w:rFonts w:ascii="David" w:hAnsi="David" w:hint="eastAsia"/>
          <w:b/>
          <w:bCs/>
          <w:sz w:val="24"/>
          <w:rtl/>
        </w:rPr>
        <w:t>יפעל</w:t>
      </w:r>
      <w:r w:rsidRPr="00B97E44">
        <w:rPr>
          <w:rFonts w:ascii="David" w:hAnsi="David"/>
          <w:b/>
          <w:bCs/>
          <w:sz w:val="24"/>
          <w:rtl/>
        </w:rPr>
        <w:t xml:space="preserve"> לגיוס ושימור כ</w:t>
      </w:r>
      <w:r w:rsidRPr="00B97E44">
        <w:rPr>
          <w:rFonts w:ascii="David" w:hAnsi="David" w:hint="eastAsia"/>
          <w:b/>
          <w:bCs/>
          <w:sz w:val="24"/>
          <w:rtl/>
        </w:rPr>
        <w:t>ו</w:t>
      </w:r>
      <w:r w:rsidRPr="00B97E44">
        <w:rPr>
          <w:rFonts w:ascii="David" w:hAnsi="David"/>
          <w:b/>
          <w:bCs/>
          <w:sz w:val="24"/>
          <w:rtl/>
        </w:rPr>
        <w:t xml:space="preserve">ח אדם בתחום </w:t>
      </w:r>
      <w:r w:rsidRPr="00B97E44">
        <w:rPr>
          <w:rFonts w:ascii="David" w:hAnsi="David" w:hint="eastAsia"/>
          <w:b/>
          <w:bCs/>
          <w:sz w:val="24"/>
          <w:rtl/>
        </w:rPr>
        <w:t>הרווחה</w:t>
      </w:r>
      <w:r w:rsidRPr="00B97E44">
        <w:rPr>
          <w:rFonts w:ascii="David" w:hAnsi="David"/>
          <w:b/>
          <w:bCs/>
          <w:sz w:val="24"/>
          <w:rtl/>
        </w:rPr>
        <w:t xml:space="preserve"> בעיר, לרבות מתן תמריצים לקליטה של עובדים נוספים ושימור עובדים ותיקים.</w:t>
      </w:r>
    </w:p>
    <w:p w:rsidR="005B126E" w:rsidP="001916A9">
      <w:pPr>
        <w:autoSpaceDE w:val="0"/>
        <w:autoSpaceDN w:val="0"/>
        <w:adjustRightInd w:val="0"/>
        <w:spacing w:line="269" w:lineRule="auto"/>
        <w:rPr>
          <w:b/>
          <w:bCs/>
          <w:rtl/>
        </w:rPr>
      </w:pPr>
    </w:p>
    <w:p w:rsidR="005B126E" w:rsidRPr="00B97E44" w:rsidP="001916A9">
      <w:pPr>
        <w:autoSpaceDE w:val="0"/>
        <w:autoSpaceDN w:val="0"/>
        <w:adjustRightInd w:val="0"/>
        <w:spacing w:line="269" w:lineRule="auto"/>
        <w:rPr>
          <w:b/>
          <w:bCs/>
          <w:rtl/>
        </w:rPr>
      </w:pPr>
      <w:r w:rsidRPr="00B97E44">
        <w:rPr>
          <w:rFonts w:hint="cs"/>
          <w:b/>
          <w:bCs/>
          <w:rtl/>
        </w:rPr>
        <w:t xml:space="preserve">בביקורת הקודמת עלה כי </w:t>
      </w:r>
      <w:r w:rsidRPr="00B97E44">
        <w:rPr>
          <w:b/>
          <w:bCs/>
          <w:rtl/>
        </w:rPr>
        <w:t>עיריית אופקים מתקשה במתן מענה לתושביה שנפגעו קשות ב</w:t>
      </w:r>
      <w:r w:rsidRPr="00B97E44">
        <w:rPr>
          <w:rFonts w:hint="cs"/>
          <w:b/>
          <w:bCs/>
          <w:rtl/>
        </w:rPr>
        <w:t>מתקפת הטרור</w:t>
      </w:r>
      <w:r w:rsidRPr="00B97E44">
        <w:rPr>
          <w:b/>
          <w:bCs/>
          <w:rtl/>
        </w:rPr>
        <w:t>.</w:t>
      </w:r>
      <w:r w:rsidRPr="00B97E44">
        <w:rPr>
          <w:rFonts w:hint="cs"/>
          <w:b/>
          <w:bCs/>
          <w:rtl/>
        </w:rPr>
        <w:t xml:space="preserve"> בביקורת המעקב נמצא כאמור כי הממשלה</w:t>
      </w:r>
      <w:r w:rsidRPr="00B97E44">
        <w:rPr>
          <w:rtl/>
        </w:rPr>
        <w:t xml:space="preserve"> </w:t>
      </w:r>
      <w:r w:rsidRPr="00B97E44">
        <w:rPr>
          <w:b/>
          <w:bCs/>
          <w:rtl/>
        </w:rPr>
        <w:t>אישרה תוכנית לשיקום ופיתוח היישובים הסמוכים לחבל התקומה</w:t>
      </w:r>
      <w:r w:rsidRPr="00B97E44">
        <w:rPr>
          <w:rFonts w:hint="cs"/>
          <w:b/>
          <w:bCs/>
          <w:rtl/>
        </w:rPr>
        <w:t>,</w:t>
      </w:r>
      <w:r w:rsidRPr="00B97E44">
        <w:rPr>
          <w:b/>
          <w:bCs/>
          <w:rtl/>
        </w:rPr>
        <w:t xml:space="preserve"> </w:t>
      </w:r>
      <w:r w:rsidRPr="00B97E44">
        <w:rPr>
          <w:rFonts w:hint="cs"/>
          <w:b/>
          <w:bCs/>
          <w:rtl/>
        </w:rPr>
        <w:t>כך שנכון למועד סיום הביקורת הליקוי תוקן באופן חלקי.</w:t>
      </w:r>
    </w:p>
    <w:p w:rsidR="005B126E" w:rsidRPr="00B97E44" w:rsidP="001916A9">
      <w:pPr>
        <w:autoSpaceDE w:val="0"/>
        <w:autoSpaceDN w:val="0"/>
        <w:adjustRightInd w:val="0"/>
        <w:spacing w:line="269" w:lineRule="auto"/>
        <w:rPr>
          <w:b/>
          <w:bCs/>
          <w:rtl/>
        </w:rPr>
      </w:pPr>
    </w:p>
    <w:p w:rsidR="005B126E" w:rsidRPr="00944018" w:rsidP="00FC6AA9">
      <w:pPr>
        <w:spacing w:before="120" w:line="269" w:lineRule="auto"/>
        <w:jc w:val="center"/>
        <w:rPr>
          <w:b/>
          <w:bCs/>
          <w:rtl/>
        </w:rPr>
      </w:pPr>
      <w:r w:rsidRPr="00944018">
        <w:rPr>
          <w:rFonts w:hint="cs"/>
          <w:b/>
          <w:bCs/>
          <w:rtl/>
        </w:rPr>
        <w:t>מידת תיקון הליקוי</w:t>
      </w:r>
    </w:p>
    <w:p w:rsidR="005B126E" w:rsidRPr="00B97E44" w:rsidP="001916A9">
      <w:pPr>
        <w:autoSpaceDE w:val="0"/>
        <w:autoSpaceDN w:val="0"/>
        <w:adjustRightInd w:val="0"/>
        <w:spacing w:line="269" w:lineRule="auto"/>
        <w:jc w:val="center"/>
        <w:rPr>
          <w:b/>
          <w:bCs/>
          <w:rtl/>
        </w:rPr>
      </w:pPr>
      <w:r w:rsidRPr="00B97E44">
        <w:rPr>
          <w:noProof/>
          <w:sz w:val="24"/>
        </w:rPr>
        <w:drawing>
          <wp:inline distT="0" distB="0" distL="0" distR="0">
            <wp:extent cx="4324350" cy="933450"/>
            <wp:effectExtent l="0" t="0" r="0" b="0"/>
            <wp:docPr id="11" name="תמונה 11"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xmlns:r="http://schemas.openxmlformats.org/officeDocument/2006/relationships" r:embed="rId4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324350" cy="933450"/>
                    </a:xfrm>
                    <a:prstGeom prst="rect">
                      <a:avLst/>
                    </a:prstGeom>
                    <a:noFill/>
                    <a:ln>
                      <a:noFill/>
                    </a:ln>
                  </pic:spPr>
                </pic:pic>
              </a:graphicData>
            </a:graphic>
          </wp:inline>
        </w:drawing>
      </w:r>
    </w:p>
    <w:p w:rsidR="005B126E" w:rsidRPr="00B97E44" w:rsidP="001916A9">
      <w:pPr>
        <w:spacing w:line="269" w:lineRule="auto"/>
        <w:rPr>
          <w:rtl/>
        </w:rPr>
      </w:pPr>
      <w:r w:rsidRPr="00B97E44">
        <w:rPr>
          <w:rFonts w:hint="cs"/>
          <w:rtl/>
        </w:rPr>
        <w:t xml:space="preserve">משרד הרווחה מסר בתשובתו למשרד מבקר המדינה כי המחלקה לשירותים חברתיים בעיר </w:t>
      </w:r>
      <w:r w:rsidRPr="00B97E44">
        <w:rPr>
          <w:b/>
          <w:bCs/>
          <w:rtl/>
        </w:rPr>
        <w:t xml:space="preserve">אופקים </w:t>
      </w:r>
      <w:r w:rsidRPr="00B97E44">
        <w:rPr>
          <w:rtl/>
        </w:rPr>
        <w:t>קיבל</w:t>
      </w:r>
      <w:r w:rsidRPr="00B97E44">
        <w:rPr>
          <w:rFonts w:hint="cs"/>
          <w:rtl/>
        </w:rPr>
        <w:t>ה</w:t>
      </w:r>
      <w:r w:rsidRPr="00B97E44">
        <w:rPr>
          <w:rtl/>
        </w:rPr>
        <w:t xml:space="preserve"> </w:t>
      </w:r>
      <w:r w:rsidRPr="00B97E44">
        <w:rPr>
          <w:rFonts w:hint="cs"/>
          <w:rtl/>
        </w:rPr>
        <w:t xml:space="preserve">שישה </w:t>
      </w:r>
      <w:r w:rsidRPr="00B97E44">
        <w:rPr>
          <w:rtl/>
        </w:rPr>
        <w:t xml:space="preserve">תקנים תוספתיים במסגרת החלטת </w:t>
      </w:r>
      <w:r w:rsidRPr="00B97E44">
        <w:rPr>
          <w:rFonts w:hint="cs"/>
          <w:rtl/>
        </w:rPr>
        <w:t>ה</w:t>
      </w:r>
      <w:r w:rsidRPr="00B97E44">
        <w:rPr>
          <w:rtl/>
        </w:rPr>
        <w:t>ממשלה, וכן</w:t>
      </w:r>
      <w:r w:rsidRPr="00B97E44">
        <w:rPr>
          <w:rFonts w:hint="cs"/>
          <w:rtl/>
        </w:rPr>
        <w:t xml:space="preserve"> </w:t>
      </w:r>
      <w:r w:rsidRPr="00B97E44">
        <w:rPr>
          <w:rtl/>
        </w:rPr>
        <w:t xml:space="preserve">תוספת זמנית מהמשרד של </w:t>
      </w:r>
      <w:r w:rsidRPr="00B97E44">
        <w:rPr>
          <w:rFonts w:hint="cs"/>
          <w:rtl/>
        </w:rPr>
        <w:t>ארבעה</w:t>
      </w:r>
      <w:r w:rsidRPr="00B97E44">
        <w:rPr>
          <w:rtl/>
        </w:rPr>
        <w:t xml:space="preserve"> תקנים נוספים</w:t>
      </w:r>
      <w:r w:rsidRPr="00B97E44">
        <w:rPr>
          <w:rFonts w:hint="cs"/>
          <w:rtl/>
        </w:rPr>
        <w:t xml:space="preserve"> וכי היא עומדת </w:t>
      </w:r>
      <w:r w:rsidRPr="00B97E44">
        <w:rPr>
          <w:rtl/>
        </w:rPr>
        <w:t>על כ - 90% איוש</w:t>
      </w:r>
      <w:r w:rsidRPr="00B97E44">
        <w:rPr>
          <w:rFonts w:hint="cs"/>
          <w:rtl/>
        </w:rPr>
        <w:t>.</w:t>
      </w:r>
      <w:r w:rsidRPr="00B97E44">
        <w:rPr>
          <w:rtl/>
        </w:rPr>
        <w:t xml:space="preserve"> בנוסף </w:t>
      </w:r>
      <w:r w:rsidRPr="00B97E44">
        <w:rPr>
          <w:rFonts w:hint="cs"/>
          <w:rtl/>
        </w:rPr>
        <w:t xml:space="preserve">הוא </w:t>
      </w:r>
      <w:r w:rsidRPr="00B97E44">
        <w:rPr>
          <w:rtl/>
        </w:rPr>
        <w:t>ה</w:t>
      </w:r>
      <w:r w:rsidRPr="00B97E44">
        <w:rPr>
          <w:rFonts w:hint="cs"/>
          <w:rtl/>
        </w:rPr>
        <w:t>גיש למשרד האוצר</w:t>
      </w:r>
      <w:r w:rsidRPr="00B97E44">
        <w:rPr>
          <w:rtl/>
        </w:rPr>
        <w:t xml:space="preserve"> טיוטת מסמך הכוללת תמריצים לעובדי המחלקה</w:t>
      </w:r>
      <w:r w:rsidRPr="00B97E44">
        <w:rPr>
          <w:rFonts w:hint="cs"/>
          <w:rtl/>
        </w:rPr>
        <w:t xml:space="preserve"> </w:t>
      </w:r>
      <w:r w:rsidRPr="00B97E44">
        <w:rPr>
          <w:rtl/>
        </w:rPr>
        <w:t>באופקים וזאת במטרה לשמר את כ</w:t>
      </w:r>
      <w:r w:rsidRPr="00B97E44">
        <w:rPr>
          <w:rFonts w:hint="cs"/>
          <w:rtl/>
        </w:rPr>
        <w:t>וח האדם</w:t>
      </w:r>
      <w:r w:rsidRPr="00B97E44">
        <w:rPr>
          <w:rtl/>
        </w:rPr>
        <w:t xml:space="preserve"> הקיים ולמנוע עזיבה של עובדים</w:t>
      </w:r>
      <w:r w:rsidRPr="00B97E44">
        <w:rPr>
          <w:rFonts w:hint="cs"/>
          <w:rtl/>
        </w:rPr>
        <w:t>.</w:t>
      </w:r>
    </w:p>
    <w:p w:rsidR="005B126E" w:rsidP="001916A9">
      <w:pPr>
        <w:autoSpaceDE w:val="0"/>
        <w:autoSpaceDN w:val="0"/>
        <w:adjustRightInd w:val="0"/>
        <w:spacing w:line="269" w:lineRule="auto"/>
        <w:rPr>
          <w:b/>
          <w:bCs/>
          <w:rtl/>
        </w:rPr>
      </w:pPr>
    </w:p>
    <w:p w:rsidR="005B126E" w:rsidRPr="00B97E44" w:rsidP="001916A9">
      <w:pPr>
        <w:autoSpaceDE w:val="0"/>
        <w:autoSpaceDN w:val="0"/>
        <w:adjustRightInd w:val="0"/>
        <w:spacing w:line="269" w:lineRule="auto"/>
        <w:rPr>
          <w:b/>
          <w:bCs/>
          <w:rtl/>
        </w:rPr>
      </w:pPr>
      <w:r w:rsidRPr="00B97E44">
        <w:rPr>
          <w:rFonts w:hint="eastAsia"/>
          <w:b/>
          <w:bCs/>
          <w:rtl/>
        </w:rPr>
        <w:t>משרד</w:t>
      </w:r>
      <w:r w:rsidRPr="00B97E44">
        <w:rPr>
          <w:b/>
          <w:bCs/>
          <w:rtl/>
        </w:rPr>
        <w:t xml:space="preserve"> מבקר המדינה מציין לחיוב את </w:t>
      </w:r>
      <w:r w:rsidRPr="00B97E44">
        <w:rPr>
          <w:rFonts w:hint="eastAsia"/>
          <w:b/>
          <w:bCs/>
          <w:rtl/>
        </w:rPr>
        <w:t>קידום</w:t>
      </w:r>
      <w:r w:rsidRPr="00B97E44">
        <w:rPr>
          <w:b/>
          <w:bCs/>
          <w:rtl/>
        </w:rPr>
        <w:t xml:space="preserve"> החלטת הממשלה על ידי משרד ראש הממשלה </w:t>
      </w:r>
      <w:r w:rsidRPr="00B97E44">
        <w:rPr>
          <w:rFonts w:hint="cs"/>
          <w:b/>
          <w:bCs/>
          <w:rtl/>
        </w:rPr>
        <w:t xml:space="preserve">הכוללת </w:t>
      </w:r>
      <w:r w:rsidRPr="00B97E44">
        <w:rPr>
          <w:rFonts w:hint="eastAsia"/>
          <w:b/>
          <w:bCs/>
          <w:rtl/>
        </w:rPr>
        <w:t>מתן</w:t>
      </w:r>
      <w:r w:rsidRPr="00B97E44">
        <w:rPr>
          <w:b/>
          <w:bCs/>
          <w:rtl/>
        </w:rPr>
        <w:t xml:space="preserve"> </w:t>
      </w:r>
      <w:r w:rsidRPr="00B97E44">
        <w:rPr>
          <w:rFonts w:hint="eastAsia"/>
          <w:b/>
          <w:bCs/>
          <w:rtl/>
        </w:rPr>
        <w:t>מענה</w:t>
      </w:r>
      <w:r w:rsidRPr="00B97E44">
        <w:rPr>
          <w:b/>
          <w:bCs/>
          <w:rtl/>
        </w:rPr>
        <w:t xml:space="preserve"> </w:t>
      </w:r>
      <w:r w:rsidRPr="00B97E44">
        <w:rPr>
          <w:rFonts w:hint="eastAsia"/>
          <w:b/>
          <w:bCs/>
          <w:rtl/>
        </w:rPr>
        <w:t>לצרכים</w:t>
      </w:r>
      <w:r w:rsidRPr="00B97E44">
        <w:rPr>
          <w:b/>
          <w:bCs/>
          <w:rtl/>
        </w:rPr>
        <w:t xml:space="preserve"> </w:t>
      </w:r>
      <w:r w:rsidRPr="00B97E44">
        <w:rPr>
          <w:rFonts w:hint="eastAsia"/>
          <w:b/>
          <w:bCs/>
          <w:rtl/>
        </w:rPr>
        <w:t>הסוציאליים</w:t>
      </w:r>
      <w:r w:rsidRPr="00B97E44">
        <w:rPr>
          <w:b/>
          <w:bCs/>
          <w:rtl/>
        </w:rPr>
        <w:t xml:space="preserve"> </w:t>
      </w:r>
      <w:r w:rsidRPr="00B97E44">
        <w:rPr>
          <w:rFonts w:hint="eastAsia"/>
          <w:b/>
          <w:bCs/>
          <w:rtl/>
        </w:rPr>
        <w:t>והנפשיים</w:t>
      </w:r>
      <w:r w:rsidRPr="00B97E44">
        <w:rPr>
          <w:b/>
          <w:bCs/>
          <w:rtl/>
        </w:rPr>
        <w:t xml:space="preserve"> </w:t>
      </w:r>
      <w:r w:rsidRPr="00B97E44">
        <w:rPr>
          <w:rFonts w:hint="eastAsia"/>
          <w:b/>
          <w:bCs/>
          <w:rtl/>
        </w:rPr>
        <w:t>של</w:t>
      </w:r>
      <w:r w:rsidRPr="00B97E44">
        <w:rPr>
          <w:b/>
          <w:bCs/>
          <w:rtl/>
        </w:rPr>
        <w:t xml:space="preserve"> </w:t>
      </w:r>
      <w:r w:rsidRPr="00B97E44">
        <w:rPr>
          <w:rFonts w:hint="eastAsia"/>
          <w:b/>
          <w:bCs/>
          <w:rtl/>
        </w:rPr>
        <w:t>תושבי</w:t>
      </w:r>
      <w:r w:rsidRPr="00B97E44">
        <w:rPr>
          <w:b/>
          <w:bCs/>
          <w:rtl/>
        </w:rPr>
        <w:t xml:space="preserve"> </w:t>
      </w:r>
      <w:r w:rsidRPr="00B97E44">
        <w:rPr>
          <w:rFonts w:hint="eastAsia"/>
          <w:b/>
          <w:bCs/>
          <w:rtl/>
        </w:rPr>
        <w:t>אופקים</w:t>
      </w:r>
      <w:r w:rsidRPr="00B97E44">
        <w:rPr>
          <w:b/>
          <w:bCs/>
          <w:rtl/>
        </w:rPr>
        <w:t xml:space="preserve"> </w:t>
      </w:r>
      <w:r w:rsidRPr="00B97E44">
        <w:rPr>
          <w:rFonts w:hint="eastAsia"/>
          <w:b/>
          <w:bCs/>
          <w:rtl/>
        </w:rPr>
        <w:t>כפי</w:t>
      </w:r>
      <w:r w:rsidRPr="00B97E44">
        <w:rPr>
          <w:b/>
          <w:bCs/>
          <w:rtl/>
        </w:rPr>
        <w:t xml:space="preserve"> </w:t>
      </w:r>
      <w:r w:rsidRPr="00B97E44">
        <w:rPr>
          <w:rFonts w:hint="eastAsia"/>
          <w:b/>
          <w:bCs/>
          <w:rtl/>
        </w:rPr>
        <w:t>שעלו</w:t>
      </w:r>
      <w:r w:rsidRPr="00B97E44">
        <w:rPr>
          <w:b/>
          <w:bCs/>
          <w:rtl/>
        </w:rPr>
        <w:t xml:space="preserve"> </w:t>
      </w:r>
      <w:r w:rsidRPr="00B97E44">
        <w:rPr>
          <w:rFonts w:hint="eastAsia"/>
          <w:b/>
          <w:bCs/>
          <w:rtl/>
        </w:rPr>
        <w:t>בדוח</w:t>
      </w:r>
      <w:r w:rsidRPr="00B97E44">
        <w:rPr>
          <w:b/>
          <w:bCs/>
          <w:rtl/>
        </w:rPr>
        <w:t xml:space="preserve"> </w:t>
      </w:r>
      <w:r w:rsidRPr="00B97E44">
        <w:rPr>
          <w:rFonts w:hint="eastAsia"/>
          <w:b/>
          <w:bCs/>
          <w:rtl/>
        </w:rPr>
        <w:t>הביניים</w:t>
      </w:r>
      <w:r w:rsidRPr="00B97E44">
        <w:rPr>
          <w:rFonts w:hint="cs"/>
          <w:b/>
          <w:bCs/>
          <w:rtl/>
        </w:rPr>
        <w:t xml:space="preserve"> וקורא ליישומה המהיר והמלא של התוכנית</w:t>
      </w:r>
      <w:r w:rsidRPr="00B97E44">
        <w:rPr>
          <w:b/>
          <w:bCs/>
          <w:rtl/>
        </w:rPr>
        <w:t>.</w:t>
      </w:r>
    </w:p>
    <w:bookmarkEnd w:id="3"/>
    <w:p w:rsidR="005B126E" w:rsidRPr="00B97E44" w:rsidP="001916A9">
      <w:pPr>
        <w:spacing w:line="269" w:lineRule="auto"/>
        <w:rPr>
          <w:rtl/>
        </w:rPr>
      </w:pPr>
    </w:p>
    <w:p w:rsidR="001916A9" w:rsidP="001916A9">
      <w:pPr>
        <w:bidi w:val="0"/>
        <w:spacing w:line="269" w:lineRule="auto"/>
        <w:rPr>
          <w:rFonts w:eastAsiaTheme="majorEastAsia"/>
          <w:bCs/>
          <w:szCs w:val="28"/>
          <w:u w:val="single"/>
          <w:rtl/>
        </w:rPr>
      </w:pPr>
      <w:r>
        <w:rPr>
          <w:rtl/>
        </w:rPr>
        <w:br w:type="page"/>
      </w:r>
    </w:p>
    <w:p w:rsidR="005B126E" w:rsidP="0018262A">
      <w:pPr>
        <w:pStyle w:val="Heading3"/>
        <w:rPr>
          <w:rtl/>
        </w:rPr>
      </w:pPr>
      <w:r w:rsidRPr="00B97E44">
        <w:rPr>
          <w:rFonts w:hint="cs"/>
          <w:rtl/>
        </w:rPr>
        <w:t>ס</w:t>
      </w:r>
      <w:bookmarkEnd w:id="79"/>
      <w:r w:rsidRPr="00B97E44">
        <w:rPr>
          <w:rtl/>
        </w:rPr>
        <w:t>יכום</w:t>
      </w:r>
    </w:p>
    <w:p w:rsidR="005B126E" w:rsidRPr="00DD3214" w:rsidP="001916A9">
      <w:pPr>
        <w:spacing w:line="269" w:lineRule="auto"/>
        <w:rPr>
          <w:rtl/>
        </w:rPr>
      </w:pPr>
    </w:p>
    <w:p w:rsidR="005B126E" w:rsidP="001916A9">
      <w:pPr>
        <w:spacing w:line="269" w:lineRule="auto"/>
        <w:rPr>
          <w:rFonts w:ascii="David" w:hAnsi="David"/>
          <w:b/>
          <w:bCs/>
          <w:sz w:val="24"/>
          <w:rtl/>
        </w:rPr>
      </w:pPr>
      <w:bookmarkStart w:id="81" w:name="_Hlk207630578"/>
      <w:bookmarkStart w:id="82" w:name="_Hlk207630548"/>
      <w:r w:rsidRPr="00B97E44">
        <w:rPr>
          <w:rFonts w:ascii="David" w:hAnsi="David" w:hint="cs"/>
          <w:b/>
          <w:bCs/>
          <w:sz w:val="24"/>
          <w:rtl/>
        </w:rPr>
        <w:t xml:space="preserve">בביקורת נמצא כי נוכח אתגרי השיקום הרבים הניצבים בפני הרשויות המקומיות והיישובים בנגב המערבי בעקבות מתקפת הטרור בשבעה באוקטובר ומלחמת חרבות ברזל, השכילה הממשלה להקים את מינהלת תקומה ולגבש תוכניות מקיפות ומפורטות לשיקום ופיתוח חבל התקומה והיישובים הסמוכים לו. </w:t>
      </w:r>
      <w:bookmarkEnd w:id="81"/>
    </w:p>
    <w:p w:rsidR="005B126E" w:rsidRPr="00B97E44" w:rsidP="001916A9">
      <w:pPr>
        <w:spacing w:line="269" w:lineRule="auto"/>
        <w:rPr>
          <w:rFonts w:ascii="David" w:hAnsi="David"/>
          <w:b/>
          <w:bCs/>
          <w:sz w:val="24"/>
          <w:rtl/>
        </w:rPr>
      </w:pPr>
    </w:p>
    <w:p w:rsidR="005B126E" w:rsidP="001916A9">
      <w:pPr>
        <w:spacing w:line="269" w:lineRule="auto"/>
        <w:rPr>
          <w:rFonts w:ascii="David" w:hAnsi="David"/>
          <w:b/>
          <w:bCs/>
          <w:sz w:val="24"/>
          <w:rtl/>
        </w:rPr>
      </w:pPr>
      <w:bookmarkStart w:id="83" w:name="_Hlk207630633"/>
      <w:r w:rsidRPr="00B97E44">
        <w:rPr>
          <w:rFonts w:ascii="David" w:hAnsi="David" w:hint="cs"/>
          <w:b/>
          <w:bCs/>
          <w:sz w:val="24"/>
          <w:rtl/>
        </w:rPr>
        <w:t xml:space="preserve">תוכנית החומש לשיקום ופיתוח חבל התקומה יושמה באופן חלקי ועומדת במועד סיום הביקורת בפני תיקון בעקבות קיצוץ תקציבי. הביקורת בעניין יישום תוכנית החומש בתחום החינוך, שתוקצבה ב-1.7 מיליארד ש"ח, העלתה כי קיימת מורכבות במנגנון התקצוב של סל התקומה המיועד למימון שירותים ותוכניות שתכליתם שיקום ילדי החבל והעצמתם. עוד העלתה הביקורת כי מורכבות המנגנון מובילה למחלוקות רבות ואי-הבנות בסוגיות פדגוגיות </w:t>
      </w:r>
      <w:r w:rsidRPr="00B97E44">
        <w:rPr>
          <w:rFonts w:ascii="David" w:hAnsi="David" w:hint="cs"/>
          <w:b/>
          <w:bCs/>
          <w:sz w:val="24"/>
          <w:rtl/>
        </w:rPr>
        <w:t>ומימוניות</w:t>
      </w:r>
      <w:r w:rsidRPr="00B97E44">
        <w:rPr>
          <w:rFonts w:ascii="David" w:hAnsi="David" w:hint="cs"/>
          <w:b/>
          <w:bCs/>
          <w:sz w:val="24"/>
          <w:rtl/>
        </w:rPr>
        <w:t xml:space="preserve"> בין כלל הגורמים המעורבים המכבידות עוד יותר על היישובים והרשויות המקומיות ומקשות על משרד החינוך לערוך בקרה על השימוש בכספים ולהבטיח את הגעתם ליעדם. עוד עלה כי תוכנית השימור והגיוס של צוותי הוראה, שהממשלה הקצתה לה 200 מיליוני ש"ח מתוך תקציב תוכנית החומש לחינוך, יושמה בשנת הלימודים תשפ"ה באופן חלקי בלבד וספק אם השיגה את מטרתה. היישום החלקי מדגיש את החיוניות בהקצאת תקציב לאחר קיומה של עבודת מטה מקיפה שתתבסס על ניסיון העבר ותשתף את כלל הגורמים הרלוונטיים ובכללם הממונה על השכר והרשויות המקומיות.</w:t>
      </w:r>
    </w:p>
    <w:p w:rsidR="005B126E" w:rsidRPr="00B97E44" w:rsidP="001916A9">
      <w:pPr>
        <w:spacing w:line="269" w:lineRule="auto"/>
        <w:rPr>
          <w:rFonts w:ascii="David" w:hAnsi="David"/>
          <w:b/>
          <w:bCs/>
          <w:sz w:val="24"/>
          <w:rtl/>
        </w:rPr>
      </w:pPr>
    </w:p>
    <w:p w:rsidR="005B126E" w:rsidP="001916A9">
      <w:pPr>
        <w:spacing w:line="269" w:lineRule="auto"/>
        <w:rPr>
          <w:rtl/>
        </w:rPr>
      </w:pPr>
      <w:bookmarkStart w:id="84" w:name="_Hlk207630708"/>
      <w:bookmarkEnd w:id="83"/>
      <w:r w:rsidRPr="00B97E44">
        <w:rPr>
          <w:rFonts w:hint="cs"/>
          <w:b/>
          <w:bCs/>
          <w:rtl/>
        </w:rPr>
        <w:t>שיקום הקהילות הוא ה</w:t>
      </w:r>
      <w:r w:rsidRPr="00B97E44">
        <w:rPr>
          <w:b/>
          <w:bCs/>
          <w:rtl/>
        </w:rPr>
        <w:t xml:space="preserve">מפתח לריפוי </w:t>
      </w:r>
      <w:r w:rsidRPr="00B97E44">
        <w:rPr>
          <w:rFonts w:hint="cs"/>
          <w:b/>
          <w:bCs/>
          <w:rtl/>
        </w:rPr>
        <w:t>האזור כולו</w:t>
      </w:r>
      <w:r w:rsidRPr="00B97E44">
        <w:rPr>
          <w:b/>
          <w:bCs/>
          <w:rtl/>
        </w:rPr>
        <w:t xml:space="preserve"> ו</w:t>
      </w:r>
      <w:r w:rsidRPr="00B97E44">
        <w:rPr>
          <w:rFonts w:hint="cs"/>
          <w:b/>
          <w:bCs/>
          <w:rtl/>
        </w:rPr>
        <w:t xml:space="preserve">לצמיחתו </w:t>
      </w:r>
      <w:r w:rsidRPr="00B97E44">
        <w:rPr>
          <w:b/>
          <w:bCs/>
          <w:rtl/>
        </w:rPr>
        <w:t xml:space="preserve">לאחר </w:t>
      </w:r>
      <w:r w:rsidRPr="00B97E44">
        <w:rPr>
          <w:rFonts w:hint="cs"/>
          <w:b/>
          <w:bCs/>
          <w:rtl/>
        </w:rPr>
        <w:t>מתקפת הטרור בשבעה באוקטובר</w:t>
      </w:r>
      <w:r w:rsidRPr="00B97E44">
        <w:rPr>
          <w:b/>
          <w:bCs/>
          <w:rtl/>
        </w:rPr>
        <w:t xml:space="preserve">. </w:t>
      </w:r>
      <w:r w:rsidRPr="00B97E44">
        <w:rPr>
          <w:rFonts w:hint="eastAsia"/>
          <w:b/>
          <w:bCs/>
          <w:rtl/>
        </w:rPr>
        <w:t>כדי</w:t>
      </w:r>
      <w:r w:rsidRPr="00B97E44">
        <w:rPr>
          <w:b/>
          <w:bCs/>
          <w:rtl/>
        </w:rPr>
        <w:t xml:space="preserve"> לקדם </w:t>
      </w:r>
      <w:r w:rsidRPr="00B97E44">
        <w:rPr>
          <w:rFonts w:hint="eastAsia"/>
          <w:b/>
          <w:bCs/>
          <w:rtl/>
        </w:rPr>
        <w:t>את</w:t>
      </w:r>
      <w:r w:rsidRPr="00B97E44">
        <w:rPr>
          <w:b/>
          <w:bCs/>
          <w:rtl/>
        </w:rPr>
        <w:t xml:space="preserve"> </w:t>
      </w:r>
      <w:r w:rsidRPr="00B97E44">
        <w:rPr>
          <w:rFonts w:hint="eastAsia"/>
          <w:b/>
          <w:bCs/>
          <w:rtl/>
        </w:rPr>
        <w:t>שיקום</w:t>
      </w:r>
      <w:r w:rsidRPr="00B97E44">
        <w:rPr>
          <w:b/>
          <w:bCs/>
          <w:rtl/>
        </w:rPr>
        <w:t xml:space="preserve"> </w:t>
      </w:r>
      <w:r w:rsidRPr="00B97E44">
        <w:rPr>
          <w:rFonts w:hint="eastAsia"/>
          <w:b/>
          <w:bCs/>
          <w:rtl/>
        </w:rPr>
        <w:t>הקהילות</w:t>
      </w:r>
      <w:r w:rsidRPr="00B97E44">
        <w:rPr>
          <w:b/>
          <w:bCs/>
          <w:rtl/>
        </w:rPr>
        <w:t xml:space="preserve"> </w:t>
      </w:r>
      <w:r w:rsidRPr="00B97E44">
        <w:rPr>
          <w:rFonts w:hint="eastAsia"/>
          <w:b/>
          <w:bCs/>
          <w:rtl/>
        </w:rPr>
        <w:t>בחבל</w:t>
      </w:r>
      <w:r w:rsidRPr="00B97E44">
        <w:rPr>
          <w:b/>
          <w:bCs/>
          <w:rtl/>
        </w:rPr>
        <w:t xml:space="preserve"> </w:t>
      </w:r>
      <w:r w:rsidRPr="00B97E44">
        <w:rPr>
          <w:rFonts w:hint="eastAsia"/>
          <w:b/>
          <w:bCs/>
          <w:rtl/>
        </w:rPr>
        <w:t>התקומה</w:t>
      </w:r>
      <w:r w:rsidRPr="00B97E44">
        <w:rPr>
          <w:b/>
          <w:bCs/>
          <w:rtl/>
        </w:rPr>
        <w:t xml:space="preserve"> יש </w:t>
      </w:r>
      <w:r w:rsidRPr="00B97E44">
        <w:rPr>
          <w:rFonts w:hint="eastAsia"/>
          <w:b/>
          <w:bCs/>
          <w:rtl/>
        </w:rPr>
        <w:t>צורך</w:t>
      </w:r>
      <w:r w:rsidRPr="00B97E44">
        <w:rPr>
          <w:b/>
          <w:bCs/>
          <w:rtl/>
        </w:rPr>
        <w:t xml:space="preserve"> </w:t>
      </w:r>
      <w:r w:rsidRPr="00B97E44">
        <w:rPr>
          <w:rFonts w:hint="eastAsia"/>
          <w:b/>
          <w:bCs/>
          <w:rtl/>
        </w:rPr>
        <w:t>להחזיר</w:t>
      </w:r>
      <w:r w:rsidRPr="00B97E44">
        <w:rPr>
          <w:b/>
          <w:bCs/>
          <w:rtl/>
        </w:rPr>
        <w:t xml:space="preserve"> </w:t>
      </w:r>
      <w:r w:rsidRPr="00B97E44">
        <w:rPr>
          <w:rFonts w:hint="eastAsia"/>
          <w:b/>
          <w:bCs/>
          <w:rtl/>
        </w:rPr>
        <w:t>את</w:t>
      </w:r>
      <w:r w:rsidRPr="00B97E44">
        <w:rPr>
          <w:b/>
          <w:bCs/>
          <w:rtl/>
        </w:rPr>
        <w:t xml:space="preserve"> </w:t>
      </w:r>
      <w:r w:rsidRPr="00B97E44">
        <w:rPr>
          <w:rFonts w:hint="eastAsia"/>
          <w:b/>
          <w:bCs/>
          <w:rtl/>
        </w:rPr>
        <w:t>היישוב</w:t>
      </w:r>
      <w:r w:rsidRPr="00B97E44">
        <w:rPr>
          <w:rFonts w:hint="cs"/>
          <w:b/>
          <w:bCs/>
          <w:rtl/>
        </w:rPr>
        <w:t>ים</w:t>
      </w:r>
      <w:r w:rsidRPr="00B97E44">
        <w:rPr>
          <w:b/>
          <w:bCs/>
          <w:rtl/>
        </w:rPr>
        <w:t xml:space="preserve"> לניהול אוטונומי על מערכותיו</w:t>
      </w:r>
      <w:r w:rsidRPr="00B97E44">
        <w:rPr>
          <w:rFonts w:hint="cs"/>
          <w:b/>
          <w:bCs/>
          <w:rtl/>
        </w:rPr>
        <w:t>.</w:t>
      </w:r>
      <w:r w:rsidRPr="00B97E44">
        <w:rPr>
          <w:b/>
          <w:bCs/>
          <w:rtl/>
        </w:rPr>
        <w:t xml:space="preserve"> בחלק מהיישובים</w:t>
      </w:r>
      <w:r w:rsidRPr="00B97E44">
        <w:rPr>
          <w:rFonts w:hint="cs"/>
          <w:b/>
          <w:bCs/>
          <w:rtl/>
        </w:rPr>
        <w:t xml:space="preserve"> השתנתה</w:t>
      </w:r>
      <w:r w:rsidRPr="00B97E44">
        <w:rPr>
          <w:b/>
          <w:bCs/>
          <w:rtl/>
        </w:rPr>
        <w:t xml:space="preserve"> הנהגת היישוב</w:t>
      </w:r>
      <w:r w:rsidRPr="00B97E44">
        <w:rPr>
          <w:rFonts w:hint="cs"/>
          <w:b/>
          <w:bCs/>
          <w:rtl/>
        </w:rPr>
        <w:t xml:space="preserve"> </w:t>
      </w:r>
      <w:r w:rsidRPr="00B97E44">
        <w:rPr>
          <w:b/>
          <w:bCs/>
          <w:rtl/>
        </w:rPr>
        <w:t xml:space="preserve">בשל המאורעות </w:t>
      </w:r>
      <w:r>
        <w:rPr>
          <w:rFonts w:hint="cs"/>
          <w:b/>
          <w:bCs/>
          <w:rtl/>
        </w:rPr>
        <w:t>-</w:t>
      </w:r>
      <w:r w:rsidRPr="00B97E44">
        <w:rPr>
          <w:b/>
          <w:bCs/>
          <w:rtl/>
        </w:rPr>
        <w:t xml:space="preserve"> חלק</w:t>
      </w:r>
      <w:r w:rsidRPr="00B97E44">
        <w:rPr>
          <w:rFonts w:hint="cs"/>
          <w:b/>
          <w:bCs/>
          <w:rtl/>
        </w:rPr>
        <w:t xml:space="preserve"> מאנשיה</w:t>
      </w:r>
      <w:r w:rsidRPr="00B97E44">
        <w:rPr>
          <w:b/>
          <w:bCs/>
          <w:rtl/>
        </w:rPr>
        <w:t xml:space="preserve"> באו מתוך הקהילה ואחרים באו מבחוץ ויש צורך בהתאמת המבנה הארגוני</w:t>
      </w:r>
      <w:r w:rsidRPr="00B97E44">
        <w:rPr>
          <w:rFonts w:hint="cs"/>
          <w:b/>
          <w:bCs/>
          <w:rtl/>
        </w:rPr>
        <w:t xml:space="preserve">. </w:t>
      </w:r>
      <w:r w:rsidRPr="00B97E44">
        <w:rPr>
          <w:rFonts w:hint="eastAsia"/>
          <w:b/>
          <w:bCs/>
          <w:rtl/>
        </w:rPr>
        <w:t>אחד</w:t>
      </w:r>
      <w:r w:rsidRPr="00B97E44">
        <w:rPr>
          <w:b/>
          <w:bCs/>
          <w:rtl/>
        </w:rPr>
        <w:t xml:space="preserve"> האתגרים המרכזיים העומדים בפני הקהילות שנפגעו הוא למנוע את </w:t>
      </w:r>
      <w:r w:rsidRPr="00B97E44">
        <w:rPr>
          <w:rFonts w:hint="eastAsia"/>
          <w:b/>
          <w:bCs/>
          <w:rtl/>
        </w:rPr>
        <w:t>התפרקותן</w:t>
      </w:r>
      <w:r w:rsidRPr="00B97E44">
        <w:rPr>
          <w:b/>
          <w:bCs/>
          <w:rtl/>
        </w:rPr>
        <w:t xml:space="preserve"> </w:t>
      </w:r>
      <w:r w:rsidRPr="00B97E44">
        <w:rPr>
          <w:rFonts w:hint="eastAsia"/>
          <w:b/>
          <w:bCs/>
          <w:rtl/>
        </w:rPr>
        <w:t>או</w:t>
      </w:r>
      <w:r w:rsidRPr="00B97E44">
        <w:rPr>
          <w:b/>
          <w:bCs/>
          <w:rtl/>
        </w:rPr>
        <w:t xml:space="preserve"> </w:t>
      </w:r>
      <w:r w:rsidRPr="00B97E44">
        <w:rPr>
          <w:rFonts w:hint="eastAsia"/>
          <w:b/>
          <w:bCs/>
          <w:rtl/>
        </w:rPr>
        <w:t>היחלשותן</w:t>
      </w:r>
      <w:r w:rsidRPr="00B97E44">
        <w:rPr>
          <w:rFonts w:hint="cs"/>
          <w:b/>
          <w:bCs/>
          <w:rtl/>
        </w:rPr>
        <w:t>.</w:t>
      </w:r>
    </w:p>
    <w:p w:rsidR="005B126E" w:rsidRPr="00B97E44" w:rsidP="001916A9">
      <w:pPr>
        <w:spacing w:line="269" w:lineRule="auto"/>
        <w:rPr>
          <w:b/>
          <w:bCs/>
          <w:rtl/>
        </w:rPr>
      </w:pPr>
      <w:r w:rsidRPr="00B97E44">
        <w:rPr>
          <w:rFonts w:hint="cs"/>
          <w:rtl/>
        </w:rPr>
        <w:t xml:space="preserve"> </w:t>
      </w:r>
    </w:p>
    <w:p w:rsidR="005B126E" w:rsidP="001916A9">
      <w:pPr>
        <w:spacing w:line="269" w:lineRule="auto"/>
        <w:rPr>
          <w:rFonts w:ascii="David" w:hAnsi="David"/>
          <w:b/>
          <w:bCs/>
          <w:sz w:val="24"/>
          <w:rtl/>
        </w:rPr>
      </w:pPr>
      <w:bookmarkStart w:id="85" w:name="_Hlk220227264"/>
      <w:r w:rsidRPr="00B97E44">
        <w:rPr>
          <w:rFonts w:ascii="David" w:hAnsi="David" w:hint="cs"/>
          <w:b/>
          <w:bCs/>
          <w:sz w:val="24"/>
          <w:rtl/>
        </w:rPr>
        <w:t xml:space="preserve">בשל אי-הבהירות בתחומי האחריות של שיקום ופיתוח היישובים והחבל, מתגלעות מחלוקות בין המועצות האזוריות והיישובים. </w:t>
      </w:r>
      <w:r w:rsidRPr="00B97E44">
        <w:rPr>
          <w:rFonts w:hint="cs"/>
          <w:b/>
          <w:bCs/>
          <w:rtl/>
        </w:rPr>
        <w:t xml:space="preserve">נמצא כי </w:t>
      </w:r>
      <w:r w:rsidRPr="00C50FAA">
        <w:rPr>
          <w:b/>
          <w:bCs/>
          <w:rtl/>
        </w:rPr>
        <w:t>ניהול שיח ישיר עם היישובים ללא מעורבות של המועצות האזוריות מוסיף קושי לעבודתן של המועצות, יוצר מתח בינן ובין היישובים ומעמיס עליהן עבודה נוספת שניתן להימנע ממנה ב</w:t>
      </w:r>
      <w:r>
        <w:rPr>
          <w:rFonts w:hint="cs"/>
          <w:b/>
          <w:bCs/>
          <w:rtl/>
        </w:rPr>
        <w:t xml:space="preserve">אמצעות </w:t>
      </w:r>
      <w:r w:rsidRPr="00C50FAA">
        <w:rPr>
          <w:b/>
          <w:bCs/>
          <w:rtl/>
        </w:rPr>
        <w:t xml:space="preserve">שיתוף פעולה </w:t>
      </w:r>
      <w:r>
        <w:rPr>
          <w:rFonts w:hint="cs"/>
          <w:b/>
          <w:bCs/>
          <w:rtl/>
        </w:rPr>
        <w:t>בין</w:t>
      </w:r>
      <w:r w:rsidRPr="00C50FAA">
        <w:rPr>
          <w:b/>
          <w:bCs/>
          <w:rtl/>
        </w:rPr>
        <w:t xml:space="preserve"> מינהלת תקומה </w:t>
      </w:r>
      <w:r>
        <w:rPr>
          <w:rFonts w:hint="cs"/>
          <w:b/>
          <w:bCs/>
          <w:rtl/>
        </w:rPr>
        <w:t>ובין</w:t>
      </w:r>
      <w:r w:rsidRPr="00C50FAA">
        <w:rPr>
          <w:b/>
          <w:bCs/>
          <w:rtl/>
        </w:rPr>
        <w:t xml:space="preserve"> המועצות</w:t>
      </w:r>
      <w:bookmarkEnd w:id="85"/>
      <w:r w:rsidRPr="00C50FAA">
        <w:rPr>
          <w:b/>
          <w:bCs/>
          <w:rtl/>
        </w:rPr>
        <w:t>.</w:t>
      </w:r>
    </w:p>
    <w:p w:rsidR="005B126E" w:rsidRPr="00B97E44" w:rsidP="001916A9">
      <w:pPr>
        <w:spacing w:line="269" w:lineRule="auto"/>
        <w:rPr>
          <w:rFonts w:ascii="David" w:hAnsi="David"/>
          <w:b/>
          <w:bCs/>
          <w:sz w:val="24"/>
          <w:rtl/>
        </w:rPr>
      </w:pPr>
    </w:p>
    <w:bookmarkEnd w:id="84"/>
    <w:p w:rsidR="005B126E" w:rsidRPr="00B97E44" w:rsidP="001916A9">
      <w:pPr>
        <w:keepNext/>
        <w:keepLines/>
        <w:widowControl w:val="0"/>
        <w:spacing w:line="269" w:lineRule="auto"/>
        <w:rPr>
          <w:b/>
          <w:bCs/>
          <w:rtl/>
        </w:rPr>
      </w:pPr>
      <w:r w:rsidRPr="00B97E44">
        <w:rPr>
          <w:rFonts w:hint="cs"/>
          <w:b/>
          <w:bCs/>
          <w:rtl/>
        </w:rPr>
        <w:t>עוד עלה בביקורת כי על אף הנזקים החמורים שנגרמו לשטחים הפתוחים שאינם חקלאיים בחבל התקומה במתקפת הטרור בשבעה באוקטובר רק כעבור חודשים ארוכים אותר מקור תקציבי למימון הליכי שיקום חלקיים.</w:t>
      </w:r>
      <w:r w:rsidRPr="00B97E44">
        <w:rPr>
          <w:rFonts w:ascii="David" w:hAnsi="David" w:hint="cs"/>
          <w:color w:val="000000" w:themeColor="text1"/>
          <w:rtl/>
        </w:rPr>
        <w:t xml:space="preserve"> </w:t>
      </w:r>
      <w:r w:rsidRPr="00B97E44">
        <w:rPr>
          <w:rFonts w:ascii="Arial" w:hAnsi="Arial" w:hint="cs"/>
          <w:b/>
          <w:bCs/>
          <w:shd w:val="clear" w:color="auto" w:fill="FFFFFF"/>
          <w:rtl/>
        </w:rPr>
        <w:t xml:space="preserve">יתרה מכך, בהיעדרו של גורם </w:t>
      </w:r>
      <w:r w:rsidRPr="00B97E44">
        <w:rPr>
          <w:rFonts w:ascii="Arial" w:hAnsi="Arial" w:hint="cs"/>
          <w:b/>
          <w:bCs/>
          <w:shd w:val="clear" w:color="auto" w:fill="FFFFFF"/>
          <w:rtl/>
        </w:rPr>
        <w:t>המתכלל</w:t>
      </w:r>
      <w:r w:rsidRPr="00B97E44">
        <w:rPr>
          <w:rFonts w:ascii="Arial" w:hAnsi="Arial" w:hint="cs"/>
          <w:b/>
          <w:bCs/>
          <w:shd w:val="clear" w:color="auto" w:fill="FFFFFF"/>
          <w:rtl/>
        </w:rPr>
        <w:t xml:space="preserve"> את פעולות השיקום והמרכז את המידע על השטחים הפתוחים שישוקמו ואלו שעדיין יידרש לשקמם, לא ברור כי הרשויות המקומיות יוכלו למפות, </w:t>
      </w:r>
      <w:r w:rsidRPr="00B97E44">
        <w:rPr>
          <w:rFonts w:ascii="Arial" w:hAnsi="Arial" w:hint="cs"/>
          <w:b/>
          <w:bCs/>
          <w:shd w:val="clear" w:color="auto" w:fill="FFFFFF"/>
          <w:rtl/>
        </w:rPr>
        <w:t>לתעדף</w:t>
      </w:r>
      <w:r w:rsidRPr="00B97E44">
        <w:rPr>
          <w:rFonts w:ascii="Arial" w:hAnsi="Arial" w:hint="cs"/>
          <w:b/>
          <w:bCs/>
          <w:shd w:val="clear" w:color="auto" w:fill="FFFFFF"/>
          <w:rtl/>
        </w:rPr>
        <w:t xml:space="preserve"> ולתקצב את שיקום כלל השטחים הפתוחים שבתחומן</w:t>
      </w:r>
      <w:r w:rsidRPr="00B97E44">
        <w:rPr>
          <w:rFonts w:hint="cs"/>
          <w:b/>
          <w:bCs/>
          <w:rtl/>
        </w:rPr>
        <w:t>.</w:t>
      </w:r>
    </w:p>
    <w:p w:rsidR="005B126E" w:rsidP="001916A9">
      <w:pPr>
        <w:spacing w:line="269" w:lineRule="auto"/>
        <w:rPr>
          <w:b/>
          <w:bCs/>
          <w:rtl/>
        </w:rPr>
      </w:pPr>
      <w:bookmarkStart w:id="86" w:name="_Hlk207630848"/>
    </w:p>
    <w:p w:rsidR="005B126E" w:rsidRPr="00B97E44" w:rsidP="001916A9">
      <w:pPr>
        <w:spacing w:line="269" w:lineRule="auto"/>
        <w:rPr>
          <w:b/>
          <w:bCs/>
          <w:rtl/>
        </w:rPr>
      </w:pPr>
      <w:r w:rsidRPr="00B97E44">
        <w:rPr>
          <w:rFonts w:hint="cs"/>
          <w:b/>
          <w:bCs/>
          <w:rtl/>
        </w:rPr>
        <w:t xml:space="preserve">חבל התקומה, ששטחו עומד על כ-465 קמ"ר, הוא חלק ממרחב הנגב כולו ושגשוגו תלוי ביחסי הגומלין שלו עם מעגלי החיים הסובבים אותו. מתעורר החשש כי אם לא </w:t>
      </w:r>
      <w:r>
        <w:rPr>
          <w:rFonts w:hint="cs"/>
          <w:b/>
          <w:bCs/>
          <w:rtl/>
        </w:rPr>
        <w:t>ת</w:t>
      </w:r>
      <w:r w:rsidRPr="00B97E44">
        <w:rPr>
          <w:rFonts w:hint="cs"/>
          <w:b/>
          <w:bCs/>
          <w:rtl/>
        </w:rPr>
        <w:t>חוזק מטרופולין</w:t>
      </w:r>
      <w:r>
        <w:rPr>
          <w:rFonts w:hint="cs"/>
          <w:b/>
          <w:bCs/>
          <w:rtl/>
        </w:rPr>
        <w:t xml:space="preserve"> באר שבע,</w:t>
      </w:r>
      <w:r w:rsidRPr="00B97E44">
        <w:rPr>
          <w:rFonts w:hint="cs"/>
          <w:b/>
          <w:bCs/>
          <w:rtl/>
        </w:rPr>
        <w:t xml:space="preserve"> הצמיחה בארץ</w:t>
      </w:r>
      <w:r>
        <w:rPr>
          <w:rFonts w:hint="cs"/>
          <w:b/>
          <w:bCs/>
          <w:rtl/>
        </w:rPr>
        <w:t xml:space="preserve"> עלולה להמשיך</w:t>
      </w:r>
      <w:r w:rsidRPr="00B97E44">
        <w:rPr>
          <w:rFonts w:hint="cs"/>
          <w:b/>
          <w:bCs/>
          <w:rtl/>
        </w:rPr>
        <w:t xml:space="preserve"> להתמקד במרכזה, דבר שיפגע גם בפיתוח המטרופולין ובכלל</w:t>
      </w:r>
      <w:r>
        <w:rPr>
          <w:rFonts w:hint="cs"/>
          <w:b/>
          <w:bCs/>
          <w:rtl/>
        </w:rPr>
        <w:t xml:space="preserve"> זה</w:t>
      </w:r>
      <w:r w:rsidRPr="00B97E44">
        <w:rPr>
          <w:rFonts w:hint="cs"/>
          <w:b/>
          <w:bCs/>
          <w:rtl/>
        </w:rPr>
        <w:t xml:space="preserve"> </w:t>
      </w:r>
      <w:r>
        <w:rPr>
          <w:rFonts w:hint="cs"/>
          <w:b/>
          <w:bCs/>
          <w:rtl/>
        </w:rPr>
        <w:t>ב</w:t>
      </w:r>
      <w:r w:rsidRPr="00B97E44">
        <w:rPr>
          <w:rFonts w:hint="cs"/>
          <w:b/>
          <w:bCs/>
          <w:rtl/>
        </w:rPr>
        <w:t xml:space="preserve">חבל התקומה שלא יכול לעמוד בפני עצמו. </w:t>
      </w:r>
      <w:bookmarkEnd w:id="86"/>
    </w:p>
    <w:p w:rsidR="005B126E" w:rsidP="001916A9">
      <w:pPr>
        <w:spacing w:line="269" w:lineRule="auto"/>
        <w:rPr>
          <w:b/>
          <w:bCs/>
          <w:rtl/>
        </w:rPr>
      </w:pPr>
    </w:p>
    <w:p w:rsidR="005B126E" w:rsidRPr="00B97E44" w:rsidP="001916A9">
      <w:pPr>
        <w:spacing w:line="269" w:lineRule="auto"/>
        <w:rPr>
          <w:b/>
          <w:bCs/>
          <w:rtl/>
        </w:rPr>
      </w:pPr>
      <w:r w:rsidRPr="00B97E44">
        <w:rPr>
          <w:rFonts w:hint="cs"/>
          <w:b/>
          <w:bCs/>
          <w:rtl/>
        </w:rPr>
        <w:t>מומלץ כי מינהלת תקומה תיתן דגש בפעולות השיקום על הגברת האמון במוסדות המדינה וברשויות המקומיות ובחיזוק הקהילות והמנהיגות המקומית, שכן קהילות יציבות וחזקות יוכלו לשמש עוגן לתושבי חבל התקומה, למשוך תושבים חדשים ולהחזיר את אלו החוששים לעשות כן.</w:t>
      </w:r>
    </w:p>
    <w:p w:rsidR="005B126E" w:rsidP="001916A9">
      <w:pPr>
        <w:spacing w:line="269" w:lineRule="auto"/>
        <w:rPr>
          <w:b/>
          <w:bCs/>
          <w:rtl/>
        </w:rPr>
      </w:pPr>
      <w:bookmarkStart w:id="87" w:name="_Hlk207630876"/>
    </w:p>
    <w:p w:rsidR="005B126E" w:rsidRPr="00B97E44" w:rsidP="001916A9">
      <w:pPr>
        <w:spacing w:line="269" w:lineRule="auto"/>
        <w:rPr>
          <w:b/>
          <w:bCs/>
          <w:rtl/>
        </w:rPr>
      </w:pPr>
      <w:r w:rsidRPr="00B97E44">
        <w:rPr>
          <w:rFonts w:hint="cs"/>
          <w:b/>
          <w:bCs/>
          <w:rtl/>
        </w:rPr>
        <w:t xml:space="preserve">כדי להבטיח את שיקומו ופיתוחו של חבל התקומה באופן מיטבי תוך שהמועצות האזוריות ויישוביהן ימשיכו בעבודה בשיתוף פעולה גם לאחר סיום משימתה של מינהלת תקומה, משרד מבקר המדינה ממליץ </w:t>
      </w:r>
      <w:r w:rsidRPr="00B97E44">
        <w:rPr>
          <w:rFonts w:hint="cs"/>
          <w:b/>
          <w:bCs/>
          <w:rtl/>
        </w:rPr>
        <w:t>למינהלת</w:t>
      </w:r>
      <w:r w:rsidRPr="00B97E44">
        <w:rPr>
          <w:rFonts w:hint="cs"/>
          <w:b/>
          <w:bCs/>
          <w:rtl/>
        </w:rPr>
        <w:t xml:space="preserve"> תקומה לשתף את המועצות האזוריות בהליכי השיקום גם אם אלה נעשים במישרין מול היישובים </w:t>
      </w:r>
      <w:r>
        <w:rPr>
          <w:rFonts w:hint="cs"/>
          <w:b/>
          <w:bCs/>
          <w:rtl/>
        </w:rPr>
        <w:t>וזאת כדי</w:t>
      </w:r>
      <w:r w:rsidRPr="00B97E44">
        <w:rPr>
          <w:rFonts w:hint="cs"/>
          <w:b/>
          <w:bCs/>
          <w:rtl/>
        </w:rPr>
        <w:t xml:space="preserve"> לשמר ולחזק את מעמדן של המועצות האזוריות ו</w:t>
      </w:r>
      <w:r>
        <w:rPr>
          <w:rFonts w:hint="cs"/>
          <w:b/>
          <w:bCs/>
          <w:rtl/>
        </w:rPr>
        <w:t xml:space="preserve">להגביר את </w:t>
      </w:r>
      <w:r w:rsidRPr="00B97E44">
        <w:rPr>
          <w:rFonts w:hint="cs"/>
          <w:b/>
          <w:bCs/>
          <w:rtl/>
        </w:rPr>
        <w:t xml:space="preserve">שיתוף </w:t>
      </w:r>
      <w:r>
        <w:rPr>
          <w:rFonts w:hint="cs"/>
          <w:b/>
          <w:bCs/>
          <w:rtl/>
        </w:rPr>
        <w:t>ה</w:t>
      </w:r>
      <w:r w:rsidRPr="00B97E44">
        <w:rPr>
          <w:rFonts w:hint="cs"/>
          <w:b/>
          <w:bCs/>
          <w:rtl/>
        </w:rPr>
        <w:t xml:space="preserve">פעולה </w:t>
      </w:r>
      <w:r>
        <w:rPr>
          <w:rFonts w:hint="cs"/>
          <w:b/>
          <w:bCs/>
          <w:rtl/>
        </w:rPr>
        <w:t>ה</w:t>
      </w:r>
      <w:r w:rsidRPr="00B97E44">
        <w:rPr>
          <w:rFonts w:hint="cs"/>
          <w:b/>
          <w:bCs/>
          <w:rtl/>
        </w:rPr>
        <w:t>אזורי בנגב המערבי למען חיזוק ושגשוג האזור כולו</w:t>
      </w:r>
      <w:bookmarkEnd w:id="87"/>
      <w:r w:rsidRPr="00B97E44">
        <w:rPr>
          <w:rFonts w:hint="cs"/>
          <w:b/>
          <w:bCs/>
          <w:rtl/>
        </w:rPr>
        <w:t xml:space="preserve">. </w:t>
      </w:r>
    </w:p>
    <w:p w:rsidR="005B126E" w:rsidP="001916A9">
      <w:pPr>
        <w:spacing w:line="269" w:lineRule="auto"/>
        <w:rPr>
          <w:b/>
          <w:bCs/>
          <w:rtl/>
        </w:rPr>
      </w:pPr>
    </w:p>
    <w:p w:rsidR="00653A21" w:rsidP="008D5921">
      <w:pPr>
        <w:spacing w:line="269" w:lineRule="auto"/>
        <w:rPr>
          <w:rFonts w:ascii="Tahoma" w:hAnsi="Tahoma" w:cs="Tahoma"/>
          <w:sz w:val="19"/>
          <w:szCs w:val="19"/>
          <w:rtl/>
        </w:rPr>
        <w:sectPr w:rsidSect="008654CB">
          <w:headerReference w:type="even" r:id="rId56"/>
          <w:headerReference w:type="default" r:id="rId57"/>
          <w:headerReference w:type="first" r:id="rId58"/>
          <w:footerReference w:type="first" r:id="rId59"/>
          <w:pgSz w:w="11340" w:h="14175" w:code="9"/>
          <w:pgMar w:top="2268" w:right="1276" w:bottom="1588" w:left="1134" w:header="709" w:footer="709" w:gutter="0"/>
          <w:cols w:space="708"/>
          <w:titlePg/>
          <w:bidi/>
          <w:rtlGutter/>
          <w:docGrid w:linePitch="360"/>
        </w:sectPr>
      </w:pPr>
      <w:r w:rsidRPr="00B97E44">
        <w:rPr>
          <w:rFonts w:hint="eastAsia"/>
          <w:b/>
          <w:bCs/>
          <w:rtl/>
        </w:rPr>
        <w:t>עוד</w:t>
      </w:r>
      <w:r w:rsidRPr="00B97E44">
        <w:rPr>
          <w:b/>
          <w:bCs/>
          <w:rtl/>
        </w:rPr>
        <w:t xml:space="preserve"> </w:t>
      </w:r>
      <w:r w:rsidRPr="00B97E44">
        <w:rPr>
          <w:rFonts w:hint="eastAsia"/>
          <w:b/>
          <w:bCs/>
          <w:rtl/>
        </w:rPr>
        <w:t>מומלץ</w:t>
      </w:r>
      <w:r w:rsidRPr="00B97E44">
        <w:rPr>
          <w:b/>
          <w:bCs/>
          <w:rtl/>
        </w:rPr>
        <w:t xml:space="preserve"> </w:t>
      </w:r>
      <w:r w:rsidRPr="00B97E44">
        <w:rPr>
          <w:rFonts w:hint="eastAsia"/>
          <w:b/>
          <w:bCs/>
          <w:rtl/>
        </w:rPr>
        <w:t>כי</w:t>
      </w:r>
      <w:r w:rsidRPr="00B97E44">
        <w:rPr>
          <w:rtl/>
        </w:rPr>
        <w:t xml:space="preserve"> </w:t>
      </w:r>
      <w:r w:rsidRPr="00B97E44">
        <w:rPr>
          <w:b/>
          <w:bCs/>
          <w:rtl/>
        </w:rPr>
        <w:t xml:space="preserve">משרד ראש הממשלה, </w:t>
      </w:r>
      <w:r w:rsidRPr="00B97E44">
        <w:rPr>
          <w:rFonts w:hint="eastAsia"/>
          <w:b/>
          <w:bCs/>
          <w:rtl/>
        </w:rPr>
        <w:t>השר</w:t>
      </w:r>
      <w:r w:rsidRPr="00B97E44">
        <w:rPr>
          <w:b/>
          <w:bCs/>
          <w:rtl/>
        </w:rPr>
        <w:t xml:space="preserve"> </w:t>
      </w:r>
      <w:r w:rsidRPr="00B97E44">
        <w:rPr>
          <w:rFonts w:hint="eastAsia"/>
          <w:b/>
          <w:bCs/>
          <w:rtl/>
        </w:rPr>
        <w:t>ב</w:t>
      </w:r>
      <w:r w:rsidRPr="00B97E44">
        <w:rPr>
          <w:b/>
          <w:bCs/>
          <w:rtl/>
        </w:rPr>
        <w:t xml:space="preserve">משרד האוצר </w:t>
      </w:r>
      <w:r w:rsidRPr="00B97E44">
        <w:rPr>
          <w:rFonts w:hint="eastAsia"/>
          <w:b/>
          <w:bCs/>
          <w:rtl/>
        </w:rPr>
        <w:t>ומינהלת</w:t>
      </w:r>
      <w:r w:rsidRPr="00B97E44">
        <w:rPr>
          <w:b/>
          <w:bCs/>
          <w:rtl/>
        </w:rPr>
        <w:t xml:space="preserve"> תקומה </w:t>
      </w:r>
      <w:r w:rsidRPr="00B97E44">
        <w:rPr>
          <w:rFonts w:hint="eastAsia"/>
          <w:b/>
          <w:bCs/>
          <w:rtl/>
        </w:rPr>
        <w:t>י</w:t>
      </w:r>
      <w:r w:rsidRPr="00B97E44">
        <w:rPr>
          <w:b/>
          <w:bCs/>
          <w:rtl/>
        </w:rPr>
        <w:t>פעל</w:t>
      </w:r>
      <w:r w:rsidRPr="00B97E44">
        <w:rPr>
          <w:rFonts w:hint="eastAsia"/>
          <w:b/>
          <w:bCs/>
          <w:rtl/>
        </w:rPr>
        <w:t>ו</w:t>
      </w:r>
      <w:r w:rsidRPr="00B97E44">
        <w:rPr>
          <w:b/>
          <w:bCs/>
          <w:rtl/>
        </w:rPr>
        <w:t xml:space="preserve"> </w:t>
      </w:r>
      <w:r w:rsidRPr="00B97E44">
        <w:rPr>
          <w:rFonts w:hint="eastAsia"/>
          <w:b/>
          <w:bCs/>
          <w:rtl/>
        </w:rPr>
        <w:t>לתיקון</w:t>
      </w:r>
      <w:r w:rsidRPr="00B97E44">
        <w:rPr>
          <w:b/>
          <w:bCs/>
          <w:rtl/>
        </w:rPr>
        <w:t xml:space="preserve"> </w:t>
      </w:r>
      <w:r w:rsidRPr="00B97E44">
        <w:rPr>
          <w:rFonts w:hint="eastAsia"/>
          <w:b/>
          <w:bCs/>
          <w:rtl/>
        </w:rPr>
        <w:t>ה</w:t>
      </w:r>
      <w:r>
        <w:rPr>
          <w:rFonts w:hint="cs"/>
          <w:b/>
          <w:bCs/>
          <w:rtl/>
        </w:rPr>
        <w:t>ממצאים</w:t>
      </w:r>
      <w:r w:rsidRPr="00B97E44">
        <w:rPr>
          <w:b/>
          <w:bCs/>
          <w:rtl/>
        </w:rPr>
        <w:t xml:space="preserve"> </w:t>
      </w:r>
      <w:r w:rsidRPr="00B97E44">
        <w:rPr>
          <w:rFonts w:hint="eastAsia"/>
          <w:b/>
          <w:bCs/>
          <w:rtl/>
        </w:rPr>
        <w:t>העולים</w:t>
      </w:r>
      <w:r w:rsidRPr="00B97E44">
        <w:rPr>
          <w:b/>
          <w:bCs/>
          <w:rtl/>
        </w:rPr>
        <w:t xml:space="preserve"> </w:t>
      </w:r>
      <w:r w:rsidRPr="00B97E44">
        <w:rPr>
          <w:rFonts w:hint="eastAsia"/>
          <w:b/>
          <w:bCs/>
          <w:rtl/>
        </w:rPr>
        <w:t>בדוח</w:t>
      </w:r>
      <w:r w:rsidRPr="00B97E44">
        <w:rPr>
          <w:b/>
          <w:bCs/>
          <w:rtl/>
        </w:rPr>
        <w:t xml:space="preserve"> </w:t>
      </w:r>
      <w:r w:rsidRPr="00B97E44">
        <w:rPr>
          <w:rFonts w:hint="eastAsia"/>
          <w:b/>
          <w:bCs/>
          <w:rtl/>
        </w:rPr>
        <w:t>זה</w:t>
      </w:r>
      <w:r w:rsidRPr="00B97E44">
        <w:rPr>
          <w:b/>
          <w:bCs/>
          <w:rtl/>
        </w:rPr>
        <w:t xml:space="preserve"> וב</w:t>
      </w:r>
      <w:r>
        <w:rPr>
          <w:rFonts w:hint="cs"/>
          <w:b/>
          <w:bCs/>
          <w:rtl/>
        </w:rPr>
        <w:t>כלל</w:t>
      </w:r>
      <w:r w:rsidRPr="00B97E44">
        <w:rPr>
          <w:b/>
          <w:bCs/>
          <w:rtl/>
        </w:rPr>
        <w:t xml:space="preserve"> זה </w:t>
      </w:r>
      <w:r w:rsidRPr="00B97E44">
        <w:rPr>
          <w:rFonts w:hint="eastAsia"/>
          <w:b/>
          <w:bCs/>
          <w:rtl/>
        </w:rPr>
        <w:t>יפעל</w:t>
      </w:r>
      <w:r w:rsidRPr="00B97E44">
        <w:rPr>
          <w:rFonts w:hint="cs"/>
          <w:b/>
          <w:bCs/>
          <w:rtl/>
        </w:rPr>
        <w:t>ו</w:t>
      </w:r>
      <w:r w:rsidRPr="00B97E44">
        <w:rPr>
          <w:b/>
          <w:bCs/>
          <w:rtl/>
        </w:rPr>
        <w:t xml:space="preserve"> לאיתור והסרת </w:t>
      </w:r>
      <w:r w:rsidRPr="00B97E44">
        <w:rPr>
          <w:rFonts w:hint="eastAsia"/>
          <w:b/>
          <w:bCs/>
          <w:rtl/>
        </w:rPr>
        <w:t>החסמים</w:t>
      </w:r>
      <w:r w:rsidRPr="00B97E44">
        <w:rPr>
          <w:b/>
          <w:bCs/>
          <w:rtl/>
        </w:rPr>
        <w:t xml:space="preserve"> </w:t>
      </w:r>
      <w:r w:rsidRPr="00B97E44">
        <w:rPr>
          <w:rFonts w:hint="eastAsia"/>
          <w:b/>
          <w:bCs/>
          <w:rtl/>
        </w:rPr>
        <w:t>לקידום</w:t>
      </w:r>
      <w:r w:rsidRPr="00B97E44">
        <w:rPr>
          <w:b/>
          <w:bCs/>
          <w:rtl/>
        </w:rPr>
        <w:t xml:space="preserve"> </w:t>
      </w:r>
      <w:r w:rsidRPr="00B97E44">
        <w:rPr>
          <w:rFonts w:hint="eastAsia"/>
          <w:b/>
          <w:bCs/>
          <w:rtl/>
        </w:rPr>
        <w:t>השיקום</w:t>
      </w:r>
      <w:r w:rsidRPr="00B97E44">
        <w:rPr>
          <w:b/>
          <w:bCs/>
          <w:rtl/>
        </w:rPr>
        <w:t xml:space="preserve"> </w:t>
      </w:r>
      <w:r w:rsidRPr="00B97E44">
        <w:rPr>
          <w:rFonts w:hint="eastAsia"/>
          <w:b/>
          <w:bCs/>
          <w:rtl/>
        </w:rPr>
        <w:t>של</w:t>
      </w:r>
      <w:r w:rsidRPr="00B97E44">
        <w:rPr>
          <w:b/>
          <w:bCs/>
          <w:rtl/>
        </w:rPr>
        <w:t xml:space="preserve"> </w:t>
      </w:r>
      <w:r w:rsidRPr="00B97E44">
        <w:rPr>
          <w:rFonts w:hint="eastAsia"/>
          <w:b/>
          <w:bCs/>
          <w:rtl/>
        </w:rPr>
        <w:t>החבל</w:t>
      </w:r>
      <w:r w:rsidRPr="00B97E44">
        <w:rPr>
          <w:b/>
          <w:bCs/>
          <w:rtl/>
        </w:rPr>
        <w:t xml:space="preserve">, </w:t>
      </w:r>
      <w:r w:rsidRPr="00B97E44">
        <w:rPr>
          <w:rFonts w:hint="cs"/>
          <w:b/>
          <w:bCs/>
          <w:rtl/>
        </w:rPr>
        <w:t xml:space="preserve">של </w:t>
      </w:r>
      <w:r w:rsidRPr="00B97E44">
        <w:rPr>
          <w:rFonts w:hint="eastAsia"/>
          <w:b/>
          <w:bCs/>
          <w:rtl/>
        </w:rPr>
        <w:t>תושביו</w:t>
      </w:r>
      <w:r w:rsidRPr="00B97E44">
        <w:rPr>
          <w:b/>
          <w:bCs/>
          <w:rtl/>
        </w:rPr>
        <w:t xml:space="preserve"> </w:t>
      </w:r>
      <w:r w:rsidRPr="00B97E44">
        <w:rPr>
          <w:rFonts w:hint="eastAsia"/>
          <w:b/>
          <w:bCs/>
          <w:rtl/>
        </w:rPr>
        <w:t>ו</w:t>
      </w:r>
      <w:r w:rsidRPr="00B97E44">
        <w:rPr>
          <w:rFonts w:hint="cs"/>
          <w:b/>
          <w:bCs/>
          <w:rtl/>
        </w:rPr>
        <w:t xml:space="preserve">של </w:t>
      </w:r>
      <w:r w:rsidRPr="00B97E44">
        <w:rPr>
          <w:rFonts w:hint="eastAsia"/>
          <w:b/>
          <w:bCs/>
          <w:rtl/>
        </w:rPr>
        <w:t>קהילותיו</w:t>
      </w:r>
      <w:r w:rsidRPr="00B97E44">
        <w:rPr>
          <w:b/>
          <w:bCs/>
          <w:rtl/>
        </w:rPr>
        <w:t>.</w:t>
      </w:r>
      <w:bookmarkEnd w:id="4"/>
      <w:bookmarkEnd w:id="5"/>
      <w:bookmarkEnd w:id="82"/>
    </w:p>
    <w:bookmarkEnd w:id="6"/>
    <w:p w:rsidR="00960A4D" w:rsidP="001916A9">
      <w:pPr>
        <w:spacing w:line="269" w:lineRule="auto"/>
        <w:jc w:val="left"/>
        <w:rPr>
          <w:rFonts w:ascii="Tahoma" w:hAnsi="Tahoma" w:cs="Tahoma"/>
          <w:noProof/>
          <w:rtl/>
        </w:rPr>
      </w:pPr>
    </w:p>
    <w:p w:rsidR="00960A4D" w:rsidP="001916A9">
      <w:pPr>
        <w:spacing w:line="269" w:lineRule="auto"/>
        <w:jc w:val="left"/>
        <w:rPr>
          <w:rFonts w:ascii="Tahoma" w:hAnsi="Tahoma" w:cs="Tahoma"/>
          <w:noProof/>
          <w:rtl/>
        </w:rPr>
      </w:pPr>
    </w:p>
    <w:p w:rsidR="008B3CAB" w:rsidP="001916A9">
      <w:pPr>
        <w:spacing w:line="269" w:lineRule="auto"/>
        <w:jc w:val="left"/>
        <w:rPr>
          <w:rFonts w:ascii="Tahoma" w:hAnsi="Tahoma" w:cs="Tahoma"/>
          <w:noProof/>
          <w:rtl/>
        </w:rPr>
      </w:pPr>
    </w:p>
    <w:p w:rsidR="008B3CAB" w:rsidP="001916A9">
      <w:pPr>
        <w:spacing w:line="269" w:lineRule="auto"/>
        <w:jc w:val="left"/>
        <w:rPr>
          <w:rFonts w:ascii="Tahoma" w:hAnsi="Tahoma" w:cs="Tahoma"/>
          <w:noProof/>
          <w:rtl/>
        </w:rPr>
      </w:pPr>
    </w:p>
    <w:p w:rsidR="008B3CAB" w:rsidP="001916A9">
      <w:pPr>
        <w:spacing w:line="269" w:lineRule="auto"/>
        <w:jc w:val="left"/>
        <w:rPr>
          <w:rFonts w:ascii="Tahoma" w:hAnsi="Tahoma" w:cs="Tahoma"/>
          <w:noProof/>
          <w:rtl/>
        </w:rPr>
      </w:pPr>
    </w:p>
    <w:p w:rsidR="008B3CAB" w:rsidP="001916A9">
      <w:pPr>
        <w:spacing w:line="269" w:lineRule="auto"/>
        <w:jc w:val="left"/>
        <w:rPr>
          <w:rFonts w:ascii="Tahoma" w:hAnsi="Tahoma" w:cs="Tahoma"/>
          <w:noProof/>
          <w:rtl/>
        </w:rPr>
      </w:pPr>
    </w:p>
    <w:p w:rsidR="008B3CAB" w:rsidP="001916A9">
      <w:pPr>
        <w:spacing w:line="269" w:lineRule="auto"/>
        <w:jc w:val="left"/>
        <w:rPr>
          <w:rFonts w:ascii="Tahoma" w:hAnsi="Tahoma" w:cs="Tahoma"/>
          <w:noProof/>
          <w:rtl/>
        </w:rPr>
      </w:pPr>
    </w:p>
    <w:p w:rsidR="008B3CAB" w:rsidP="001916A9">
      <w:pPr>
        <w:spacing w:line="269" w:lineRule="auto"/>
        <w:jc w:val="left"/>
        <w:rPr>
          <w:rFonts w:ascii="Tahoma" w:hAnsi="Tahoma" w:cs="Tahoma"/>
          <w:noProof/>
          <w:rtl/>
        </w:rPr>
      </w:pPr>
    </w:p>
    <w:p w:rsidR="008B3CAB" w:rsidP="001916A9">
      <w:pPr>
        <w:spacing w:line="269" w:lineRule="auto"/>
        <w:jc w:val="left"/>
        <w:rPr>
          <w:rFonts w:ascii="Tahoma" w:hAnsi="Tahoma" w:cs="Tahoma"/>
          <w:noProof/>
          <w:rtl/>
        </w:rPr>
      </w:pPr>
    </w:p>
    <w:p w:rsidR="008B3CAB" w:rsidP="001916A9">
      <w:pPr>
        <w:spacing w:line="269" w:lineRule="auto"/>
        <w:jc w:val="left"/>
        <w:rPr>
          <w:rFonts w:ascii="Tahoma" w:hAnsi="Tahoma" w:cs="Tahoma"/>
          <w:noProof/>
          <w:rtl/>
        </w:rPr>
      </w:pPr>
    </w:p>
    <w:p w:rsidR="008B3CAB" w:rsidP="001916A9">
      <w:pPr>
        <w:spacing w:line="269" w:lineRule="auto"/>
        <w:jc w:val="left"/>
        <w:rPr>
          <w:rFonts w:ascii="Tahoma" w:hAnsi="Tahoma" w:cs="Tahoma"/>
          <w:noProof/>
          <w:rtl/>
        </w:rPr>
      </w:pPr>
    </w:p>
    <w:p w:rsidR="008B3CAB" w:rsidP="001916A9">
      <w:pPr>
        <w:spacing w:line="269" w:lineRule="auto"/>
        <w:jc w:val="left"/>
        <w:rPr>
          <w:rFonts w:ascii="Tahoma" w:hAnsi="Tahoma" w:cs="Tahoma"/>
          <w:noProof/>
          <w:rtl/>
        </w:rPr>
      </w:pPr>
    </w:p>
    <w:p w:rsidR="008B3CAB" w:rsidRPr="004E2733" w:rsidP="001916A9">
      <w:pPr>
        <w:spacing w:line="269" w:lineRule="auto"/>
        <w:jc w:val="left"/>
        <w:rPr>
          <w:rFonts w:ascii="Tahoma" w:hAnsi="Tahoma" w:cs="Tahoma"/>
          <w:noProof/>
          <w:rtl/>
        </w:rPr>
      </w:pPr>
    </w:p>
    <w:sectPr w:rsidSect="00960A4D">
      <w:headerReference w:type="even" r:id="rId60"/>
      <w:type w:val="continuous"/>
      <w:pgSz w:w="11340" w:h="14175" w:code="9"/>
      <w:pgMar w:top="2268" w:right="1276" w:bottom="1588" w:left="1134" w:header="709" w:footer="709" w:gutter="0"/>
      <w:cols w:space="708"/>
      <w:titlePg/>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avid">
    <w:altName w:val="Malgun Gothic Semilight"/>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Segoe MDL2 Assets">
    <w:panose1 w:val="050A0102010101010101"/>
    <w:charset w:val="00"/>
    <w:family w:val="roman"/>
    <w:pitch w:val="variable"/>
    <w:sig w:usb0="00000003" w:usb1="1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Narkisim">
    <w:altName w:val="Arial"/>
    <w:charset w:val="B1"/>
    <w:family w:val="swiss"/>
    <w:pitch w:val="variable"/>
    <w:sig w:usb0="00000801" w:usb1="00000000" w:usb2="00000000" w:usb3="00000000" w:csb0="00000020" w:csb1="00000000"/>
  </w:font>
  <w:font w:name="Rubik">
    <w:altName w:val="Cambria"/>
    <w:panose1 w:val="00000000000000000000"/>
    <w:charset w:val="00"/>
    <w:family w:val="roman"/>
    <w:notTrueType/>
    <w:pitch w:val="default"/>
  </w:font>
  <w:font w:name="Rubik-Regular">
    <w:altName w:val="Cambria"/>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201F1">
    <w:pPr>
      <w:pStyle w:val="Footer"/>
    </w:pPr>
    <w:r>
      <w:rPr>
        <w:noProof/>
      </w:rPr>
      <mc:AlternateContent>
        <mc:Choice Requires="wps">
          <w:drawing>
            <wp:anchor distT="0" distB="0" distL="114300" distR="114300" simplePos="0" relativeHeight="251658240" behindDoc="0" locked="0" layoutInCell="1" allowOverlap="1">
              <wp:simplePos x="0" y="0"/>
              <wp:positionH relativeFrom="page">
                <wp:align>center</wp:align>
              </wp:positionH>
              <wp:positionV relativeFrom="paragraph">
                <wp:posOffset>-1106656</wp:posOffset>
              </wp:positionV>
              <wp:extent cx="2959100" cy="273050"/>
              <wp:effectExtent l="0" t="0" r="0" b="0"/>
              <wp:wrapNone/>
              <wp:docPr id="24785164" name="תיבת טקסט 24785164"/>
              <wp:cNvGraphicFramePr/>
              <a:graphic xmlns:a="http://schemas.openxmlformats.org/drawingml/2006/main">
                <a:graphicData uri="http://schemas.microsoft.com/office/word/2010/wordprocessingShape">
                  <wps:wsp xmlns:wps="http://schemas.microsoft.com/office/word/2010/wordprocessingShape">
                    <wps:cNvSpPr txBox="1"/>
                    <wps:spPr>
                      <a:xfrm>
                        <a:off x="0" y="0"/>
                        <a:ext cx="2959100" cy="273050"/>
                      </a:xfrm>
                      <a:prstGeom prst="rect">
                        <a:avLst/>
                      </a:prstGeom>
                      <a:noFill/>
                      <a:ln w="6350">
                        <a:noFill/>
                      </a:ln>
                    </wps:spPr>
                    <wps:txbx>
                      <w:txbxContent>
                        <w:p w:rsidR="002201F1" w:rsidRPr="00A222E2" w:rsidP="00A222E2">
                          <w:pPr>
                            <w:jc w:val="center"/>
                            <w:rPr>
                              <w:rFonts w:ascii="Calibri" w:hAnsi="Calibri" w:cs="Calibri"/>
                              <w:color w:val="FFFFFF" w:themeColor="background1"/>
                              <w:spacing w:val="80"/>
                            </w:rPr>
                          </w:pPr>
                          <w:r w:rsidRPr="00A222E2">
                            <w:rPr>
                              <w:rFonts w:ascii="Calibri" w:hAnsi="Calibri" w:cs="Calibri" w:hint="cs"/>
                              <w:color w:val="FFFFFF" w:themeColor="background1"/>
                              <w:spacing w:val="80"/>
                              <w:rtl/>
                            </w:rPr>
                            <w:t>75 ג</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תיבת טקסט 24785164" o:spid="_x0000_s2064" type="#_x0000_t202" style="width:233pt;height:21.5pt;margin-top:-87.15pt;margin-left:0;mso-position-horizontal:center;mso-position-horizontal-relative:page;mso-wrap-distance-bottom:0;mso-wrap-distance-left:9pt;mso-wrap-distance-right:9pt;mso-wrap-distance-top:0;mso-wrap-style:square;position:absolute;visibility:visible;v-text-anchor:top;z-index:251659264" filled="f" stroked="f" strokeweight="0.5pt">
              <v:textbox>
                <w:txbxContent>
                  <w:p w:rsidR="002201F1" w:rsidRPr="00A222E2" w:rsidP="00A222E2">
                    <w:pPr>
                      <w:jc w:val="center"/>
                      <w:rPr>
                        <w:rFonts w:ascii="Calibri" w:hAnsi="Calibri" w:cs="Calibri"/>
                        <w:color w:val="FFFFFF" w:themeColor="background1"/>
                        <w:spacing w:val="80"/>
                      </w:rPr>
                    </w:pPr>
                    <w:r w:rsidRPr="00A222E2">
                      <w:rPr>
                        <w:rFonts w:ascii="Calibri" w:hAnsi="Calibri" w:cs="Calibri" w:hint="cs"/>
                        <w:color w:val="FFFFFF" w:themeColor="background1"/>
                        <w:spacing w:val="80"/>
                        <w:rtl/>
                      </w:rPr>
                      <w:t>75 ג</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5C1464">
      <w:pPr>
        <w:spacing w:line="240" w:lineRule="auto"/>
      </w:pPr>
      <w:r>
        <w:separator/>
      </w:r>
    </w:p>
  </w:footnote>
  <w:footnote w:type="continuationSeparator" w:id="1">
    <w:p w:rsidR="005C1464">
      <w:pPr>
        <w:spacing w:line="240" w:lineRule="auto"/>
      </w:pPr>
      <w:r>
        <w:continuationSeparator/>
      </w:r>
    </w:p>
  </w:footnote>
  <w:footnote w:id="2">
    <w:p w:rsidR="002201F1" w:rsidRPr="0064233A" w:rsidP="005B126E">
      <w:pPr>
        <w:pStyle w:val="FootnoteText"/>
      </w:pPr>
      <w:r w:rsidRPr="0064233A">
        <w:rPr>
          <w:rStyle w:val="FootnoteReference1"/>
        </w:rPr>
        <w:footnoteRef/>
      </w:r>
      <w:r w:rsidRPr="0064233A">
        <w:rPr>
          <w:rtl/>
        </w:rPr>
        <w:t xml:space="preserve"> </w:t>
      </w:r>
      <w:r w:rsidRPr="0064233A">
        <w:rPr>
          <w:rtl/>
        </w:rPr>
        <w:tab/>
      </w:r>
      <w:r w:rsidRPr="0064233A">
        <w:rPr>
          <w:rFonts w:hint="eastAsia"/>
          <w:rtl/>
        </w:rPr>
        <w:t>בהחלט</w:t>
      </w:r>
      <w:r w:rsidRPr="0064233A">
        <w:rPr>
          <w:rFonts w:hint="cs"/>
          <w:rtl/>
        </w:rPr>
        <w:t>ת הממשלה</w:t>
      </w:r>
      <w:r w:rsidRPr="0064233A">
        <w:rPr>
          <w:rtl/>
        </w:rPr>
        <w:t xml:space="preserve"> 980</w:t>
      </w:r>
      <w:r w:rsidRPr="0064233A">
        <w:rPr>
          <w:rFonts w:hint="cs"/>
          <w:rtl/>
        </w:rPr>
        <w:t>,</w:t>
      </w:r>
      <w:r w:rsidRPr="0064233A">
        <w:rPr>
          <w:rtl/>
        </w:rPr>
        <w:t xml:space="preserve"> "הקמת </w:t>
      </w:r>
      <w:r w:rsidRPr="0064233A">
        <w:rPr>
          <w:rFonts w:hint="eastAsia"/>
          <w:rtl/>
        </w:rPr>
        <w:t>מנהלת</w:t>
      </w:r>
      <w:r w:rsidRPr="0064233A">
        <w:rPr>
          <w:rtl/>
        </w:rPr>
        <w:t xml:space="preserve"> </w:t>
      </w:r>
      <w:r w:rsidRPr="0064233A">
        <w:rPr>
          <w:rFonts w:hint="eastAsia"/>
          <w:rtl/>
        </w:rPr>
        <w:t>לשיקום</w:t>
      </w:r>
      <w:r w:rsidRPr="0064233A">
        <w:rPr>
          <w:rtl/>
        </w:rPr>
        <w:t xml:space="preserve"> </w:t>
      </w:r>
      <w:r w:rsidRPr="0064233A">
        <w:rPr>
          <w:rFonts w:hint="eastAsia"/>
          <w:rtl/>
        </w:rPr>
        <w:t>ולפיתוח</w:t>
      </w:r>
      <w:r w:rsidRPr="0064233A">
        <w:rPr>
          <w:rtl/>
        </w:rPr>
        <w:t xml:space="preserve"> </w:t>
      </w:r>
      <w:r w:rsidRPr="0064233A">
        <w:rPr>
          <w:rFonts w:hint="eastAsia"/>
          <w:rtl/>
        </w:rPr>
        <w:t>חבל</w:t>
      </w:r>
      <w:r w:rsidRPr="0064233A">
        <w:rPr>
          <w:rtl/>
        </w:rPr>
        <w:t xml:space="preserve"> 'התקומה' </w:t>
      </w:r>
      <w:r w:rsidRPr="0064233A">
        <w:rPr>
          <w:rFonts w:hint="eastAsia"/>
          <w:rtl/>
        </w:rPr>
        <w:t>ואוכלוסייתו</w:t>
      </w:r>
      <w:r w:rsidRPr="0064233A">
        <w:rPr>
          <w:rFonts w:hint="cs"/>
          <w:rtl/>
        </w:rPr>
        <w:t>"</w:t>
      </w:r>
      <w:r w:rsidRPr="0064233A">
        <w:rPr>
          <w:rtl/>
        </w:rPr>
        <w:t xml:space="preserve"> (19.10.</w:t>
      </w:r>
      <w:r w:rsidRPr="0064233A">
        <w:rPr>
          <w:rFonts w:hint="cs"/>
          <w:rtl/>
        </w:rPr>
        <w:t>23</w:t>
      </w:r>
      <w:r w:rsidRPr="0064233A">
        <w:rPr>
          <w:rtl/>
        </w:rPr>
        <w:t xml:space="preserve">) (להלן - </w:t>
      </w:r>
      <w:r w:rsidRPr="0064233A">
        <w:rPr>
          <w:rFonts w:hint="eastAsia"/>
          <w:rtl/>
        </w:rPr>
        <w:t>החלטה</w:t>
      </w:r>
      <w:r w:rsidRPr="0064233A">
        <w:rPr>
          <w:rtl/>
        </w:rPr>
        <w:t xml:space="preserve"> 980)</w:t>
      </w:r>
      <w:r w:rsidRPr="0064233A">
        <w:rPr>
          <w:rFonts w:hint="cs"/>
          <w:rtl/>
        </w:rPr>
        <w:t>, הוגדר חבל התקומה כ"</w:t>
      </w:r>
      <w:r w:rsidRPr="0064233A">
        <w:rPr>
          <w:rtl/>
        </w:rPr>
        <w:t xml:space="preserve">אזור </w:t>
      </w:r>
      <w:r w:rsidRPr="0064233A">
        <w:rPr>
          <w:b/>
          <w:bCs/>
          <w:rtl/>
        </w:rPr>
        <w:t>שדרות</w:t>
      </w:r>
      <w:r w:rsidRPr="0064233A">
        <w:rPr>
          <w:rtl/>
        </w:rPr>
        <w:t xml:space="preserve"> רבתי והיישובים במועצות האזוריות </w:t>
      </w:r>
      <w:r w:rsidRPr="0064233A">
        <w:rPr>
          <w:b/>
          <w:bCs/>
          <w:rtl/>
        </w:rPr>
        <w:t xml:space="preserve">אשכול, חוף אשקלון, שדות נגב </w:t>
      </w:r>
      <w:r w:rsidRPr="0064233A">
        <w:rPr>
          <w:rtl/>
        </w:rPr>
        <w:t>ו</w:t>
      </w:r>
      <w:r w:rsidRPr="0064233A">
        <w:rPr>
          <w:b/>
          <w:bCs/>
          <w:rtl/>
        </w:rPr>
        <w:t>שער הנגב</w:t>
      </w:r>
      <w:r w:rsidRPr="0064233A">
        <w:rPr>
          <w:rtl/>
        </w:rPr>
        <w:t xml:space="preserve"> אשר בתיהם, כולם או חלקם, נמצאים בטווח של עד 7 ק"מ מגדר המערכת סביב רצועת עזה</w:t>
      </w:r>
      <w:r w:rsidRPr="0064233A">
        <w:rPr>
          <w:rFonts w:hint="cs"/>
          <w:rtl/>
        </w:rPr>
        <w:t xml:space="preserve">". הגדרת חבל </w:t>
      </w:r>
      <w:r>
        <w:rPr>
          <w:rFonts w:hint="cs"/>
          <w:rtl/>
        </w:rPr>
        <w:t xml:space="preserve">התקומה </w:t>
      </w:r>
      <w:r w:rsidRPr="0064233A">
        <w:rPr>
          <w:rFonts w:hint="cs"/>
          <w:rtl/>
        </w:rPr>
        <w:t>מסתמכת על הגדרת</w:t>
      </w:r>
      <w:r w:rsidRPr="0064233A">
        <w:rPr>
          <w:rtl/>
        </w:rPr>
        <w:t xml:space="preserve"> "יישובי עוטף עזה" </w:t>
      </w:r>
      <w:r w:rsidRPr="0064233A">
        <w:rPr>
          <w:rFonts w:hint="cs"/>
          <w:rtl/>
        </w:rPr>
        <w:t>בהחלטת הממשלה</w:t>
      </w:r>
      <w:r w:rsidRPr="0064233A">
        <w:rPr>
          <w:rtl/>
        </w:rPr>
        <w:t xml:space="preserve"> 462</w:t>
      </w:r>
      <w:r w:rsidRPr="0064233A">
        <w:rPr>
          <w:rFonts w:hint="cs"/>
          <w:rtl/>
        </w:rPr>
        <w:t>,</w:t>
      </w:r>
      <w:r w:rsidRPr="0064233A">
        <w:rPr>
          <w:rtl/>
        </w:rPr>
        <w:t xml:space="preserve"> "</w:t>
      </w:r>
      <w:r w:rsidRPr="0064233A">
        <w:rPr>
          <w:rFonts w:hint="eastAsia"/>
          <w:rtl/>
        </w:rPr>
        <w:t>תוכנית</w:t>
      </w:r>
      <w:r w:rsidRPr="0064233A">
        <w:rPr>
          <w:rtl/>
        </w:rPr>
        <w:t xml:space="preserve"> לחיזוק החוסן האזרחי בשדרות וביישובי 'עוטף רצועות עזה' לשנים 2023</w:t>
      </w:r>
      <w:r w:rsidRPr="0064233A">
        <w:rPr>
          <w:rFonts w:hint="cs"/>
          <w:rtl/>
        </w:rPr>
        <w:t xml:space="preserve"> </w:t>
      </w:r>
      <w:r w:rsidRPr="0064233A">
        <w:rPr>
          <w:rtl/>
        </w:rPr>
        <w:t>-</w:t>
      </w:r>
      <w:r w:rsidRPr="0064233A">
        <w:rPr>
          <w:rFonts w:hint="cs"/>
          <w:rtl/>
        </w:rPr>
        <w:t xml:space="preserve"> </w:t>
      </w:r>
      <w:r w:rsidRPr="0064233A">
        <w:rPr>
          <w:rtl/>
        </w:rPr>
        <w:t>2024 ותיקון החלטות ממשלה" (20.4.</w:t>
      </w:r>
      <w:r w:rsidRPr="0064233A">
        <w:rPr>
          <w:rFonts w:hint="cs"/>
          <w:rtl/>
        </w:rPr>
        <w:t>23</w:t>
      </w:r>
      <w:r w:rsidRPr="0064233A">
        <w:rPr>
          <w:rtl/>
        </w:rPr>
        <w:t>)</w:t>
      </w:r>
      <w:r w:rsidRPr="0064233A">
        <w:rPr>
          <w:rFonts w:hint="cs"/>
          <w:rtl/>
        </w:rPr>
        <w:t>,</w:t>
      </w:r>
      <w:r w:rsidRPr="0064233A">
        <w:rPr>
          <w:rtl/>
        </w:rPr>
        <w:t xml:space="preserve"> ו</w:t>
      </w:r>
      <w:r w:rsidRPr="0064233A">
        <w:rPr>
          <w:rFonts w:hint="cs"/>
          <w:rtl/>
        </w:rPr>
        <w:t xml:space="preserve">על </w:t>
      </w:r>
      <w:r w:rsidRPr="0064233A">
        <w:rPr>
          <w:rtl/>
        </w:rPr>
        <w:t>החלטות הממשלה המוזכרות</w:t>
      </w:r>
      <w:r w:rsidRPr="0064233A">
        <w:rPr>
          <w:rFonts w:hint="cs"/>
          <w:rtl/>
        </w:rPr>
        <w:t xml:space="preserve"> בה.</w:t>
      </w:r>
    </w:p>
  </w:footnote>
  <w:footnote w:id="3">
    <w:p w:rsidR="002201F1"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Fonts w:hint="eastAsia"/>
          <w:rtl/>
        </w:rPr>
        <w:t>החלט</w:t>
      </w:r>
      <w:r w:rsidRPr="0064233A">
        <w:rPr>
          <w:rFonts w:hint="cs"/>
          <w:rtl/>
        </w:rPr>
        <w:t>ת הממשלה</w:t>
      </w:r>
      <w:r w:rsidRPr="0064233A">
        <w:rPr>
          <w:rtl/>
        </w:rPr>
        <w:t xml:space="preserve"> 2365</w:t>
      </w:r>
      <w:r w:rsidRPr="0064233A">
        <w:rPr>
          <w:rFonts w:hint="cs"/>
          <w:rtl/>
        </w:rPr>
        <w:t>,</w:t>
      </w:r>
      <w:r w:rsidRPr="0064233A">
        <w:rPr>
          <w:rtl/>
        </w:rPr>
        <w:t xml:space="preserve"> "</w:t>
      </w:r>
      <w:r w:rsidRPr="0064233A">
        <w:rPr>
          <w:rFonts w:hint="eastAsia"/>
          <w:rtl/>
        </w:rPr>
        <w:t>צירוף</w:t>
      </w:r>
      <w:r w:rsidRPr="0064233A">
        <w:rPr>
          <w:rtl/>
        </w:rPr>
        <w:t xml:space="preserve"> </w:t>
      </w:r>
      <w:r w:rsidRPr="0064233A">
        <w:rPr>
          <w:rFonts w:hint="eastAsia"/>
          <w:rtl/>
        </w:rPr>
        <w:t>שר</w:t>
      </w:r>
      <w:r w:rsidRPr="0064233A">
        <w:rPr>
          <w:rtl/>
        </w:rPr>
        <w:t xml:space="preserve">, </w:t>
      </w:r>
      <w:r w:rsidRPr="0064233A">
        <w:rPr>
          <w:rFonts w:hint="eastAsia"/>
          <w:rtl/>
        </w:rPr>
        <w:t>קביעת</w:t>
      </w:r>
      <w:r w:rsidRPr="0064233A">
        <w:rPr>
          <w:rtl/>
        </w:rPr>
        <w:t xml:space="preserve"> </w:t>
      </w:r>
      <w:r w:rsidRPr="0064233A">
        <w:rPr>
          <w:rFonts w:hint="eastAsia"/>
          <w:rtl/>
        </w:rPr>
        <w:t>שר</w:t>
      </w:r>
      <w:r w:rsidRPr="0064233A">
        <w:rPr>
          <w:rtl/>
        </w:rPr>
        <w:t xml:space="preserve"> </w:t>
      </w:r>
      <w:r w:rsidRPr="0064233A">
        <w:rPr>
          <w:rFonts w:hint="eastAsia"/>
          <w:rtl/>
        </w:rPr>
        <w:t>נוסף</w:t>
      </w:r>
      <w:r w:rsidRPr="0064233A">
        <w:rPr>
          <w:rtl/>
        </w:rPr>
        <w:t xml:space="preserve"> </w:t>
      </w:r>
      <w:r w:rsidRPr="0064233A">
        <w:rPr>
          <w:rFonts w:hint="eastAsia"/>
          <w:rtl/>
        </w:rPr>
        <w:t>במשרד</w:t>
      </w:r>
      <w:r w:rsidRPr="0064233A">
        <w:rPr>
          <w:rtl/>
        </w:rPr>
        <w:t xml:space="preserve"> </w:t>
      </w:r>
      <w:r w:rsidRPr="0064233A">
        <w:rPr>
          <w:rFonts w:hint="eastAsia"/>
          <w:rtl/>
        </w:rPr>
        <w:t>האוצר</w:t>
      </w:r>
      <w:r w:rsidRPr="0064233A">
        <w:rPr>
          <w:rtl/>
        </w:rPr>
        <w:t xml:space="preserve"> </w:t>
      </w:r>
      <w:r w:rsidRPr="0064233A">
        <w:rPr>
          <w:rFonts w:hint="eastAsia"/>
          <w:rtl/>
        </w:rPr>
        <w:t>ושינוי</w:t>
      </w:r>
      <w:r w:rsidRPr="0064233A">
        <w:rPr>
          <w:rtl/>
        </w:rPr>
        <w:t xml:space="preserve"> </w:t>
      </w:r>
      <w:r w:rsidRPr="0064233A">
        <w:rPr>
          <w:rFonts w:hint="eastAsia"/>
          <w:rtl/>
        </w:rPr>
        <w:t>בחלוקת</w:t>
      </w:r>
      <w:r w:rsidRPr="0064233A">
        <w:rPr>
          <w:rtl/>
        </w:rPr>
        <w:t xml:space="preserve"> </w:t>
      </w:r>
      <w:r w:rsidRPr="0064233A">
        <w:rPr>
          <w:rFonts w:hint="eastAsia"/>
          <w:rtl/>
        </w:rPr>
        <w:t>התפקידים</w:t>
      </w:r>
      <w:r w:rsidRPr="0064233A">
        <w:rPr>
          <w:rtl/>
        </w:rPr>
        <w:t xml:space="preserve"> </w:t>
      </w:r>
      <w:r w:rsidRPr="0064233A">
        <w:rPr>
          <w:rFonts w:hint="eastAsia"/>
          <w:rtl/>
        </w:rPr>
        <w:t>בין</w:t>
      </w:r>
      <w:r w:rsidRPr="0064233A">
        <w:rPr>
          <w:rtl/>
        </w:rPr>
        <w:t xml:space="preserve"> </w:t>
      </w:r>
      <w:r w:rsidRPr="0064233A">
        <w:rPr>
          <w:rFonts w:hint="eastAsia"/>
          <w:rtl/>
        </w:rPr>
        <w:t>השרים</w:t>
      </w:r>
      <w:r w:rsidRPr="0064233A">
        <w:rPr>
          <w:rtl/>
        </w:rPr>
        <w:t>" (6.11.</w:t>
      </w:r>
      <w:r w:rsidRPr="0064233A">
        <w:rPr>
          <w:rFonts w:hint="cs"/>
          <w:rtl/>
        </w:rPr>
        <w:t>24</w:t>
      </w:r>
      <w:r w:rsidRPr="0064233A">
        <w:rPr>
          <w:rtl/>
        </w:rPr>
        <w:t>)</w:t>
      </w:r>
      <w:r w:rsidRPr="0064233A">
        <w:rPr>
          <w:rFonts w:hint="cs"/>
          <w:rtl/>
        </w:rPr>
        <w:t xml:space="preserve">; וכן החלטת הממשלה 2470, </w:t>
      </w:r>
      <w:r w:rsidRPr="0064233A">
        <w:rPr>
          <w:rtl/>
        </w:rPr>
        <w:t xml:space="preserve">"העברת </w:t>
      </w:r>
      <w:r w:rsidRPr="0064233A">
        <w:rPr>
          <w:rFonts w:hint="eastAsia"/>
          <w:rtl/>
        </w:rPr>
        <w:t>שטחי</w:t>
      </w:r>
      <w:r w:rsidRPr="0064233A">
        <w:rPr>
          <w:rtl/>
        </w:rPr>
        <w:t xml:space="preserve"> </w:t>
      </w:r>
      <w:r w:rsidRPr="0064233A">
        <w:rPr>
          <w:rFonts w:hint="eastAsia"/>
          <w:rtl/>
        </w:rPr>
        <w:t>פעולה</w:t>
      </w:r>
      <w:r w:rsidRPr="0064233A">
        <w:rPr>
          <w:rtl/>
        </w:rPr>
        <w:t xml:space="preserve"> </w:t>
      </w:r>
      <w:r w:rsidRPr="0064233A">
        <w:rPr>
          <w:rFonts w:hint="eastAsia"/>
          <w:rtl/>
        </w:rPr>
        <w:t>ממשרד</w:t>
      </w:r>
      <w:r w:rsidRPr="0064233A">
        <w:rPr>
          <w:rtl/>
        </w:rPr>
        <w:t xml:space="preserve"> </w:t>
      </w:r>
      <w:r w:rsidRPr="0064233A">
        <w:rPr>
          <w:rFonts w:hint="eastAsia"/>
          <w:rtl/>
        </w:rPr>
        <w:t>ראש</w:t>
      </w:r>
      <w:r w:rsidRPr="0064233A">
        <w:rPr>
          <w:rtl/>
        </w:rPr>
        <w:t xml:space="preserve"> </w:t>
      </w:r>
      <w:r w:rsidRPr="0064233A">
        <w:rPr>
          <w:rFonts w:hint="eastAsia"/>
          <w:rtl/>
        </w:rPr>
        <w:t>הממשלה</w:t>
      </w:r>
      <w:r w:rsidRPr="0064233A">
        <w:rPr>
          <w:rtl/>
        </w:rPr>
        <w:t xml:space="preserve"> </w:t>
      </w:r>
      <w:r w:rsidRPr="0064233A">
        <w:rPr>
          <w:rFonts w:hint="eastAsia"/>
          <w:rtl/>
        </w:rPr>
        <w:t>למשרד</w:t>
      </w:r>
      <w:r w:rsidRPr="0064233A">
        <w:rPr>
          <w:rtl/>
        </w:rPr>
        <w:t xml:space="preserve"> </w:t>
      </w:r>
      <w:r w:rsidRPr="0064233A">
        <w:rPr>
          <w:rFonts w:hint="eastAsia"/>
          <w:rtl/>
        </w:rPr>
        <w:t>האוצר</w:t>
      </w:r>
      <w:r w:rsidRPr="0064233A">
        <w:rPr>
          <w:rtl/>
        </w:rPr>
        <w:t xml:space="preserve"> </w:t>
      </w:r>
      <w:r w:rsidRPr="0064233A">
        <w:rPr>
          <w:rFonts w:hint="eastAsia"/>
          <w:rtl/>
        </w:rPr>
        <w:t>ותיקון</w:t>
      </w:r>
      <w:r w:rsidRPr="0064233A">
        <w:rPr>
          <w:rtl/>
        </w:rPr>
        <w:t xml:space="preserve"> </w:t>
      </w:r>
      <w:r w:rsidRPr="0064233A">
        <w:rPr>
          <w:rFonts w:hint="eastAsia"/>
          <w:rtl/>
        </w:rPr>
        <w:t>החלטות</w:t>
      </w:r>
      <w:r w:rsidRPr="0064233A">
        <w:rPr>
          <w:rtl/>
        </w:rPr>
        <w:t xml:space="preserve"> </w:t>
      </w:r>
      <w:r w:rsidRPr="0064233A">
        <w:rPr>
          <w:rFonts w:hint="eastAsia"/>
          <w:rtl/>
        </w:rPr>
        <w:t>ממשלה</w:t>
      </w:r>
      <w:r w:rsidRPr="0064233A">
        <w:rPr>
          <w:rtl/>
        </w:rPr>
        <w:t>" (24.11.</w:t>
      </w:r>
      <w:r w:rsidRPr="0064233A">
        <w:rPr>
          <w:rFonts w:hint="cs"/>
          <w:rtl/>
        </w:rPr>
        <w:t>24</w:t>
      </w:r>
      <w:r w:rsidRPr="0064233A">
        <w:rPr>
          <w:rtl/>
        </w:rPr>
        <w:t>).</w:t>
      </w:r>
    </w:p>
  </w:footnote>
  <w:footnote w:id="4">
    <w:p w:rsidR="002201F1" w:rsidP="005B126E">
      <w:pPr>
        <w:pStyle w:val="FootnoteText"/>
        <w:rPr>
          <w:rtl/>
        </w:rPr>
      </w:pPr>
      <w:r>
        <w:rPr>
          <w:rStyle w:val="FootnoteReference1"/>
        </w:rPr>
        <w:footnoteRef/>
      </w:r>
      <w:r>
        <w:rPr>
          <w:rtl/>
        </w:rPr>
        <w:t xml:space="preserve"> </w:t>
      </w:r>
      <w:r>
        <w:rPr>
          <w:rtl/>
        </w:rPr>
        <w:tab/>
      </w:r>
      <w:r w:rsidRPr="002019E1">
        <w:rPr>
          <w:rFonts w:hint="eastAsia"/>
          <w:rtl/>
        </w:rPr>
        <w:t>החלטת</w:t>
      </w:r>
      <w:r w:rsidRPr="002019E1">
        <w:rPr>
          <w:rtl/>
        </w:rPr>
        <w:t xml:space="preserve"> </w:t>
      </w:r>
      <w:r w:rsidRPr="002019E1">
        <w:rPr>
          <w:rFonts w:hint="eastAsia"/>
          <w:rtl/>
        </w:rPr>
        <w:t>הממשלה</w:t>
      </w:r>
      <w:r w:rsidRPr="002019E1">
        <w:rPr>
          <w:rtl/>
        </w:rPr>
        <w:t xml:space="preserve"> 2336,</w:t>
      </w:r>
      <w:r>
        <w:rPr>
          <w:rFonts w:hint="cs"/>
          <w:rtl/>
        </w:rPr>
        <w:t xml:space="preserve"> "שיקום מרחיב לחבל התקומה כ'אזור מיקוד לאומי' ומענים לאזורים נוספים שנפגעו במתקפת הטרור בשבע באוקטובר בדרום הארץ" (31.10.24). </w:t>
      </w:r>
      <w:r w:rsidRPr="0064233A">
        <w:rPr>
          <w:rtl/>
        </w:rPr>
        <w:t>רשימת היישובים מצויה בצו שיקום נרחב לחבל התקומה כאזור מיקוד לאומי וסיוע ליישובים הסמוכים אליו (קביעת רשימת היישובים והאזורים הסמוכים לחבל התקומה), התשפ"ה-2025.</w:t>
      </w:r>
    </w:p>
  </w:footnote>
  <w:footnote w:id="5">
    <w:p w:rsidR="002201F1"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Fonts w:hint="cs"/>
          <w:rtl/>
        </w:rPr>
        <w:t>כרם שלום, נירים, עין השלושה</w:t>
      </w:r>
      <w:r w:rsidRPr="00BE311A">
        <w:rPr>
          <w:rFonts w:hint="cs"/>
          <w:rtl/>
        </w:rPr>
        <w:t xml:space="preserve"> </w:t>
      </w:r>
      <w:r>
        <w:rPr>
          <w:rFonts w:hint="cs"/>
          <w:rtl/>
        </w:rPr>
        <w:t>ו</w:t>
      </w:r>
      <w:r w:rsidRPr="0064233A">
        <w:rPr>
          <w:rFonts w:hint="cs"/>
          <w:rtl/>
        </w:rPr>
        <w:t>רעים.</w:t>
      </w:r>
    </w:p>
  </w:footnote>
  <w:footnote w:id="6">
    <w:p w:rsidR="002201F1" w:rsidRPr="0064233A" w:rsidP="005B126E">
      <w:pPr>
        <w:pStyle w:val="FootnoteText"/>
        <w:rPr>
          <w:rtl/>
        </w:rPr>
      </w:pPr>
      <w:r w:rsidRPr="0064233A">
        <w:rPr>
          <w:rStyle w:val="FootnoteReference1"/>
        </w:rPr>
        <w:footnoteRef/>
      </w:r>
      <w:r w:rsidRPr="0064233A">
        <w:rPr>
          <w:rtl/>
        </w:rPr>
        <w:t xml:space="preserve"> </w:t>
      </w:r>
      <w:r w:rsidRPr="0064233A">
        <w:rPr>
          <w:rtl/>
        </w:rPr>
        <w:tab/>
      </w:r>
      <w:bookmarkStart w:id="19" w:name="_Hlk216353843"/>
      <w:r w:rsidRPr="002019E1">
        <w:rPr>
          <w:rFonts w:hint="eastAsia"/>
          <w:rtl/>
        </w:rPr>
        <w:t>מבקר</w:t>
      </w:r>
      <w:r w:rsidRPr="002019E1">
        <w:rPr>
          <w:rtl/>
        </w:rPr>
        <w:t xml:space="preserve"> </w:t>
      </w:r>
      <w:r w:rsidRPr="002019E1">
        <w:rPr>
          <w:rFonts w:hint="eastAsia"/>
          <w:rtl/>
        </w:rPr>
        <w:t>המדינה</w:t>
      </w:r>
      <w:r w:rsidRPr="00DE7DAD">
        <w:rPr>
          <w:rFonts w:hint="cs"/>
          <w:rtl/>
        </w:rPr>
        <w:t>,</w:t>
      </w:r>
      <w:r w:rsidRPr="0064233A">
        <w:rPr>
          <w:rFonts w:hint="cs"/>
          <w:rtl/>
        </w:rPr>
        <w:t xml:space="preserve"> </w:t>
      </w:r>
      <w:r w:rsidRPr="002019E1">
        <w:rPr>
          <w:b/>
          <w:bCs/>
          <w:rtl/>
        </w:rPr>
        <w:t>הליכי השיקום של יישובי הנגב המערבי, קהילותיהם ותושביהם שנפגעו באירועי שבעה באוקטובר - דוח ביניים מיוחד</w:t>
      </w:r>
      <w:r>
        <w:rPr>
          <w:rFonts w:hint="cs"/>
          <w:rtl/>
        </w:rPr>
        <w:t xml:space="preserve"> (</w:t>
      </w:r>
      <w:r w:rsidRPr="0064233A">
        <w:rPr>
          <w:rtl/>
        </w:rPr>
        <w:t>2025</w:t>
      </w:r>
      <w:r>
        <w:rPr>
          <w:rFonts w:hint="cs"/>
          <w:rtl/>
        </w:rPr>
        <w:t>)</w:t>
      </w:r>
      <w:r w:rsidRPr="0064233A">
        <w:rPr>
          <w:rtl/>
        </w:rPr>
        <w:t>.</w:t>
      </w:r>
      <w:r w:rsidRPr="0064233A">
        <w:rPr>
          <w:rFonts w:hint="cs"/>
          <w:rtl/>
        </w:rPr>
        <w:t xml:space="preserve"> </w:t>
      </w:r>
      <w:bookmarkEnd w:id="19"/>
    </w:p>
  </w:footnote>
  <w:footnote w:id="7">
    <w:p w:rsidR="002201F1"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Fonts w:hint="cs"/>
          <w:rtl/>
        </w:rPr>
        <w:t>מחלקה בהסתדרות הציונית העולמית.</w:t>
      </w:r>
    </w:p>
  </w:footnote>
  <w:footnote w:id="8">
    <w:p w:rsidR="002201F1" w:rsidP="005B126E">
      <w:pPr>
        <w:pStyle w:val="FootnoteText"/>
        <w:rPr>
          <w:rtl/>
        </w:rPr>
      </w:pPr>
      <w:r>
        <w:rPr>
          <w:rStyle w:val="FootnoteReference1"/>
        </w:rPr>
        <w:footnoteRef/>
      </w:r>
      <w:r>
        <w:rPr>
          <w:rtl/>
        </w:rPr>
        <w:t xml:space="preserve"> </w:t>
      </w:r>
      <w:r>
        <w:rPr>
          <w:rtl/>
        </w:rPr>
        <w:tab/>
      </w:r>
      <w:r>
        <w:rPr>
          <w:rFonts w:hint="cs"/>
          <w:rtl/>
        </w:rPr>
        <w:t>לפי נתוני הביטוח הלאומי מאוקטובר 2024. ללא אנשי כוחות הביטחון וכיתות הכוננות.</w:t>
      </w:r>
    </w:p>
  </w:footnote>
  <w:footnote w:id="9">
    <w:p w:rsidR="002201F1"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Fonts w:hint="cs"/>
          <w:rtl/>
        </w:rPr>
        <w:t xml:space="preserve">הוועדה הציבורית למתן סיוע לנפגעים מהאירועים שהתרחשו ביום שבעה </w:t>
      </w:r>
      <w:r>
        <w:rPr>
          <w:rFonts w:hint="cs"/>
          <w:rtl/>
        </w:rPr>
        <w:t>ב</w:t>
      </w:r>
      <w:r w:rsidRPr="0064233A">
        <w:rPr>
          <w:rFonts w:hint="cs"/>
          <w:rtl/>
        </w:rPr>
        <w:t>אוקטובר 2023</w:t>
      </w:r>
      <w:r>
        <w:rPr>
          <w:rFonts w:hint="cs"/>
          <w:rtl/>
        </w:rPr>
        <w:t>.</w:t>
      </w:r>
    </w:p>
  </w:footnote>
  <w:footnote w:id="10">
    <w:p w:rsidR="002201F1"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Fonts w:hint="cs"/>
          <w:rtl/>
        </w:rPr>
        <w:t xml:space="preserve">החלטת </w:t>
      </w:r>
      <w:r>
        <w:rPr>
          <w:rFonts w:hint="cs"/>
          <w:rtl/>
        </w:rPr>
        <w:t>ה</w:t>
      </w:r>
      <w:r w:rsidRPr="0064233A">
        <w:rPr>
          <w:rFonts w:hint="cs"/>
          <w:rtl/>
        </w:rPr>
        <w:t xml:space="preserve">ממשלה 980 </w:t>
      </w:r>
      <w:r>
        <w:rPr>
          <w:rFonts w:hint="cs"/>
          <w:rtl/>
        </w:rPr>
        <w:t>(</w:t>
      </w:r>
      <w:r w:rsidRPr="0064233A">
        <w:rPr>
          <w:rFonts w:hint="cs"/>
          <w:rtl/>
        </w:rPr>
        <w:t>19.10.23</w:t>
      </w:r>
      <w:r>
        <w:rPr>
          <w:rFonts w:hint="cs"/>
          <w:rtl/>
        </w:rPr>
        <w:t>)</w:t>
      </w:r>
      <w:r w:rsidRPr="0064233A">
        <w:rPr>
          <w:rFonts w:hint="cs"/>
          <w:rtl/>
        </w:rPr>
        <w:t>.</w:t>
      </w:r>
    </w:p>
  </w:footnote>
  <w:footnote w:id="11">
    <w:p w:rsidR="002201F1" w:rsidRPr="0064233A" w:rsidP="005B126E">
      <w:pPr>
        <w:pStyle w:val="FootnoteText"/>
      </w:pPr>
      <w:r w:rsidRPr="0064233A">
        <w:rPr>
          <w:rStyle w:val="FootnoteReference1"/>
        </w:rPr>
        <w:footnoteRef/>
      </w:r>
      <w:r w:rsidRPr="0064233A">
        <w:rPr>
          <w:rtl/>
        </w:rPr>
        <w:t xml:space="preserve"> </w:t>
      </w:r>
      <w:r w:rsidRPr="0064233A">
        <w:rPr>
          <w:rtl/>
        </w:rPr>
        <w:tab/>
      </w:r>
      <w:r w:rsidRPr="0064233A">
        <w:rPr>
          <w:rFonts w:hint="cs"/>
          <w:rtl/>
        </w:rPr>
        <w:t xml:space="preserve">נושא </w:t>
      </w:r>
      <w:r w:rsidRPr="0064233A">
        <w:rPr>
          <w:rFonts w:hint="cs"/>
          <w:b/>
          <w:rtl/>
        </w:rPr>
        <w:t>הגדרת גבולות החבל נדון בהרחבה בדוח הביניים</w:t>
      </w:r>
      <w:r w:rsidRPr="0064233A">
        <w:rPr>
          <w:rFonts w:hint="cs"/>
          <w:rtl/>
        </w:rPr>
        <w:t>.</w:t>
      </w:r>
    </w:p>
  </w:footnote>
  <w:footnote w:id="12">
    <w:p w:rsidR="002201F1" w:rsidRPr="0064233A" w:rsidP="005B126E">
      <w:pPr>
        <w:pStyle w:val="FootnoteText"/>
      </w:pPr>
      <w:r w:rsidRPr="0064233A">
        <w:rPr>
          <w:rStyle w:val="FootnoteReference1"/>
        </w:rPr>
        <w:footnoteRef/>
      </w:r>
      <w:r w:rsidRPr="0064233A">
        <w:rPr>
          <w:rtl/>
        </w:rPr>
        <w:t xml:space="preserve"> </w:t>
      </w:r>
      <w:r w:rsidRPr="0064233A">
        <w:rPr>
          <w:rtl/>
        </w:rPr>
        <w:tab/>
      </w:r>
      <w:r w:rsidRPr="0064233A">
        <w:rPr>
          <w:rFonts w:hint="cs"/>
          <w:rtl/>
        </w:rPr>
        <w:t xml:space="preserve">החל מהחלטת </w:t>
      </w:r>
      <w:r>
        <w:rPr>
          <w:rFonts w:hint="cs"/>
          <w:rtl/>
        </w:rPr>
        <w:t>ה</w:t>
      </w:r>
      <w:r w:rsidRPr="0064233A">
        <w:rPr>
          <w:rFonts w:hint="cs"/>
          <w:rtl/>
        </w:rPr>
        <w:t>ממשלה</w:t>
      </w:r>
      <w:r w:rsidRPr="0064233A">
        <w:rPr>
          <w:rtl/>
        </w:rPr>
        <w:t xml:space="preserve"> 2173</w:t>
      </w:r>
      <w:r w:rsidRPr="0064233A">
        <w:rPr>
          <w:rFonts w:hint="cs"/>
          <w:rtl/>
        </w:rPr>
        <w:t xml:space="preserve"> (4.7.2004) נעשה שימוש במונח "עוטף </w:t>
      </w:r>
      <w:r>
        <w:rPr>
          <w:rFonts w:hint="cs"/>
          <w:rtl/>
        </w:rPr>
        <w:t xml:space="preserve">רצועת </w:t>
      </w:r>
      <w:r w:rsidRPr="0064233A">
        <w:rPr>
          <w:rFonts w:hint="cs"/>
          <w:rtl/>
        </w:rPr>
        <w:t>עזה".</w:t>
      </w:r>
    </w:p>
  </w:footnote>
  <w:footnote w:id="13">
    <w:p w:rsidR="002201F1" w:rsidRPr="0064233A" w:rsidP="005B126E">
      <w:pPr>
        <w:pStyle w:val="FootnoteText"/>
      </w:pPr>
      <w:r w:rsidRPr="0064233A">
        <w:rPr>
          <w:rStyle w:val="FootnoteReference1"/>
        </w:rPr>
        <w:footnoteRef/>
      </w:r>
      <w:r w:rsidRPr="0064233A">
        <w:rPr>
          <w:rtl/>
        </w:rPr>
        <w:t xml:space="preserve"> </w:t>
      </w:r>
      <w:r w:rsidRPr="0064233A">
        <w:rPr>
          <w:rtl/>
        </w:rPr>
        <w:tab/>
      </w:r>
      <w:r w:rsidRPr="0064233A">
        <w:rPr>
          <w:rFonts w:hint="cs"/>
          <w:rtl/>
        </w:rPr>
        <w:t xml:space="preserve">החלטת </w:t>
      </w:r>
      <w:r>
        <w:rPr>
          <w:rFonts w:hint="cs"/>
          <w:rtl/>
        </w:rPr>
        <w:t>ה</w:t>
      </w:r>
      <w:r w:rsidRPr="0064233A">
        <w:rPr>
          <w:rFonts w:hint="cs"/>
          <w:rtl/>
        </w:rPr>
        <w:t xml:space="preserve">ממשלה </w:t>
      </w:r>
      <w:r w:rsidRPr="0064233A">
        <w:rPr>
          <w:rtl/>
        </w:rPr>
        <w:t>2954</w:t>
      </w:r>
      <w:r w:rsidRPr="0064233A">
        <w:rPr>
          <w:rFonts w:hint="cs"/>
          <w:rtl/>
        </w:rPr>
        <w:t>, "סיוע</w:t>
      </w:r>
      <w:r w:rsidRPr="0064233A">
        <w:rPr>
          <w:rtl/>
        </w:rPr>
        <w:t xml:space="preserve"> </w:t>
      </w:r>
      <w:r w:rsidRPr="0064233A">
        <w:rPr>
          <w:rFonts w:hint="cs"/>
          <w:rtl/>
        </w:rPr>
        <w:t>מיוחד</w:t>
      </w:r>
      <w:r w:rsidRPr="0064233A">
        <w:rPr>
          <w:rtl/>
        </w:rPr>
        <w:t xml:space="preserve"> </w:t>
      </w:r>
      <w:r w:rsidRPr="0064233A">
        <w:rPr>
          <w:rFonts w:hint="cs"/>
          <w:rtl/>
        </w:rPr>
        <w:t>לעיר</w:t>
      </w:r>
      <w:r w:rsidRPr="0064233A">
        <w:rPr>
          <w:rtl/>
        </w:rPr>
        <w:t xml:space="preserve"> </w:t>
      </w:r>
      <w:r w:rsidRPr="0064233A">
        <w:rPr>
          <w:rFonts w:hint="cs"/>
          <w:rtl/>
        </w:rPr>
        <w:t>שדרות"</w:t>
      </w:r>
      <w:r w:rsidRPr="0064233A">
        <w:rPr>
          <w:rtl/>
        </w:rPr>
        <w:t xml:space="preserve"> </w:t>
      </w:r>
      <w:r w:rsidRPr="0064233A">
        <w:rPr>
          <w:rFonts w:hint="cs"/>
          <w:rtl/>
        </w:rPr>
        <w:t xml:space="preserve">(20.2.03); החלטת </w:t>
      </w:r>
      <w:r>
        <w:rPr>
          <w:rFonts w:hint="cs"/>
          <w:rtl/>
        </w:rPr>
        <w:t>ה</w:t>
      </w:r>
      <w:r w:rsidRPr="0064233A">
        <w:rPr>
          <w:rFonts w:hint="cs"/>
          <w:rtl/>
        </w:rPr>
        <w:t>ממשלה</w:t>
      </w:r>
      <w:r w:rsidRPr="0064233A">
        <w:rPr>
          <w:rtl/>
        </w:rPr>
        <w:t xml:space="preserve"> 1231, </w:t>
      </w:r>
      <w:r>
        <w:rPr>
          <w:rFonts w:hint="cs"/>
          <w:rtl/>
        </w:rPr>
        <w:t>"</w:t>
      </w:r>
      <w:r w:rsidRPr="0064233A">
        <w:rPr>
          <w:rFonts w:hint="cs"/>
          <w:rtl/>
        </w:rPr>
        <w:t>קביעת</w:t>
      </w:r>
      <w:r w:rsidRPr="0064233A">
        <w:rPr>
          <w:rtl/>
        </w:rPr>
        <w:t xml:space="preserve"> </w:t>
      </w:r>
      <w:r w:rsidRPr="0064233A">
        <w:rPr>
          <w:rFonts w:hint="cs"/>
          <w:rtl/>
        </w:rPr>
        <w:t>תחום</w:t>
      </w:r>
      <w:r w:rsidRPr="0064233A">
        <w:rPr>
          <w:rtl/>
        </w:rPr>
        <w:t xml:space="preserve"> </w:t>
      </w:r>
      <w:r w:rsidRPr="0064233A">
        <w:rPr>
          <w:rFonts w:hint="cs"/>
          <w:rtl/>
        </w:rPr>
        <w:t>א</w:t>
      </w:r>
      <w:r>
        <w:rPr>
          <w:rFonts w:hint="cs"/>
          <w:rtl/>
        </w:rPr>
        <w:t>י</w:t>
      </w:r>
      <w:r w:rsidRPr="0064233A">
        <w:rPr>
          <w:rFonts w:hint="cs"/>
          <w:rtl/>
        </w:rPr>
        <w:t>זור</w:t>
      </w:r>
      <w:r w:rsidRPr="0064233A">
        <w:rPr>
          <w:rtl/>
        </w:rPr>
        <w:t xml:space="preserve"> </w:t>
      </w:r>
      <w:r w:rsidRPr="0064233A">
        <w:rPr>
          <w:rFonts w:hint="cs"/>
          <w:rtl/>
        </w:rPr>
        <w:t>שדרות</w:t>
      </w:r>
      <w:r w:rsidRPr="0064233A">
        <w:rPr>
          <w:rtl/>
        </w:rPr>
        <w:t xml:space="preserve"> </w:t>
      </w:r>
      <w:r w:rsidRPr="0064233A">
        <w:rPr>
          <w:rFonts w:hint="cs"/>
          <w:rtl/>
        </w:rPr>
        <w:t>רבתי</w:t>
      </w:r>
      <w:r w:rsidRPr="0064233A">
        <w:rPr>
          <w:rtl/>
        </w:rPr>
        <w:t xml:space="preserve"> </w:t>
      </w:r>
      <w:r w:rsidRPr="0064233A">
        <w:rPr>
          <w:rFonts w:hint="cs"/>
          <w:rtl/>
        </w:rPr>
        <w:t>כאזור</w:t>
      </w:r>
      <w:r w:rsidRPr="0064233A">
        <w:rPr>
          <w:rtl/>
        </w:rPr>
        <w:t xml:space="preserve"> </w:t>
      </w:r>
      <w:r w:rsidRPr="0064233A">
        <w:rPr>
          <w:rFonts w:hint="cs"/>
          <w:rtl/>
        </w:rPr>
        <w:t>קו</w:t>
      </w:r>
      <w:r w:rsidRPr="0064233A">
        <w:rPr>
          <w:rtl/>
        </w:rPr>
        <w:t xml:space="preserve"> </w:t>
      </w:r>
      <w:r w:rsidRPr="0064233A">
        <w:rPr>
          <w:rFonts w:hint="cs"/>
          <w:rtl/>
        </w:rPr>
        <w:t>עימות</w:t>
      </w:r>
      <w:r w:rsidRPr="0064233A">
        <w:rPr>
          <w:rtl/>
        </w:rPr>
        <w:t xml:space="preserve"> </w:t>
      </w:r>
      <w:r w:rsidRPr="0064233A">
        <w:rPr>
          <w:rFonts w:hint="cs"/>
          <w:rtl/>
        </w:rPr>
        <w:t>לעניין</w:t>
      </w:r>
      <w:r w:rsidRPr="0064233A">
        <w:rPr>
          <w:rtl/>
        </w:rPr>
        <w:t xml:space="preserve"> </w:t>
      </w:r>
      <w:r w:rsidRPr="0064233A">
        <w:rPr>
          <w:rFonts w:hint="cs"/>
          <w:rtl/>
        </w:rPr>
        <w:t>העדפה</w:t>
      </w:r>
      <w:r w:rsidRPr="0064233A">
        <w:rPr>
          <w:rtl/>
        </w:rPr>
        <w:t xml:space="preserve"> </w:t>
      </w:r>
      <w:r w:rsidRPr="0064233A">
        <w:rPr>
          <w:rFonts w:hint="cs"/>
          <w:rtl/>
        </w:rPr>
        <w:t>במכרזי</w:t>
      </w:r>
      <w:r w:rsidRPr="0064233A">
        <w:rPr>
          <w:rtl/>
        </w:rPr>
        <w:t xml:space="preserve"> </w:t>
      </w:r>
      <w:r w:rsidRPr="0064233A">
        <w:rPr>
          <w:rFonts w:hint="cs"/>
          <w:rtl/>
        </w:rPr>
        <w:t>משרד</w:t>
      </w:r>
      <w:r w:rsidRPr="0064233A">
        <w:rPr>
          <w:rtl/>
        </w:rPr>
        <w:t xml:space="preserve"> </w:t>
      </w:r>
      <w:r w:rsidRPr="0064233A">
        <w:rPr>
          <w:rFonts w:hint="cs"/>
          <w:rtl/>
        </w:rPr>
        <w:t>הביטחון</w:t>
      </w:r>
      <w:r>
        <w:rPr>
          <w:rFonts w:hint="cs"/>
          <w:rtl/>
        </w:rPr>
        <w:t>"</w:t>
      </w:r>
      <w:r w:rsidRPr="0064233A">
        <w:rPr>
          <w:rFonts w:hint="cs"/>
          <w:rtl/>
        </w:rPr>
        <w:t xml:space="preserve"> (25.12.03).</w:t>
      </w:r>
    </w:p>
  </w:footnote>
  <w:footnote w:id="14">
    <w:p w:rsidR="002201F1" w:rsidRPr="0064233A" w:rsidP="005B126E">
      <w:pPr>
        <w:pStyle w:val="FootnoteText"/>
      </w:pPr>
      <w:r w:rsidRPr="0064233A">
        <w:rPr>
          <w:rStyle w:val="FootnoteReference1"/>
        </w:rPr>
        <w:footnoteRef/>
      </w:r>
      <w:r w:rsidRPr="0064233A">
        <w:rPr>
          <w:rtl/>
        </w:rPr>
        <w:tab/>
      </w:r>
      <w:r w:rsidRPr="0064233A">
        <w:rPr>
          <w:rFonts w:hint="cs"/>
          <w:rtl/>
        </w:rPr>
        <w:t xml:space="preserve">החלטת </w:t>
      </w:r>
      <w:r>
        <w:rPr>
          <w:rFonts w:hint="cs"/>
          <w:rtl/>
        </w:rPr>
        <w:t>ה</w:t>
      </w:r>
      <w:r w:rsidRPr="0064233A">
        <w:rPr>
          <w:rFonts w:hint="cs"/>
          <w:rtl/>
        </w:rPr>
        <w:t>ממשלה</w:t>
      </w:r>
      <w:r w:rsidRPr="0064233A">
        <w:rPr>
          <w:rtl/>
        </w:rPr>
        <w:t xml:space="preserve"> 2341, </w:t>
      </w:r>
      <w:r w:rsidRPr="0064233A">
        <w:rPr>
          <w:rFonts w:hint="cs"/>
          <w:rtl/>
        </w:rPr>
        <w:t>"סיוע</w:t>
      </w:r>
      <w:r w:rsidRPr="0064233A">
        <w:rPr>
          <w:rtl/>
        </w:rPr>
        <w:t xml:space="preserve"> </w:t>
      </w:r>
      <w:r w:rsidRPr="0064233A">
        <w:rPr>
          <w:rFonts w:hint="cs"/>
          <w:rtl/>
        </w:rPr>
        <w:t>ליישובים</w:t>
      </w:r>
      <w:r w:rsidRPr="0064233A">
        <w:rPr>
          <w:rtl/>
        </w:rPr>
        <w:t xml:space="preserve"> </w:t>
      </w:r>
      <w:r w:rsidRPr="0064233A">
        <w:rPr>
          <w:rFonts w:hint="cs"/>
          <w:rtl/>
        </w:rPr>
        <w:t>בעוטף</w:t>
      </w:r>
      <w:r w:rsidRPr="0064233A">
        <w:rPr>
          <w:rtl/>
        </w:rPr>
        <w:t xml:space="preserve"> </w:t>
      </w:r>
      <w:r w:rsidRPr="0064233A">
        <w:rPr>
          <w:rFonts w:hint="cs"/>
          <w:rtl/>
        </w:rPr>
        <w:t>עזה</w:t>
      </w:r>
      <w:r w:rsidRPr="0064233A">
        <w:rPr>
          <w:rtl/>
        </w:rPr>
        <w:t xml:space="preserve"> </w:t>
      </w:r>
      <w:r w:rsidRPr="0064233A">
        <w:rPr>
          <w:rFonts w:hint="cs"/>
          <w:rtl/>
        </w:rPr>
        <w:t xml:space="preserve">לשנים 2004 - </w:t>
      </w:r>
      <w:r w:rsidRPr="0064233A">
        <w:rPr>
          <w:rtl/>
        </w:rPr>
        <w:t>200</w:t>
      </w:r>
      <w:r w:rsidRPr="0064233A">
        <w:rPr>
          <w:rFonts w:hint="cs"/>
          <w:rtl/>
        </w:rPr>
        <w:t>6</w:t>
      </w:r>
      <w:r>
        <w:rPr>
          <w:rFonts w:hint="cs"/>
          <w:rtl/>
        </w:rPr>
        <w:t xml:space="preserve"> - תיקון החלטה</w:t>
      </w:r>
      <w:r w:rsidRPr="0064233A">
        <w:rPr>
          <w:rFonts w:hint="cs"/>
          <w:rtl/>
        </w:rPr>
        <w:t xml:space="preserve">" (1.8.04); החלטת </w:t>
      </w:r>
      <w:r>
        <w:rPr>
          <w:rFonts w:hint="cs"/>
          <w:rtl/>
        </w:rPr>
        <w:t>ה</w:t>
      </w:r>
      <w:r w:rsidRPr="0064233A">
        <w:rPr>
          <w:rFonts w:hint="cs"/>
          <w:rtl/>
        </w:rPr>
        <w:t>ממשלה</w:t>
      </w:r>
      <w:r w:rsidRPr="0064233A">
        <w:rPr>
          <w:rtl/>
        </w:rPr>
        <w:t xml:space="preserve"> 2704, </w:t>
      </w:r>
      <w:r>
        <w:rPr>
          <w:rFonts w:hint="cs"/>
          <w:rtl/>
        </w:rPr>
        <w:t>"</w:t>
      </w:r>
      <w:r w:rsidRPr="0064233A">
        <w:rPr>
          <w:rFonts w:hint="cs"/>
          <w:rtl/>
        </w:rPr>
        <w:t>תוספת</w:t>
      </w:r>
      <w:r w:rsidRPr="0064233A">
        <w:rPr>
          <w:rtl/>
        </w:rPr>
        <w:t xml:space="preserve"> </w:t>
      </w:r>
      <w:r w:rsidRPr="0064233A">
        <w:rPr>
          <w:rFonts w:hint="cs"/>
          <w:rtl/>
        </w:rPr>
        <w:t>המושב</w:t>
      </w:r>
      <w:r w:rsidRPr="0064233A">
        <w:rPr>
          <w:rtl/>
        </w:rPr>
        <w:t xml:space="preserve"> '</w:t>
      </w:r>
      <w:r w:rsidRPr="0064233A">
        <w:rPr>
          <w:rFonts w:hint="cs"/>
          <w:rtl/>
        </w:rPr>
        <w:t>תקומה</w:t>
      </w:r>
      <w:r w:rsidRPr="0064233A">
        <w:rPr>
          <w:rtl/>
        </w:rPr>
        <w:t xml:space="preserve">' </w:t>
      </w:r>
      <w:r w:rsidRPr="0064233A">
        <w:rPr>
          <w:rFonts w:hint="cs"/>
          <w:rtl/>
        </w:rPr>
        <w:t>ליישובי</w:t>
      </w:r>
      <w:r w:rsidRPr="0064233A">
        <w:rPr>
          <w:rtl/>
        </w:rPr>
        <w:t xml:space="preserve"> '</w:t>
      </w:r>
      <w:r w:rsidRPr="0064233A">
        <w:rPr>
          <w:rFonts w:hint="cs"/>
          <w:rtl/>
        </w:rPr>
        <w:t>עוטף</w:t>
      </w:r>
      <w:r w:rsidRPr="0064233A">
        <w:rPr>
          <w:rtl/>
        </w:rPr>
        <w:t xml:space="preserve"> </w:t>
      </w:r>
      <w:r w:rsidRPr="0064233A">
        <w:rPr>
          <w:rFonts w:hint="cs"/>
          <w:rtl/>
        </w:rPr>
        <w:t>עזה</w:t>
      </w:r>
      <w:r w:rsidRPr="0064233A">
        <w:rPr>
          <w:rtl/>
        </w:rPr>
        <w:t>'</w:t>
      </w:r>
      <w:r>
        <w:rPr>
          <w:rFonts w:hint="cs"/>
          <w:rtl/>
        </w:rPr>
        <w:t>"</w:t>
      </w:r>
      <w:r w:rsidRPr="0064233A">
        <w:rPr>
          <w:rtl/>
        </w:rPr>
        <w:t xml:space="preserve"> </w:t>
      </w:r>
      <w:r w:rsidRPr="0064233A">
        <w:rPr>
          <w:rFonts w:hint="cs"/>
          <w:rtl/>
        </w:rPr>
        <w:t xml:space="preserve">(14.11.04); החלטת </w:t>
      </w:r>
      <w:r>
        <w:rPr>
          <w:rFonts w:hint="cs"/>
          <w:rtl/>
        </w:rPr>
        <w:t>ה</w:t>
      </w:r>
      <w:r w:rsidRPr="0064233A">
        <w:rPr>
          <w:rFonts w:hint="cs"/>
          <w:rtl/>
        </w:rPr>
        <w:t>ממשלה</w:t>
      </w:r>
      <w:r w:rsidRPr="0064233A">
        <w:rPr>
          <w:rtl/>
        </w:rPr>
        <w:t xml:space="preserve"> 1470, </w:t>
      </w:r>
      <w:r>
        <w:rPr>
          <w:rFonts w:hint="cs"/>
          <w:rtl/>
        </w:rPr>
        <w:t>"</w:t>
      </w:r>
      <w:r w:rsidRPr="0064233A">
        <w:rPr>
          <w:rFonts w:hint="cs"/>
          <w:rtl/>
        </w:rPr>
        <w:t>סיוע</w:t>
      </w:r>
      <w:r w:rsidRPr="0064233A">
        <w:rPr>
          <w:rtl/>
        </w:rPr>
        <w:t xml:space="preserve"> </w:t>
      </w:r>
      <w:r w:rsidRPr="0064233A">
        <w:rPr>
          <w:rFonts w:hint="cs"/>
          <w:rtl/>
        </w:rPr>
        <w:t>ליישובים</w:t>
      </w:r>
      <w:r w:rsidRPr="0064233A">
        <w:rPr>
          <w:rtl/>
        </w:rPr>
        <w:t xml:space="preserve"> </w:t>
      </w:r>
      <w:r w:rsidRPr="0064233A">
        <w:rPr>
          <w:rFonts w:hint="cs"/>
          <w:rtl/>
        </w:rPr>
        <w:t>בעוטף</w:t>
      </w:r>
      <w:r w:rsidRPr="0064233A">
        <w:rPr>
          <w:rtl/>
        </w:rPr>
        <w:t xml:space="preserve"> </w:t>
      </w:r>
      <w:r w:rsidRPr="0064233A">
        <w:rPr>
          <w:rFonts w:hint="cs"/>
          <w:rtl/>
        </w:rPr>
        <w:t>רצועת</w:t>
      </w:r>
      <w:r w:rsidRPr="0064233A">
        <w:rPr>
          <w:rtl/>
        </w:rPr>
        <w:t xml:space="preserve"> </w:t>
      </w:r>
      <w:r w:rsidRPr="0064233A">
        <w:rPr>
          <w:rFonts w:hint="cs"/>
          <w:rtl/>
        </w:rPr>
        <w:t>עזה</w:t>
      </w:r>
      <w:r w:rsidRPr="0064233A">
        <w:rPr>
          <w:rtl/>
        </w:rPr>
        <w:t xml:space="preserve"> </w:t>
      </w:r>
      <w:r>
        <w:rPr>
          <w:rFonts w:hint="cs"/>
          <w:rtl/>
        </w:rPr>
        <w:t>-</w:t>
      </w:r>
      <w:r w:rsidRPr="0064233A">
        <w:rPr>
          <w:rtl/>
        </w:rPr>
        <w:t xml:space="preserve"> </w:t>
      </w:r>
      <w:r w:rsidRPr="0064233A">
        <w:rPr>
          <w:rFonts w:hint="cs"/>
          <w:rtl/>
        </w:rPr>
        <w:t>תיקון</w:t>
      </w:r>
      <w:r w:rsidRPr="0064233A">
        <w:rPr>
          <w:rtl/>
        </w:rPr>
        <w:t xml:space="preserve"> </w:t>
      </w:r>
      <w:r w:rsidRPr="0064233A">
        <w:rPr>
          <w:rFonts w:hint="cs"/>
          <w:rtl/>
        </w:rPr>
        <w:t>החלטה</w:t>
      </w:r>
      <w:r>
        <w:rPr>
          <w:rFonts w:hint="cs"/>
          <w:rtl/>
        </w:rPr>
        <w:t>"</w:t>
      </w:r>
      <w:r w:rsidRPr="0064233A">
        <w:rPr>
          <w:rtl/>
        </w:rPr>
        <w:t xml:space="preserve"> </w:t>
      </w:r>
      <w:r w:rsidRPr="0064233A">
        <w:rPr>
          <w:rFonts w:hint="cs"/>
          <w:rtl/>
        </w:rPr>
        <w:t xml:space="preserve">(25.03.07); החלטת </w:t>
      </w:r>
      <w:r>
        <w:rPr>
          <w:rFonts w:hint="cs"/>
          <w:rtl/>
        </w:rPr>
        <w:t>ה</w:t>
      </w:r>
      <w:r w:rsidRPr="0064233A">
        <w:rPr>
          <w:rFonts w:hint="cs"/>
          <w:rtl/>
        </w:rPr>
        <w:t>ממשלה</w:t>
      </w:r>
      <w:r w:rsidRPr="0064233A">
        <w:rPr>
          <w:rtl/>
        </w:rPr>
        <w:t xml:space="preserve"> 1708</w:t>
      </w:r>
      <w:r w:rsidRPr="0064233A">
        <w:rPr>
          <w:rFonts w:hint="cs"/>
          <w:rtl/>
        </w:rPr>
        <w:t xml:space="preserve">, </w:t>
      </w:r>
      <w:r>
        <w:rPr>
          <w:rFonts w:hint="cs"/>
          <w:rtl/>
        </w:rPr>
        <w:t>"</w:t>
      </w:r>
      <w:r w:rsidRPr="0064233A">
        <w:rPr>
          <w:rFonts w:hint="cs"/>
          <w:rtl/>
        </w:rPr>
        <w:t>עדכון</w:t>
      </w:r>
      <w:r w:rsidRPr="0064233A">
        <w:rPr>
          <w:rtl/>
        </w:rPr>
        <w:t xml:space="preserve"> </w:t>
      </w:r>
      <w:r w:rsidRPr="0064233A">
        <w:rPr>
          <w:rFonts w:hint="cs"/>
          <w:rtl/>
        </w:rPr>
        <w:t>תיחומו</w:t>
      </w:r>
      <w:r w:rsidRPr="0064233A">
        <w:rPr>
          <w:rtl/>
        </w:rPr>
        <w:t xml:space="preserve"> </w:t>
      </w:r>
      <w:r w:rsidRPr="0064233A">
        <w:rPr>
          <w:rFonts w:hint="cs"/>
          <w:rtl/>
        </w:rPr>
        <w:t>הגיאוגרפי</w:t>
      </w:r>
      <w:r w:rsidRPr="0064233A">
        <w:rPr>
          <w:rtl/>
        </w:rPr>
        <w:t xml:space="preserve"> </w:t>
      </w:r>
      <w:r w:rsidRPr="0064233A">
        <w:rPr>
          <w:rFonts w:hint="cs"/>
          <w:rtl/>
        </w:rPr>
        <w:t>של</w:t>
      </w:r>
      <w:r w:rsidRPr="0064233A">
        <w:rPr>
          <w:rtl/>
        </w:rPr>
        <w:t xml:space="preserve"> </w:t>
      </w:r>
      <w:r>
        <w:rPr>
          <w:rFonts w:hint="cs"/>
          <w:rtl/>
        </w:rPr>
        <w:t xml:space="preserve">אזור </w:t>
      </w:r>
      <w:r w:rsidRPr="0064233A">
        <w:rPr>
          <w:rtl/>
        </w:rPr>
        <w:t>'</w:t>
      </w:r>
      <w:r w:rsidRPr="0064233A">
        <w:rPr>
          <w:rFonts w:hint="cs"/>
          <w:rtl/>
        </w:rPr>
        <w:t>שדרות</w:t>
      </w:r>
      <w:r w:rsidRPr="0064233A">
        <w:rPr>
          <w:rtl/>
        </w:rPr>
        <w:t xml:space="preserve"> </w:t>
      </w:r>
      <w:r w:rsidRPr="0064233A">
        <w:rPr>
          <w:rFonts w:hint="cs"/>
          <w:rtl/>
        </w:rPr>
        <w:t>רבתי</w:t>
      </w:r>
      <w:r w:rsidRPr="0064233A">
        <w:rPr>
          <w:rtl/>
        </w:rPr>
        <w:t xml:space="preserve">' </w:t>
      </w:r>
      <w:r w:rsidRPr="0064233A">
        <w:rPr>
          <w:rFonts w:hint="cs"/>
          <w:rtl/>
        </w:rPr>
        <w:t>בתכנית</w:t>
      </w:r>
      <w:r w:rsidRPr="0064233A">
        <w:rPr>
          <w:rtl/>
        </w:rPr>
        <w:t xml:space="preserve"> </w:t>
      </w:r>
      <w:r w:rsidRPr="0064233A">
        <w:rPr>
          <w:rFonts w:hint="cs"/>
          <w:rtl/>
        </w:rPr>
        <w:t>הסיוע</w:t>
      </w:r>
      <w:r w:rsidRPr="0064233A">
        <w:rPr>
          <w:rtl/>
        </w:rPr>
        <w:t xml:space="preserve"> </w:t>
      </w:r>
      <w:r w:rsidRPr="0064233A">
        <w:rPr>
          <w:rFonts w:hint="cs"/>
          <w:rtl/>
        </w:rPr>
        <w:t>המשלימה</w:t>
      </w:r>
      <w:r w:rsidRPr="0064233A">
        <w:rPr>
          <w:rtl/>
        </w:rPr>
        <w:t xml:space="preserve"> </w:t>
      </w:r>
      <w:r w:rsidRPr="0064233A">
        <w:rPr>
          <w:rFonts w:hint="cs"/>
          <w:rtl/>
        </w:rPr>
        <w:t>לשדרות</w:t>
      </w:r>
      <w:r w:rsidRPr="0064233A">
        <w:rPr>
          <w:rtl/>
        </w:rPr>
        <w:t xml:space="preserve"> </w:t>
      </w:r>
      <w:r w:rsidRPr="0064233A">
        <w:rPr>
          <w:rFonts w:hint="cs"/>
          <w:rtl/>
        </w:rPr>
        <w:t>וליישובי</w:t>
      </w:r>
      <w:r w:rsidRPr="0064233A">
        <w:rPr>
          <w:rtl/>
        </w:rPr>
        <w:t xml:space="preserve"> </w:t>
      </w:r>
      <w:r w:rsidRPr="0064233A">
        <w:rPr>
          <w:rFonts w:hint="cs"/>
          <w:rtl/>
        </w:rPr>
        <w:t>עוטף</w:t>
      </w:r>
      <w:r w:rsidRPr="0064233A">
        <w:rPr>
          <w:rtl/>
        </w:rPr>
        <w:t xml:space="preserve"> </w:t>
      </w:r>
      <w:r w:rsidRPr="0064233A">
        <w:rPr>
          <w:rFonts w:hint="cs"/>
          <w:rtl/>
        </w:rPr>
        <w:t>רצועת</w:t>
      </w:r>
      <w:r w:rsidRPr="0064233A">
        <w:rPr>
          <w:rtl/>
        </w:rPr>
        <w:t xml:space="preserve"> </w:t>
      </w:r>
      <w:r w:rsidRPr="0064233A">
        <w:rPr>
          <w:rFonts w:hint="cs"/>
          <w:rtl/>
        </w:rPr>
        <w:t>עזה</w:t>
      </w:r>
      <w:r w:rsidRPr="0064233A">
        <w:rPr>
          <w:rtl/>
        </w:rPr>
        <w:t xml:space="preserve"> </w:t>
      </w:r>
      <w:r w:rsidRPr="0064233A">
        <w:rPr>
          <w:rFonts w:hint="cs"/>
          <w:rtl/>
        </w:rPr>
        <w:t>לשנת 2007</w:t>
      </w:r>
      <w:r>
        <w:rPr>
          <w:rFonts w:hint="cs"/>
          <w:rtl/>
        </w:rPr>
        <w:t>"</w:t>
      </w:r>
      <w:r w:rsidRPr="0064233A">
        <w:rPr>
          <w:rFonts w:hint="cs"/>
          <w:rtl/>
        </w:rPr>
        <w:t xml:space="preserve"> (27.05.07).</w:t>
      </w:r>
    </w:p>
  </w:footnote>
  <w:footnote w:id="15">
    <w:p w:rsidR="002201F1" w:rsidRPr="0064233A" w:rsidP="005B126E">
      <w:pPr>
        <w:pStyle w:val="FootnoteText"/>
      </w:pPr>
      <w:r w:rsidRPr="0064233A">
        <w:rPr>
          <w:rStyle w:val="FootnoteReference1"/>
        </w:rPr>
        <w:footnoteRef/>
      </w:r>
      <w:r w:rsidRPr="0064233A">
        <w:rPr>
          <w:rtl/>
        </w:rPr>
        <w:t xml:space="preserve"> </w:t>
      </w:r>
      <w:r w:rsidRPr="0064233A">
        <w:rPr>
          <w:rtl/>
        </w:rPr>
        <w:tab/>
      </w:r>
      <w:r w:rsidRPr="0064233A">
        <w:rPr>
          <w:rFonts w:hint="cs"/>
          <w:rtl/>
        </w:rPr>
        <w:t>הודעת מזכיר הממשלה בתום ישיבת הממשלה 1.8.2004</w:t>
      </w:r>
      <w:r w:rsidRPr="003B3F5B">
        <w:rPr>
          <w:rFonts w:hint="cs"/>
          <w:rtl/>
        </w:rPr>
        <w:t>.</w:t>
      </w:r>
    </w:p>
  </w:footnote>
  <w:footnote w:id="16">
    <w:p w:rsidR="002201F1"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Fonts w:hint="cs"/>
          <w:rtl/>
        </w:rPr>
        <w:t xml:space="preserve">החלטת </w:t>
      </w:r>
      <w:r>
        <w:rPr>
          <w:rFonts w:hint="cs"/>
          <w:rtl/>
        </w:rPr>
        <w:t>ה</w:t>
      </w:r>
      <w:r w:rsidRPr="0064233A">
        <w:rPr>
          <w:rFonts w:hint="cs"/>
          <w:rtl/>
        </w:rPr>
        <w:t xml:space="preserve">ממשלה 1127 </w:t>
      </w:r>
      <w:r>
        <w:rPr>
          <w:rFonts w:hint="cs"/>
          <w:rtl/>
        </w:rPr>
        <w:t>(</w:t>
      </w:r>
      <w:r w:rsidRPr="0064233A">
        <w:rPr>
          <w:rFonts w:hint="cs"/>
          <w:rtl/>
        </w:rPr>
        <w:t>10.12.23</w:t>
      </w:r>
      <w:r>
        <w:rPr>
          <w:rFonts w:hint="cs"/>
          <w:rtl/>
        </w:rPr>
        <w:t>).</w:t>
      </w:r>
    </w:p>
  </w:footnote>
  <w:footnote w:id="17">
    <w:p w:rsidR="002201F1" w:rsidRPr="0064233A" w:rsidP="005B126E">
      <w:pPr>
        <w:pStyle w:val="FootnoteText"/>
      </w:pPr>
      <w:r w:rsidRPr="0064233A">
        <w:rPr>
          <w:rStyle w:val="FootnoteReference1"/>
        </w:rPr>
        <w:footnoteRef/>
      </w:r>
      <w:r w:rsidRPr="0064233A">
        <w:rPr>
          <w:rtl/>
        </w:rPr>
        <w:t xml:space="preserve"> </w:t>
      </w:r>
      <w:r w:rsidRPr="0064233A">
        <w:rPr>
          <w:rtl/>
        </w:rPr>
        <w:tab/>
      </w:r>
      <w:r w:rsidRPr="0064233A">
        <w:rPr>
          <w:rFonts w:hint="cs"/>
          <w:rtl/>
        </w:rPr>
        <w:t>תוכנית אסטרטגית רב-שנתית לשיקום ולפיתוח חבל התקומה ואוכלוסייתו</w:t>
      </w:r>
      <w:r w:rsidRPr="003B3F5B">
        <w:rPr>
          <w:rFonts w:hint="cs"/>
          <w:rtl/>
        </w:rPr>
        <w:t>.</w:t>
      </w:r>
    </w:p>
  </w:footnote>
  <w:footnote w:id="18">
    <w:p w:rsidR="002201F1"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Fonts w:hint="cs"/>
          <w:rtl/>
        </w:rPr>
        <w:t xml:space="preserve">החלטת </w:t>
      </w:r>
      <w:r>
        <w:rPr>
          <w:rFonts w:hint="cs"/>
          <w:rtl/>
        </w:rPr>
        <w:t>ה</w:t>
      </w:r>
      <w:r w:rsidRPr="0064233A">
        <w:rPr>
          <w:rFonts w:hint="cs"/>
          <w:rtl/>
        </w:rPr>
        <w:t xml:space="preserve">ממשלה </w:t>
      </w:r>
      <w:r w:rsidRPr="00746DC8">
        <w:rPr>
          <w:rFonts w:hint="cs"/>
          <w:rtl/>
        </w:rPr>
        <w:t xml:space="preserve">1699 </w:t>
      </w:r>
      <w:r w:rsidRPr="00390432">
        <w:rPr>
          <w:rtl/>
        </w:rPr>
        <w:t>(</w:t>
      </w:r>
      <w:r w:rsidRPr="00746DC8">
        <w:rPr>
          <w:rtl/>
        </w:rPr>
        <w:t>17.4.24</w:t>
      </w:r>
      <w:r w:rsidRPr="00746DC8">
        <w:rPr>
          <w:rFonts w:hint="cs"/>
          <w:rtl/>
        </w:rPr>
        <w:t>)</w:t>
      </w:r>
    </w:p>
  </w:footnote>
  <w:footnote w:id="19">
    <w:p w:rsidR="002201F1" w:rsidRPr="00390432" w:rsidP="005B126E">
      <w:pPr>
        <w:pStyle w:val="FootnoteText"/>
        <w:rPr>
          <w:rtl/>
        </w:rPr>
      </w:pPr>
      <w:r w:rsidRPr="0064233A">
        <w:rPr>
          <w:rStyle w:val="FootnoteReference1"/>
        </w:rPr>
        <w:footnoteRef/>
      </w:r>
      <w:r w:rsidRPr="0064233A">
        <w:rPr>
          <w:rtl/>
        </w:rPr>
        <w:t xml:space="preserve"> </w:t>
      </w:r>
      <w:r w:rsidRPr="0064233A">
        <w:rPr>
          <w:rtl/>
        </w:rPr>
        <w:tab/>
      </w:r>
      <w:r w:rsidRPr="0064233A">
        <w:rPr>
          <w:rFonts w:hint="cs"/>
          <w:rtl/>
        </w:rPr>
        <w:t xml:space="preserve">יישום </w:t>
      </w:r>
      <w:r w:rsidRPr="00390432">
        <w:rPr>
          <w:rFonts w:hint="cs"/>
          <w:rtl/>
        </w:rPr>
        <w:t>ההיבטים הנוגעים לשיקום החבל וההליכים הנוגעים לפיתוחו התבצעו נכון לאותו מועד מכוח החלטת ממשלה 462 מאפריל 2023 לפיתוח עוטף עזה.</w:t>
      </w:r>
    </w:p>
  </w:footnote>
  <w:footnote w:id="20">
    <w:p w:rsidR="002201F1" w:rsidRPr="00390432" w:rsidP="005B126E">
      <w:pPr>
        <w:pStyle w:val="FootnoteText"/>
        <w:rPr>
          <w:rtl/>
        </w:rPr>
      </w:pPr>
      <w:r w:rsidRPr="00390432">
        <w:rPr>
          <w:rStyle w:val="FootnoteReference1"/>
        </w:rPr>
        <w:footnoteRef/>
      </w:r>
      <w:r w:rsidRPr="00390432">
        <w:rPr>
          <w:rtl/>
        </w:rPr>
        <w:t xml:space="preserve"> </w:t>
      </w:r>
      <w:r w:rsidRPr="00390432">
        <w:rPr>
          <w:rtl/>
        </w:rPr>
        <w:tab/>
      </w:r>
      <w:r w:rsidRPr="00390432">
        <w:rPr>
          <w:rFonts w:hint="cs"/>
          <w:rtl/>
        </w:rPr>
        <w:t>החלטת הממשלה 2905 (</w:t>
      </w:r>
      <w:r w:rsidRPr="00390432">
        <w:rPr>
          <w:rtl/>
        </w:rPr>
        <w:t>23.3.25</w:t>
      </w:r>
      <w:r w:rsidRPr="00390432">
        <w:rPr>
          <w:rFonts w:hint="cs"/>
          <w:rtl/>
        </w:rPr>
        <w:t>)והחלטת הממשלה 2973</w:t>
      </w:r>
      <w:r w:rsidRPr="00390432">
        <w:rPr>
          <w:rtl/>
        </w:rPr>
        <w:t xml:space="preserve"> </w:t>
      </w:r>
      <w:r w:rsidRPr="00390432">
        <w:rPr>
          <w:rFonts w:hint="cs"/>
          <w:rtl/>
        </w:rPr>
        <w:t>(</w:t>
      </w:r>
      <w:r w:rsidRPr="00390432">
        <w:rPr>
          <w:rtl/>
        </w:rPr>
        <w:t>21.4.25</w:t>
      </w:r>
      <w:r w:rsidRPr="00390432">
        <w:rPr>
          <w:rFonts w:hint="cs"/>
          <w:rtl/>
        </w:rPr>
        <w:t>)</w:t>
      </w:r>
      <w:r w:rsidRPr="00390432">
        <w:rPr>
          <w:rtl/>
        </w:rPr>
        <w:t>.</w:t>
      </w:r>
    </w:p>
  </w:footnote>
  <w:footnote w:id="21">
    <w:p w:rsidR="002201F1" w:rsidRPr="0064233A" w:rsidP="005B126E">
      <w:pPr>
        <w:pStyle w:val="FootnoteText"/>
        <w:rPr>
          <w:rtl/>
        </w:rPr>
      </w:pPr>
      <w:r w:rsidRPr="00390432">
        <w:rPr>
          <w:rStyle w:val="FootnoteReference1"/>
        </w:rPr>
        <w:footnoteRef/>
      </w:r>
      <w:r w:rsidRPr="00390432">
        <w:rPr>
          <w:rtl/>
        </w:rPr>
        <w:t xml:space="preserve"> </w:t>
      </w:r>
      <w:r w:rsidRPr="00390432">
        <w:rPr>
          <w:rtl/>
        </w:rPr>
        <w:tab/>
      </w:r>
      <w:r w:rsidRPr="00390432">
        <w:rPr>
          <w:rFonts w:hint="cs"/>
          <w:rtl/>
        </w:rPr>
        <w:t>החלטות הממשלה 3303 ו-3304 (</w:t>
      </w:r>
      <w:r w:rsidRPr="00390432">
        <w:rPr>
          <w:rtl/>
        </w:rPr>
        <w:t>4.8.25</w:t>
      </w:r>
      <w:r w:rsidRPr="00390432">
        <w:rPr>
          <w:rFonts w:hint="cs"/>
          <w:rtl/>
        </w:rPr>
        <w:t>)</w:t>
      </w:r>
      <w:r w:rsidRPr="00390432">
        <w:rPr>
          <w:rtl/>
        </w:rPr>
        <w:t>.</w:t>
      </w:r>
    </w:p>
  </w:footnote>
  <w:footnote w:id="22">
    <w:p w:rsidR="002201F1" w:rsidRPr="0064233A" w:rsidP="005B126E">
      <w:pPr>
        <w:pStyle w:val="FootnoteText"/>
      </w:pPr>
      <w:r w:rsidRPr="0064233A">
        <w:rPr>
          <w:rStyle w:val="FootnoteReference1"/>
        </w:rPr>
        <w:footnoteRef/>
      </w:r>
      <w:r w:rsidRPr="0064233A">
        <w:rPr>
          <w:rtl/>
        </w:rPr>
        <w:t xml:space="preserve"> </w:t>
      </w:r>
      <w:r w:rsidRPr="0064233A">
        <w:rPr>
          <w:rtl/>
        </w:rPr>
        <w:tab/>
      </w:r>
      <w:r w:rsidRPr="0064233A">
        <w:rPr>
          <w:rFonts w:hint="cs"/>
          <w:rtl/>
        </w:rPr>
        <w:t>החלטת הממשלה 980 (19.10.23).</w:t>
      </w:r>
    </w:p>
  </w:footnote>
  <w:footnote w:id="23">
    <w:p w:rsidR="002201F1"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Fonts w:hint="cs"/>
          <w:rtl/>
        </w:rPr>
        <w:t xml:space="preserve">משרד ראש הממשלה, </w:t>
      </w:r>
      <w:r w:rsidRPr="0064233A">
        <w:rPr>
          <w:rFonts w:hint="eastAsia"/>
          <w:b/>
          <w:bCs/>
          <w:rtl/>
        </w:rPr>
        <w:t>שיקום</w:t>
      </w:r>
      <w:r w:rsidRPr="0064233A">
        <w:rPr>
          <w:b/>
          <w:bCs/>
          <w:rtl/>
        </w:rPr>
        <w:t xml:space="preserve"> </w:t>
      </w:r>
      <w:r w:rsidRPr="0064233A">
        <w:rPr>
          <w:rFonts w:hint="eastAsia"/>
          <w:b/>
          <w:bCs/>
          <w:rtl/>
        </w:rPr>
        <w:t>ארוך</w:t>
      </w:r>
      <w:r w:rsidRPr="0064233A">
        <w:rPr>
          <w:b/>
          <w:bCs/>
          <w:rtl/>
        </w:rPr>
        <w:t xml:space="preserve"> </w:t>
      </w:r>
      <w:r w:rsidRPr="0064233A">
        <w:rPr>
          <w:rFonts w:hint="eastAsia"/>
          <w:b/>
          <w:bCs/>
          <w:rtl/>
        </w:rPr>
        <w:t>טווח</w:t>
      </w:r>
      <w:r w:rsidRPr="0064233A">
        <w:rPr>
          <w:b/>
          <w:bCs/>
          <w:rtl/>
        </w:rPr>
        <w:t xml:space="preserve"> </w:t>
      </w:r>
      <w:r w:rsidRPr="0064233A">
        <w:rPr>
          <w:rFonts w:hint="eastAsia"/>
          <w:b/>
          <w:bCs/>
          <w:rtl/>
        </w:rPr>
        <w:t>לאחר</w:t>
      </w:r>
      <w:r w:rsidRPr="0064233A">
        <w:rPr>
          <w:b/>
          <w:bCs/>
          <w:rtl/>
        </w:rPr>
        <w:t xml:space="preserve"> </w:t>
      </w:r>
      <w:r w:rsidRPr="0064233A">
        <w:rPr>
          <w:rFonts w:hint="eastAsia"/>
          <w:b/>
          <w:bCs/>
          <w:rtl/>
        </w:rPr>
        <w:t>רעידות</w:t>
      </w:r>
      <w:r w:rsidRPr="0064233A">
        <w:rPr>
          <w:b/>
          <w:bCs/>
          <w:rtl/>
        </w:rPr>
        <w:t xml:space="preserve"> </w:t>
      </w:r>
      <w:r w:rsidRPr="0064233A">
        <w:rPr>
          <w:rFonts w:hint="eastAsia"/>
          <w:b/>
          <w:bCs/>
          <w:rtl/>
        </w:rPr>
        <w:t>אדמה</w:t>
      </w:r>
      <w:r w:rsidRPr="0064233A">
        <w:rPr>
          <w:rFonts w:hint="cs"/>
          <w:b/>
          <w:bCs/>
          <w:rtl/>
        </w:rPr>
        <w:t>:</w:t>
      </w:r>
      <w:r w:rsidRPr="0064233A">
        <w:rPr>
          <w:b/>
          <w:bCs/>
          <w:rtl/>
        </w:rPr>
        <w:t xml:space="preserve"> דוח ה</w:t>
      </w:r>
      <w:r w:rsidRPr="0064233A">
        <w:rPr>
          <w:rFonts w:hint="cs"/>
          <w:b/>
          <w:bCs/>
          <w:rtl/>
        </w:rPr>
        <w:t>י</w:t>
      </w:r>
      <w:r w:rsidRPr="0064233A">
        <w:rPr>
          <w:rFonts w:hint="eastAsia"/>
          <w:b/>
          <w:bCs/>
          <w:rtl/>
        </w:rPr>
        <w:t>ערכות</w:t>
      </w:r>
      <w:r w:rsidRPr="0064233A">
        <w:rPr>
          <w:b/>
          <w:bCs/>
          <w:rtl/>
        </w:rPr>
        <w:t xml:space="preserve"> </w:t>
      </w:r>
      <w:r w:rsidRPr="0064233A">
        <w:rPr>
          <w:rFonts w:hint="eastAsia"/>
          <w:b/>
          <w:bCs/>
          <w:rtl/>
        </w:rPr>
        <w:t>ממשלתי</w:t>
      </w:r>
      <w:r w:rsidRPr="0064233A">
        <w:rPr>
          <w:rFonts w:hint="cs"/>
          <w:rtl/>
        </w:rPr>
        <w:t xml:space="preserve">, אפריל 2024, דברי ההקדמה לדוח של מנכ"ל משרד ראש הממשלה. </w:t>
      </w:r>
    </w:p>
  </w:footnote>
  <w:footnote w:id="24">
    <w:p w:rsidR="002201F1" w:rsidRPr="0064233A" w:rsidP="005B126E">
      <w:pPr>
        <w:pStyle w:val="FootnoteText"/>
      </w:pPr>
      <w:r w:rsidRPr="0064233A">
        <w:rPr>
          <w:rStyle w:val="FootnoteReference1"/>
        </w:rPr>
        <w:footnoteRef/>
      </w:r>
      <w:r w:rsidRPr="0064233A">
        <w:rPr>
          <w:rtl/>
        </w:rPr>
        <w:t xml:space="preserve"> </w:t>
      </w:r>
      <w:r w:rsidRPr="0064233A">
        <w:rPr>
          <w:rtl/>
        </w:rPr>
        <w:tab/>
      </w:r>
      <w:r w:rsidRPr="0064233A">
        <w:rPr>
          <w:rFonts w:hint="cs"/>
          <w:rtl/>
        </w:rPr>
        <w:t>החלטת הממשלה 1127 (10.12.2023).</w:t>
      </w:r>
    </w:p>
  </w:footnote>
  <w:footnote w:id="25">
    <w:p w:rsidR="002201F1"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Fonts w:hint="cs"/>
          <w:rtl/>
        </w:rPr>
        <w:t>תוכנית אסטרטגית רב-שנתית לשיקום ולפיתוח חבל התקומה ואוכלוסייתו</w:t>
      </w:r>
      <w:r w:rsidRPr="007B1885">
        <w:rPr>
          <w:rtl/>
        </w:rPr>
        <w:t>.</w:t>
      </w:r>
    </w:p>
  </w:footnote>
  <w:footnote w:id="26">
    <w:p w:rsidR="002201F1" w:rsidRPr="00390432" w:rsidP="005B126E">
      <w:pPr>
        <w:pStyle w:val="FootnoteText"/>
        <w:rPr>
          <w:rtl/>
        </w:rPr>
      </w:pPr>
      <w:r w:rsidRPr="0064233A">
        <w:rPr>
          <w:rStyle w:val="FootnoteReference1"/>
        </w:rPr>
        <w:footnoteRef/>
      </w:r>
      <w:r w:rsidRPr="0064233A">
        <w:rPr>
          <w:rtl/>
        </w:rPr>
        <w:t xml:space="preserve"> </w:t>
      </w:r>
      <w:r w:rsidRPr="0064233A">
        <w:rPr>
          <w:rtl/>
        </w:rPr>
        <w:tab/>
      </w:r>
      <w:r w:rsidRPr="0064233A">
        <w:rPr>
          <w:rFonts w:hint="cs"/>
          <w:rtl/>
        </w:rPr>
        <w:t xml:space="preserve">החלטת </w:t>
      </w:r>
      <w:r>
        <w:rPr>
          <w:rFonts w:hint="cs"/>
          <w:rtl/>
        </w:rPr>
        <w:t>ה</w:t>
      </w:r>
      <w:r w:rsidRPr="0064233A">
        <w:rPr>
          <w:rFonts w:hint="cs"/>
          <w:rtl/>
        </w:rPr>
        <w:t xml:space="preserve">ממשלה </w:t>
      </w:r>
      <w:r w:rsidRPr="00390432">
        <w:rPr>
          <w:rFonts w:hint="cs"/>
          <w:rtl/>
        </w:rPr>
        <w:t>1699 (</w:t>
      </w:r>
      <w:r w:rsidRPr="00390432">
        <w:rPr>
          <w:rtl/>
        </w:rPr>
        <w:t>17.04.24</w:t>
      </w:r>
      <w:r w:rsidRPr="00390432">
        <w:rPr>
          <w:rFonts w:hint="cs"/>
          <w:rtl/>
        </w:rPr>
        <w:t>)</w:t>
      </w:r>
      <w:r w:rsidRPr="00390432">
        <w:rPr>
          <w:rtl/>
        </w:rPr>
        <w:t>.</w:t>
      </w:r>
      <w:r w:rsidRPr="00390432">
        <w:rPr>
          <w:rFonts w:hint="cs"/>
          <w:rtl/>
        </w:rPr>
        <w:t xml:space="preserve"> </w:t>
      </w:r>
    </w:p>
  </w:footnote>
  <w:footnote w:id="27">
    <w:p w:rsidR="002201F1" w:rsidRPr="00390432" w:rsidP="005B126E">
      <w:pPr>
        <w:pStyle w:val="FootnoteText"/>
        <w:rPr>
          <w:rtl/>
        </w:rPr>
      </w:pPr>
      <w:r w:rsidRPr="00390432">
        <w:rPr>
          <w:rStyle w:val="FootnoteReference1"/>
        </w:rPr>
        <w:footnoteRef/>
      </w:r>
      <w:r w:rsidRPr="00390432">
        <w:rPr>
          <w:rtl/>
        </w:rPr>
        <w:t xml:space="preserve"> </w:t>
      </w:r>
      <w:r w:rsidRPr="00390432">
        <w:rPr>
          <w:rtl/>
        </w:rPr>
        <w:tab/>
      </w:r>
      <w:r w:rsidRPr="00390432">
        <w:rPr>
          <w:rFonts w:hint="cs"/>
          <w:rtl/>
        </w:rPr>
        <w:t>החלטת הממשלה 987 (</w:t>
      </w:r>
      <w:r w:rsidRPr="00390432">
        <w:rPr>
          <w:rtl/>
        </w:rPr>
        <w:t>22.10.23</w:t>
      </w:r>
      <w:r w:rsidRPr="00390432">
        <w:rPr>
          <w:rFonts w:hint="cs"/>
          <w:rtl/>
        </w:rPr>
        <w:t>).</w:t>
      </w:r>
    </w:p>
  </w:footnote>
  <w:footnote w:id="28">
    <w:p w:rsidR="002201F1" w:rsidRPr="00390432" w:rsidP="005B126E">
      <w:pPr>
        <w:pStyle w:val="FootnoteText"/>
        <w:rPr>
          <w:rtl/>
        </w:rPr>
      </w:pPr>
      <w:r w:rsidRPr="00390432">
        <w:rPr>
          <w:rStyle w:val="FootnoteReference1"/>
        </w:rPr>
        <w:footnoteRef/>
      </w:r>
      <w:r w:rsidRPr="00390432">
        <w:rPr>
          <w:rtl/>
        </w:rPr>
        <w:t xml:space="preserve"> </w:t>
      </w:r>
      <w:r w:rsidRPr="00390432">
        <w:rPr>
          <w:rtl/>
        </w:rPr>
        <w:tab/>
      </w:r>
      <w:r w:rsidRPr="00390432">
        <w:rPr>
          <w:rtl/>
        </w:rPr>
        <w:t xml:space="preserve">החלטת </w:t>
      </w:r>
      <w:r w:rsidRPr="00390432">
        <w:rPr>
          <w:rFonts w:hint="cs"/>
          <w:rtl/>
        </w:rPr>
        <w:t>ה</w:t>
      </w:r>
      <w:r w:rsidRPr="00390432">
        <w:rPr>
          <w:rtl/>
        </w:rPr>
        <w:t>ממשלה 1054</w:t>
      </w:r>
      <w:r w:rsidRPr="00390432">
        <w:rPr>
          <w:rFonts w:hint="cs"/>
          <w:rtl/>
        </w:rPr>
        <w:t xml:space="preserve"> (</w:t>
      </w:r>
      <w:r w:rsidRPr="00390432">
        <w:rPr>
          <w:rtl/>
        </w:rPr>
        <w:t>12.11.23</w:t>
      </w:r>
      <w:r w:rsidRPr="00390432">
        <w:rPr>
          <w:rFonts w:hint="cs"/>
          <w:rtl/>
        </w:rPr>
        <w:t>)</w:t>
      </w:r>
      <w:r>
        <w:rPr>
          <w:rFonts w:hint="cs"/>
          <w:rtl/>
        </w:rPr>
        <w:t>.</w:t>
      </w:r>
    </w:p>
  </w:footnote>
  <w:footnote w:id="29">
    <w:p w:rsidR="002201F1" w:rsidRPr="0064233A" w:rsidP="005B126E">
      <w:pPr>
        <w:pStyle w:val="FootnoteText"/>
        <w:rPr>
          <w:rtl/>
        </w:rPr>
      </w:pPr>
      <w:r w:rsidRPr="00390432">
        <w:rPr>
          <w:rStyle w:val="FootnoteReference1"/>
        </w:rPr>
        <w:footnoteRef/>
      </w:r>
      <w:r w:rsidRPr="00390432">
        <w:rPr>
          <w:rtl/>
        </w:rPr>
        <w:t xml:space="preserve"> </w:t>
      </w:r>
      <w:r w:rsidRPr="00390432">
        <w:rPr>
          <w:rtl/>
        </w:rPr>
        <w:tab/>
      </w:r>
      <w:r w:rsidRPr="00390432">
        <w:rPr>
          <w:rFonts w:hint="cs"/>
          <w:rtl/>
        </w:rPr>
        <w:t>החלטת הממשלה 1699 (</w:t>
      </w:r>
      <w:r w:rsidRPr="00390432">
        <w:rPr>
          <w:rtl/>
        </w:rPr>
        <w:t>17.4.24</w:t>
      </w:r>
      <w:r w:rsidRPr="00390432">
        <w:rPr>
          <w:rFonts w:hint="cs"/>
          <w:rtl/>
        </w:rPr>
        <w:t>)</w:t>
      </w:r>
      <w:r w:rsidRPr="00390432">
        <w:rPr>
          <w:rtl/>
        </w:rPr>
        <w:t>.</w:t>
      </w:r>
      <w:r w:rsidRPr="0064233A">
        <w:rPr>
          <w:rFonts w:hint="cs"/>
          <w:rtl/>
        </w:rPr>
        <w:t xml:space="preserve"> </w:t>
      </w:r>
    </w:p>
  </w:footnote>
  <w:footnote w:id="30">
    <w:p w:rsidR="002201F1" w:rsidRPr="0064233A" w:rsidP="005B126E">
      <w:pPr>
        <w:pStyle w:val="FootnoteText"/>
      </w:pPr>
      <w:r w:rsidRPr="0064233A">
        <w:rPr>
          <w:rStyle w:val="FootnoteReference1"/>
        </w:rPr>
        <w:footnoteRef/>
      </w:r>
      <w:r w:rsidRPr="0064233A">
        <w:rPr>
          <w:rtl/>
        </w:rPr>
        <w:t xml:space="preserve"> </w:t>
      </w:r>
      <w:r w:rsidRPr="0064233A">
        <w:rPr>
          <w:rtl/>
        </w:rPr>
        <w:tab/>
      </w:r>
      <w:r w:rsidRPr="0064233A">
        <w:rPr>
          <w:rFonts w:hint="cs"/>
          <w:rtl/>
        </w:rPr>
        <w:t xml:space="preserve">קול קורא הוא מונח המתייחס לפרסום של משרד ממשלתי המזמין את הרשויות המקומיות </w:t>
      </w:r>
      <w:r>
        <w:rPr>
          <w:rFonts w:hint="cs"/>
          <w:rtl/>
        </w:rPr>
        <w:t xml:space="preserve">וגופים </w:t>
      </w:r>
      <w:r w:rsidRPr="0064233A">
        <w:rPr>
          <w:rFonts w:hint="cs"/>
          <w:rtl/>
        </w:rPr>
        <w:t>ציבור</w:t>
      </w:r>
      <w:r>
        <w:rPr>
          <w:rFonts w:hint="cs"/>
          <w:rtl/>
        </w:rPr>
        <w:t>יים</w:t>
      </w:r>
      <w:r w:rsidRPr="0064233A">
        <w:rPr>
          <w:rFonts w:hint="cs"/>
          <w:rtl/>
        </w:rPr>
        <w:t xml:space="preserve"> נוספים להגיש בקשה לקבלת תמיכה בפעילות רלוונטית שנועדה לקדם מטרות חברתיות וציבוריות. להרחבה ראו פרק בנושא קבלת תמיכות ממשרדי הממשלה באמצעות קולות קוראים בדוח מבקר המדינה, </w:t>
      </w:r>
      <w:r w:rsidRPr="00390432">
        <w:rPr>
          <w:rFonts w:hint="eastAsia"/>
          <w:b/>
          <w:bCs/>
          <w:rtl/>
        </w:rPr>
        <w:t>דוח</w:t>
      </w:r>
      <w:r w:rsidRPr="00390432">
        <w:rPr>
          <w:b/>
          <w:bCs/>
          <w:rtl/>
        </w:rPr>
        <w:t xml:space="preserve"> </w:t>
      </w:r>
      <w:r w:rsidRPr="00390432">
        <w:rPr>
          <w:rFonts w:hint="eastAsia"/>
          <w:b/>
          <w:bCs/>
          <w:rtl/>
        </w:rPr>
        <w:t>על</w:t>
      </w:r>
      <w:r w:rsidRPr="00390432">
        <w:rPr>
          <w:b/>
          <w:bCs/>
          <w:rtl/>
        </w:rPr>
        <w:t xml:space="preserve"> </w:t>
      </w:r>
      <w:r w:rsidRPr="00390432">
        <w:rPr>
          <w:rFonts w:hint="eastAsia"/>
          <w:b/>
          <w:bCs/>
          <w:rtl/>
        </w:rPr>
        <w:t>הביקורת</w:t>
      </w:r>
      <w:r w:rsidRPr="00390432">
        <w:rPr>
          <w:b/>
          <w:bCs/>
          <w:rtl/>
        </w:rPr>
        <w:t xml:space="preserve"> </w:t>
      </w:r>
      <w:r w:rsidRPr="00390432">
        <w:rPr>
          <w:rFonts w:hint="eastAsia"/>
          <w:b/>
          <w:bCs/>
          <w:rtl/>
        </w:rPr>
        <w:t>בשלטון</w:t>
      </w:r>
      <w:r w:rsidRPr="00390432">
        <w:rPr>
          <w:b/>
          <w:bCs/>
          <w:rtl/>
        </w:rPr>
        <w:t xml:space="preserve"> </w:t>
      </w:r>
      <w:r w:rsidRPr="00390432">
        <w:rPr>
          <w:rFonts w:hint="eastAsia"/>
          <w:b/>
          <w:bCs/>
          <w:rtl/>
        </w:rPr>
        <w:t>המקומי</w:t>
      </w:r>
      <w:r>
        <w:rPr>
          <w:rFonts w:hint="cs"/>
          <w:rtl/>
        </w:rPr>
        <w:t xml:space="preserve"> (2022)</w:t>
      </w:r>
      <w:r w:rsidRPr="0064233A">
        <w:rPr>
          <w:rFonts w:hint="cs"/>
          <w:rtl/>
        </w:rPr>
        <w:t xml:space="preserve"> </w:t>
      </w:r>
      <w:r>
        <w:rPr>
          <w:rFonts w:hint="cs"/>
          <w:rtl/>
        </w:rPr>
        <w:t>"</w:t>
      </w:r>
      <w:r w:rsidRPr="0064233A">
        <w:rPr>
          <w:rFonts w:hint="cs"/>
          <w:rtl/>
        </w:rPr>
        <w:t>ממשקי העבודה בין השלטון המרכזי לשלטון המקומי והשימוש בדיגיטציה</w:t>
      </w:r>
      <w:r>
        <w:rPr>
          <w:rFonts w:hint="cs"/>
          <w:rtl/>
        </w:rPr>
        <w:t>", עמ' 1319.</w:t>
      </w:r>
    </w:p>
  </w:footnote>
  <w:footnote w:id="31">
    <w:p w:rsidR="002201F1"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t xml:space="preserve">Ann S. </w:t>
      </w:r>
      <w:r w:rsidRPr="0064233A">
        <w:t>Masten</w:t>
      </w:r>
      <w:r w:rsidRPr="0064233A">
        <w:t xml:space="preserve"> and Joy D. Osofsky, </w:t>
      </w:r>
      <w:r w:rsidRPr="0064233A">
        <w:rPr>
          <w:i/>
          <w:iCs/>
        </w:rPr>
        <w:t xml:space="preserve">Disasters and Their Impact on Child Development: Introduction to the Special Section, </w:t>
      </w:r>
      <w:r w:rsidRPr="00390432">
        <w:rPr>
          <w:b/>
          <w:bCs/>
          <w:i/>
          <w:iCs/>
        </w:rPr>
        <w:t>Child Development</w:t>
      </w:r>
      <w:r w:rsidRPr="0064233A">
        <w:t>, July/August 2010, Volume 81, Number 4, Pages 1029</w:t>
      </w:r>
      <w:r>
        <w:t>-</w:t>
      </w:r>
      <w:r w:rsidRPr="0064233A">
        <w:t>1039</w:t>
      </w:r>
      <w:r w:rsidRPr="0064233A">
        <w:rPr>
          <w:rtl/>
        </w:rPr>
        <w:t xml:space="preserve">; מישל </w:t>
      </w:r>
      <w:r w:rsidRPr="0064233A">
        <w:rPr>
          <w:rtl/>
        </w:rPr>
        <w:t>סלואן</w:t>
      </w:r>
      <w:r w:rsidRPr="0064233A">
        <w:rPr>
          <w:rtl/>
        </w:rPr>
        <w:t xml:space="preserve">, פלורה מור ומזל מנחם, </w:t>
      </w:r>
      <w:r w:rsidRPr="0064233A">
        <w:rPr>
          <w:rFonts w:hint="eastAsia"/>
          <w:b/>
          <w:bCs/>
          <w:rtl/>
        </w:rPr>
        <w:t>כו</w:t>
      </w:r>
      <w:r w:rsidRPr="0064233A">
        <w:rPr>
          <w:rStyle w:val="Emphasis"/>
          <w:b/>
          <w:bCs/>
          <w:i w:val="0"/>
          <w:iCs w:val="0"/>
          <w:rtl/>
        </w:rPr>
        <w:t>חה של מערכת החינוך לרפא ולפתח חוסן בקרב תלמידים החווים מצבי לחץ ומצוקה מתמשכים</w:t>
      </w:r>
      <w:r w:rsidRPr="0064233A">
        <w:rPr>
          <w:rtl/>
        </w:rPr>
        <w:t xml:space="preserve">, משרד החינוך </w:t>
      </w:r>
      <w:r>
        <w:rPr>
          <w:rFonts w:hint="cs"/>
          <w:rtl/>
        </w:rPr>
        <w:t>-</w:t>
      </w:r>
      <w:r w:rsidRPr="0064233A">
        <w:rPr>
          <w:rtl/>
        </w:rPr>
        <w:t xml:space="preserve"> השירות הפסיכולוגי-ייעוצי (שפ"י) ואשלים-ג'וינט, 2020</w:t>
      </w:r>
      <w:r w:rsidRPr="0064233A">
        <w:t>.</w:t>
      </w:r>
      <w:r w:rsidRPr="0064233A">
        <w:rPr>
          <w:rtl/>
        </w:rPr>
        <w:t xml:space="preserve"> </w:t>
      </w:r>
    </w:p>
  </w:footnote>
  <w:footnote w:id="32">
    <w:p w:rsidR="002201F1"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tl/>
        </w:rPr>
        <w:t>יעל סבג</w:t>
      </w:r>
      <w:r w:rsidRPr="0064233A">
        <w:rPr>
          <w:rFonts w:hint="cs"/>
          <w:rtl/>
        </w:rPr>
        <w:t>,</w:t>
      </w:r>
      <w:r w:rsidRPr="0064233A">
        <w:rPr>
          <w:rtl/>
        </w:rPr>
        <w:t xml:space="preserve"> אנה </w:t>
      </w:r>
      <w:r w:rsidRPr="0064233A">
        <w:rPr>
          <w:rtl/>
        </w:rPr>
        <w:t>רזניקובסקי-קוראס</w:t>
      </w:r>
      <w:r w:rsidRPr="0064233A">
        <w:rPr>
          <w:rtl/>
        </w:rPr>
        <w:t xml:space="preserve"> </w:t>
      </w:r>
      <w:r w:rsidRPr="0064233A">
        <w:rPr>
          <w:rFonts w:hint="cs"/>
          <w:rtl/>
        </w:rPr>
        <w:t>ו</w:t>
      </w:r>
      <w:r w:rsidRPr="0064233A">
        <w:rPr>
          <w:rtl/>
        </w:rPr>
        <w:t>טל ארזי</w:t>
      </w:r>
      <w:r w:rsidRPr="0064233A">
        <w:rPr>
          <w:rFonts w:hint="cs"/>
          <w:rtl/>
        </w:rPr>
        <w:t xml:space="preserve">, </w:t>
      </w:r>
      <w:r w:rsidRPr="0064233A">
        <w:rPr>
          <w:rFonts w:hint="eastAsia"/>
          <w:b/>
          <w:bCs/>
          <w:rtl/>
        </w:rPr>
        <w:t>השפעות</w:t>
      </w:r>
      <w:r w:rsidRPr="0064233A">
        <w:rPr>
          <w:b/>
          <w:bCs/>
          <w:rtl/>
        </w:rPr>
        <w:t xml:space="preserve"> </w:t>
      </w:r>
      <w:r w:rsidRPr="0064233A">
        <w:rPr>
          <w:rFonts w:hint="eastAsia"/>
          <w:b/>
          <w:bCs/>
          <w:rtl/>
        </w:rPr>
        <w:t>מלחמת</w:t>
      </w:r>
      <w:r w:rsidRPr="0064233A">
        <w:rPr>
          <w:b/>
          <w:bCs/>
          <w:rtl/>
        </w:rPr>
        <w:t xml:space="preserve"> "חרבות </w:t>
      </w:r>
      <w:r w:rsidRPr="0064233A">
        <w:rPr>
          <w:rFonts w:hint="eastAsia"/>
          <w:b/>
          <w:bCs/>
          <w:rtl/>
        </w:rPr>
        <w:t>ברזל</w:t>
      </w:r>
      <w:r w:rsidRPr="0064233A">
        <w:rPr>
          <w:b/>
          <w:bCs/>
          <w:rtl/>
        </w:rPr>
        <w:t xml:space="preserve">" </w:t>
      </w:r>
      <w:r w:rsidRPr="0064233A">
        <w:rPr>
          <w:rFonts w:hint="eastAsia"/>
          <w:b/>
          <w:bCs/>
          <w:rtl/>
        </w:rPr>
        <w:t>על</w:t>
      </w:r>
      <w:r w:rsidRPr="0064233A">
        <w:rPr>
          <w:b/>
          <w:bCs/>
          <w:rtl/>
        </w:rPr>
        <w:t xml:space="preserve"> </w:t>
      </w:r>
      <w:r w:rsidRPr="0064233A">
        <w:rPr>
          <w:rFonts w:hint="eastAsia"/>
          <w:b/>
          <w:bCs/>
          <w:rtl/>
        </w:rPr>
        <w:t>ילדים</w:t>
      </w:r>
      <w:r w:rsidRPr="0064233A">
        <w:rPr>
          <w:b/>
          <w:bCs/>
          <w:rtl/>
        </w:rPr>
        <w:t xml:space="preserve"> </w:t>
      </w:r>
      <w:r w:rsidRPr="0064233A">
        <w:rPr>
          <w:rFonts w:hint="eastAsia"/>
          <w:b/>
          <w:bCs/>
          <w:rtl/>
        </w:rPr>
        <w:t>ובני</w:t>
      </w:r>
      <w:r w:rsidRPr="0064233A">
        <w:rPr>
          <w:b/>
          <w:bCs/>
          <w:rtl/>
        </w:rPr>
        <w:t xml:space="preserve"> </w:t>
      </w:r>
      <w:r w:rsidRPr="0064233A">
        <w:rPr>
          <w:rFonts w:hint="eastAsia"/>
          <w:b/>
          <w:bCs/>
          <w:rtl/>
        </w:rPr>
        <w:t>נוער</w:t>
      </w:r>
      <w:r w:rsidRPr="0064233A">
        <w:rPr>
          <w:b/>
          <w:bCs/>
          <w:rtl/>
        </w:rPr>
        <w:t xml:space="preserve"> </w:t>
      </w:r>
      <w:r w:rsidRPr="0064233A">
        <w:rPr>
          <w:rFonts w:hint="eastAsia"/>
          <w:b/>
          <w:bCs/>
          <w:rtl/>
        </w:rPr>
        <w:t>בישראל</w:t>
      </w:r>
      <w:r w:rsidRPr="0064233A">
        <w:rPr>
          <w:rFonts w:hint="cs"/>
          <w:rtl/>
        </w:rPr>
        <w:t xml:space="preserve">, מכון </w:t>
      </w:r>
      <w:r w:rsidRPr="0064233A">
        <w:rPr>
          <w:rFonts w:hint="cs"/>
          <w:rtl/>
        </w:rPr>
        <w:t>מאיירס</w:t>
      </w:r>
      <w:r w:rsidRPr="0064233A">
        <w:rPr>
          <w:rFonts w:hint="cs"/>
          <w:rtl/>
        </w:rPr>
        <w:t xml:space="preserve"> ג'וינט </w:t>
      </w:r>
      <w:r w:rsidRPr="0064233A">
        <w:rPr>
          <w:rFonts w:hint="cs"/>
          <w:rtl/>
        </w:rPr>
        <w:t>ברוקדייל</w:t>
      </w:r>
      <w:r w:rsidRPr="0064233A">
        <w:rPr>
          <w:rFonts w:hint="cs"/>
          <w:rtl/>
        </w:rPr>
        <w:t xml:space="preserve">, 2024; על </w:t>
      </w:r>
      <w:r w:rsidRPr="0064233A">
        <w:rPr>
          <w:rtl/>
        </w:rPr>
        <w:t>מצבם הרגשי, ההתנהגותי וההתפתחותי של ילדים צעירים</w:t>
      </w:r>
      <w:r w:rsidRPr="0064233A">
        <w:rPr>
          <w:rFonts w:hint="cs"/>
          <w:rtl/>
        </w:rPr>
        <w:t xml:space="preserve"> ראו גם: כרמל </w:t>
      </w:r>
      <w:r w:rsidRPr="0064233A">
        <w:rPr>
          <w:rFonts w:hint="cs"/>
          <w:rtl/>
        </w:rPr>
        <w:t>בלנק</w:t>
      </w:r>
      <w:r w:rsidRPr="0064233A">
        <w:rPr>
          <w:rFonts w:hint="cs"/>
          <w:rtl/>
        </w:rPr>
        <w:t xml:space="preserve"> ואח', </w:t>
      </w:r>
      <w:r w:rsidRPr="0064233A">
        <w:rPr>
          <w:b/>
          <w:bCs/>
          <w:rtl/>
        </w:rPr>
        <w:t>קשיים רגשיים והתנהגותיים בקרב ילדים בגיל הרך והוריהם</w:t>
      </w:r>
      <w:r w:rsidRPr="0064233A">
        <w:rPr>
          <w:b/>
          <w:bCs/>
        </w:rPr>
        <w:t>:</w:t>
      </w:r>
      <w:r w:rsidRPr="0064233A">
        <w:rPr>
          <w:b/>
          <w:bCs/>
          <w:rtl/>
        </w:rPr>
        <w:t xml:space="preserve"> תמונת מצב עדכנית בעקבות המלחמה</w:t>
      </w:r>
      <w:r w:rsidRPr="0064233A">
        <w:rPr>
          <w:rFonts w:hint="cs"/>
          <w:rtl/>
        </w:rPr>
        <w:t xml:space="preserve">, מרכז </w:t>
      </w:r>
      <w:r w:rsidRPr="0064233A">
        <w:rPr>
          <w:rFonts w:hint="cs"/>
          <w:rtl/>
        </w:rPr>
        <w:t>טאוב</w:t>
      </w:r>
      <w:r w:rsidRPr="0064233A">
        <w:rPr>
          <w:rFonts w:hint="cs"/>
          <w:rtl/>
        </w:rPr>
        <w:t xml:space="preserve"> לחקר המדיניות החברתית בישראל, 2024.</w:t>
      </w:r>
    </w:p>
  </w:footnote>
  <w:footnote w:id="33">
    <w:p w:rsidR="002201F1" w:rsidRPr="0064233A" w:rsidP="005B126E">
      <w:pPr>
        <w:pStyle w:val="FootnoteText"/>
      </w:pPr>
      <w:r w:rsidRPr="0064233A">
        <w:rPr>
          <w:rStyle w:val="FootnoteReference1"/>
        </w:rPr>
        <w:footnoteRef/>
      </w:r>
      <w:r w:rsidRPr="0064233A">
        <w:rPr>
          <w:rtl/>
        </w:rPr>
        <w:t xml:space="preserve"> </w:t>
      </w:r>
      <w:r w:rsidRPr="0064233A">
        <w:rPr>
          <w:rtl/>
        </w:rPr>
        <w:tab/>
      </w:r>
      <w:r w:rsidRPr="0064233A">
        <w:rPr>
          <w:rtl/>
        </w:rPr>
        <w:t xml:space="preserve">מישל </w:t>
      </w:r>
      <w:r w:rsidRPr="0064233A">
        <w:rPr>
          <w:rtl/>
        </w:rPr>
        <w:t>סלואן</w:t>
      </w:r>
      <w:r w:rsidRPr="0064233A">
        <w:rPr>
          <w:rtl/>
        </w:rPr>
        <w:t>, פלורה מור</w:t>
      </w:r>
      <w:r w:rsidRPr="0064233A">
        <w:rPr>
          <w:rFonts w:hint="cs"/>
          <w:rtl/>
        </w:rPr>
        <w:t xml:space="preserve"> ו</w:t>
      </w:r>
      <w:r w:rsidRPr="0064233A">
        <w:rPr>
          <w:rtl/>
        </w:rPr>
        <w:t>מזל מנחם</w:t>
      </w:r>
      <w:r w:rsidRPr="0064233A">
        <w:rPr>
          <w:rFonts w:hint="cs"/>
          <w:rtl/>
        </w:rPr>
        <w:t xml:space="preserve">, </w:t>
      </w:r>
      <w:r w:rsidRPr="0064233A">
        <w:rPr>
          <w:rFonts w:hint="eastAsia"/>
          <w:b/>
          <w:bCs/>
          <w:rtl/>
        </w:rPr>
        <w:t>כו</w:t>
      </w:r>
      <w:r w:rsidRPr="0064233A">
        <w:rPr>
          <w:rStyle w:val="Emphasis"/>
          <w:b/>
          <w:bCs/>
          <w:i w:val="0"/>
          <w:iCs w:val="0"/>
          <w:rtl/>
        </w:rPr>
        <w:t>חה של מערכת החינוך לרפא ולפתח חוסן בקרב תלמידים החווים מצבי לחץ ומצוקה מתמשכים</w:t>
      </w:r>
      <w:r w:rsidRPr="0064233A">
        <w:rPr>
          <w:rFonts w:hint="cs"/>
          <w:rtl/>
        </w:rPr>
        <w:t xml:space="preserve">, </w:t>
      </w:r>
      <w:r w:rsidRPr="0064233A">
        <w:rPr>
          <w:rtl/>
        </w:rPr>
        <w:t xml:space="preserve">משרד החינוך </w:t>
      </w:r>
      <w:r w:rsidRPr="0064233A">
        <w:rPr>
          <w:rFonts w:hint="cs"/>
          <w:rtl/>
        </w:rPr>
        <w:t>-</w:t>
      </w:r>
      <w:r w:rsidRPr="0064233A">
        <w:rPr>
          <w:rtl/>
        </w:rPr>
        <w:t xml:space="preserve"> השירות הפסיכולוגי-ייעוצי (שפ"י) ואשלים-ג'וינט, 2020</w:t>
      </w:r>
      <w:r w:rsidRPr="0064233A">
        <w:t>.</w:t>
      </w:r>
      <w:r w:rsidRPr="0064233A">
        <w:rPr>
          <w:rtl/>
        </w:rPr>
        <w:t xml:space="preserve"> </w:t>
      </w:r>
    </w:p>
  </w:footnote>
  <w:footnote w:id="34">
    <w:p w:rsidR="002201F1" w:rsidRPr="0064233A" w:rsidP="005B126E">
      <w:pPr>
        <w:pStyle w:val="FootnoteText"/>
      </w:pPr>
      <w:r w:rsidRPr="0064233A">
        <w:rPr>
          <w:rStyle w:val="FootnoteReference1"/>
        </w:rPr>
        <w:footnoteRef/>
      </w:r>
      <w:r w:rsidRPr="0064233A">
        <w:rPr>
          <w:rtl/>
        </w:rPr>
        <w:t xml:space="preserve"> </w:t>
      </w:r>
      <w:r w:rsidRPr="0064233A">
        <w:rPr>
          <w:rtl/>
        </w:rPr>
        <w:tab/>
      </w:r>
      <w:r w:rsidRPr="0064233A">
        <w:rPr>
          <w:rFonts w:hint="cs"/>
          <w:rtl/>
        </w:rPr>
        <w:t xml:space="preserve">שם. </w:t>
      </w:r>
    </w:p>
  </w:footnote>
  <w:footnote w:id="35">
    <w:p w:rsidR="002201F1"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Fonts w:hint="cs"/>
          <w:rtl/>
        </w:rPr>
        <w:t xml:space="preserve">משרד החינוך </w:t>
      </w:r>
      <w:r w:rsidRPr="0064233A">
        <w:rPr>
          <w:rFonts w:hint="cs"/>
          <w:rtl/>
        </w:rPr>
        <w:t>ומינהלת</w:t>
      </w:r>
      <w:r w:rsidRPr="0064233A">
        <w:rPr>
          <w:rFonts w:hint="cs"/>
          <w:rtl/>
        </w:rPr>
        <w:t xml:space="preserve"> תקומה, סל תקומה - נוהל עבודה לשנת הלימודים תשפ"ה לרשויות, בעלויות ומוסדות חינוך, מעודכן ליום 26.2.2025.</w:t>
      </w:r>
    </w:p>
  </w:footnote>
  <w:footnote w:id="36">
    <w:p w:rsidR="002201F1"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tl/>
        </w:rPr>
        <w:t xml:space="preserve">תוכנית גמישות פדגוגית ניהולית עוגנה בהחלטת ממשלה מס' 226 בנושא "התוכנית לגמישות הניהולית במערכת החינוך" מאוגוסט 2021. משרד החינוך החל להפעיל את תוכנית </w:t>
      </w:r>
      <w:r w:rsidRPr="0064233A">
        <w:rPr>
          <w:rtl/>
        </w:rPr>
        <w:t>גפ"ן</w:t>
      </w:r>
      <w:r w:rsidRPr="0064233A">
        <w:rPr>
          <w:rtl/>
        </w:rPr>
        <w:t xml:space="preserve"> בשנת הלימודים תשפ"ג </w:t>
      </w:r>
      <w:r w:rsidRPr="0064233A">
        <w:rPr>
          <w:rFonts w:hint="cs"/>
          <w:rtl/>
        </w:rPr>
        <w:t xml:space="preserve">(2022 - 2023) </w:t>
      </w:r>
      <w:r w:rsidRPr="0064233A">
        <w:rPr>
          <w:rtl/>
        </w:rPr>
        <w:t>בבתי הספר שעמדו בתנאי סף שהוא קבע, בהם דיווחים למשרד והסכמה להשתתף במבחני הערכה ארציים ובי</w:t>
      </w:r>
      <w:r w:rsidRPr="0064233A">
        <w:rPr>
          <w:rFonts w:hint="cs"/>
          <w:rtl/>
        </w:rPr>
        <w:t>ן-</w:t>
      </w:r>
      <w:r w:rsidRPr="0064233A">
        <w:rPr>
          <w:rtl/>
        </w:rPr>
        <w:t>לאומיים.</w:t>
      </w:r>
      <w:r w:rsidRPr="0064233A">
        <w:rPr>
          <w:rFonts w:hint="cs"/>
          <w:rtl/>
        </w:rPr>
        <w:t xml:space="preserve"> להרחבה ראו: </w:t>
      </w:r>
      <w:r w:rsidRPr="0064233A">
        <w:rPr>
          <w:rFonts w:hint="eastAsia"/>
          <w:rtl/>
        </w:rPr>
        <w:t>מבקר</w:t>
      </w:r>
      <w:r w:rsidRPr="0064233A">
        <w:rPr>
          <w:rtl/>
        </w:rPr>
        <w:t xml:space="preserve"> </w:t>
      </w:r>
      <w:r w:rsidRPr="0064233A">
        <w:rPr>
          <w:rFonts w:hint="eastAsia"/>
          <w:rtl/>
        </w:rPr>
        <w:t>המדינה</w:t>
      </w:r>
      <w:r w:rsidRPr="0064233A">
        <w:rPr>
          <w:rFonts w:hint="cs"/>
          <w:rtl/>
        </w:rPr>
        <w:t xml:space="preserve">, </w:t>
      </w:r>
      <w:r w:rsidRPr="0064233A">
        <w:rPr>
          <w:rFonts w:hint="eastAsia"/>
          <w:b/>
          <w:bCs/>
          <w:rtl/>
        </w:rPr>
        <w:t>דוח</w:t>
      </w:r>
      <w:r w:rsidRPr="0064233A">
        <w:rPr>
          <w:b/>
          <w:bCs/>
          <w:rtl/>
        </w:rPr>
        <w:t xml:space="preserve"> </w:t>
      </w:r>
      <w:r w:rsidRPr="0064233A">
        <w:rPr>
          <w:rFonts w:hint="eastAsia"/>
          <w:b/>
          <w:bCs/>
          <w:rtl/>
        </w:rPr>
        <w:t>על</w:t>
      </w:r>
      <w:r w:rsidRPr="0064233A">
        <w:rPr>
          <w:b/>
          <w:bCs/>
          <w:rtl/>
        </w:rPr>
        <w:t xml:space="preserve"> </w:t>
      </w:r>
      <w:r w:rsidRPr="0064233A">
        <w:rPr>
          <w:rFonts w:hint="eastAsia"/>
          <w:b/>
          <w:bCs/>
          <w:rtl/>
        </w:rPr>
        <w:t>הביקורת</w:t>
      </w:r>
      <w:r w:rsidRPr="0064233A">
        <w:rPr>
          <w:b/>
          <w:bCs/>
          <w:rtl/>
        </w:rPr>
        <w:t xml:space="preserve"> </w:t>
      </w:r>
      <w:r w:rsidRPr="0064233A">
        <w:rPr>
          <w:rFonts w:hint="eastAsia"/>
          <w:b/>
          <w:bCs/>
          <w:rtl/>
        </w:rPr>
        <w:t>בשלטון</w:t>
      </w:r>
      <w:r w:rsidRPr="0064233A">
        <w:rPr>
          <w:b/>
          <w:bCs/>
          <w:rtl/>
        </w:rPr>
        <w:t xml:space="preserve"> </w:t>
      </w:r>
      <w:r w:rsidRPr="0064233A">
        <w:rPr>
          <w:rFonts w:hint="eastAsia"/>
          <w:b/>
          <w:bCs/>
          <w:rtl/>
        </w:rPr>
        <w:t>המקומי</w:t>
      </w:r>
      <w:r w:rsidRPr="0064233A">
        <w:rPr>
          <w:b/>
          <w:bCs/>
          <w:rtl/>
        </w:rPr>
        <w:t xml:space="preserve">, </w:t>
      </w:r>
      <w:r w:rsidRPr="0064233A">
        <w:rPr>
          <w:rFonts w:hint="eastAsia"/>
          <w:b/>
          <w:bCs/>
          <w:rtl/>
        </w:rPr>
        <w:t>פעילות</w:t>
      </w:r>
      <w:r w:rsidRPr="0064233A">
        <w:rPr>
          <w:b/>
          <w:bCs/>
          <w:rtl/>
        </w:rPr>
        <w:t xml:space="preserve"> </w:t>
      </w:r>
      <w:r w:rsidRPr="0064233A">
        <w:rPr>
          <w:rFonts w:hint="eastAsia"/>
          <w:b/>
          <w:bCs/>
          <w:rtl/>
        </w:rPr>
        <w:t>הרשויות</w:t>
      </w:r>
      <w:r w:rsidRPr="0064233A">
        <w:rPr>
          <w:b/>
          <w:bCs/>
          <w:rtl/>
        </w:rPr>
        <w:t xml:space="preserve"> </w:t>
      </w:r>
      <w:r w:rsidRPr="0064233A">
        <w:rPr>
          <w:rFonts w:hint="eastAsia"/>
          <w:b/>
          <w:bCs/>
          <w:rtl/>
        </w:rPr>
        <w:t>המקומיות</w:t>
      </w:r>
      <w:r w:rsidRPr="0064233A">
        <w:rPr>
          <w:b/>
          <w:bCs/>
          <w:rtl/>
        </w:rPr>
        <w:t xml:space="preserve"> </w:t>
      </w:r>
      <w:r w:rsidRPr="0064233A">
        <w:rPr>
          <w:rFonts w:hint="eastAsia"/>
          <w:b/>
          <w:bCs/>
          <w:rtl/>
        </w:rPr>
        <w:t>לשיפור</w:t>
      </w:r>
      <w:r w:rsidRPr="0064233A">
        <w:rPr>
          <w:b/>
          <w:bCs/>
          <w:rtl/>
        </w:rPr>
        <w:t xml:space="preserve"> </w:t>
      </w:r>
      <w:r w:rsidRPr="0064233A">
        <w:rPr>
          <w:rFonts w:hint="eastAsia"/>
          <w:b/>
          <w:bCs/>
          <w:rtl/>
        </w:rPr>
        <w:t>הישגים</w:t>
      </w:r>
      <w:r w:rsidRPr="0064233A">
        <w:rPr>
          <w:b/>
          <w:bCs/>
          <w:rtl/>
        </w:rPr>
        <w:t xml:space="preserve"> </w:t>
      </w:r>
      <w:r w:rsidRPr="0064233A">
        <w:rPr>
          <w:rFonts w:hint="eastAsia"/>
          <w:b/>
          <w:bCs/>
          <w:rtl/>
        </w:rPr>
        <w:t>לימודיים</w:t>
      </w:r>
      <w:r>
        <w:rPr>
          <w:rFonts w:hint="cs"/>
          <w:rtl/>
        </w:rPr>
        <w:t xml:space="preserve"> (</w:t>
      </w:r>
      <w:r w:rsidRPr="0064233A">
        <w:rPr>
          <w:rFonts w:hint="cs"/>
          <w:rtl/>
        </w:rPr>
        <w:t>2023</w:t>
      </w:r>
      <w:r>
        <w:rPr>
          <w:rFonts w:hint="cs"/>
          <w:rtl/>
        </w:rPr>
        <w:t>),</w:t>
      </w:r>
      <w:r w:rsidRPr="0064233A">
        <w:rPr>
          <w:rFonts w:hint="cs"/>
          <w:rtl/>
        </w:rPr>
        <w:t xml:space="preserve"> עמ' 713.</w:t>
      </w:r>
    </w:p>
  </w:footnote>
  <w:footnote w:id="37">
    <w:p w:rsidR="002201F1" w:rsidP="005B126E">
      <w:pPr>
        <w:pStyle w:val="FootnoteText"/>
        <w:rPr>
          <w:rtl/>
        </w:rPr>
      </w:pPr>
      <w:r>
        <w:rPr>
          <w:rStyle w:val="FootnoteReference1"/>
        </w:rPr>
        <w:footnoteRef/>
      </w:r>
      <w:r>
        <w:rPr>
          <w:rtl/>
        </w:rPr>
        <w:t xml:space="preserve"> </w:t>
      </w:r>
      <w:r>
        <w:rPr>
          <w:rtl/>
        </w:rPr>
        <w:tab/>
      </w:r>
      <w:r>
        <w:rPr>
          <w:rFonts w:hint="cs"/>
          <w:rtl/>
        </w:rPr>
        <w:t xml:space="preserve">נוהל משרד החינוך, </w:t>
      </w:r>
      <w:r w:rsidRPr="008B5F6C">
        <w:rPr>
          <w:b/>
          <w:bCs/>
          <w:rtl/>
        </w:rPr>
        <w:t xml:space="preserve">"סל תקומה </w:t>
      </w:r>
      <w:r>
        <w:rPr>
          <w:rFonts w:hint="cs"/>
          <w:b/>
          <w:bCs/>
          <w:rtl/>
        </w:rPr>
        <w:t>-</w:t>
      </w:r>
      <w:r w:rsidRPr="008B5F6C">
        <w:rPr>
          <w:b/>
          <w:bCs/>
          <w:rtl/>
        </w:rPr>
        <w:t xml:space="preserve"> נוהל עבודה לשנת הלימודים תשפ"ה לרשויות, בעלויות ומוסדות חינוך"</w:t>
      </w:r>
      <w:r>
        <w:rPr>
          <w:rFonts w:hint="cs"/>
          <w:rtl/>
        </w:rPr>
        <w:t>, גרסה מפברואר 2025.</w:t>
      </w:r>
    </w:p>
  </w:footnote>
  <w:footnote w:id="38">
    <w:p w:rsidR="002201F1" w:rsidRPr="0064233A" w:rsidP="005B126E">
      <w:pPr>
        <w:pStyle w:val="FootnoteText"/>
      </w:pPr>
      <w:r w:rsidRPr="0064233A">
        <w:rPr>
          <w:rStyle w:val="FootnoteReference1"/>
        </w:rPr>
        <w:footnoteRef/>
      </w:r>
      <w:r w:rsidRPr="0064233A">
        <w:rPr>
          <w:rtl/>
        </w:rPr>
        <w:t xml:space="preserve"> </w:t>
      </w:r>
      <w:r w:rsidRPr="0064233A">
        <w:rPr>
          <w:rtl/>
        </w:rPr>
        <w:tab/>
      </w:r>
      <w:r w:rsidRPr="0064233A">
        <w:rPr>
          <w:rFonts w:hint="cs"/>
          <w:rtl/>
        </w:rPr>
        <w:t>הבחירה ב</w:t>
      </w:r>
      <w:r>
        <w:rPr>
          <w:rFonts w:hint="cs"/>
          <w:rtl/>
        </w:rPr>
        <w:t xml:space="preserve">מדגם של </w:t>
      </w:r>
      <w:r w:rsidRPr="0064233A">
        <w:rPr>
          <w:rFonts w:hint="cs"/>
          <w:rtl/>
        </w:rPr>
        <w:t>מוסדות חינוך על-יסודי נעשתה משום שפיזור התלמידים בהם גבוה ולא ניתן לייצר כיתות הומוגניו</w:t>
      </w:r>
      <w:r w:rsidRPr="0064233A">
        <w:rPr>
          <w:rFonts w:hint="eastAsia"/>
          <w:rtl/>
        </w:rPr>
        <w:t>ת</w:t>
      </w:r>
      <w:r w:rsidRPr="0064233A">
        <w:rPr>
          <w:rFonts w:hint="cs"/>
          <w:rtl/>
        </w:rPr>
        <w:t xml:space="preserve"> לפי מקום המגורים של התלמידים, בעיקר בשל בחירת מסלולים ומגמות שונים מצד התלמידים.</w:t>
      </w:r>
    </w:p>
  </w:footnote>
  <w:footnote w:id="39">
    <w:p w:rsidR="002201F1" w:rsidP="005B126E">
      <w:pPr>
        <w:pStyle w:val="FootnoteText"/>
      </w:pPr>
      <w:r>
        <w:rPr>
          <w:rStyle w:val="FootnoteReference1"/>
        </w:rPr>
        <w:footnoteRef/>
      </w:r>
      <w:r>
        <w:rPr>
          <w:rtl/>
        </w:rPr>
        <w:t xml:space="preserve"> </w:t>
      </w:r>
      <w:r>
        <w:rPr>
          <w:rtl/>
        </w:rPr>
        <w:tab/>
      </w:r>
      <w:r w:rsidRPr="00432EC1">
        <w:rPr>
          <w:rtl/>
        </w:rPr>
        <w:t xml:space="preserve">נוהל משרד החינוך, </w:t>
      </w:r>
      <w:r w:rsidRPr="00390432">
        <w:rPr>
          <w:b/>
          <w:bCs/>
          <w:rtl/>
        </w:rPr>
        <w:t xml:space="preserve">סל תקומה </w:t>
      </w:r>
      <w:r>
        <w:rPr>
          <w:rFonts w:hint="cs"/>
          <w:b/>
          <w:bCs/>
          <w:rtl/>
        </w:rPr>
        <w:t>-</w:t>
      </w:r>
      <w:r w:rsidRPr="00390432">
        <w:rPr>
          <w:b/>
          <w:bCs/>
          <w:rtl/>
        </w:rPr>
        <w:t xml:space="preserve"> נוהל עבודה לשנת הלימודים תשפ"ה לרשויות, בעלויות ומוסדות חינוך</w:t>
      </w:r>
      <w:r w:rsidRPr="00432EC1">
        <w:rPr>
          <w:rtl/>
        </w:rPr>
        <w:t>, גרסה מפברואר 2025.</w:t>
      </w:r>
    </w:p>
  </w:footnote>
  <w:footnote w:id="40">
    <w:p w:rsidR="002201F1" w:rsidRPr="0064233A" w:rsidP="005B126E">
      <w:pPr>
        <w:pStyle w:val="FootnoteText"/>
      </w:pPr>
      <w:r w:rsidRPr="0064233A">
        <w:rPr>
          <w:rStyle w:val="FootnoteReference1"/>
        </w:rPr>
        <w:footnoteRef/>
      </w:r>
      <w:r w:rsidRPr="0064233A">
        <w:rPr>
          <w:rtl/>
        </w:rPr>
        <w:t xml:space="preserve"> </w:t>
      </w:r>
      <w:r w:rsidRPr="0064233A">
        <w:rPr>
          <w:rtl/>
        </w:rPr>
        <w:tab/>
      </w:r>
      <w:r w:rsidRPr="0064233A">
        <w:rPr>
          <w:rFonts w:hint="cs"/>
          <w:rtl/>
        </w:rPr>
        <w:t xml:space="preserve">החלטת ממשלה 951 </w:t>
      </w:r>
      <w:r>
        <w:rPr>
          <w:rFonts w:hint="cs"/>
          <w:rtl/>
        </w:rPr>
        <w:t>(</w:t>
      </w:r>
      <w:r w:rsidRPr="0064233A">
        <w:rPr>
          <w:rFonts w:hint="cs"/>
          <w:rtl/>
        </w:rPr>
        <w:t>9.1.22</w:t>
      </w:r>
      <w:r>
        <w:rPr>
          <w:rFonts w:hint="cs"/>
          <w:rtl/>
        </w:rPr>
        <w:t>).</w:t>
      </w:r>
    </w:p>
  </w:footnote>
  <w:footnote w:id="41">
    <w:p w:rsidR="002201F1"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tl/>
        </w:rPr>
        <w:t xml:space="preserve">עומר שניר ואחינועם </w:t>
      </w:r>
      <w:r w:rsidRPr="0064233A">
        <w:rPr>
          <w:rtl/>
        </w:rPr>
        <w:t>זיגל</w:t>
      </w:r>
      <w:r w:rsidRPr="0064233A">
        <w:rPr>
          <w:rtl/>
        </w:rPr>
        <w:t xml:space="preserve">, </w:t>
      </w:r>
      <w:r w:rsidRPr="0064233A">
        <w:rPr>
          <w:b/>
          <w:bCs/>
          <w:rtl/>
        </w:rPr>
        <w:t>כדאיות כלכלית של השקעה בילדים בגיל הרך בישראל (גילאי לידה עד 6)</w:t>
      </w:r>
      <w:r w:rsidRPr="0064233A">
        <w:rPr>
          <w:rtl/>
        </w:rPr>
        <w:t>,</w:t>
      </w:r>
      <w:r w:rsidRPr="0064233A">
        <w:rPr>
          <w:rFonts w:hint="cs"/>
          <w:rtl/>
        </w:rPr>
        <w:t xml:space="preserve"> ג'</w:t>
      </w:r>
      <w:r w:rsidRPr="0064233A">
        <w:rPr>
          <w:rtl/>
        </w:rPr>
        <w:t>וינט אשלים ו-</w:t>
      </w:r>
      <w:r w:rsidRPr="0064233A">
        <w:t>Social Finance Israel</w:t>
      </w:r>
      <w:r w:rsidRPr="0064233A">
        <w:rPr>
          <w:rtl/>
        </w:rPr>
        <w:t>, נובמבר 2021.</w:t>
      </w:r>
    </w:p>
  </w:footnote>
  <w:footnote w:id="42">
    <w:p w:rsidR="002201F1" w:rsidRPr="0064233A" w:rsidP="005B126E">
      <w:pPr>
        <w:pStyle w:val="FootnoteText"/>
      </w:pPr>
      <w:r w:rsidRPr="0064233A">
        <w:rPr>
          <w:rStyle w:val="FootnoteReference1"/>
        </w:rPr>
        <w:footnoteRef/>
      </w:r>
      <w:r w:rsidRPr="0064233A">
        <w:rPr>
          <w:rtl/>
        </w:rPr>
        <w:t xml:space="preserve"> </w:t>
      </w:r>
      <w:r w:rsidRPr="0064233A">
        <w:rPr>
          <w:rtl/>
        </w:rPr>
        <w:tab/>
      </w:r>
      <w:r w:rsidRPr="0064233A">
        <w:rPr>
          <w:rFonts w:hint="cs"/>
          <w:rtl/>
        </w:rPr>
        <w:t xml:space="preserve">מנואל טרכטנברג, </w:t>
      </w:r>
      <w:r w:rsidRPr="0064233A">
        <w:rPr>
          <w:b/>
          <w:bCs/>
          <w:rtl/>
        </w:rPr>
        <w:t xml:space="preserve">"היפוך </w:t>
      </w:r>
      <w:r w:rsidRPr="0064233A">
        <w:rPr>
          <w:rFonts w:hint="eastAsia"/>
          <w:b/>
          <w:bCs/>
          <w:rtl/>
        </w:rPr>
        <w:t>הפירמידה</w:t>
      </w:r>
      <w:r w:rsidRPr="0064233A">
        <w:rPr>
          <w:b/>
          <w:bCs/>
          <w:rtl/>
        </w:rPr>
        <w:t>": חזון ומדיניות לגיל הרך בישראל</w:t>
      </w:r>
      <w:r w:rsidRPr="0064233A">
        <w:rPr>
          <w:rFonts w:hint="cs"/>
          <w:rtl/>
        </w:rPr>
        <w:t>, מוסד שמואל נאמן למחקר מדיניות לאומית, מרץ 2019</w:t>
      </w:r>
      <w:r>
        <w:rPr>
          <w:rFonts w:hint="cs"/>
          <w:rtl/>
        </w:rPr>
        <w:t>.</w:t>
      </w:r>
    </w:p>
  </w:footnote>
  <w:footnote w:id="43">
    <w:p w:rsidR="002201F1"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Fonts w:hint="cs"/>
          <w:rtl/>
        </w:rPr>
        <w:t xml:space="preserve">תוכנית העבודה של התנועה הקיבוצית לשנת 2025. </w:t>
      </w:r>
    </w:p>
  </w:footnote>
  <w:footnote w:id="44">
    <w:p w:rsidR="002201F1" w:rsidP="005B126E">
      <w:pPr>
        <w:pStyle w:val="FootnoteText"/>
      </w:pPr>
      <w:r>
        <w:rPr>
          <w:rStyle w:val="FootnoteReference1"/>
        </w:rPr>
        <w:footnoteRef/>
      </w:r>
      <w:r>
        <w:rPr>
          <w:rtl/>
        </w:rPr>
        <w:t xml:space="preserve"> </w:t>
      </w:r>
      <w:r>
        <w:tab/>
      </w:r>
      <w:r w:rsidRPr="00256AD3">
        <w:rPr>
          <w:rtl/>
        </w:rPr>
        <w:t xml:space="preserve">פורום </w:t>
      </w:r>
      <w:r>
        <w:rPr>
          <w:rFonts w:hint="cs"/>
          <w:rtl/>
        </w:rPr>
        <w:t>"</w:t>
      </w:r>
      <w:r w:rsidRPr="00256AD3">
        <w:rPr>
          <w:rtl/>
        </w:rPr>
        <w:t>הביתה</w:t>
      </w:r>
      <w:r>
        <w:rPr>
          <w:rFonts w:hint="cs"/>
          <w:rtl/>
        </w:rPr>
        <w:t>"</w:t>
      </w:r>
      <w:r w:rsidRPr="00256AD3">
        <w:rPr>
          <w:rtl/>
        </w:rPr>
        <w:t xml:space="preserve"> הוא ארגון הגג של היישובים </w:t>
      </w:r>
      <w:r>
        <w:rPr>
          <w:rFonts w:hint="cs"/>
          <w:rtl/>
        </w:rPr>
        <w:t>ש</w:t>
      </w:r>
      <w:r w:rsidRPr="00256AD3">
        <w:rPr>
          <w:rtl/>
        </w:rPr>
        <w:t>בהם בוצעו, טבח, רצח, אונס, חטיפה והרס בממדים הנרחבים ביותר ב</w:t>
      </w:r>
      <w:r>
        <w:rPr>
          <w:rFonts w:hint="cs"/>
          <w:rtl/>
        </w:rPr>
        <w:t>מתקפת</w:t>
      </w:r>
      <w:r w:rsidRPr="00256AD3">
        <w:rPr>
          <w:rtl/>
        </w:rPr>
        <w:t xml:space="preserve"> שבעה באוקטוב</w:t>
      </w:r>
      <w:r>
        <w:rPr>
          <w:rFonts w:hint="cs"/>
          <w:rtl/>
        </w:rPr>
        <w:t>ר.</w:t>
      </w:r>
    </w:p>
  </w:footnote>
  <w:footnote w:id="45">
    <w:p w:rsidR="002201F1" w:rsidRPr="0064233A" w:rsidP="005B126E">
      <w:pPr>
        <w:pStyle w:val="FootnoteText"/>
      </w:pPr>
      <w:r w:rsidRPr="0064233A">
        <w:rPr>
          <w:rStyle w:val="FootnoteReference1"/>
        </w:rPr>
        <w:footnoteRef/>
      </w:r>
      <w:r w:rsidRPr="0064233A">
        <w:rPr>
          <w:rtl/>
        </w:rPr>
        <w:t xml:space="preserve"> </w:t>
      </w:r>
      <w:r w:rsidRPr="0064233A">
        <w:rPr>
          <w:rtl/>
        </w:rPr>
        <w:tab/>
      </w:r>
      <w:r w:rsidRPr="0064233A">
        <w:rPr>
          <w:rtl/>
        </w:rPr>
        <w:t>ריבית בנק ישראל עומדת על 4.5%, לפחות מאז אוקטובר 2023 ועד אוגוסט 2025, מועד סיום הביקורת, דבר</w:t>
      </w:r>
      <w:r>
        <w:rPr>
          <w:rFonts w:hint="cs"/>
          <w:rtl/>
        </w:rPr>
        <w:t xml:space="preserve"> ה</w:t>
      </w:r>
      <w:r w:rsidRPr="0064233A">
        <w:rPr>
          <w:rtl/>
        </w:rPr>
        <w:t>מחמיר את הנטל הכלכלי על אותם יישובים.</w:t>
      </w:r>
    </w:p>
  </w:footnote>
  <w:footnote w:id="46">
    <w:p w:rsidR="002201F1" w:rsidP="005B126E">
      <w:pPr>
        <w:pStyle w:val="FootnoteText"/>
        <w:rPr>
          <w:rtl/>
        </w:rPr>
      </w:pPr>
      <w:r>
        <w:rPr>
          <w:rStyle w:val="FootnoteReference1"/>
        </w:rPr>
        <w:footnoteRef/>
      </w:r>
      <w:r>
        <w:rPr>
          <w:rtl/>
        </w:rPr>
        <w:t xml:space="preserve"> </w:t>
      </w:r>
      <w:r>
        <w:rPr>
          <w:rtl/>
        </w:rPr>
        <w:tab/>
      </w:r>
      <w:r w:rsidRPr="00256AD3">
        <w:rPr>
          <w:rtl/>
        </w:rPr>
        <w:t>ארגון החינוך, המדע והתרבות של האו</w:t>
      </w:r>
      <w:r>
        <w:rPr>
          <w:rFonts w:hint="cs"/>
          <w:rtl/>
        </w:rPr>
        <w:t>מות המאוחדות.</w:t>
      </w:r>
    </w:p>
  </w:footnote>
  <w:footnote w:id="47">
    <w:p w:rsidR="002201F1"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t xml:space="preserve">UNESCO, </w:t>
      </w:r>
      <w:r w:rsidRPr="0064233A">
        <w:rPr>
          <w:i/>
          <w:iCs/>
        </w:rPr>
        <w:t>The</w:t>
      </w:r>
      <w:r w:rsidRPr="0064233A">
        <w:rPr>
          <w:i/>
          <w:iCs/>
        </w:rPr>
        <w:t xml:space="preserve"> world needs almost 69 million new teachers to reach the 2030 education goals,</w:t>
      </w:r>
      <w:r w:rsidRPr="0064233A">
        <w:t xml:space="preserve"> United Nations Educational, Scientific and Cultural Organization, UIS Fact Sheet, UNESCO Institute for Statistics,</w:t>
      </w:r>
      <w:r>
        <w:t xml:space="preserve"> </w:t>
      </w:r>
      <w:r w:rsidRPr="0064233A">
        <w:t>October 2016.</w:t>
      </w:r>
    </w:p>
  </w:footnote>
  <w:footnote w:id="48">
    <w:p w:rsidR="002201F1" w:rsidRPr="0064233A" w:rsidP="005B126E">
      <w:pPr>
        <w:pStyle w:val="FootnoteText"/>
      </w:pPr>
      <w:r w:rsidRPr="0064233A">
        <w:rPr>
          <w:rStyle w:val="FootnoteReference1"/>
        </w:rPr>
        <w:footnoteRef/>
      </w:r>
      <w:r w:rsidRPr="0064233A">
        <w:rPr>
          <w:rtl/>
        </w:rPr>
        <w:t xml:space="preserve"> </w:t>
      </w:r>
      <w:r w:rsidRPr="0064233A">
        <w:rPr>
          <w:rtl/>
        </w:rPr>
        <w:tab/>
      </w:r>
      <w:r w:rsidRPr="0064233A">
        <w:rPr>
          <w:rFonts w:hint="cs"/>
          <w:rtl/>
        </w:rPr>
        <w:t xml:space="preserve">הכנסת, מרכז המחקר והמידע, </w:t>
      </w:r>
      <w:r w:rsidRPr="0064233A">
        <w:rPr>
          <w:rFonts w:hint="cs"/>
          <w:b/>
          <w:bCs/>
          <w:rtl/>
        </w:rPr>
        <w:t>מחסור במורים</w:t>
      </w:r>
      <w:r w:rsidRPr="0064233A">
        <w:rPr>
          <w:rFonts w:hint="cs"/>
          <w:rtl/>
        </w:rPr>
        <w:t xml:space="preserve">, (3.1.23), עמ' 21 - 22. </w:t>
      </w:r>
    </w:p>
  </w:footnote>
  <w:footnote w:id="49">
    <w:p w:rsidR="002201F1"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Fonts w:hint="cs"/>
          <w:rtl/>
        </w:rPr>
        <w:t>חוזר 2021-1-8 של הממונה על השכר והסכמי עבודה, "</w:t>
      </w:r>
      <w:r w:rsidRPr="0064233A">
        <w:rPr>
          <w:rFonts w:hint="cs"/>
          <w:b/>
          <w:bCs/>
          <w:rtl/>
        </w:rPr>
        <w:t xml:space="preserve">תוכנית </w:t>
      </w:r>
      <w:r w:rsidRPr="0064233A">
        <w:rPr>
          <w:rFonts w:hint="cs"/>
          <w:b/>
          <w:bCs/>
          <w:rtl/>
        </w:rPr>
        <w:t>תמרוץ</w:t>
      </w:r>
      <w:r w:rsidRPr="0064233A">
        <w:rPr>
          <w:rFonts w:hint="cs"/>
          <w:b/>
          <w:bCs/>
          <w:rtl/>
        </w:rPr>
        <w:t xml:space="preserve"> למורים בעיר אילת ולמועצות האזוריות חבל </w:t>
      </w:r>
      <w:r w:rsidRPr="0064233A">
        <w:rPr>
          <w:rFonts w:hint="cs"/>
          <w:b/>
          <w:bCs/>
          <w:rtl/>
        </w:rPr>
        <w:t>אילות</w:t>
      </w:r>
      <w:r w:rsidRPr="0064233A">
        <w:rPr>
          <w:rFonts w:hint="cs"/>
          <w:b/>
          <w:bCs/>
          <w:rtl/>
        </w:rPr>
        <w:t xml:space="preserve"> וערבה תיכונה המצטרפים לתוכנית בשנות הלימודים תשפ"ב </w:t>
      </w:r>
      <w:r>
        <w:rPr>
          <w:rFonts w:hint="cs"/>
          <w:b/>
          <w:bCs/>
          <w:rtl/>
        </w:rPr>
        <w:t>-</w:t>
      </w:r>
      <w:r w:rsidRPr="0064233A">
        <w:rPr>
          <w:rFonts w:hint="cs"/>
          <w:b/>
          <w:bCs/>
          <w:rtl/>
        </w:rPr>
        <w:t xml:space="preserve"> תשפ"ז</w:t>
      </w:r>
      <w:r w:rsidRPr="0064233A">
        <w:rPr>
          <w:rFonts w:hint="cs"/>
          <w:rtl/>
        </w:rPr>
        <w:t>".</w:t>
      </w:r>
    </w:p>
  </w:footnote>
  <w:footnote w:id="50">
    <w:p w:rsidR="002201F1"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tl/>
        </w:rPr>
        <w:t>מחקר שנערך על ידי</w:t>
      </w:r>
      <w:r w:rsidRPr="0064233A">
        <w:rPr>
          <w:rFonts w:hint="cs"/>
          <w:rtl/>
        </w:rPr>
        <w:t xml:space="preserve"> </w:t>
      </w:r>
      <w:r w:rsidRPr="0064233A">
        <w:t xml:space="preserve"> Evidence Centre for Education</w:t>
      </w:r>
      <w:r w:rsidRPr="0064233A">
        <w:rPr>
          <w:rtl/>
        </w:rPr>
        <w:t xml:space="preserve"> של אוניברסיטת </w:t>
      </w:r>
      <w:r w:rsidRPr="0064233A">
        <w:rPr>
          <w:rtl/>
        </w:rPr>
        <w:t>דרהאם</w:t>
      </w:r>
      <w:r>
        <w:rPr>
          <w:rFonts w:hint="cs"/>
          <w:rtl/>
        </w:rPr>
        <w:t xml:space="preserve"> מאנגליה</w:t>
      </w:r>
      <w:r w:rsidRPr="0064233A">
        <w:rPr>
          <w:rFonts w:hint="cs"/>
          <w:rtl/>
        </w:rPr>
        <w:t xml:space="preserve"> </w:t>
      </w:r>
      <w:r w:rsidRPr="0064233A">
        <w:rPr>
          <w:rtl/>
        </w:rPr>
        <w:t xml:space="preserve">העלה כי לתמריצים כספיים יש השפעה חיובית זמנית על שימור מורים באזורים פריפריאליים, אך השפעתם חדלה עם תום התגמול, והמורים נוטים לעזוב את מקום עבודתם </w:t>
      </w:r>
      <w:r w:rsidRPr="0064233A">
        <w:rPr>
          <w:rFonts w:hint="cs"/>
          <w:rtl/>
        </w:rPr>
        <w:t>(</w:t>
      </w:r>
      <w:r w:rsidRPr="0064233A">
        <w:t xml:space="preserve">Evidence Centre for Education, Durham University, </w:t>
      </w:r>
      <w:r w:rsidRPr="00390432">
        <w:rPr>
          <w:b/>
          <w:bCs/>
          <w:i/>
          <w:iCs/>
        </w:rPr>
        <w:t>What Works in Attracting and Keeping Teachers in Schools?</w:t>
      </w:r>
      <w:r w:rsidRPr="0064233A">
        <w:t>, 2020</w:t>
      </w:r>
      <w:r w:rsidRPr="0064233A">
        <w:rPr>
          <w:rtl/>
        </w:rPr>
        <w:t>, עמ' 3</w:t>
      </w:r>
      <w:r w:rsidRPr="0064233A">
        <w:rPr>
          <w:rFonts w:hint="cs"/>
          <w:rtl/>
        </w:rPr>
        <w:t xml:space="preserve">). </w:t>
      </w:r>
      <w:r w:rsidRPr="0064233A">
        <w:rPr>
          <w:rtl/>
        </w:rPr>
        <w:t>מחקר נוסף שנערך באוניברסיטת קולורדו</w:t>
      </w:r>
      <w:r w:rsidRPr="0064233A">
        <w:rPr>
          <w:rFonts w:hint="cs"/>
          <w:rtl/>
        </w:rPr>
        <w:t xml:space="preserve"> ו</w:t>
      </w:r>
      <w:r w:rsidRPr="0064233A">
        <w:rPr>
          <w:rtl/>
        </w:rPr>
        <w:t xml:space="preserve">בחן את תוכנית </w:t>
      </w:r>
      <w:r w:rsidRPr="0064233A">
        <w:rPr>
          <w:rtl/>
        </w:rPr>
        <w:t>התמרוץ</w:t>
      </w:r>
      <w:r w:rsidRPr="0064233A">
        <w:t xml:space="preserve"> </w:t>
      </w:r>
      <w:r w:rsidRPr="0064233A">
        <w:t>ProComp</w:t>
      </w:r>
      <w:r w:rsidRPr="0064233A">
        <w:t xml:space="preserve"> </w:t>
      </w:r>
      <w:r w:rsidRPr="0064233A">
        <w:rPr>
          <w:rtl/>
        </w:rPr>
        <w:t xml:space="preserve">בעיר </w:t>
      </w:r>
      <w:r w:rsidRPr="0064233A">
        <w:rPr>
          <w:rtl/>
        </w:rPr>
        <w:t>דנבר</w:t>
      </w:r>
      <w:r w:rsidRPr="0064233A">
        <w:rPr>
          <w:rtl/>
        </w:rPr>
        <w:t xml:space="preserve">, מצא כי שיעור המורים האיכותיים בבתי הספר שבהם הופעל התמריץ שב לרמתו הקודמת </w:t>
      </w:r>
      <w:r w:rsidRPr="0064233A">
        <w:rPr>
          <w:rtl/>
        </w:rPr>
        <w:t>מי</w:t>
      </w:r>
      <w:r w:rsidRPr="0064233A">
        <w:rPr>
          <w:rFonts w:hint="cs"/>
          <w:rtl/>
        </w:rPr>
        <w:t>י</w:t>
      </w:r>
      <w:r w:rsidRPr="0064233A">
        <w:rPr>
          <w:rtl/>
        </w:rPr>
        <w:t>ד</w:t>
      </w:r>
      <w:r w:rsidRPr="0064233A">
        <w:rPr>
          <w:rtl/>
        </w:rPr>
        <w:t xml:space="preserve"> עם סיום תקופת ההטבה</w:t>
      </w:r>
      <w:r w:rsidRPr="0064233A">
        <w:rPr>
          <w:rFonts w:hint="cs"/>
          <w:rtl/>
        </w:rPr>
        <w:t xml:space="preserve"> (</w:t>
      </w:r>
      <w:r w:rsidRPr="0064233A">
        <w:t xml:space="preserve">Eleanor Spindler </w:t>
      </w:r>
      <w:r w:rsidRPr="0064233A">
        <w:t>Fulbeck</w:t>
      </w:r>
      <w:r w:rsidRPr="0064233A">
        <w:t xml:space="preserve">, </w:t>
      </w:r>
      <w:r w:rsidRPr="00390432">
        <w:rPr>
          <w:b/>
          <w:bCs/>
          <w:i/>
          <w:iCs/>
        </w:rPr>
        <w:t>Teacher Retention: Estimating and Understanding the Effects of Financial</w:t>
      </w:r>
      <w:r w:rsidRPr="0064233A">
        <w:rPr>
          <w:i/>
          <w:iCs/>
        </w:rPr>
        <w:t xml:space="preserve"> Incentives in Denver</w:t>
      </w:r>
      <w:r w:rsidRPr="0064233A">
        <w:t>, University of Colorado, 2011</w:t>
      </w:r>
      <w:r w:rsidRPr="0064233A">
        <w:rPr>
          <w:rtl/>
        </w:rPr>
        <w:t>, עמ' 24</w:t>
      </w:r>
      <w:r>
        <w:rPr>
          <w:rFonts w:hint="cs"/>
          <w:rtl/>
        </w:rPr>
        <w:t>)</w:t>
      </w:r>
      <w:r w:rsidRPr="0064233A">
        <w:rPr>
          <w:rtl/>
        </w:rPr>
        <w:t>.</w:t>
      </w:r>
      <w:r w:rsidRPr="0064233A">
        <w:rPr>
          <w:rFonts w:hint="cs"/>
          <w:rtl/>
        </w:rPr>
        <w:t xml:space="preserve"> </w:t>
      </w:r>
    </w:p>
  </w:footnote>
  <w:footnote w:id="51">
    <w:p w:rsidR="002201F1"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Fonts w:hint="cs"/>
          <w:rtl/>
        </w:rPr>
        <w:t xml:space="preserve">סעיף 2.ב.3 להחלטת </w:t>
      </w:r>
      <w:r>
        <w:rPr>
          <w:rFonts w:hint="cs"/>
          <w:rtl/>
        </w:rPr>
        <w:t>ה</w:t>
      </w:r>
      <w:r w:rsidRPr="0064233A">
        <w:rPr>
          <w:rFonts w:hint="cs"/>
          <w:rtl/>
        </w:rPr>
        <w:t xml:space="preserve">ממשלה מס' 1699 מיום </w:t>
      </w:r>
      <w:r>
        <w:rPr>
          <w:rFonts w:hint="cs"/>
          <w:rtl/>
        </w:rPr>
        <w:t>(</w:t>
      </w:r>
      <w:r w:rsidRPr="00EB41BA">
        <w:rPr>
          <w:rFonts w:hint="cs"/>
          <w:rtl/>
        </w:rPr>
        <w:t>17.4.24</w:t>
      </w:r>
      <w:r w:rsidRPr="00EB41BA">
        <w:rPr>
          <w:rtl/>
        </w:rPr>
        <w:t>)</w:t>
      </w:r>
      <w:r w:rsidRPr="00EB41BA">
        <w:rPr>
          <w:rFonts w:hint="cs"/>
          <w:rtl/>
        </w:rPr>
        <w:t>.</w:t>
      </w:r>
    </w:p>
  </w:footnote>
  <w:footnote w:id="52">
    <w:p w:rsidR="002201F1"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Fonts w:hint="cs"/>
          <w:rtl/>
        </w:rPr>
        <w:t>מדעים, טכנולוגיה, הנדסה ומתמטיקה.</w:t>
      </w:r>
    </w:p>
  </w:footnote>
  <w:footnote w:id="53">
    <w:p w:rsidR="002201F1" w:rsidRPr="0064233A" w:rsidP="005B126E">
      <w:pPr>
        <w:pStyle w:val="FootnoteText"/>
      </w:pPr>
      <w:r w:rsidRPr="0064233A">
        <w:rPr>
          <w:rStyle w:val="FootnoteReference1"/>
        </w:rPr>
        <w:footnoteRef/>
      </w:r>
      <w:r w:rsidRPr="0064233A">
        <w:rPr>
          <w:rtl/>
        </w:rPr>
        <w:t xml:space="preserve"> </w:t>
      </w:r>
      <w:r w:rsidRPr="0064233A">
        <w:rPr>
          <w:rtl/>
        </w:rPr>
        <w:tab/>
      </w:r>
      <w:r w:rsidRPr="0064233A">
        <w:rPr>
          <w:rtl/>
        </w:rPr>
        <w:t xml:space="preserve">אגף השכר והסכמי עבודה במשרד האוצר </w:t>
      </w:r>
      <w:r w:rsidRPr="0064233A">
        <w:rPr>
          <w:rFonts w:hint="cs"/>
          <w:rtl/>
        </w:rPr>
        <w:t xml:space="preserve">הוא </w:t>
      </w:r>
      <w:r w:rsidRPr="0064233A">
        <w:rPr>
          <w:rtl/>
        </w:rPr>
        <w:t>גוף המטה המרכזי של ממשלת ישראל בכל הנוגע לגיבוש ו</w:t>
      </w:r>
      <w:r w:rsidRPr="0064233A">
        <w:rPr>
          <w:rFonts w:hint="cs"/>
          <w:rtl/>
        </w:rPr>
        <w:t>ל</w:t>
      </w:r>
      <w:r w:rsidRPr="0064233A">
        <w:rPr>
          <w:rtl/>
        </w:rPr>
        <w:t>יישום מדיניות השכר בשירות הציב</w:t>
      </w:r>
      <w:r w:rsidRPr="0064233A">
        <w:rPr>
          <w:rFonts w:hint="cs"/>
          <w:rtl/>
        </w:rPr>
        <w:t>ורי. ת</w:t>
      </w:r>
      <w:r w:rsidRPr="0064233A">
        <w:rPr>
          <w:rtl/>
        </w:rPr>
        <w:t>פקידו כולל קביעת הסכמי שכר ותנאי עבודה בגופים ממשלתיים ופיקוח על יישומם</w:t>
      </w:r>
      <w:r w:rsidRPr="0064233A">
        <w:t>.</w:t>
      </w:r>
      <w:r w:rsidRPr="0064233A">
        <w:rPr>
          <w:rFonts w:hint="cs"/>
          <w:rtl/>
        </w:rPr>
        <w:t xml:space="preserve"> </w:t>
      </w:r>
      <w:r w:rsidRPr="0064233A">
        <w:rPr>
          <w:rtl/>
        </w:rPr>
        <w:t>ב</w:t>
      </w:r>
      <w:r w:rsidRPr="0064233A">
        <w:rPr>
          <w:rFonts w:hint="cs"/>
          <w:rtl/>
        </w:rPr>
        <w:t>מסגרת תפקידו</w:t>
      </w:r>
      <w:r w:rsidRPr="0064233A">
        <w:rPr>
          <w:rtl/>
        </w:rPr>
        <w:t>, האגף פועל להתאים את תנאי השכר במקצועות מבוקשים לעולם עבודה תחרותי</w:t>
      </w:r>
      <w:r w:rsidRPr="0064233A">
        <w:rPr>
          <w:rFonts w:hint="cs"/>
          <w:rtl/>
        </w:rPr>
        <w:t xml:space="preserve"> </w:t>
      </w:r>
      <w:r w:rsidRPr="0064233A">
        <w:rPr>
          <w:rtl/>
        </w:rPr>
        <w:t xml:space="preserve">כמו </w:t>
      </w:r>
      <w:r w:rsidRPr="0064233A">
        <w:rPr>
          <w:rFonts w:hint="cs"/>
          <w:rtl/>
        </w:rPr>
        <w:t>ב</w:t>
      </w:r>
      <w:r w:rsidRPr="0064233A">
        <w:rPr>
          <w:rtl/>
        </w:rPr>
        <w:t>תחומי הבריאות</w:t>
      </w:r>
      <w:r w:rsidRPr="0064233A">
        <w:rPr>
          <w:rFonts w:hint="cs"/>
          <w:rtl/>
        </w:rPr>
        <w:t xml:space="preserve"> והחינוך.</w:t>
      </w:r>
    </w:p>
  </w:footnote>
  <w:footnote w:id="54">
    <w:p w:rsidR="002201F1"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Fonts w:hint="cs"/>
          <w:rtl/>
        </w:rPr>
        <w:t xml:space="preserve">אגף השכר והסכמי עבודה, משרד האוצר, חוזר 2024-1-5, </w:t>
      </w:r>
      <w:r w:rsidRPr="0064233A">
        <w:rPr>
          <w:b/>
          <w:bCs/>
          <w:rtl/>
        </w:rPr>
        <w:t xml:space="preserve">תוכניות </w:t>
      </w:r>
      <w:r w:rsidRPr="0064233A">
        <w:rPr>
          <w:b/>
          <w:bCs/>
          <w:rtl/>
        </w:rPr>
        <w:t>תמרוץ</w:t>
      </w:r>
      <w:r w:rsidRPr="0064233A">
        <w:rPr>
          <w:b/>
          <w:bCs/>
          <w:rtl/>
        </w:rPr>
        <w:t xml:space="preserve"> להתארגנות וייצוב ולגיוס עובדי הוראה בחבל התקומה בשנת הלימודים תשפ"ה בלבד</w:t>
      </w:r>
      <w:r w:rsidRPr="0064233A">
        <w:rPr>
          <w:rFonts w:hint="cs"/>
          <w:rtl/>
        </w:rPr>
        <w:t xml:space="preserve">, 2024. </w:t>
      </w:r>
    </w:p>
  </w:footnote>
  <w:footnote w:id="55">
    <w:p w:rsidR="002201F1" w:rsidRPr="0064233A" w:rsidP="005B126E">
      <w:pPr>
        <w:pStyle w:val="FootnoteText"/>
      </w:pPr>
      <w:r w:rsidRPr="0064233A">
        <w:rPr>
          <w:rStyle w:val="FootnoteReference1"/>
        </w:rPr>
        <w:footnoteRef/>
      </w:r>
      <w:r w:rsidRPr="0064233A">
        <w:rPr>
          <w:rtl/>
        </w:rPr>
        <w:t xml:space="preserve"> </w:t>
      </w:r>
      <w:r w:rsidRPr="0064233A">
        <w:rPr>
          <w:rtl/>
        </w:rPr>
        <w:tab/>
      </w:r>
      <w:r w:rsidRPr="0064233A">
        <w:rPr>
          <w:rFonts w:hint="cs"/>
          <w:rtl/>
        </w:rPr>
        <w:t xml:space="preserve">החישוב נעשה על בסיס נתוני שנת הלימודים תשפ"ג שלפיהם בשנה זו הועסקו ברשויות המקומיות של חבל התקומה 2,184 מורים. </w:t>
      </w:r>
    </w:p>
  </w:footnote>
  <w:footnote w:id="56">
    <w:p w:rsidR="002201F1" w:rsidRPr="0064233A" w:rsidP="005B126E">
      <w:pPr>
        <w:pStyle w:val="FootnoteText"/>
      </w:pPr>
      <w:r w:rsidRPr="0064233A">
        <w:rPr>
          <w:rStyle w:val="FootnoteReference1"/>
        </w:rPr>
        <w:footnoteRef/>
      </w:r>
      <w:r w:rsidRPr="0064233A">
        <w:rPr>
          <w:rtl/>
        </w:rPr>
        <w:t xml:space="preserve"> </w:t>
      </w:r>
      <w:r w:rsidRPr="0064233A">
        <w:rPr>
          <w:rtl/>
        </w:rPr>
        <w:tab/>
      </w:r>
      <w:r w:rsidRPr="0064233A">
        <w:rPr>
          <w:rtl/>
        </w:rPr>
        <w:t xml:space="preserve">מרכז המחקר והמידע של הכנסת, </w:t>
      </w:r>
      <w:r w:rsidRPr="0064233A">
        <w:rPr>
          <w:b/>
          <w:bCs/>
          <w:rtl/>
        </w:rPr>
        <w:t>תמריצים ותגמולים לעובדי הוראה בפריפריה</w:t>
      </w:r>
      <w:r w:rsidRPr="0064233A">
        <w:rPr>
          <w:rtl/>
        </w:rPr>
        <w:t xml:space="preserve">, ינואר 2013, עמ' </w:t>
      </w:r>
      <w:r w:rsidRPr="0064233A">
        <w:rPr>
          <w:rFonts w:hint="cs"/>
          <w:rtl/>
        </w:rPr>
        <w:t>7 - 9.</w:t>
      </w:r>
    </w:p>
  </w:footnote>
  <w:footnote w:id="57">
    <w:p w:rsidR="002201F1"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tl/>
        </w:rPr>
        <w:t xml:space="preserve">טל בן ארי, אורלי </w:t>
      </w:r>
      <w:r w:rsidRPr="0064233A">
        <w:rPr>
          <w:rtl/>
        </w:rPr>
        <w:t>ליפקה</w:t>
      </w:r>
      <w:r w:rsidRPr="0064233A">
        <w:rPr>
          <w:rtl/>
        </w:rPr>
        <w:t xml:space="preserve"> ומירי שריד, </w:t>
      </w:r>
      <w:r w:rsidRPr="0064233A">
        <w:rPr>
          <w:b/>
          <w:bCs/>
          <w:rtl/>
        </w:rPr>
        <w:t>הוראה בזמן מלחמה: שחיקה, אתגרים מקצועיים ותמיכה</w:t>
      </w:r>
      <w:r w:rsidRPr="0064233A">
        <w:rPr>
          <w:rtl/>
        </w:rPr>
        <w:t xml:space="preserve">, </w:t>
      </w:r>
      <w:r w:rsidRPr="0064233A">
        <w:rPr>
          <w:rFonts w:hint="eastAsia"/>
          <w:rtl/>
        </w:rPr>
        <w:t>נובמבר</w:t>
      </w:r>
      <w:r w:rsidRPr="0064233A">
        <w:rPr>
          <w:rtl/>
        </w:rPr>
        <w:t xml:space="preserve"> 2024</w:t>
      </w:r>
      <w:r>
        <w:rPr>
          <w:rFonts w:hint="cs"/>
          <w:rtl/>
        </w:rPr>
        <w:t>.</w:t>
      </w:r>
    </w:p>
  </w:footnote>
  <w:footnote w:id="58">
    <w:p w:rsidR="002201F1" w:rsidP="005B126E">
      <w:pPr>
        <w:pStyle w:val="FootnoteText"/>
      </w:pPr>
      <w:r>
        <w:rPr>
          <w:rStyle w:val="FootnoteReference1"/>
        </w:rPr>
        <w:footnoteRef/>
      </w:r>
      <w:r>
        <w:rPr>
          <w:rtl/>
        </w:rPr>
        <w:t xml:space="preserve"> </w:t>
      </w:r>
      <w:r>
        <w:rPr>
          <w:rtl/>
        </w:rPr>
        <w:tab/>
      </w:r>
      <w:r>
        <w:rPr>
          <w:rFonts w:hint="cs"/>
          <w:rtl/>
        </w:rPr>
        <w:t>מרכזי פיתוח סגלי הוראה.</w:t>
      </w:r>
    </w:p>
  </w:footnote>
  <w:footnote w:id="59">
    <w:p w:rsidR="002201F1"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tl/>
        </w:rPr>
        <w:t xml:space="preserve">מדד הפריפריאליות </w:t>
      </w:r>
      <w:r w:rsidRPr="0064233A">
        <w:rPr>
          <w:rFonts w:hint="cs"/>
          <w:rtl/>
        </w:rPr>
        <w:t xml:space="preserve">שגיבשה </w:t>
      </w:r>
      <w:r w:rsidRPr="0064233A">
        <w:rPr>
          <w:rFonts w:hint="cs"/>
          <w:rtl/>
        </w:rPr>
        <w:t>הלמ"ס</w:t>
      </w:r>
      <w:r w:rsidRPr="0064233A">
        <w:rPr>
          <w:rFonts w:hint="cs"/>
          <w:rtl/>
        </w:rPr>
        <w:t xml:space="preserve"> </w:t>
      </w:r>
      <w:r w:rsidRPr="0064233A">
        <w:rPr>
          <w:rtl/>
        </w:rPr>
        <w:t>משמש את ממשלת ישראל ככלי לקביעת מדיניות ממשלתית בתחומים שונים, לרבות חלוקת תקציבים והענקת הטבות כלכליות, מתוך מטרה לצמצם פערים בין מרכז לפריפריה.</w:t>
      </w:r>
      <w:r w:rsidRPr="0064233A">
        <w:rPr>
          <w:szCs w:val="24"/>
          <w:rtl/>
        </w:rPr>
        <w:t xml:space="preserve"> </w:t>
      </w:r>
      <w:r w:rsidRPr="0064233A">
        <w:rPr>
          <w:rtl/>
        </w:rPr>
        <w:t>אזור פריפריאלי מוגדר כאזור מרוחק מאפשרויות (כגון שווקים, מקומות תעסוקה ושירותי בריאות), מפעילויות (כגון עבודה, לימודים, קניות ופנאי) או מנכסים הקיימים בכל האזורים, כולל באזור עצמו. </w:t>
      </w:r>
      <w:r w:rsidRPr="0064233A">
        <w:rPr>
          <w:rFonts w:hint="cs"/>
          <w:b/>
          <w:bCs/>
          <w:rtl/>
        </w:rPr>
        <w:t>ה</w:t>
      </w:r>
      <w:r w:rsidRPr="0064233A">
        <w:rPr>
          <w:b/>
          <w:bCs/>
          <w:rtl/>
        </w:rPr>
        <w:t>מדד הפריפריאליות</w:t>
      </w:r>
      <w:r w:rsidRPr="0064233A">
        <w:rPr>
          <w:rtl/>
        </w:rPr>
        <w:t> נבנה בהתאם להגדרה זאת, במטרה לאפיין את היישובים ואת הרשויות המקומיות לפי מיקומם הג</w:t>
      </w:r>
      <w:r w:rsidRPr="0064233A">
        <w:rPr>
          <w:rFonts w:hint="cs"/>
          <w:rtl/>
        </w:rPr>
        <w:t>י</w:t>
      </w:r>
      <w:r w:rsidRPr="0064233A">
        <w:rPr>
          <w:rtl/>
        </w:rPr>
        <w:t>אוגרפי בטווח בין הפריפריאלי ביותר לבין המרכזי ביותר. ערך המדד מחושב כסכום משוקלל של שני מרכיבים: </w:t>
      </w:r>
      <w:r w:rsidRPr="0064233A">
        <w:rPr>
          <w:b/>
          <w:bCs/>
          <w:rtl/>
        </w:rPr>
        <w:t>נגישות פוטנציאלית </w:t>
      </w:r>
      <w:r w:rsidRPr="0064233A">
        <w:rPr>
          <w:rtl/>
        </w:rPr>
        <w:t>- במשקל של 2/3, </w:t>
      </w:r>
      <w:r w:rsidRPr="0064233A">
        <w:rPr>
          <w:b/>
          <w:bCs/>
          <w:rtl/>
        </w:rPr>
        <w:t>וקרבה לגבול מחוז תל אביב</w:t>
      </w:r>
      <w:r w:rsidRPr="0064233A">
        <w:rPr>
          <w:rtl/>
        </w:rPr>
        <w:t> </w:t>
      </w:r>
      <w:r w:rsidRPr="0064233A">
        <w:rPr>
          <w:rFonts w:hint="cs"/>
          <w:rtl/>
        </w:rPr>
        <w:t>-</w:t>
      </w:r>
      <w:r w:rsidRPr="0064233A">
        <w:rPr>
          <w:rtl/>
        </w:rPr>
        <w:t xml:space="preserve"> במשקל של 1/3. </w:t>
      </w:r>
    </w:p>
  </w:footnote>
  <w:footnote w:id="60">
    <w:p w:rsidR="002201F1"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Fonts w:hint="cs"/>
          <w:rtl/>
        </w:rPr>
        <w:t>דפנה גץ ואח'</w:t>
      </w:r>
      <w:r w:rsidRPr="0064233A">
        <w:rPr>
          <w:rtl/>
        </w:rPr>
        <w:t xml:space="preserve">, </w:t>
      </w:r>
      <w:r w:rsidRPr="0064233A">
        <w:rPr>
          <w:b/>
          <w:bCs/>
          <w:rtl/>
        </w:rPr>
        <w:t>קידום המו"פ והחדשנות בפריפריה בישראל</w:t>
      </w:r>
      <w:r w:rsidRPr="0064233A">
        <w:rPr>
          <w:rtl/>
        </w:rPr>
        <w:t xml:space="preserve">, מוסד שמואל נאמן דצמבר 2015, עמ' </w:t>
      </w:r>
      <w:r w:rsidRPr="0064233A">
        <w:rPr>
          <w:rFonts w:hint="cs"/>
          <w:rtl/>
        </w:rPr>
        <w:t>32</w:t>
      </w:r>
      <w:r w:rsidRPr="0064233A">
        <w:rPr>
          <w:rtl/>
        </w:rPr>
        <w:t>.</w:t>
      </w:r>
    </w:p>
  </w:footnote>
  <w:footnote w:id="61">
    <w:p w:rsidR="002201F1"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Fonts w:hint="cs"/>
          <w:rtl/>
        </w:rPr>
        <w:t>תחקיר צה"ל על מתקפת הטרור בניר עוז.</w:t>
      </w:r>
    </w:p>
  </w:footnote>
  <w:footnote w:id="62">
    <w:p w:rsidR="002201F1" w:rsidRPr="003474AA" w:rsidP="005B126E">
      <w:pPr>
        <w:pStyle w:val="FootnoteText"/>
        <w:rPr>
          <w:rtl/>
        </w:rPr>
      </w:pPr>
      <w:r w:rsidRPr="0064233A">
        <w:rPr>
          <w:rStyle w:val="FootnoteReference1"/>
        </w:rPr>
        <w:footnoteRef/>
      </w:r>
      <w:r w:rsidRPr="0064233A">
        <w:rPr>
          <w:rtl/>
        </w:rPr>
        <w:t xml:space="preserve"> </w:t>
      </w:r>
      <w:r w:rsidRPr="0064233A">
        <w:rPr>
          <w:rtl/>
        </w:rPr>
        <w:tab/>
      </w:r>
      <w:r w:rsidRPr="0064233A">
        <w:rPr>
          <w:rFonts w:hint="cs"/>
          <w:rtl/>
        </w:rPr>
        <w:t xml:space="preserve">קריטריונים לתקצוב רשויות מקומיות </w:t>
      </w:r>
      <w:r>
        <w:rPr>
          <w:rFonts w:hint="cs"/>
          <w:rtl/>
        </w:rPr>
        <w:t>ב</w:t>
      </w:r>
      <w:r w:rsidRPr="0064233A">
        <w:rPr>
          <w:rFonts w:hint="cs"/>
          <w:rtl/>
        </w:rPr>
        <w:t>עבור התוכנית האסטרטגית לשיקום</w:t>
      </w:r>
      <w:r>
        <w:rPr>
          <w:rFonts w:hint="cs"/>
          <w:rtl/>
        </w:rPr>
        <w:t>,</w:t>
      </w:r>
      <w:r w:rsidRPr="0064233A">
        <w:rPr>
          <w:rFonts w:hint="cs"/>
          <w:rtl/>
        </w:rPr>
        <w:t xml:space="preserve"> </w:t>
      </w:r>
      <w:r>
        <w:rPr>
          <w:rFonts w:hint="cs"/>
          <w:rtl/>
        </w:rPr>
        <w:t>ל</w:t>
      </w:r>
      <w:r w:rsidRPr="0064233A">
        <w:rPr>
          <w:rFonts w:hint="cs"/>
          <w:rtl/>
        </w:rPr>
        <w:t>חידוש ו</w:t>
      </w:r>
      <w:r>
        <w:rPr>
          <w:rFonts w:hint="cs"/>
          <w:rtl/>
        </w:rPr>
        <w:t>ל</w:t>
      </w:r>
      <w:r w:rsidRPr="0064233A">
        <w:rPr>
          <w:rFonts w:hint="cs"/>
          <w:rtl/>
        </w:rPr>
        <w:t>פיתוח חבל התקומה ואוכלוסייתו לשנים 2024 - 2028, החלטת ממשלה 1699 מיום 17.4.24</w:t>
      </w:r>
      <w:r w:rsidRPr="003474AA">
        <w:rPr>
          <w:rFonts w:hint="cs"/>
          <w:rtl/>
        </w:rPr>
        <w:t>.</w:t>
      </w:r>
    </w:p>
  </w:footnote>
  <w:footnote w:id="63">
    <w:p w:rsidR="002201F1" w:rsidRPr="0064233A" w:rsidP="005B126E">
      <w:pPr>
        <w:pStyle w:val="FootnoteText"/>
        <w:rPr>
          <w:rtl/>
        </w:rPr>
      </w:pPr>
      <w:r w:rsidRPr="0064233A">
        <w:rPr>
          <w:rStyle w:val="FootnoteReference1"/>
        </w:rPr>
        <w:footnoteRef/>
      </w:r>
      <w:r w:rsidRPr="0064233A">
        <w:rPr>
          <w:rtl/>
        </w:rPr>
        <w:t xml:space="preserve"> </w:t>
      </w:r>
      <w:r w:rsidRPr="0064233A">
        <w:rPr>
          <w:rtl/>
        </w:rPr>
        <w:tab/>
      </w:r>
      <w:r w:rsidRPr="00390432">
        <w:rPr>
          <w:rtl/>
        </w:rPr>
        <w:t>הקואליציה הישראלית לטראומה משמשת ספק של משרד הבריאות אחרי שזכתה במכרז להפעלת מרכזי החוסן.</w:t>
      </w:r>
      <w:r w:rsidRPr="00390432">
        <w:rPr>
          <w:rFonts w:hint="cs"/>
          <w:rtl/>
        </w:rPr>
        <w:t xml:space="preserve"> </w:t>
      </w:r>
      <w:r w:rsidRPr="00390432">
        <w:rPr>
          <w:rtl/>
        </w:rPr>
        <w:t>מרכזי החוסן מספקים מענה טיפולי חינם לנפגעי דחק (חרדה) על רקע המלחמה. הטיפול ניתן על ידי אנשי מקצוע</w:t>
      </w:r>
      <w:r w:rsidRPr="00285434">
        <w:rPr>
          <w:rtl/>
        </w:rPr>
        <w:t xml:space="preserve"> מורשים בעלי מומחיות בתחום טיפול ממוקד טראומה. המרכזים נותנים טיפולים פרטניים, קבוצתיים ומשפחתיים בפריסה ארצית.</w:t>
      </w:r>
    </w:p>
  </w:footnote>
  <w:footnote w:id="64">
    <w:p w:rsidR="002201F1" w:rsidRPr="0064233A" w:rsidP="005B126E">
      <w:pPr>
        <w:pStyle w:val="FootnoteText"/>
      </w:pPr>
      <w:r w:rsidRPr="0064233A">
        <w:rPr>
          <w:rStyle w:val="FootnoteReference1"/>
        </w:rPr>
        <w:footnoteRef/>
      </w:r>
      <w:r w:rsidRPr="0064233A">
        <w:rPr>
          <w:rtl/>
        </w:rPr>
        <w:t xml:space="preserve"> </w:t>
      </w:r>
      <w:r w:rsidRPr="0064233A">
        <w:rPr>
          <w:rtl/>
        </w:rPr>
        <w:tab/>
      </w:r>
      <w:r w:rsidRPr="0064233A">
        <w:rPr>
          <w:rFonts w:hint="cs"/>
          <w:rtl/>
        </w:rPr>
        <w:t>הלשכה המרכזית לסטטיסטיקה, מצגת יולי 2025.</w:t>
      </w:r>
    </w:p>
  </w:footnote>
  <w:footnote w:id="65">
    <w:p w:rsidR="002201F1" w:rsidRPr="0064233A" w:rsidP="005B126E">
      <w:pPr>
        <w:pStyle w:val="FootnoteText"/>
      </w:pPr>
      <w:r w:rsidRPr="0064233A">
        <w:rPr>
          <w:rStyle w:val="FootnoteReference1"/>
        </w:rPr>
        <w:footnoteRef/>
      </w:r>
      <w:r w:rsidRPr="0064233A">
        <w:rPr>
          <w:rtl/>
        </w:rPr>
        <w:t xml:space="preserve"> </w:t>
      </w:r>
      <w:r w:rsidRPr="0064233A">
        <w:rPr>
          <w:rtl/>
        </w:rPr>
        <w:tab/>
      </w:r>
      <w:r w:rsidRPr="0064233A">
        <w:rPr>
          <w:rFonts w:hint="cs"/>
          <w:rtl/>
        </w:rPr>
        <w:t xml:space="preserve">מבקר המדינה, </w:t>
      </w:r>
      <w:r w:rsidRPr="00390432">
        <w:rPr>
          <w:rFonts w:hint="eastAsia"/>
          <w:b/>
          <w:bCs/>
          <w:rtl/>
        </w:rPr>
        <w:t>דוח</w:t>
      </w:r>
      <w:r w:rsidRPr="00390432">
        <w:rPr>
          <w:b/>
          <w:bCs/>
          <w:rtl/>
        </w:rPr>
        <w:t xml:space="preserve"> ביקורת מיוחד: הטיפול בבריאות הנפש בעקבות אירועי שבעה באוקטובר 2023 ומלחמת חרבות ברזל</w:t>
      </w:r>
      <w:r w:rsidRPr="00E50CE0">
        <w:rPr>
          <w:rStyle w:val="Hyperlink"/>
          <w:rFonts w:hint="cs"/>
          <w:color w:val="auto"/>
          <w:u w:val="none"/>
          <w:rtl/>
        </w:rPr>
        <w:t xml:space="preserve"> (פברואר 2025)</w:t>
      </w:r>
      <w:r w:rsidRPr="0064233A">
        <w:rPr>
          <w:rFonts w:hint="cs"/>
          <w:rtl/>
        </w:rPr>
        <w:t>.</w:t>
      </w:r>
    </w:p>
  </w:footnote>
  <w:footnote w:id="66">
    <w:p w:rsidR="002201F1" w:rsidRPr="0064233A" w:rsidP="005B126E">
      <w:pPr>
        <w:pStyle w:val="FootnoteText"/>
      </w:pPr>
      <w:r w:rsidRPr="0064233A">
        <w:rPr>
          <w:rStyle w:val="FootnoteReference1"/>
        </w:rPr>
        <w:footnoteRef/>
      </w:r>
      <w:r w:rsidRPr="0064233A">
        <w:rPr>
          <w:rtl/>
        </w:rPr>
        <w:t xml:space="preserve"> </w:t>
      </w:r>
      <w:r w:rsidRPr="0064233A">
        <w:rPr>
          <w:rtl/>
        </w:rPr>
        <w:tab/>
      </w:r>
      <w:r w:rsidRPr="0064233A">
        <w:rPr>
          <w:rtl/>
        </w:rPr>
        <w:t>ועדת החקירה הממלכתית בנושא טיפולן של הרשויות המוסמכות במפוני גוש קטיף וצפון השומרון דו"ח הוועדה 451 (2010).</w:t>
      </w:r>
    </w:p>
  </w:footnote>
  <w:footnote w:id="67">
    <w:p w:rsidR="002201F1"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tl/>
        </w:rPr>
        <w:t>אישור תשלום מענקים לגיוס ושימור עובדי המחלקות לשירותים חברתיים ברשויות חבל התקומה</w:t>
      </w:r>
      <w:r w:rsidRPr="0064233A">
        <w:rPr>
          <w:rFonts w:hint="cs"/>
          <w:rtl/>
        </w:rPr>
        <w:t>.</w:t>
      </w:r>
    </w:p>
  </w:footnote>
  <w:footnote w:id="68">
    <w:p w:rsidR="002201F1" w:rsidRPr="0064233A" w:rsidP="005B126E">
      <w:pPr>
        <w:pStyle w:val="FootnoteText"/>
      </w:pPr>
      <w:r w:rsidRPr="0064233A">
        <w:rPr>
          <w:rStyle w:val="FootnoteReference1"/>
        </w:rPr>
        <w:footnoteRef/>
      </w:r>
      <w:r w:rsidRPr="0064233A">
        <w:rPr>
          <w:rtl/>
        </w:rPr>
        <w:t xml:space="preserve"> </w:t>
      </w:r>
      <w:r w:rsidRPr="0064233A">
        <w:rPr>
          <w:rtl/>
        </w:rPr>
        <w:tab/>
      </w:r>
      <w:r w:rsidRPr="0064233A">
        <w:rPr>
          <w:rFonts w:hint="cs"/>
          <w:rtl/>
        </w:rPr>
        <w:t>נתוני משרד הרווחה, יוני 2025.</w:t>
      </w:r>
    </w:p>
  </w:footnote>
  <w:footnote w:id="69">
    <w:p w:rsidR="002201F1"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Fonts w:hint="cs"/>
          <w:rtl/>
        </w:rPr>
        <w:t>שם.</w:t>
      </w:r>
    </w:p>
  </w:footnote>
  <w:footnote w:id="70">
    <w:p w:rsidR="002201F1" w:rsidRPr="0064233A" w:rsidP="005B126E">
      <w:pPr>
        <w:pStyle w:val="FootnoteText"/>
        <w:rPr>
          <w:rFonts w:hint="cs"/>
          <w:rtl/>
        </w:rPr>
      </w:pPr>
      <w:r w:rsidRPr="0064233A">
        <w:rPr>
          <w:rStyle w:val="FootnoteReference1"/>
        </w:rPr>
        <w:footnoteRef/>
      </w:r>
      <w:r w:rsidRPr="0064233A">
        <w:rPr>
          <w:rtl/>
        </w:rPr>
        <w:t xml:space="preserve"> </w:t>
      </w:r>
      <w:r w:rsidRPr="0064233A">
        <w:rPr>
          <w:rtl/>
        </w:rPr>
        <w:tab/>
      </w:r>
      <w:r w:rsidRPr="0064233A">
        <w:rPr>
          <w:rFonts w:hint="cs"/>
          <w:rtl/>
        </w:rPr>
        <w:t xml:space="preserve">מעבדת </w:t>
      </w:r>
      <w:r w:rsidRPr="0064233A">
        <w:rPr>
          <w:rFonts w:hint="cs"/>
          <w:rtl/>
        </w:rPr>
        <w:t>גוסטמן</w:t>
      </w:r>
      <w:r w:rsidRPr="0064233A">
        <w:rPr>
          <w:rFonts w:hint="cs"/>
          <w:rtl/>
        </w:rPr>
        <w:t xml:space="preserve"> לעתיד ישראל</w:t>
      </w:r>
      <w:r>
        <w:rPr>
          <w:rFonts w:hint="cs"/>
          <w:rtl/>
        </w:rPr>
        <w:t xml:space="preserve">, </w:t>
      </w:r>
      <w:r w:rsidRPr="0064233A">
        <w:rPr>
          <w:rFonts w:hint="eastAsia"/>
          <w:b/>
          <w:bCs/>
          <w:rtl/>
        </w:rPr>
        <w:t>מתווה</w:t>
      </w:r>
      <w:r w:rsidRPr="0064233A">
        <w:rPr>
          <w:b/>
          <w:bCs/>
          <w:rtl/>
        </w:rPr>
        <w:t xml:space="preserve"> </w:t>
      </w:r>
      <w:r w:rsidRPr="0064233A">
        <w:rPr>
          <w:rFonts w:hint="eastAsia"/>
          <w:b/>
          <w:bCs/>
          <w:rtl/>
        </w:rPr>
        <w:t>לשיקום</w:t>
      </w:r>
      <w:r w:rsidRPr="0064233A">
        <w:rPr>
          <w:b/>
          <w:bCs/>
          <w:rtl/>
        </w:rPr>
        <w:t xml:space="preserve"> </w:t>
      </w:r>
      <w:r w:rsidRPr="0064233A">
        <w:rPr>
          <w:rFonts w:hint="eastAsia"/>
          <w:b/>
          <w:bCs/>
          <w:rtl/>
        </w:rPr>
        <w:t>ולפיתוח</w:t>
      </w:r>
      <w:r w:rsidRPr="0064233A">
        <w:rPr>
          <w:b/>
          <w:bCs/>
          <w:rtl/>
        </w:rPr>
        <w:t xml:space="preserve"> </w:t>
      </w:r>
      <w:r w:rsidRPr="0064233A">
        <w:rPr>
          <w:rFonts w:hint="eastAsia"/>
          <w:b/>
          <w:bCs/>
          <w:rtl/>
        </w:rPr>
        <w:t>הנגב</w:t>
      </w:r>
      <w:r w:rsidRPr="0064233A">
        <w:rPr>
          <w:b/>
          <w:bCs/>
          <w:rtl/>
        </w:rPr>
        <w:t xml:space="preserve"> </w:t>
      </w:r>
      <w:r w:rsidRPr="0064233A">
        <w:rPr>
          <w:rFonts w:hint="eastAsia"/>
          <w:b/>
          <w:bCs/>
          <w:rtl/>
        </w:rPr>
        <w:t>המערבי</w:t>
      </w:r>
      <w:r w:rsidRPr="0064233A">
        <w:rPr>
          <w:rFonts w:hint="cs"/>
          <w:b/>
          <w:bCs/>
          <w:rtl/>
        </w:rPr>
        <w:t>:</w:t>
      </w:r>
      <w:r w:rsidRPr="0064233A">
        <w:rPr>
          <w:b/>
          <w:bCs/>
          <w:rtl/>
        </w:rPr>
        <w:t xml:space="preserve"> </w:t>
      </w:r>
      <w:r w:rsidRPr="0064233A">
        <w:rPr>
          <w:rFonts w:hint="eastAsia"/>
          <w:b/>
          <w:bCs/>
          <w:rtl/>
        </w:rPr>
        <w:t>תפישת</w:t>
      </w:r>
      <w:r w:rsidRPr="0064233A">
        <w:rPr>
          <w:b/>
          <w:bCs/>
          <w:rtl/>
        </w:rPr>
        <w:t xml:space="preserve"> </w:t>
      </w:r>
      <w:r w:rsidRPr="0064233A">
        <w:rPr>
          <w:rFonts w:hint="eastAsia"/>
          <w:b/>
          <w:bCs/>
          <w:rtl/>
        </w:rPr>
        <w:t>התכנון</w:t>
      </w:r>
      <w:r w:rsidRPr="0064233A">
        <w:rPr>
          <w:b/>
          <w:bCs/>
          <w:rtl/>
        </w:rPr>
        <w:t xml:space="preserve"> </w:t>
      </w:r>
      <w:r w:rsidRPr="0064233A">
        <w:rPr>
          <w:rFonts w:hint="eastAsia"/>
          <w:b/>
          <w:bCs/>
          <w:rtl/>
        </w:rPr>
        <w:t>והפיתוח</w:t>
      </w:r>
      <w:r w:rsidRPr="0064233A">
        <w:rPr>
          <w:b/>
          <w:bCs/>
          <w:rtl/>
        </w:rPr>
        <w:t xml:space="preserve"> </w:t>
      </w:r>
      <w:r w:rsidRPr="0064233A">
        <w:rPr>
          <w:rFonts w:hint="eastAsia"/>
          <w:b/>
          <w:bCs/>
          <w:rtl/>
        </w:rPr>
        <w:t>לאזור</w:t>
      </w:r>
      <w:r w:rsidRPr="0064233A">
        <w:rPr>
          <w:b/>
          <w:bCs/>
          <w:rtl/>
        </w:rPr>
        <w:t xml:space="preserve"> </w:t>
      </w:r>
      <w:r w:rsidRPr="0064233A">
        <w:rPr>
          <w:rFonts w:hint="eastAsia"/>
          <w:b/>
          <w:bCs/>
          <w:rtl/>
        </w:rPr>
        <w:t>הנגב</w:t>
      </w:r>
      <w:r w:rsidRPr="0064233A">
        <w:rPr>
          <w:b/>
          <w:bCs/>
          <w:rtl/>
        </w:rPr>
        <w:t xml:space="preserve"> </w:t>
      </w:r>
      <w:r w:rsidRPr="0064233A">
        <w:rPr>
          <w:rFonts w:hint="eastAsia"/>
          <w:b/>
          <w:bCs/>
          <w:rtl/>
        </w:rPr>
        <w:t>המערבי</w:t>
      </w:r>
      <w:r w:rsidRPr="0064233A">
        <w:rPr>
          <w:b/>
          <w:bCs/>
          <w:rtl/>
        </w:rPr>
        <w:t xml:space="preserve"> </w:t>
      </w:r>
      <w:r w:rsidRPr="0064233A">
        <w:rPr>
          <w:rFonts w:hint="eastAsia"/>
          <w:b/>
          <w:bCs/>
          <w:rtl/>
        </w:rPr>
        <w:t>ומטרופולין</w:t>
      </w:r>
      <w:r w:rsidRPr="0064233A">
        <w:rPr>
          <w:b/>
          <w:bCs/>
          <w:rtl/>
        </w:rPr>
        <w:t xml:space="preserve"> </w:t>
      </w:r>
      <w:r w:rsidRPr="0064233A">
        <w:rPr>
          <w:rFonts w:hint="eastAsia"/>
          <w:b/>
          <w:bCs/>
          <w:rtl/>
        </w:rPr>
        <w:t>באר</w:t>
      </w:r>
      <w:r w:rsidRPr="0064233A">
        <w:rPr>
          <w:b/>
          <w:bCs/>
          <w:rtl/>
        </w:rPr>
        <w:t xml:space="preserve"> </w:t>
      </w:r>
      <w:r w:rsidRPr="0064233A">
        <w:rPr>
          <w:rFonts w:hint="eastAsia"/>
          <w:b/>
          <w:bCs/>
          <w:rtl/>
        </w:rPr>
        <w:t>שבע</w:t>
      </w:r>
      <w:r w:rsidRPr="0064233A">
        <w:rPr>
          <w:b/>
          <w:bCs/>
          <w:rtl/>
        </w:rPr>
        <w:t xml:space="preserve"> </w:t>
      </w:r>
      <w:r w:rsidRPr="0064233A">
        <w:rPr>
          <w:rFonts w:hint="eastAsia"/>
          <w:b/>
          <w:bCs/>
          <w:rtl/>
        </w:rPr>
        <w:t>בעקבות</w:t>
      </w:r>
      <w:r w:rsidRPr="0064233A">
        <w:rPr>
          <w:b/>
          <w:bCs/>
          <w:rtl/>
        </w:rPr>
        <w:t xml:space="preserve"> </w:t>
      </w:r>
      <w:r w:rsidRPr="0064233A">
        <w:rPr>
          <w:rFonts w:hint="eastAsia"/>
          <w:b/>
          <w:bCs/>
          <w:rtl/>
        </w:rPr>
        <w:t>אירועי</w:t>
      </w:r>
      <w:r w:rsidRPr="0064233A">
        <w:rPr>
          <w:b/>
          <w:bCs/>
          <w:rtl/>
        </w:rPr>
        <w:t xml:space="preserve"> </w:t>
      </w:r>
      <w:r w:rsidRPr="0064233A">
        <w:rPr>
          <w:rFonts w:hint="eastAsia"/>
          <w:b/>
          <w:bCs/>
          <w:rtl/>
        </w:rPr>
        <w:t>ה</w:t>
      </w:r>
      <w:r w:rsidRPr="0064233A">
        <w:rPr>
          <w:b/>
          <w:bCs/>
          <w:rtl/>
        </w:rPr>
        <w:t xml:space="preserve">-7 </w:t>
      </w:r>
      <w:r w:rsidRPr="0064233A">
        <w:rPr>
          <w:rFonts w:hint="eastAsia"/>
          <w:b/>
          <w:bCs/>
          <w:rtl/>
        </w:rPr>
        <w:t>באוקטובר</w:t>
      </w:r>
      <w:r w:rsidRPr="0064233A">
        <w:rPr>
          <w:rFonts w:hint="cs"/>
          <w:rtl/>
        </w:rPr>
        <w:t xml:space="preserve"> </w:t>
      </w:r>
      <w:r>
        <w:rPr>
          <w:rFonts w:hint="cs"/>
          <w:rtl/>
        </w:rPr>
        <w:t>(</w:t>
      </w:r>
      <w:r w:rsidRPr="0064233A">
        <w:rPr>
          <w:rFonts w:hint="cs"/>
          <w:rtl/>
        </w:rPr>
        <w:t>ינואר 2024</w:t>
      </w:r>
      <w:r>
        <w:rPr>
          <w:rFonts w:hint="cs"/>
          <w:rtl/>
        </w:rPr>
        <w:t>)</w:t>
      </w:r>
      <w:r w:rsidRPr="0064233A">
        <w:rPr>
          <w:rFonts w:hint="cs"/>
          <w:rtl/>
        </w:rPr>
        <w:t>.</w:t>
      </w:r>
    </w:p>
  </w:footnote>
  <w:footnote w:id="71">
    <w:p w:rsidR="002201F1" w:rsidRPr="0064233A" w:rsidP="005B126E">
      <w:pPr>
        <w:pStyle w:val="FootnoteText"/>
      </w:pPr>
      <w:r w:rsidRPr="0064233A">
        <w:rPr>
          <w:rStyle w:val="FootnoteReference1"/>
        </w:rPr>
        <w:footnoteRef/>
      </w:r>
      <w:r w:rsidRPr="0064233A">
        <w:rPr>
          <w:rtl/>
        </w:rPr>
        <w:t xml:space="preserve"> </w:t>
      </w:r>
      <w:r w:rsidRPr="0064233A">
        <w:rPr>
          <w:rtl/>
        </w:rPr>
        <w:tab/>
      </w:r>
      <w:r w:rsidRPr="0064233A">
        <w:rPr>
          <w:rFonts w:hint="cs"/>
          <w:rtl/>
        </w:rPr>
        <w:t xml:space="preserve">משרד הרווחה, </w:t>
      </w:r>
      <w:r w:rsidRPr="0064233A">
        <w:rPr>
          <w:rFonts w:hint="eastAsia"/>
          <w:b/>
          <w:bCs/>
          <w:rtl/>
        </w:rPr>
        <w:t>ליווי</w:t>
      </w:r>
      <w:r w:rsidRPr="0064233A">
        <w:rPr>
          <w:b/>
          <w:bCs/>
          <w:rtl/>
        </w:rPr>
        <w:t xml:space="preserve"> ושיקום קהילתי ליישובי עוטף ישראל מלחמת חרבות ברזל - טיוטה להערות</w:t>
      </w:r>
      <w:r w:rsidRPr="0064233A">
        <w:rPr>
          <w:rFonts w:hint="cs"/>
          <w:rtl/>
        </w:rPr>
        <w:t>,</w:t>
      </w:r>
      <w:r w:rsidRPr="0064233A">
        <w:rPr>
          <w:rFonts w:eastAsia="Arial" w:asciiTheme="majorHAnsi" w:hAnsiTheme="majorHAnsi" w:cstheme="majorHAnsi"/>
          <w:rtl/>
        </w:rPr>
        <w:t xml:space="preserve"> </w:t>
      </w:r>
      <w:r w:rsidRPr="0064233A">
        <w:rPr>
          <w:rtl/>
        </w:rPr>
        <w:t>צוות חשיבה וכתיבה: אורנה עמוס</w:t>
      </w:r>
      <w:r>
        <w:rPr>
          <w:rFonts w:hint="cs"/>
          <w:rtl/>
        </w:rPr>
        <w:t xml:space="preserve"> ואח'</w:t>
      </w:r>
    </w:p>
  </w:footnote>
  <w:footnote w:id="72">
    <w:p w:rsidR="002201F1" w:rsidRPr="0064233A" w:rsidP="005B126E">
      <w:pPr>
        <w:pStyle w:val="FootnoteText"/>
      </w:pPr>
      <w:r w:rsidRPr="0064233A">
        <w:rPr>
          <w:rStyle w:val="FootnoteReference1"/>
        </w:rPr>
        <w:footnoteRef/>
      </w:r>
      <w:r w:rsidRPr="0064233A">
        <w:rPr>
          <w:rtl/>
        </w:rPr>
        <w:t xml:space="preserve"> </w:t>
      </w:r>
      <w:r w:rsidRPr="0064233A">
        <w:tab/>
      </w:r>
      <w:r w:rsidRPr="0064233A">
        <w:rPr>
          <w:rtl/>
        </w:rPr>
        <w:t xml:space="preserve">מדיניות </w:t>
      </w:r>
      <w:r w:rsidRPr="0064233A">
        <w:rPr>
          <w:rFonts w:hint="cs"/>
          <w:rtl/>
        </w:rPr>
        <w:t xml:space="preserve">עולמית </w:t>
      </w:r>
      <w:r w:rsidRPr="0064233A">
        <w:rPr>
          <w:rtl/>
        </w:rPr>
        <w:t xml:space="preserve">ושיטות עבודה שנועדו </w:t>
      </w:r>
      <w:r w:rsidRPr="0064233A">
        <w:rPr>
          <w:rStyle w:val="Strong"/>
          <w:b w:val="0"/>
          <w:bCs w:val="0"/>
          <w:rtl/>
        </w:rPr>
        <w:t>לשקם קהילות ותשתיות אחרי אסונות</w:t>
      </w:r>
      <w:r w:rsidRPr="0064233A">
        <w:rPr>
          <w:rtl/>
        </w:rPr>
        <w:t xml:space="preserve"> </w:t>
      </w:r>
      <w:r w:rsidRPr="0064233A">
        <w:rPr>
          <w:rFonts w:hint="cs"/>
          <w:rtl/>
        </w:rPr>
        <w:t>-</w:t>
      </w:r>
      <w:r w:rsidRPr="0064233A">
        <w:t xml:space="preserve"> </w:t>
      </w:r>
      <w:r w:rsidRPr="0064233A">
        <w:rPr>
          <w:rtl/>
        </w:rPr>
        <w:t xml:space="preserve">לא רק להחזיר את המצב לקדמותו, אלא לשפר אותו כך שיהיה </w:t>
      </w:r>
      <w:r w:rsidRPr="0064233A">
        <w:rPr>
          <w:rStyle w:val="Strong"/>
          <w:b w:val="0"/>
          <w:bCs w:val="0"/>
          <w:rtl/>
        </w:rPr>
        <w:t>חסין יותר, הוגן יותר ובעל קיימות גבוהה יותר</w:t>
      </w:r>
      <w:r w:rsidRPr="0064233A">
        <w:t>.</w:t>
      </w:r>
    </w:p>
  </w:footnote>
  <w:footnote w:id="73">
    <w:p w:rsidR="002201F1"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Fonts w:hint="cs"/>
        </w:rPr>
        <w:t>K</w:t>
      </w:r>
      <w:r w:rsidRPr="0064233A">
        <w:t>ey Propositions for Building Back Better, 2006</w:t>
      </w:r>
      <w:r w:rsidRPr="00E50CE0">
        <w:rPr>
          <w:rStyle w:val="Hyperlink"/>
          <w:color w:val="auto"/>
          <w:u w:val="none"/>
        </w:rPr>
        <w:t xml:space="preserve"> proposition </w:t>
      </w:r>
      <w:r w:rsidRPr="00E50CE0">
        <w:rPr>
          <w:rStyle w:val="Hyperlink"/>
          <w:color w:val="auto"/>
          <w:u w:val="none"/>
        </w:rPr>
        <w:t>4</w:t>
      </w:r>
      <w:r>
        <w:rPr>
          <w:rFonts w:hint="cs"/>
          <w:rtl/>
        </w:rPr>
        <w:t xml:space="preserve"> ,</w:t>
      </w:r>
      <w:r w:rsidRPr="00FB7B0A">
        <w:rPr>
          <w:rFonts w:hint="cs"/>
        </w:rPr>
        <w:t xml:space="preserve"> </w:t>
      </w:r>
      <w:r>
        <w:rPr>
          <w:rFonts w:hint="cs"/>
        </w:rPr>
        <w:t>UNDRR</w:t>
      </w:r>
    </w:p>
  </w:footnote>
  <w:footnote w:id="74">
    <w:p w:rsidR="002201F1" w:rsidRPr="0064233A" w:rsidP="005B126E">
      <w:pPr>
        <w:pStyle w:val="FootnoteText"/>
      </w:pPr>
      <w:r w:rsidRPr="0064233A">
        <w:rPr>
          <w:rStyle w:val="FootnoteReference1"/>
        </w:rPr>
        <w:footnoteRef/>
      </w:r>
      <w:r w:rsidRPr="0064233A">
        <w:rPr>
          <w:rtl/>
        </w:rPr>
        <w:t xml:space="preserve"> </w:t>
      </w:r>
      <w:r w:rsidRPr="0064233A">
        <w:rPr>
          <w:rtl/>
        </w:rPr>
        <w:tab/>
      </w:r>
      <w:r w:rsidRPr="0064233A">
        <w:rPr>
          <w:rFonts w:hint="cs"/>
          <w:rtl/>
        </w:rPr>
        <w:t xml:space="preserve">מעבדת </w:t>
      </w:r>
      <w:r w:rsidRPr="0064233A">
        <w:rPr>
          <w:rFonts w:hint="cs"/>
          <w:rtl/>
        </w:rPr>
        <w:t>גוסטמן</w:t>
      </w:r>
      <w:r w:rsidRPr="0064233A">
        <w:rPr>
          <w:rFonts w:hint="cs"/>
          <w:rtl/>
        </w:rPr>
        <w:t xml:space="preserve"> לעתיד ישראל</w:t>
      </w:r>
      <w:r w:rsidRPr="0064233A">
        <w:rPr>
          <w:rFonts w:hint="eastAsia"/>
          <w:b/>
          <w:bCs/>
          <w:rtl/>
        </w:rPr>
        <w:t xml:space="preserve"> מתווה</w:t>
      </w:r>
      <w:r w:rsidRPr="0064233A">
        <w:rPr>
          <w:b/>
          <w:bCs/>
          <w:rtl/>
        </w:rPr>
        <w:t xml:space="preserve"> </w:t>
      </w:r>
      <w:r w:rsidRPr="0064233A">
        <w:rPr>
          <w:rFonts w:hint="eastAsia"/>
          <w:b/>
          <w:bCs/>
          <w:rtl/>
        </w:rPr>
        <w:t>לשיקום</w:t>
      </w:r>
      <w:r w:rsidRPr="0064233A">
        <w:rPr>
          <w:b/>
          <w:bCs/>
          <w:rtl/>
        </w:rPr>
        <w:t xml:space="preserve"> </w:t>
      </w:r>
      <w:r w:rsidRPr="0064233A">
        <w:rPr>
          <w:rFonts w:hint="eastAsia"/>
          <w:b/>
          <w:bCs/>
          <w:rtl/>
        </w:rPr>
        <w:t>ולפיתוח</w:t>
      </w:r>
      <w:r w:rsidRPr="0064233A">
        <w:rPr>
          <w:b/>
          <w:bCs/>
          <w:rtl/>
        </w:rPr>
        <w:t xml:space="preserve"> </w:t>
      </w:r>
      <w:r w:rsidRPr="0064233A">
        <w:rPr>
          <w:rFonts w:hint="eastAsia"/>
          <w:b/>
          <w:bCs/>
          <w:rtl/>
        </w:rPr>
        <w:t>הנגב</w:t>
      </w:r>
      <w:r w:rsidRPr="0064233A">
        <w:rPr>
          <w:b/>
          <w:bCs/>
          <w:rtl/>
        </w:rPr>
        <w:t xml:space="preserve"> </w:t>
      </w:r>
      <w:r w:rsidRPr="0064233A">
        <w:rPr>
          <w:rFonts w:hint="eastAsia"/>
          <w:b/>
          <w:bCs/>
          <w:rtl/>
        </w:rPr>
        <w:t>המערבי</w:t>
      </w:r>
      <w:r w:rsidRPr="0064233A">
        <w:rPr>
          <w:b/>
          <w:bCs/>
          <w:rtl/>
        </w:rPr>
        <w:t>: תפישת התכנון והפיתוח לאזור הנגב המערבי ומטרופולין באר שבע בעקבות אירועי ה-7 באוקטובר</w:t>
      </w:r>
      <w:r w:rsidRPr="0064233A">
        <w:rPr>
          <w:rFonts w:hint="cs"/>
          <w:rtl/>
        </w:rPr>
        <w:t>, ינואר 2024.</w:t>
      </w:r>
    </w:p>
  </w:footnote>
  <w:footnote w:id="75">
    <w:p w:rsidR="002201F1" w:rsidRPr="0064233A" w:rsidP="005B126E">
      <w:pPr>
        <w:pStyle w:val="FootnoteText"/>
      </w:pPr>
      <w:r w:rsidRPr="0064233A">
        <w:rPr>
          <w:rStyle w:val="FootnoteReference1"/>
        </w:rPr>
        <w:footnoteRef/>
      </w:r>
      <w:r w:rsidRPr="0064233A">
        <w:rPr>
          <w:rtl/>
        </w:rPr>
        <w:t xml:space="preserve"> </w:t>
      </w:r>
      <w:r w:rsidRPr="0064233A">
        <w:rPr>
          <w:rtl/>
        </w:rPr>
        <w:tab/>
      </w:r>
      <w:r w:rsidRPr="0064233A">
        <w:rPr>
          <w:rFonts w:hint="cs"/>
          <w:rtl/>
        </w:rPr>
        <w:t xml:space="preserve">משרד הרווחה, </w:t>
      </w:r>
      <w:r w:rsidRPr="0064233A">
        <w:rPr>
          <w:rFonts w:hint="eastAsia"/>
          <w:b/>
          <w:bCs/>
          <w:rtl/>
        </w:rPr>
        <w:t>ליווי</w:t>
      </w:r>
      <w:r w:rsidRPr="0064233A">
        <w:rPr>
          <w:b/>
          <w:bCs/>
          <w:rtl/>
        </w:rPr>
        <w:t xml:space="preserve"> ושיקום קהילתי ליישובי עוטף ישראל מלחמת חרבות ברזל</w:t>
      </w:r>
      <w:r>
        <w:rPr>
          <w:rFonts w:hint="cs"/>
          <w:b/>
          <w:bCs/>
          <w:rtl/>
        </w:rPr>
        <w:t xml:space="preserve"> </w:t>
      </w:r>
      <w:r w:rsidRPr="0064233A">
        <w:rPr>
          <w:b/>
          <w:bCs/>
          <w:rtl/>
        </w:rPr>
        <w:t>- טיוטה להערות</w:t>
      </w:r>
      <w:r w:rsidRPr="0064233A">
        <w:rPr>
          <w:rFonts w:hint="cs"/>
          <w:rtl/>
        </w:rPr>
        <w:t>,</w:t>
      </w:r>
      <w:r w:rsidRPr="0064233A">
        <w:rPr>
          <w:rFonts w:eastAsia="Arial" w:asciiTheme="majorHAnsi" w:hAnsiTheme="majorHAnsi" w:cstheme="majorHAnsi"/>
          <w:rtl/>
        </w:rPr>
        <w:t xml:space="preserve"> </w:t>
      </w:r>
      <w:r w:rsidRPr="0064233A">
        <w:rPr>
          <w:rtl/>
        </w:rPr>
        <w:t>צוות חשיבה וכתיבה: אורנה עמוס</w:t>
      </w:r>
      <w:r>
        <w:rPr>
          <w:rFonts w:hint="cs"/>
          <w:rtl/>
        </w:rPr>
        <w:t xml:space="preserve"> ואח'.</w:t>
      </w:r>
    </w:p>
  </w:footnote>
  <w:footnote w:id="76">
    <w:p w:rsidR="002201F1" w:rsidRPr="0064233A" w:rsidP="005B126E">
      <w:pPr>
        <w:pStyle w:val="FootnoteText"/>
      </w:pPr>
      <w:r w:rsidRPr="0064233A">
        <w:rPr>
          <w:rStyle w:val="FootnoteReference1"/>
        </w:rPr>
        <w:footnoteRef/>
      </w:r>
      <w:r w:rsidRPr="0064233A">
        <w:rPr>
          <w:rtl/>
        </w:rPr>
        <w:t xml:space="preserve"> </w:t>
      </w:r>
      <w:r w:rsidRPr="0064233A">
        <w:rPr>
          <w:rtl/>
        </w:rPr>
        <w:tab/>
      </w:r>
      <w:r w:rsidRPr="004801F3">
        <w:rPr>
          <w:rFonts w:hint="eastAsia"/>
          <w:b/>
          <w:bCs/>
          <w:rtl/>
        </w:rPr>
        <w:t>ועדת</w:t>
      </w:r>
      <w:r w:rsidRPr="004801F3">
        <w:rPr>
          <w:b/>
          <w:bCs/>
          <w:rtl/>
        </w:rPr>
        <w:t xml:space="preserve"> </w:t>
      </w:r>
      <w:r w:rsidRPr="004801F3">
        <w:rPr>
          <w:rFonts w:hint="eastAsia"/>
          <w:b/>
          <w:bCs/>
          <w:rtl/>
        </w:rPr>
        <w:t>החקירה</w:t>
      </w:r>
      <w:r w:rsidRPr="004801F3">
        <w:rPr>
          <w:b/>
          <w:bCs/>
          <w:rtl/>
        </w:rPr>
        <w:t xml:space="preserve"> </w:t>
      </w:r>
      <w:r w:rsidRPr="004801F3">
        <w:rPr>
          <w:rFonts w:hint="eastAsia"/>
          <w:b/>
          <w:bCs/>
          <w:rtl/>
        </w:rPr>
        <w:t>הממלכתית</w:t>
      </w:r>
      <w:r w:rsidRPr="004801F3">
        <w:rPr>
          <w:b/>
          <w:bCs/>
          <w:rtl/>
        </w:rPr>
        <w:t xml:space="preserve"> </w:t>
      </w:r>
      <w:r w:rsidRPr="004801F3">
        <w:rPr>
          <w:rFonts w:hint="eastAsia"/>
          <w:b/>
          <w:bCs/>
          <w:rtl/>
        </w:rPr>
        <w:t>בנושא</w:t>
      </w:r>
      <w:r w:rsidRPr="004801F3">
        <w:rPr>
          <w:b/>
          <w:bCs/>
          <w:rtl/>
        </w:rPr>
        <w:t xml:space="preserve"> </w:t>
      </w:r>
      <w:r w:rsidRPr="004801F3">
        <w:rPr>
          <w:rFonts w:hint="eastAsia"/>
          <w:b/>
          <w:bCs/>
          <w:rtl/>
        </w:rPr>
        <w:t>טיפולן</w:t>
      </w:r>
      <w:r w:rsidRPr="004801F3">
        <w:rPr>
          <w:b/>
          <w:bCs/>
          <w:rtl/>
        </w:rPr>
        <w:t xml:space="preserve"> </w:t>
      </w:r>
      <w:r w:rsidRPr="004801F3">
        <w:rPr>
          <w:rFonts w:hint="eastAsia"/>
          <w:b/>
          <w:bCs/>
          <w:rtl/>
        </w:rPr>
        <w:t>של</w:t>
      </w:r>
      <w:r w:rsidRPr="004801F3">
        <w:rPr>
          <w:b/>
          <w:bCs/>
          <w:rtl/>
        </w:rPr>
        <w:t xml:space="preserve"> </w:t>
      </w:r>
      <w:r w:rsidRPr="004801F3">
        <w:rPr>
          <w:rFonts w:hint="eastAsia"/>
          <w:b/>
          <w:bCs/>
          <w:rtl/>
        </w:rPr>
        <w:t>הרשויות</w:t>
      </w:r>
      <w:r w:rsidRPr="004801F3">
        <w:rPr>
          <w:b/>
          <w:bCs/>
          <w:rtl/>
        </w:rPr>
        <w:t xml:space="preserve"> </w:t>
      </w:r>
      <w:r w:rsidRPr="004801F3">
        <w:rPr>
          <w:rFonts w:hint="eastAsia"/>
          <w:b/>
          <w:bCs/>
          <w:rtl/>
        </w:rPr>
        <w:t>המוסמכות</w:t>
      </w:r>
      <w:r w:rsidRPr="004801F3">
        <w:rPr>
          <w:b/>
          <w:bCs/>
          <w:rtl/>
        </w:rPr>
        <w:t xml:space="preserve"> </w:t>
      </w:r>
      <w:r w:rsidRPr="004801F3">
        <w:rPr>
          <w:rFonts w:hint="eastAsia"/>
          <w:b/>
          <w:bCs/>
          <w:rtl/>
        </w:rPr>
        <w:t>במפוני</w:t>
      </w:r>
      <w:r w:rsidRPr="004801F3">
        <w:rPr>
          <w:b/>
          <w:bCs/>
          <w:rtl/>
        </w:rPr>
        <w:t xml:space="preserve"> </w:t>
      </w:r>
      <w:r w:rsidRPr="004801F3">
        <w:rPr>
          <w:rFonts w:hint="eastAsia"/>
          <w:b/>
          <w:bCs/>
          <w:rtl/>
        </w:rPr>
        <w:t>גוש</w:t>
      </w:r>
      <w:r w:rsidRPr="004801F3">
        <w:rPr>
          <w:b/>
          <w:bCs/>
          <w:rtl/>
        </w:rPr>
        <w:t xml:space="preserve"> </w:t>
      </w:r>
      <w:r w:rsidRPr="004801F3">
        <w:rPr>
          <w:rFonts w:hint="eastAsia"/>
          <w:b/>
          <w:bCs/>
          <w:rtl/>
        </w:rPr>
        <w:t>קטיף</w:t>
      </w:r>
      <w:r w:rsidRPr="004801F3">
        <w:rPr>
          <w:b/>
          <w:bCs/>
          <w:rtl/>
        </w:rPr>
        <w:t xml:space="preserve"> </w:t>
      </w:r>
      <w:r w:rsidRPr="004801F3">
        <w:rPr>
          <w:rFonts w:hint="eastAsia"/>
          <w:b/>
          <w:bCs/>
          <w:rtl/>
        </w:rPr>
        <w:t>וצפון</w:t>
      </w:r>
      <w:r w:rsidRPr="004801F3">
        <w:rPr>
          <w:b/>
          <w:bCs/>
          <w:rtl/>
        </w:rPr>
        <w:t xml:space="preserve"> </w:t>
      </w:r>
      <w:r w:rsidRPr="004801F3">
        <w:rPr>
          <w:rFonts w:hint="eastAsia"/>
          <w:b/>
          <w:bCs/>
          <w:rtl/>
        </w:rPr>
        <w:t>השומרון</w:t>
      </w:r>
      <w:r>
        <w:rPr>
          <w:rFonts w:hint="cs"/>
          <w:rtl/>
        </w:rPr>
        <w:t xml:space="preserve"> (2010)</w:t>
      </w:r>
      <w:r w:rsidRPr="0064233A">
        <w:rPr>
          <w:rFonts w:hint="cs"/>
          <w:rtl/>
        </w:rPr>
        <w:t>, עמ' 366.</w:t>
      </w:r>
    </w:p>
  </w:footnote>
  <w:footnote w:id="77">
    <w:p w:rsidR="002201F1" w:rsidRPr="0064233A" w:rsidP="005B126E">
      <w:pPr>
        <w:pStyle w:val="FootnoteText"/>
      </w:pPr>
      <w:r w:rsidRPr="0064233A">
        <w:rPr>
          <w:rStyle w:val="FootnoteReference1"/>
        </w:rPr>
        <w:footnoteRef/>
      </w:r>
      <w:r w:rsidRPr="0064233A">
        <w:rPr>
          <w:rtl/>
        </w:rPr>
        <w:t xml:space="preserve"> </w:t>
      </w:r>
      <w:r w:rsidRPr="0064233A">
        <w:rPr>
          <w:rtl/>
        </w:rPr>
        <w:tab/>
      </w:r>
      <w:r w:rsidRPr="0064233A">
        <w:rPr>
          <w:rFonts w:hint="cs"/>
          <w:rtl/>
        </w:rPr>
        <w:t>שם, עמ' 364 - 365.</w:t>
      </w:r>
    </w:p>
  </w:footnote>
  <w:footnote w:id="78">
    <w:p w:rsidR="002201F1" w:rsidRPr="0064233A" w:rsidP="005B126E">
      <w:pPr>
        <w:pStyle w:val="FootnoteText"/>
      </w:pPr>
      <w:r w:rsidRPr="0064233A">
        <w:rPr>
          <w:rStyle w:val="FootnoteReference1"/>
        </w:rPr>
        <w:footnoteRef/>
      </w:r>
      <w:r w:rsidRPr="0064233A">
        <w:rPr>
          <w:rtl/>
        </w:rPr>
        <w:t xml:space="preserve"> </w:t>
      </w:r>
      <w:r w:rsidRPr="0064233A">
        <w:rPr>
          <w:rtl/>
        </w:rPr>
        <w:tab/>
      </w:r>
      <w:r w:rsidRPr="0064233A">
        <w:rPr>
          <w:rFonts w:hint="cs"/>
          <w:rtl/>
        </w:rPr>
        <w:t>שם, עמ' 453.</w:t>
      </w:r>
    </w:p>
  </w:footnote>
  <w:footnote w:id="79">
    <w:p w:rsidR="002201F1" w:rsidRPr="0064233A" w:rsidP="005B126E">
      <w:pPr>
        <w:pStyle w:val="FootnoteText"/>
      </w:pPr>
      <w:r w:rsidRPr="0064233A">
        <w:rPr>
          <w:rStyle w:val="FootnoteReference1"/>
        </w:rPr>
        <w:footnoteRef/>
      </w:r>
      <w:r w:rsidRPr="0064233A">
        <w:rPr>
          <w:rtl/>
        </w:rPr>
        <w:t xml:space="preserve"> </w:t>
      </w:r>
      <w:r w:rsidRPr="0064233A">
        <w:rPr>
          <w:rtl/>
        </w:rPr>
        <w:tab/>
      </w:r>
      <w:r w:rsidRPr="0064233A">
        <w:rPr>
          <w:rFonts w:hint="cs"/>
          <w:rtl/>
        </w:rPr>
        <w:t>הלשכה המרכזית לסטטיסטיקה, מצגת, יולי 2025.</w:t>
      </w:r>
    </w:p>
  </w:footnote>
  <w:footnote w:id="80">
    <w:p w:rsidR="002201F1" w:rsidRPr="0064233A" w:rsidP="005B126E">
      <w:pPr>
        <w:pStyle w:val="FootnoteText"/>
      </w:pPr>
      <w:r w:rsidRPr="0064233A">
        <w:rPr>
          <w:rStyle w:val="FootnoteReference1"/>
        </w:rPr>
        <w:footnoteRef/>
      </w:r>
      <w:r w:rsidRPr="0064233A">
        <w:rPr>
          <w:rtl/>
        </w:rPr>
        <w:t xml:space="preserve"> </w:t>
      </w:r>
      <w:r w:rsidRPr="0064233A">
        <w:rPr>
          <w:rtl/>
        </w:rPr>
        <w:tab/>
      </w:r>
      <w:r w:rsidRPr="0064233A">
        <w:rPr>
          <w:rFonts w:hint="cs"/>
          <w:rtl/>
        </w:rPr>
        <w:t>תנועת עתיד לעוטף,</w:t>
      </w:r>
      <w:r w:rsidRPr="0064233A">
        <w:rPr>
          <w:rtl/>
        </w:rPr>
        <w:t xml:space="preserve"> </w:t>
      </w:r>
      <w:r w:rsidRPr="0064233A">
        <w:rPr>
          <w:rFonts w:hint="eastAsia"/>
          <w:b/>
          <w:bCs/>
          <w:rtl/>
        </w:rPr>
        <w:t>דוח</w:t>
      </w:r>
      <w:r w:rsidRPr="0064233A">
        <w:rPr>
          <w:b/>
          <w:bCs/>
          <w:rtl/>
        </w:rPr>
        <w:t xml:space="preserve"> </w:t>
      </w:r>
      <w:r w:rsidRPr="0064233A">
        <w:rPr>
          <w:rFonts w:hint="eastAsia"/>
          <w:b/>
          <w:bCs/>
          <w:rtl/>
        </w:rPr>
        <w:t>תפיסת</w:t>
      </w:r>
      <w:r w:rsidRPr="0064233A">
        <w:rPr>
          <w:b/>
          <w:bCs/>
          <w:rtl/>
        </w:rPr>
        <w:t xml:space="preserve"> </w:t>
      </w:r>
      <w:r w:rsidRPr="0064233A">
        <w:rPr>
          <w:rFonts w:hint="eastAsia"/>
          <w:b/>
          <w:bCs/>
          <w:rtl/>
        </w:rPr>
        <w:t>הביטחון</w:t>
      </w:r>
      <w:r w:rsidRPr="0064233A">
        <w:rPr>
          <w:b/>
          <w:bCs/>
          <w:rtl/>
        </w:rPr>
        <w:t xml:space="preserve"> </w:t>
      </w:r>
      <w:r w:rsidRPr="0064233A">
        <w:rPr>
          <w:rFonts w:hint="eastAsia"/>
          <w:b/>
          <w:bCs/>
          <w:rtl/>
        </w:rPr>
        <w:t>של</w:t>
      </w:r>
      <w:r w:rsidRPr="0064233A">
        <w:rPr>
          <w:b/>
          <w:bCs/>
          <w:rtl/>
        </w:rPr>
        <w:t xml:space="preserve"> </w:t>
      </w:r>
      <w:r w:rsidRPr="0064233A">
        <w:rPr>
          <w:rFonts w:hint="eastAsia"/>
          <w:b/>
          <w:bCs/>
          <w:rtl/>
        </w:rPr>
        <w:t>יישובי</w:t>
      </w:r>
      <w:r w:rsidRPr="0064233A">
        <w:rPr>
          <w:b/>
          <w:bCs/>
          <w:rtl/>
        </w:rPr>
        <w:t xml:space="preserve"> </w:t>
      </w:r>
      <w:r w:rsidRPr="0064233A">
        <w:rPr>
          <w:rFonts w:hint="eastAsia"/>
          <w:b/>
          <w:bCs/>
          <w:rtl/>
        </w:rPr>
        <w:t>העוטף</w:t>
      </w:r>
      <w:r w:rsidRPr="0064233A">
        <w:rPr>
          <w:rFonts w:hint="cs"/>
          <w:rtl/>
        </w:rPr>
        <w:t>, יולי 2025.</w:t>
      </w:r>
    </w:p>
  </w:footnote>
  <w:footnote w:id="81">
    <w:p w:rsidR="002201F1"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Fonts w:hint="cs"/>
          <w:rtl/>
        </w:rPr>
        <w:t>ד"ר ארנה שמר, ד"ר איתן שחר</w:t>
      </w:r>
      <w:r>
        <w:rPr>
          <w:rFonts w:hint="cs"/>
          <w:rtl/>
        </w:rPr>
        <w:t>,</w:t>
      </w:r>
      <w:r w:rsidRPr="0064233A">
        <w:rPr>
          <w:rFonts w:hint="cs"/>
          <w:rtl/>
        </w:rPr>
        <w:t xml:space="preserve"> המלצות לשיקום קהילות המגזר הכפרי במלחמת חרבות ברזל, </w:t>
      </w:r>
      <w:r w:rsidRPr="0064233A">
        <w:rPr>
          <w:rFonts w:hint="cs"/>
          <w:b/>
          <w:bCs/>
          <w:rtl/>
        </w:rPr>
        <w:t>רווחה בעקבות המלחמה</w:t>
      </w:r>
      <w:r w:rsidRPr="0064233A">
        <w:rPr>
          <w:rFonts w:hint="cs"/>
          <w:rtl/>
        </w:rPr>
        <w:t xml:space="preserve">, עורכים: מיכל אלמוג בר, מימי </w:t>
      </w:r>
      <w:r w:rsidRPr="0064233A">
        <w:rPr>
          <w:rFonts w:hint="cs"/>
          <w:rtl/>
        </w:rPr>
        <w:t>אייזנשטדט</w:t>
      </w:r>
      <w:r w:rsidRPr="0064233A">
        <w:rPr>
          <w:rFonts w:hint="cs"/>
          <w:rtl/>
        </w:rPr>
        <w:t>, ג'וני גל, פברואר 2024.</w:t>
      </w:r>
    </w:p>
  </w:footnote>
  <w:footnote w:id="82">
    <w:p w:rsidR="002201F1" w:rsidRPr="0064233A" w:rsidP="005B126E">
      <w:pPr>
        <w:pStyle w:val="FootnoteText"/>
      </w:pPr>
      <w:r w:rsidRPr="0064233A">
        <w:rPr>
          <w:rStyle w:val="FootnoteReference1"/>
        </w:rPr>
        <w:footnoteRef/>
      </w:r>
      <w:r w:rsidRPr="0064233A">
        <w:rPr>
          <w:rtl/>
        </w:rPr>
        <w:t xml:space="preserve"> </w:t>
      </w:r>
      <w:r w:rsidRPr="0064233A">
        <w:rPr>
          <w:rtl/>
        </w:rPr>
        <w:tab/>
      </w:r>
      <w:r w:rsidRPr="0064233A">
        <w:rPr>
          <w:rtl/>
        </w:rPr>
        <w:t>רכז קהילה אחראי לתחומי חברה, ארגון הקהילה, רווחה, קליטה, תרבות, פנאי וחינוך בלתי פורמלי; אחראי להפעלה מקצועית של ועדות וצוותי משימה ביישוב; מקיים קשרי עבודה שוטפים עם גורמים אזוריים ותנועתיים בתחומי חברה, רווחה, חינוך חברתי, קליטה, מתנ"ס; ניהול תהליכי השיבה ובניית הקהילה מחדש.</w:t>
      </w:r>
    </w:p>
  </w:footnote>
  <w:footnote w:id="83">
    <w:p w:rsidR="002201F1" w:rsidP="005B126E">
      <w:pPr>
        <w:pStyle w:val="FootnoteText"/>
        <w:rPr>
          <w:rtl/>
        </w:rPr>
      </w:pPr>
      <w:r>
        <w:rPr>
          <w:rStyle w:val="FootnoteReference1"/>
        </w:rPr>
        <w:footnoteRef/>
      </w:r>
      <w:r>
        <w:rPr>
          <w:rtl/>
        </w:rPr>
        <w:t xml:space="preserve"> </w:t>
      </w:r>
      <w:r>
        <w:rPr>
          <w:rtl/>
        </w:rPr>
        <w:tab/>
      </w:r>
      <w:r w:rsidRPr="00282A8B">
        <w:rPr>
          <w:rtl/>
        </w:rPr>
        <w:t xml:space="preserve">מרכז מידע וידע לתמיכה בעורף במצב החירום המיוחד, </w:t>
      </w:r>
      <w:r w:rsidRPr="00282A8B">
        <w:rPr>
          <w:b/>
          <w:bCs/>
          <w:rtl/>
        </w:rPr>
        <w:t>חרבות ברזל: תמונת מצב מפונים</w:t>
      </w:r>
      <w:r w:rsidRPr="00282A8B">
        <w:rPr>
          <w:rFonts w:hint="cs"/>
          <w:b/>
          <w:bCs/>
          <w:rtl/>
        </w:rPr>
        <w:t>, מרץ 2024</w:t>
      </w:r>
      <w:r>
        <w:rPr>
          <w:rFonts w:hint="cs"/>
          <w:rtl/>
        </w:rPr>
        <w:t xml:space="preserve"> (2024).</w:t>
      </w:r>
    </w:p>
  </w:footnote>
  <w:footnote w:id="84">
    <w:p w:rsidR="002201F1"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tl/>
        </w:rPr>
        <w:t>קול קורא מס' 2024/4 הזמנה להגיש בקשות תמיכה למתווה הסל היישובי</w:t>
      </w:r>
      <w:r w:rsidRPr="0064233A">
        <w:rPr>
          <w:rFonts w:hint="cs"/>
          <w:rtl/>
        </w:rPr>
        <w:t>,</w:t>
      </w:r>
      <w:r w:rsidRPr="0064233A">
        <w:rPr>
          <w:rtl/>
        </w:rPr>
        <w:t xml:space="preserve"> מבחנים לחלוקת כספי תמיכה של מ</w:t>
      </w:r>
      <w:r>
        <w:rPr>
          <w:rFonts w:hint="cs"/>
          <w:rtl/>
        </w:rPr>
        <w:t>י</w:t>
      </w:r>
      <w:r w:rsidRPr="0064233A">
        <w:rPr>
          <w:rtl/>
        </w:rPr>
        <w:t>נהלת תקומה בעבור מימוש "סל יישובי" ביישובי חבל התקומה כתוצאה ממלחמת "חרבות ברזל", אוגוסט 2024</w:t>
      </w:r>
      <w:r>
        <w:rPr>
          <w:rFonts w:hint="cs"/>
          <w:rtl/>
        </w:rPr>
        <w:t>.</w:t>
      </w:r>
    </w:p>
  </w:footnote>
  <w:footnote w:id="85">
    <w:p w:rsidR="002201F1" w:rsidRPr="0064233A" w:rsidP="005B126E">
      <w:pPr>
        <w:pStyle w:val="FootnoteText"/>
        <w:rPr>
          <w:rtl/>
        </w:rPr>
      </w:pPr>
      <w:r w:rsidRPr="0064233A">
        <w:rPr>
          <w:rStyle w:val="FootnoteReference1"/>
        </w:rPr>
        <w:footnoteRef/>
      </w:r>
      <w:r w:rsidRPr="0064233A">
        <w:rPr>
          <w:rtl/>
        </w:rPr>
        <w:t xml:space="preserve"> </w:t>
      </w:r>
      <w:r w:rsidRPr="0064233A">
        <w:rPr>
          <w:rtl/>
        </w:rPr>
        <w:tab/>
      </w:r>
      <w:bookmarkStart w:id="37" w:name="_Hlk203296283"/>
      <w:bookmarkStart w:id="38" w:name="OLE_LINK3"/>
      <w:bookmarkStart w:id="39" w:name="OLE_LINK4"/>
      <w:r>
        <w:rPr>
          <w:rFonts w:hint="cs"/>
          <w:rtl/>
        </w:rPr>
        <w:t xml:space="preserve">שם, </w:t>
      </w:r>
      <w:r w:rsidRPr="0064233A">
        <w:rPr>
          <w:rFonts w:hint="cs"/>
          <w:rtl/>
        </w:rPr>
        <w:t>קול קורא מס' 2024/4</w:t>
      </w:r>
      <w:bookmarkEnd w:id="37"/>
      <w:r w:rsidRPr="0064233A">
        <w:rPr>
          <w:rFonts w:hint="cs"/>
          <w:rtl/>
        </w:rPr>
        <w:t>.</w:t>
      </w:r>
    </w:p>
    <w:bookmarkEnd w:id="38"/>
    <w:bookmarkEnd w:id="39"/>
  </w:footnote>
  <w:footnote w:id="86">
    <w:p w:rsidR="002201F1"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Fonts w:hint="cs"/>
          <w:rtl/>
        </w:rPr>
        <w:t>עדכונים לקראת פרסום הזמנה להגשת בקשות תמיכה לשנת 2025 במסגרת מתווה "הסל היישובי" ביישובי חבל התקומה כתוצאה ממלחמת "חרבות ברזל" מיום 15.5.25.</w:t>
      </w:r>
    </w:p>
  </w:footnote>
  <w:footnote w:id="87">
    <w:p w:rsidR="002201F1" w:rsidP="005B126E">
      <w:pPr>
        <w:pStyle w:val="FootnoteText"/>
      </w:pPr>
      <w:r>
        <w:rPr>
          <w:rStyle w:val="FootnoteReference1"/>
        </w:rPr>
        <w:footnoteRef/>
      </w:r>
      <w:r>
        <w:rPr>
          <w:rtl/>
        </w:rPr>
        <w:t xml:space="preserve"> </w:t>
      </w:r>
      <w:r>
        <w:rPr>
          <w:rtl/>
        </w:rPr>
        <w:tab/>
      </w:r>
      <w:r>
        <w:rPr>
          <w:rFonts w:hint="cs"/>
          <w:rtl/>
        </w:rPr>
        <w:t>למעט היישובים בארי, חולית, ניר עוז וכפר עזה.</w:t>
      </w:r>
    </w:p>
  </w:footnote>
  <w:footnote w:id="88">
    <w:p w:rsidR="002201F1" w:rsidP="005B126E">
      <w:pPr>
        <w:pStyle w:val="FootnoteText"/>
      </w:pPr>
      <w:r>
        <w:rPr>
          <w:rStyle w:val="FootnoteReference1"/>
        </w:rPr>
        <w:footnoteRef/>
      </w:r>
      <w:r>
        <w:rPr>
          <w:rtl/>
        </w:rPr>
        <w:t xml:space="preserve"> </w:t>
      </w:r>
      <w:r>
        <w:rPr>
          <w:rtl/>
        </w:rPr>
        <w:tab/>
      </w:r>
      <w:bookmarkStart w:id="42" w:name="_Hlk202978752"/>
      <w:r>
        <w:rPr>
          <w:rFonts w:hint="cs"/>
          <w:rtl/>
        </w:rPr>
        <w:t>דברים משיחה עם נציגי קיבוץ בחבל התקומה, יוני 2025</w:t>
      </w:r>
      <w:bookmarkEnd w:id="42"/>
      <w:r>
        <w:rPr>
          <w:rFonts w:hint="cs"/>
          <w:rtl/>
        </w:rPr>
        <w:t>.</w:t>
      </w:r>
    </w:p>
    <w:p w:rsidR="002201F1" w:rsidRPr="00747B13" w:rsidP="005B126E">
      <w:pPr>
        <w:pStyle w:val="FootnoteText"/>
      </w:pPr>
    </w:p>
  </w:footnote>
  <w:footnote w:id="89">
    <w:p w:rsidR="002201F1"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Fonts w:hint="cs"/>
          <w:rtl/>
        </w:rPr>
        <w:t>דוח ועדת החקירה הממלכתית בנושא טיפולן של הרשויות המוסמכות במפוני גוש קטיף וצפון השומרון, עמ' 434.</w:t>
      </w:r>
    </w:p>
  </w:footnote>
  <w:footnote w:id="90">
    <w:p w:rsidR="002201F1"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Fonts w:hint="cs"/>
          <w:rtl/>
        </w:rPr>
        <w:t xml:space="preserve">מבקר המדינה, דוח שנתי 2023, </w:t>
      </w:r>
      <w:r w:rsidRPr="0064233A">
        <w:rPr>
          <w:b/>
          <w:bCs/>
          <w:rtl/>
        </w:rPr>
        <w:t>פינוי נקודות יישוב ישראליות באזור יהודה ושומרון וטיפול במפונים</w:t>
      </w:r>
      <w:r w:rsidRPr="0064233A">
        <w:rPr>
          <w:rFonts w:hint="cs"/>
          <w:rtl/>
        </w:rPr>
        <w:t>, עמ' 649.</w:t>
      </w:r>
    </w:p>
  </w:footnote>
  <w:footnote w:id="91">
    <w:p w:rsidR="002201F1" w:rsidRPr="0064233A" w:rsidP="005B126E">
      <w:pPr>
        <w:pStyle w:val="FootnoteText"/>
      </w:pPr>
      <w:r w:rsidRPr="0064233A">
        <w:rPr>
          <w:rStyle w:val="FootnoteReference1"/>
        </w:rPr>
        <w:footnoteRef/>
      </w:r>
      <w:r w:rsidRPr="0064233A">
        <w:rPr>
          <w:rtl/>
        </w:rPr>
        <w:t xml:space="preserve"> </w:t>
      </w:r>
      <w:r w:rsidRPr="0064233A">
        <w:rPr>
          <w:rtl/>
        </w:rPr>
        <w:tab/>
      </w:r>
      <w:r w:rsidRPr="0064233A">
        <w:rPr>
          <w:rFonts w:hint="cs"/>
          <w:rtl/>
        </w:rPr>
        <w:t>סקר תנועת הביתה במלאות 600 יום למלחמת "חרבות ברזל", מאי 2025.</w:t>
      </w:r>
    </w:p>
  </w:footnote>
  <w:footnote w:id="92">
    <w:p w:rsidR="002201F1"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Fonts w:hint="cs"/>
          <w:rtl/>
        </w:rPr>
        <w:t>תנועת עתיד לעוטף,</w:t>
      </w:r>
      <w:r w:rsidRPr="0064233A">
        <w:t xml:space="preserve"> </w:t>
      </w:r>
      <w:r w:rsidRPr="0064233A">
        <w:rPr>
          <w:rFonts w:hint="cs"/>
          <w:rtl/>
        </w:rPr>
        <w:t>דוח תפיסת הביטחון של יישובי העוטף, יולי 2025.</w:t>
      </w:r>
    </w:p>
  </w:footnote>
  <w:footnote w:id="93">
    <w:p w:rsidR="002201F1" w:rsidP="005B126E">
      <w:pPr>
        <w:pStyle w:val="FootnoteText"/>
      </w:pPr>
      <w:r>
        <w:rPr>
          <w:rStyle w:val="FootnoteReference1"/>
        </w:rPr>
        <w:footnoteRef/>
      </w:r>
      <w:r>
        <w:rPr>
          <w:rtl/>
        </w:rPr>
        <w:t xml:space="preserve"> </w:t>
      </w:r>
      <w:r>
        <w:rPr>
          <w:rtl/>
        </w:rPr>
        <w:tab/>
      </w:r>
      <w:r>
        <w:rPr>
          <w:rFonts w:hint="cs"/>
          <w:rtl/>
        </w:rPr>
        <w:t>קובץ החלטות מועצת מקרקעי ישראל 9.24 "חרבות ברזל" - הוראת שעה.</w:t>
      </w:r>
    </w:p>
  </w:footnote>
  <w:footnote w:id="94">
    <w:p w:rsidR="002201F1"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Fonts w:hint="cs"/>
          <w:rtl/>
        </w:rPr>
        <w:t>החלטת ממשלה 3128, "סיוע לחיזוק הקהילות בעקבות חזרת תושבים לחבל התקומה" (8.6.25).</w:t>
      </w:r>
    </w:p>
  </w:footnote>
  <w:footnote w:id="95">
    <w:p w:rsidR="002201F1" w:rsidP="005B126E">
      <w:pPr>
        <w:pStyle w:val="FootnoteText"/>
      </w:pPr>
      <w:r w:rsidRPr="0064233A">
        <w:rPr>
          <w:rStyle w:val="FootnoteReference1"/>
        </w:rPr>
        <w:footnoteRef/>
      </w:r>
      <w:r w:rsidRPr="0064233A">
        <w:rPr>
          <w:rtl/>
        </w:rPr>
        <w:t xml:space="preserve"> </w:t>
      </w:r>
      <w:r w:rsidRPr="0064233A">
        <w:rPr>
          <w:rtl/>
        </w:rPr>
        <w:tab/>
      </w:r>
      <w:r w:rsidRPr="0064233A">
        <w:rPr>
          <w:rtl/>
        </w:rPr>
        <w:t>אריאל פינקלשטיין, "השלטון המקומי בישראל - רקע כללי, סוגיות ליבה ואתגרים", מחקר מדיניות 157 (המכון הישראלי לדמוקרטיה 2020);</w:t>
      </w:r>
      <w:r w:rsidRPr="0064233A">
        <w:t xml:space="preserve"> </w:t>
      </w:r>
      <w:r w:rsidRPr="0064233A">
        <w:rPr>
          <w:rtl/>
        </w:rPr>
        <w:t xml:space="preserve">הרפורמה לקידום אזוריות וביזור סמכויות מהשלטון המרכזי לשלטון המקומי, הגשת דוח סקירת מצב והמלצות לשר הפנים חה"כ אריה </w:t>
      </w:r>
      <w:r w:rsidRPr="0064233A">
        <w:rPr>
          <w:rtl/>
        </w:rPr>
        <w:t>מכלוף</w:t>
      </w:r>
      <w:r w:rsidRPr="0064233A">
        <w:rPr>
          <w:rtl/>
        </w:rPr>
        <w:t xml:space="preserve"> דרעי, משרד הפנים (9.11.20); </w:t>
      </w:r>
    </w:p>
    <w:p w:rsidR="002201F1" w:rsidRPr="0064233A" w:rsidP="005B126E">
      <w:pPr>
        <w:pStyle w:val="FootnoteText"/>
        <w:ind w:hanging="12"/>
        <w:rPr>
          <w:b/>
          <w:bCs/>
          <w:highlight w:val="magenta"/>
          <w:rtl/>
        </w:rPr>
      </w:pPr>
      <w:r>
        <w:t>I</w:t>
      </w:r>
      <w:r w:rsidRPr="007C37A3">
        <w:t>anyna</w:t>
      </w:r>
      <w:r w:rsidRPr="007C37A3">
        <w:t xml:space="preserve">, Maksym; Shah, Anwar </w:t>
      </w:r>
      <w:r w:rsidRPr="000E4320">
        <w:t>M,</w:t>
      </w:r>
      <w:r>
        <w:t xml:space="preserve"> </w:t>
      </w:r>
      <w:r w:rsidRPr="007C37A3">
        <w:t>How</w:t>
      </w:r>
      <w:r w:rsidRPr="007C37A3">
        <w:t xml:space="preserve"> close is your government to its people? </w:t>
      </w:r>
      <w:r w:rsidRPr="00390432">
        <w:rPr>
          <w:i/>
          <w:iCs/>
        </w:rPr>
        <w:t>worldwide indicators on localization and decentralization</w:t>
      </w:r>
      <w:r w:rsidRPr="007C37A3">
        <w:t xml:space="preserve">. </w:t>
      </w:r>
      <w:r w:rsidRPr="00390432">
        <w:rPr>
          <w:i/>
          <w:iCs/>
        </w:rPr>
        <w:t>Policy Research working paper</w:t>
      </w:r>
      <w:r w:rsidRPr="007C37A3">
        <w:t>; no. WPS 6138 Washington, DC: World Bank</w:t>
      </w:r>
      <w:r>
        <w:t>;</w:t>
      </w:r>
      <w:r w:rsidRPr="0064233A">
        <w:t xml:space="preserve"> </w:t>
      </w:r>
      <w:r>
        <w:rPr>
          <w:rFonts w:hint="cs"/>
          <w:rtl/>
        </w:rPr>
        <w:t xml:space="preserve">(2012); </w:t>
      </w:r>
      <w:r w:rsidRPr="0064233A">
        <w:rPr>
          <w:rtl/>
        </w:rPr>
        <w:t xml:space="preserve">יצחק ברקוביץ, </w:t>
      </w:r>
      <w:r w:rsidRPr="0064233A">
        <w:rPr>
          <w:b/>
          <w:bCs/>
          <w:rtl/>
        </w:rPr>
        <w:t>הסדרה מחודשת של היחסים בין הרשויות המקומיות למשרד החינוך: המרחב שבין אמון לרגולציה</w:t>
      </w:r>
      <w:r w:rsidRPr="0064233A">
        <w:rPr>
          <w:rtl/>
        </w:rPr>
        <w:t>, נייר מדיניות</w:t>
      </w:r>
      <w:r w:rsidRPr="0064233A">
        <w:rPr>
          <w:rFonts w:hint="cs"/>
          <w:rtl/>
        </w:rPr>
        <w:t xml:space="preserve">, </w:t>
      </w:r>
      <w:r w:rsidRPr="0064233A">
        <w:rPr>
          <w:rtl/>
        </w:rPr>
        <w:t>מכון ון ליר 2012;</w:t>
      </w:r>
      <w:r w:rsidRPr="0064233A">
        <w:rPr>
          <w:b/>
          <w:bCs/>
          <w:rtl/>
        </w:rPr>
        <w:t xml:space="preserve"> </w:t>
      </w:r>
      <w:r w:rsidRPr="0064233A">
        <w:rPr>
          <w:rtl/>
        </w:rPr>
        <w:t xml:space="preserve">ערן רזין, </w:t>
      </w:r>
      <w:r w:rsidRPr="0064233A">
        <w:rPr>
          <w:b/>
          <w:bCs/>
          <w:rtl/>
        </w:rPr>
        <w:t>רפורמה בארגון השלטון המקומי בישראל: בין ריכוז לביזור, בין מסורתיות למודרניות</w:t>
      </w:r>
      <w:r w:rsidRPr="0064233A">
        <w:rPr>
          <w:rtl/>
        </w:rPr>
        <w:t>, פרק 3 "אפיון מערכת השלטון המקומי בישראל"</w:t>
      </w:r>
      <w:r>
        <w:rPr>
          <w:rFonts w:hint="cs"/>
          <w:rtl/>
        </w:rPr>
        <w:t>,</w:t>
      </w:r>
      <w:r w:rsidRPr="0064233A">
        <w:rPr>
          <w:rtl/>
        </w:rPr>
        <w:t xml:space="preserve"> עמ'</w:t>
      </w:r>
      <w:r w:rsidRPr="0064233A">
        <w:rPr>
          <w:rFonts w:hint="cs"/>
          <w:rtl/>
        </w:rPr>
        <w:t xml:space="preserve"> 39 - 60</w:t>
      </w:r>
      <w:r w:rsidRPr="0064233A">
        <w:rPr>
          <w:rtl/>
        </w:rPr>
        <w:t xml:space="preserve"> (מכון </w:t>
      </w:r>
      <w:r w:rsidRPr="0064233A">
        <w:rPr>
          <w:rtl/>
        </w:rPr>
        <w:t>פלורסהיימר</w:t>
      </w:r>
      <w:r w:rsidRPr="0064233A">
        <w:rPr>
          <w:rtl/>
        </w:rPr>
        <w:t xml:space="preserve"> למחקרי מדיניות 2003)</w:t>
      </w:r>
      <w:r>
        <w:rPr>
          <w:rFonts w:hint="cs"/>
          <w:rtl/>
        </w:rPr>
        <w:t>.</w:t>
      </w:r>
    </w:p>
  </w:footnote>
  <w:footnote w:id="96">
    <w:p w:rsidR="002201F1"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tl/>
        </w:rPr>
        <w:t>אריאל פינקלשטיין, "השלטון המקומי בישראל</w:t>
      </w:r>
      <w:r w:rsidRPr="0064233A">
        <w:rPr>
          <w:rFonts w:hint="cs"/>
          <w:rtl/>
        </w:rPr>
        <w:t>:</w:t>
      </w:r>
      <w:r w:rsidRPr="0064233A">
        <w:rPr>
          <w:rtl/>
        </w:rPr>
        <w:t xml:space="preserve"> רקע כללי, סוגיות ליבה ואתגרים</w:t>
      </w:r>
      <w:r w:rsidRPr="0064233A">
        <w:rPr>
          <w:b/>
          <w:bCs/>
          <w:rtl/>
        </w:rPr>
        <w:t>"</w:t>
      </w:r>
      <w:r w:rsidRPr="0064233A">
        <w:rPr>
          <w:rtl/>
        </w:rPr>
        <w:t xml:space="preserve">, </w:t>
      </w:r>
      <w:r w:rsidRPr="0064233A">
        <w:rPr>
          <w:b/>
          <w:bCs/>
          <w:rtl/>
        </w:rPr>
        <w:t>מחקר מדיניות</w:t>
      </w:r>
      <w:r w:rsidRPr="0064233A">
        <w:rPr>
          <w:rtl/>
        </w:rPr>
        <w:t xml:space="preserve"> 157 (המכון הישראלי לדמוקרטיה 2020)</w:t>
      </w:r>
      <w:r w:rsidRPr="0064233A">
        <w:t>.</w:t>
      </w:r>
    </w:p>
  </w:footnote>
  <w:footnote w:id="97">
    <w:p w:rsidR="002201F1"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Fonts w:hint="cs"/>
          <w:rtl/>
        </w:rPr>
        <w:t>הלשכה המרכזית לסטטיסטיקה, מצגת, יולי 2025.</w:t>
      </w:r>
    </w:p>
  </w:footnote>
  <w:footnote w:id="98">
    <w:p w:rsidR="002201F1"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Fonts w:hint="cs"/>
          <w:rtl/>
        </w:rPr>
        <w:t xml:space="preserve">עתיד לעוטף - התנועה האזרחית לחידוש העוטף, </w:t>
      </w:r>
      <w:r w:rsidRPr="0064233A">
        <w:rPr>
          <w:rFonts w:hint="eastAsia"/>
          <w:b/>
          <w:bCs/>
          <w:rtl/>
        </w:rPr>
        <w:t>דוח</w:t>
      </w:r>
      <w:r w:rsidRPr="0064233A">
        <w:rPr>
          <w:b/>
          <w:bCs/>
          <w:rtl/>
        </w:rPr>
        <w:t xml:space="preserve"> </w:t>
      </w:r>
      <w:r w:rsidRPr="0064233A">
        <w:rPr>
          <w:rFonts w:hint="eastAsia"/>
          <w:b/>
          <w:bCs/>
          <w:rtl/>
        </w:rPr>
        <w:t>תפיסת</w:t>
      </w:r>
      <w:r w:rsidRPr="0064233A">
        <w:rPr>
          <w:b/>
          <w:bCs/>
          <w:rtl/>
        </w:rPr>
        <w:t xml:space="preserve"> </w:t>
      </w:r>
      <w:r w:rsidRPr="0064233A">
        <w:rPr>
          <w:rFonts w:hint="eastAsia"/>
          <w:b/>
          <w:bCs/>
          <w:rtl/>
        </w:rPr>
        <w:t>הביטחון</w:t>
      </w:r>
      <w:r w:rsidRPr="0064233A">
        <w:rPr>
          <w:b/>
          <w:bCs/>
          <w:rtl/>
        </w:rPr>
        <w:t xml:space="preserve"> </w:t>
      </w:r>
      <w:r w:rsidRPr="0064233A">
        <w:rPr>
          <w:rFonts w:hint="eastAsia"/>
          <w:b/>
          <w:bCs/>
          <w:rtl/>
        </w:rPr>
        <w:t>של</w:t>
      </w:r>
      <w:r w:rsidRPr="0064233A">
        <w:rPr>
          <w:b/>
          <w:bCs/>
          <w:rtl/>
        </w:rPr>
        <w:t xml:space="preserve"> </w:t>
      </w:r>
      <w:r w:rsidRPr="0064233A">
        <w:rPr>
          <w:rFonts w:hint="eastAsia"/>
          <w:b/>
          <w:bCs/>
          <w:rtl/>
        </w:rPr>
        <w:t>תושבי</w:t>
      </w:r>
      <w:r w:rsidRPr="0064233A">
        <w:rPr>
          <w:b/>
          <w:bCs/>
          <w:rtl/>
        </w:rPr>
        <w:t xml:space="preserve"> </w:t>
      </w:r>
      <w:r w:rsidRPr="0064233A">
        <w:rPr>
          <w:rFonts w:hint="eastAsia"/>
          <w:b/>
          <w:bCs/>
          <w:rtl/>
        </w:rPr>
        <w:t>העוטף</w:t>
      </w:r>
      <w:r w:rsidRPr="0064233A">
        <w:rPr>
          <w:rFonts w:hint="cs"/>
          <w:rtl/>
        </w:rPr>
        <w:t>, יולי 2025.</w:t>
      </w:r>
    </w:p>
  </w:footnote>
  <w:footnote w:id="99">
    <w:p w:rsidR="002201F1" w:rsidRPr="00830A29" w:rsidP="005B126E">
      <w:pPr>
        <w:pStyle w:val="FootnoteText"/>
        <w:rPr>
          <w:rtl/>
        </w:rPr>
      </w:pPr>
      <w:r w:rsidRPr="0064233A">
        <w:rPr>
          <w:rStyle w:val="FootnoteReference1"/>
        </w:rPr>
        <w:footnoteRef/>
      </w:r>
      <w:r w:rsidRPr="0064233A">
        <w:rPr>
          <w:rtl/>
        </w:rPr>
        <w:t xml:space="preserve"> </w:t>
      </w:r>
      <w:r w:rsidRPr="0064233A">
        <w:rPr>
          <w:rtl/>
        </w:rPr>
        <w:tab/>
      </w:r>
      <w:r w:rsidRPr="007C37A3">
        <w:t>United Nations Office for Disaster Risk Reductio</w:t>
      </w:r>
      <w:r>
        <w:t xml:space="preserve">n, </w:t>
      </w:r>
      <w:r w:rsidRPr="0064233A">
        <w:t>Sendai Framework for Disaster Risk Reduction 2015 - 2030</w:t>
      </w:r>
    </w:p>
  </w:footnote>
  <w:footnote w:id="100">
    <w:p w:rsidR="002201F1"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Fonts w:hint="cs"/>
          <w:rtl/>
        </w:rPr>
        <w:t xml:space="preserve"> </w:t>
      </w:r>
      <w:r w:rsidRPr="0064233A">
        <w:rPr>
          <w:rFonts w:hint="cs"/>
        </w:rPr>
        <w:t>K</w:t>
      </w:r>
      <w:r w:rsidRPr="0064233A">
        <w:t>ey Propositions for Building Back Better, 2006</w:t>
      </w:r>
      <w:r w:rsidRPr="00E50CE0">
        <w:rPr>
          <w:rStyle w:val="Hyperlink"/>
          <w:color w:val="auto"/>
          <w:u w:val="none"/>
        </w:rPr>
        <w:t xml:space="preserve"> proposition 4</w:t>
      </w:r>
    </w:p>
  </w:footnote>
  <w:footnote w:id="101">
    <w:p w:rsidR="002201F1"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Fonts w:hint="cs"/>
          <w:rtl/>
        </w:rPr>
        <w:t>החלטת ממשלה 2250 (23.10.24)</w:t>
      </w:r>
      <w:r w:rsidRPr="0064233A">
        <w:t>.</w:t>
      </w:r>
    </w:p>
  </w:footnote>
  <w:footnote w:id="102">
    <w:p w:rsidR="002201F1" w:rsidRPr="0064233A" w:rsidP="005B126E">
      <w:pPr>
        <w:pStyle w:val="FootnoteText"/>
      </w:pPr>
      <w:r w:rsidRPr="0064233A">
        <w:rPr>
          <w:rStyle w:val="FootnoteReference1"/>
        </w:rPr>
        <w:footnoteRef/>
      </w:r>
      <w:r w:rsidRPr="0064233A">
        <w:rPr>
          <w:rtl/>
        </w:rPr>
        <w:t xml:space="preserve"> </w:t>
      </w:r>
      <w:r w:rsidRPr="0064233A">
        <w:rPr>
          <w:rtl/>
        </w:rPr>
        <w:tab/>
      </w:r>
      <w:r>
        <w:rPr>
          <w:rFonts w:hint="cs"/>
          <w:rtl/>
        </w:rPr>
        <w:t xml:space="preserve">ראו גם: </w:t>
      </w:r>
      <w:r w:rsidRPr="0064233A">
        <w:rPr>
          <w:rFonts w:hint="cs"/>
          <w:rtl/>
        </w:rPr>
        <w:t xml:space="preserve">רון שפירא, הרהורים על הצעת חוק עיריות חדש ושלטון מקומי דו-רובדי, </w:t>
      </w:r>
      <w:r w:rsidRPr="0064233A">
        <w:rPr>
          <w:rFonts w:hint="cs"/>
          <w:b/>
          <w:bCs/>
          <w:rtl/>
        </w:rPr>
        <w:t>דין ודברים</w:t>
      </w:r>
      <w:r w:rsidRPr="0064233A">
        <w:rPr>
          <w:rFonts w:hint="cs"/>
          <w:rtl/>
        </w:rPr>
        <w:t xml:space="preserve"> ו (תשע"ב), עמ' 677 - 706.</w:t>
      </w:r>
    </w:p>
  </w:footnote>
  <w:footnote w:id="103">
    <w:p w:rsidR="002201F1" w:rsidRPr="0064233A" w:rsidP="005B126E">
      <w:pPr>
        <w:pStyle w:val="FootnoteText"/>
        <w:rPr>
          <w:rtl/>
        </w:rPr>
      </w:pPr>
      <w:r w:rsidRPr="0064233A">
        <w:rPr>
          <w:rStyle w:val="FootnoteReference1"/>
        </w:rPr>
        <w:footnoteRef/>
      </w:r>
      <w:r w:rsidRPr="0064233A">
        <w:rPr>
          <w:rtl/>
        </w:rPr>
        <w:t xml:space="preserve"> </w:t>
      </w:r>
      <w:r w:rsidRPr="0064233A">
        <w:rPr>
          <w:rtl/>
        </w:rPr>
        <w:tab/>
      </w:r>
      <w:r>
        <w:rPr>
          <w:rFonts w:hint="cs"/>
          <w:rtl/>
        </w:rPr>
        <w:t xml:space="preserve">משרד הפנים, </w:t>
      </w:r>
      <w:r w:rsidRPr="0064233A">
        <w:rPr>
          <w:rFonts w:hint="cs"/>
          <w:rtl/>
        </w:rPr>
        <w:t>הדרכת נבחרים, הנבחר והשלטון הדו-רובדי במועצה האזורית, (2018).</w:t>
      </w:r>
    </w:p>
  </w:footnote>
  <w:footnote w:id="104">
    <w:p w:rsidR="002201F1" w:rsidRPr="0064233A" w:rsidP="005B126E">
      <w:pPr>
        <w:pStyle w:val="FootnoteText"/>
        <w:rPr>
          <w:rtl/>
        </w:rPr>
      </w:pPr>
      <w:r w:rsidRPr="0064233A">
        <w:rPr>
          <w:rStyle w:val="FootnoteReference1"/>
        </w:rPr>
        <w:footnoteRef/>
      </w:r>
      <w:r w:rsidRPr="0064233A">
        <w:rPr>
          <w:rtl/>
        </w:rPr>
        <w:t xml:space="preserve"> </w:t>
      </w:r>
      <w:r w:rsidRPr="0064233A">
        <w:rPr>
          <w:rtl/>
        </w:rPr>
        <w:tab/>
      </w:r>
      <w:r>
        <w:rPr>
          <w:rFonts w:hint="cs"/>
          <w:rtl/>
        </w:rPr>
        <w:t xml:space="preserve">משרד הפנים, </w:t>
      </w:r>
      <w:r w:rsidRPr="0064233A">
        <w:rPr>
          <w:rFonts w:hint="cs"/>
          <w:rtl/>
        </w:rPr>
        <w:t>הרפורמה לקידום אזוריות וביזור סמכויות מהשלטון המרכזי לשלטון המקומי - דוח סקירת מצב והמלצות לממשלה, נובמבר 2020.</w:t>
      </w:r>
    </w:p>
  </w:footnote>
  <w:footnote w:id="105">
    <w:p w:rsidR="002201F1" w:rsidRPr="0064233A" w:rsidP="005B126E">
      <w:pPr>
        <w:pStyle w:val="FootnoteText"/>
      </w:pPr>
      <w:r w:rsidRPr="0064233A">
        <w:rPr>
          <w:rStyle w:val="FootnoteReference1"/>
        </w:rPr>
        <w:footnoteRef/>
      </w:r>
      <w:r w:rsidRPr="0064233A">
        <w:rPr>
          <w:rtl/>
        </w:rPr>
        <w:t xml:space="preserve"> </w:t>
      </w:r>
      <w:r w:rsidRPr="0064233A">
        <w:rPr>
          <w:rtl/>
        </w:rPr>
        <w:tab/>
      </w:r>
      <w:r w:rsidRPr="0064233A">
        <w:rPr>
          <w:rFonts w:hint="cs"/>
          <w:rtl/>
        </w:rPr>
        <w:t xml:space="preserve">רוית חננאל ואיילת פישמן, </w:t>
      </w:r>
      <w:r w:rsidRPr="0064233A">
        <w:rPr>
          <w:rFonts w:hint="eastAsia"/>
          <w:b/>
          <w:bCs/>
          <w:rtl/>
        </w:rPr>
        <w:t>המרחב</w:t>
      </w:r>
      <w:r w:rsidRPr="0064233A">
        <w:rPr>
          <w:b/>
          <w:bCs/>
          <w:rtl/>
        </w:rPr>
        <w:t xml:space="preserve"> </w:t>
      </w:r>
      <w:r w:rsidRPr="0064233A">
        <w:rPr>
          <w:rFonts w:hint="eastAsia"/>
          <w:b/>
          <w:bCs/>
          <w:rtl/>
        </w:rPr>
        <w:t>הכפרי</w:t>
      </w:r>
      <w:r w:rsidRPr="0064233A">
        <w:rPr>
          <w:b/>
          <w:bCs/>
          <w:rtl/>
        </w:rPr>
        <w:t xml:space="preserve"> </w:t>
      </w:r>
      <w:r w:rsidRPr="0064233A">
        <w:rPr>
          <w:rFonts w:hint="eastAsia"/>
          <w:b/>
          <w:bCs/>
          <w:rtl/>
        </w:rPr>
        <w:t>בישראל</w:t>
      </w:r>
      <w:r w:rsidRPr="0064233A">
        <w:rPr>
          <w:b/>
          <w:bCs/>
          <w:rtl/>
        </w:rPr>
        <w:t xml:space="preserve">: </w:t>
      </w:r>
      <w:r w:rsidRPr="0064233A">
        <w:rPr>
          <w:rFonts w:hint="eastAsia"/>
          <w:b/>
          <w:bCs/>
          <w:rtl/>
        </w:rPr>
        <w:t>מי</w:t>
      </w:r>
      <w:r w:rsidRPr="0064233A">
        <w:rPr>
          <w:b/>
          <w:bCs/>
          <w:rtl/>
        </w:rPr>
        <w:t xml:space="preserve"> </w:t>
      </w:r>
      <w:r w:rsidRPr="0064233A">
        <w:rPr>
          <w:rFonts w:hint="eastAsia"/>
          <w:b/>
          <w:bCs/>
          <w:rtl/>
        </w:rPr>
        <w:t>משרת</w:t>
      </w:r>
      <w:r w:rsidRPr="0064233A">
        <w:rPr>
          <w:b/>
          <w:bCs/>
          <w:rtl/>
        </w:rPr>
        <w:t xml:space="preserve"> </w:t>
      </w:r>
      <w:r w:rsidRPr="0064233A">
        <w:rPr>
          <w:rFonts w:hint="eastAsia"/>
          <w:b/>
          <w:bCs/>
          <w:rtl/>
        </w:rPr>
        <w:t>אותך</w:t>
      </w:r>
      <w:r w:rsidRPr="0064233A">
        <w:rPr>
          <w:b/>
          <w:bCs/>
          <w:rtl/>
        </w:rPr>
        <w:t>?</w:t>
      </w:r>
      <w:r w:rsidRPr="0064233A">
        <w:rPr>
          <w:rFonts w:hint="cs"/>
          <w:rtl/>
        </w:rPr>
        <w:t xml:space="preserve"> אוניברסיטת תל אביב, יוני 2017</w:t>
      </w:r>
      <w:r>
        <w:rPr>
          <w:rFonts w:hint="cs"/>
          <w:rtl/>
        </w:rPr>
        <w:t>.</w:t>
      </w:r>
    </w:p>
  </w:footnote>
  <w:footnote w:id="106">
    <w:p w:rsidR="002201F1" w:rsidRPr="0064233A" w:rsidP="005B126E">
      <w:pPr>
        <w:pStyle w:val="FootnoteText"/>
      </w:pPr>
      <w:r w:rsidRPr="0064233A">
        <w:rPr>
          <w:rStyle w:val="FootnoteReference1"/>
        </w:rPr>
        <w:footnoteRef/>
      </w:r>
      <w:r w:rsidRPr="0064233A">
        <w:rPr>
          <w:rtl/>
        </w:rPr>
        <w:t xml:space="preserve"> </w:t>
      </w:r>
      <w:r w:rsidRPr="0064233A">
        <w:rPr>
          <w:rtl/>
        </w:rPr>
        <w:tab/>
      </w:r>
      <w:r w:rsidRPr="0064233A">
        <w:rPr>
          <w:rFonts w:hint="cs"/>
          <w:rtl/>
        </w:rPr>
        <w:t>תוכנית אסטרטגית לשיקום ופיתוח המועצה האזורית אשכול.</w:t>
      </w:r>
    </w:p>
  </w:footnote>
  <w:footnote w:id="107">
    <w:p w:rsidR="002201F1"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Fonts w:hint="cs"/>
          <w:rtl/>
        </w:rPr>
        <w:t>תוכנית החומש, עמ' 55.</w:t>
      </w:r>
    </w:p>
  </w:footnote>
  <w:footnote w:id="108">
    <w:p w:rsidR="002201F1"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Fonts w:hint="cs"/>
          <w:rtl/>
        </w:rPr>
        <w:t xml:space="preserve">למשל בהתאם </w:t>
      </w:r>
      <w:r w:rsidRPr="0064233A">
        <w:rPr>
          <w:rtl/>
        </w:rPr>
        <w:t xml:space="preserve">לקבוע בצו התכנון והבנייה (פטור מתוכנית ומהיתר להקמת מתחם שישמש למגורים ולשימושים נלווים) (חרבות ברזל) </w:t>
      </w:r>
      <w:r w:rsidRPr="0064233A">
        <w:rPr>
          <w:rFonts w:hint="cs"/>
          <w:rtl/>
        </w:rPr>
        <w:t xml:space="preserve">(בארי) </w:t>
      </w:r>
      <w:r w:rsidRPr="0064233A">
        <w:rPr>
          <w:rtl/>
        </w:rPr>
        <w:t xml:space="preserve">(הוראת שעה), </w:t>
      </w:r>
      <w:r w:rsidRPr="0064233A">
        <w:rPr>
          <w:rFonts w:hint="cs"/>
          <w:rtl/>
        </w:rPr>
        <w:t>ה</w:t>
      </w:r>
      <w:r w:rsidRPr="0064233A">
        <w:rPr>
          <w:rtl/>
        </w:rPr>
        <w:t>תשפ"ה-2025</w:t>
      </w:r>
      <w:r w:rsidRPr="0064233A">
        <w:rPr>
          <w:rFonts w:hint="cs"/>
          <w:rtl/>
        </w:rPr>
        <w:t>.</w:t>
      </w:r>
    </w:p>
  </w:footnote>
  <w:footnote w:id="109">
    <w:p w:rsidR="002201F1"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tl/>
        </w:rPr>
        <w:t>לפי ההוראה, גוף אחר כולל גם שותפות ואף אדם פרטי וכן כל גוף שאינו מוסד ציבור או תאגיד סטטוטורי.</w:t>
      </w:r>
    </w:p>
  </w:footnote>
  <w:footnote w:id="110">
    <w:p w:rsidR="002201F1" w:rsidRPr="0064233A" w:rsidP="005B126E">
      <w:pPr>
        <w:pStyle w:val="FootnoteText"/>
      </w:pPr>
      <w:r w:rsidRPr="0064233A">
        <w:rPr>
          <w:rStyle w:val="FootnoteReference1"/>
        </w:rPr>
        <w:footnoteRef/>
      </w:r>
      <w:r w:rsidRPr="0064233A">
        <w:rPr>
          <w:rtl/>
        </w:rPr>
        <w:t xml:space="preserve"> </w:t>
      </w:r>
      <w:r w:rsidRPr="0064233A">
        <w:rPr>
          <w:rtl/>
        </w:rPr>
        <w:tab/>
      </w:r>
      <w:r w:rsidRPr="0064233A">
        <w:rPr>
          <w:rtl/>
        </w:rPr>
        <w:t>מבחנים לחלוקת כספי תמיכה כמענק תקומה</w:t>
      </w:r>
      <w:r w:rsidRPr="0064233A">
        <w:rPr>
          <w:rFonts w:hint="cs"/>
          <w:rtl/>
        </w:rPr>
        <w:t xml:space="preserve"> </w:t>
      </w:r>
      <w:r w:rsidRPr="0064233A">
        <w:rPr>
          <w:rtl/>
        </w:rPr>
        <w:t>מתווה מינהלת תקומה למימון ולביצוע עבודות שיקום ביישובי חבל התקומה</w:t>
      </w:r>
      <w:r w:rsidRPr="0064233A">
        <w:rPr>
          <w:rFonts w:hint="cs"/>
          <w:rtl/>
        </w:rPr>
        <w:t xml:space="preserve"> </w:t>
      </w:r>
      <w:r w:rsidRPr="0064233A">
        <w:rPr>
          <w:rtl/>
        </w:rPr>
        <w:t>כתוצאה ממלחמת "חרבות ברזל"</w:t>
      </w:r>
      <w:r>
        <w:rPr>
          <w:rFonts w:hint="cs"/>
          <w:rtl/>
        </w:rPr>
        <w:t>.</w:t>
      </w:r>
    </w:p>
  </w:footnote>
  <w:footnote w:id="111">
    <w:p w:rsidR="002201F1"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Fonts w:hint="cs"/>
          <w:rtl/>
        </w:rPr>
        <w:t>מודל תקומה קהילתי - סכום מאושר 2024.</w:t>
      </w:r>
    </w:p>
  </w:footnote>
  <w:footnote w:id="112">
    <w:p w:rsidR="002201F1" w:rsidP="005B126E">
      <w:pPr>
        <w:pStyle w:val="FootnoteText"/>
        <w:rPr>
          <w:rtl/>
        </w:rPr>
      </w:pPr>
      <w:r>
        <w:rPr>
          <w:rStyle w:val="FootnoteReference1"/>
        </w:rPr>
        <w:footnoteRef/>
      </w:r>
      <w:r>
        <w:rPr>
          <w:rtl/>
        </w:rPr>
        <w:t xml:space="preserve"> </w:t>
      </w:r>
      <w:r>
        <w:rPr>
          <w:rtl/>
        </w:rPr>
        <w:tab/>
      </w:r>
      <w:r w:rsidRPr="0059362E">
        <w:rPr>
          <w:rtl/>
        </w:rPr>
        <w:t>יצוין כי המיפוי לא כולל את שטחי קק"ל.</w:t>
      </w:r>
    </w:p>
  </w:footnote>
  <w:footnote w:id="113">
    <w:p w:rsidR="002201F1" w:rsidRPr="008852C4" w:rsidP="005B126E">
      <w:pPr>
        <w:pStyle w:val="FootnoteText"/>
        <w:rPr>
          <w:rtl/>
        </w:rPr>
      </w:pPr>
      <w:r>
        <w:rPr>
          <w:rStyle w:val="FootnoteReference1"/>
        </w:rPr>
        <w:footnoteRef/>
      </w:r>
      <w:r>
        <w:rPr>
          <w:rtl/>
        </w:rPr>
        <w:t xml:space="preserve"> </w:t>
      </w:r>
      <w:r>
        <w:rPr>
          <w:rtl/>
        </w:rPr>
        <w:tab/>
      </w:r>
      <w:r w:rsidRPr="0064233A">
        <w:rPr>
          <w:rFonts w:hint="cs"/>
          <w:rtl/>
        </w:rPr>
        <w:t xml:space="preserve">בהתאם </w:t>
      </w:r>
      <w:r w:rsidRPr="0064233A">
        <w:rPr>
          <w:rFonts w:hint="cs"/>
          <w:rtl/>
        </w:rPr>
        <w:t>ל</w:t>
      </w:r>
      <w:r w:rsidRPr="0064233A">
        <w:rPr>
          <w:rtl/>
        </w:rPr>
        <w:t>ת</w:t>
      </w:r>
      <w:r w:rsidRPr="0064233A">
        <w:rPr>
          <w:rFonts w:hint="cs"/>
          <w:rtl/>
        </w:rPr>
        <w:t>מ"א</w:t>
      </w:r>
      <w:r w:rsidRPr="0064233A">
        <w:rPr>
          <w:rFonts w:hint="cs"/>
          <w:rtl/>
        </w:rPr>
        <w:t xml:space="preserve"> 35, תו</w:t>
      </w:r>
      <w:r w:rsidRPr="0064233A">
        <w:rPr>
          <w:rtl/>
        </w:rPr>
        <w:t>כנית מתאר ארצית משולבת לבנייה, לפיתוח ולשימור</w:t>
      </w:r>
      <w:r w:rsidRPr="0064233A">
        <w:rPr>
          <w:rFonts w:hint="cs"/>
          <w:rtl/>
        </w:rPr>
        <w:t xml:space="preserve">, שטח פתוח הוא </w:t>
      </w:r>
      <w:r w:rsidRPr="0064233A">
        <w:rPr>
          <w:rtl/>
        </w:rPr>
        <w:t>שטח המיועד בת</w:t>
      </w:r>
      <w:r w:rsidRPr="0064233A">
        <w:rPr>
          <w:rFonts w:hint="cs"/>
          <w:rtl/>
        </w:rPr>
        <w:t>ו</w:t>
      </w:r>
      <w:r w:rsidRPr="0064233A">
        <w:rPr>
          <w:rtl/>
        </w:rPr>
        <w:t xml:space="preserve">כנית מתאר מחוזית לתכליות </w:t>
      </w:r>
      <w:r w:rsidRPr="0064233A">
        <w:rPr>
          <w:rFonts w:hint="cs"/>
          <w:rtl/>
        </w:rPr>
        <w:t>האלה</w:t>
      </w:r>
      <w:r w:rsidRPr="0064233A">
        <w:rPr>
          <w:rtl/>
        </w:rPr>
        <w:t>: שמורת טבע</w:t>
      </w:r>
      <w:r w:rsidRPr="0064233A">
        <w:rPr>
          <w:rFonts w:hint="cs"/>
          <w:rtl/>
        </w:rPr>
        <w:t xml:space="preserve">, </w:t>
      </w:r>
      <w:r w:rsidRPr="0064233A">
        <w:rPr>
          <w:rtl/>
        </w:rPr>
        <w:t xml:space="preserve">שמורת נוף, גן לאומי, יער, שטח נוף כפרי פתוח, שטח חקלאי, נחל וסביבותיו, חוף רחצה, נופש </w:t>
      </w:r>
      <w:r w:rsidRPr="0064233A">
        <w:rPr>
          <w:rtl/>
        </w:rPr>
        <w:t>מטרופוליני</w:t>
      </w:r>
      <w:r w:rsidRPr="0064233A">
        <w:rPr>
          <w:rtl/>
        </w:rPr>
        <w:t xml:space="preserve">, מאגר, פארק </w:t>
      </w:r>
      <w:r w:rsidRPr="0064233A">
        <w:rPr>
          <w:rtl/>
        </w:rPr>
        <w:t>מטרופוליני</w:t>
      </w:r>
      <w:r w:rsidRPr="0064233A">
        <w:rPr>
          <w:rtl/>
        </w:rPr>
        <w:t>/אזורי או תכלית דומה אחרת וכן דרכים, מסילות, קווי תשתית, כרייה וחציבה</w:t>
      </w:r>
      <w:r w:rsidRPr="0064233A">
        <w:rPr>
          <w:rFonts w:hint="cs"/>
          <w:rtl/>
        </w:rPr>
        <w:t>.</w:t>
      </w:r>
    </w:p>
  </w:footnote>
  <w:footnote w:id="114">
    <w:p w:rsidR="002201F1"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tl/>
        </w:rPr>
        <w:t>קול קורא מס' 6/2024: שיקום ופיתוח שטחים פתוחים שנפגעו במלחמת חרבות ברזל (8.5.24).</w:t>
      </w:r>
    </w:p>
  </w:footnote>
  <w:footnote w:id="115">
    <w:p w:rsidR="002201F1"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tl/>
        </w:rPr>
        <w:t xml:space="preserve">קול קורא תקומה-טבע 2025 לשיקום אקולוגי של שטחים פתוחים ולהקמת אתרי טבע מתוך חיבור קהילות בחבל </w:t>
      </w:r>
      <w:r>
        <w:rPr>
          <w:rFonts w:hint="cs"/>
          <w:rtl/>
        </w:rPr>
        <w:t>ה</w:t>
      </w:r>
      <w:r w:rsidRPr="0064233A">
        <w:rPr>
          <w:rtl/>
        </w:rPr>
        <w:t>תקומה</w:t>
      </w:r>
      <w:r>
        <w:rPr>
          <w:rFonts w:hint="cs"/>
          <w:rtl/>
        </w:rPr>
        <w:t>.</w:t>
      </w:r>
    </w:p>
  </w:footnote>
  <w:footnote w:id="116">
    <w:p w:rsidR="002201F1"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Fonts w:hint="cs"/>
          <w:rtl/>
        </w:rPr>
        <w:t>הקרן לשמירת הניקיון הוקמה מכוח חוק שמירות הניקיון, התשמ"ד-1984</w:t>
      </w:r>
      <w:r>
        <w:rPr>
          <w:rFonts w:hint="cs"/>
          <w:rtl/>
        </w:rPr>
        <w:t>,</w:t>
      </w:r>
      <w:r w:rsidRPr="0064233A">
        <w:rPr>
          <w:rFonts w:hint="cs"/>
          <w:rtl/>
        </w:rPr>
        <w:t xml:space="preserve"> ונועדה לרכז אמצעים כספיים לשמירה על איכות הסביבה.</w:t>
      </w:r>
    </w:p>
  </w:footnote>
  <w:footnote w:id="117">
    <w:p w:rsidR="002201F1" w:rsidRPr="0064233A" w:rsidP="005B126E">
      <w:pPr>
        <w:pStyle w:val="FootnoteText"/>
      </w:pPr>
      <w:r w:rsidRPr="0064233A">
        <w:rPr>
          <w:rStyle w:val="FootnoteReference1"/>
        </w:rPr>
        <w:footnoteRef/>
      </w:r>
      <w:r w:rsidRPr="0064233A">
        <w:rPr>
          <w:rtl/>
        </w:rPr>
        <w:t xml:space="preserve"> </w:t>
      </w:r>
      <w:r w:rsidRPr="0064233A">
        <w:rPr>
          <w:rtl/>
        </w:rPr>
        <w:tab/>
      </w:r>
      <w:r w:rsidRPr="0064233A">
        <w:rPr>
          <w:rFonts w:hint="cs"/>
          <w:rtl/>
        </w:rPr>
        <w:t>סק</w:t>
      </w:r>
      <w:r w:rsidRPr="0064233A">
        <w:rPr>
          <w:rFonts w:hint="eastAsia"/>
          <w:rtl/>
        </w:rPr>
        <w:t>רי</w:t>
      </w:r>
      <w:r w:rsidRPr="0064233A">
        <w:rPr>
          <w:rtl/>
        </w:rPr>
        <w:t xml:space="preserve"> </w:t>
      </w:r>
      <w:r w:rsidRPr="0064233A">
        <w:rPr>
          <w:rFonts w:hint="eastAsia"/>
          <w:rtl/>
        </w:rPr>
        <w:t>טבע</w:t>
      </w:r>
      <w:r w:rsidRPr="0064233A">
        <w:rPr>
          <w:rtl/>
        </w:rPr>
        <w:t xml:space="preserve"> </w:t>
      </w:r>
      <w:r w:rsidRPr="0064233A">
        <w:rPr>
          <w:rFonts w:hint="eastAsia"/>
          <w:rtl/>
        </w:rPr>
        <w:t>נועדו</w:t>
      </w:r>
      <w:r w:rsidRPr="0064233A">
        <w:rPr>
          <w:rtl/>
        </w:rPr>
        <w:t xml:space="preserve"> לבחון את המצב של אתרי הטבע העירוני והשטחים הפתוחים שבגבולות הרשו</w:t>
      </w:r>
      <w:r w:rsidRPr="0064233A">
        <w:rPr>
          <w:rFonts w:hint="cs"/>
          <w:rtl/>
        </w:rPr>
        <w:t xml:space="preserve">ת </w:t>
      </w:r>
      <w:r w:rsidRPr="0064233A">
        <w:rPr>
          <w:rtl/>
        </w:rPr>
        <w:t>המקומית</w:t>
      </w:r>
      <w:r w:rsidRPr="0064233A">
        <w:rPr>
          <w:rFonts w:hint="cs"/>
          <w:rtl/>
        </w:rPr>
        <w:t xml:space="preserve"> </w:t>
      </w:r>
      <w:r w:rsidRPr="0064233A">
        <w:rPr>
          <w:rtl/>
        </w:rPr>
        <w:t>וליצור מסד נתונים של תשתיות טבע עירוני ברשויות המקומיות.</w:t>
      </w:r>
    </w:p>
  </w:footnote>
  <w:footnote w:id="118">
    <w:p w:rsidR="002201F1"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Fonts w:hint="cs"/>
          <w:rtl/>
        </w:rPr>
        <w:t>במסגרת קול קורא "</w:t>
      </w:r>
      <w:r w:rsidRPr="0064233A">
        <w:rPr>
          <w:rFonts w:hint="cs"/>
          <w:rtl/>
        </w:rPr>
        <w:t>סביבטבע</w:t>
      </w:r>
      <w:r w:rsidRPr="0064233A">
        <w:rPr>
          <w:rFonts w:hint="cs"/>
          <w:rtl/>
        </w:rPr>
        <w:t xml:space="preserve"> 2020".</w:t>
      </w:r>
    </w:p>
  </w:footnote>
  <w:footnote w:id="119">
    <w:p w:rsidR="002201F1" w:rsidP="005B126E">
      <w:pPr>
        <w:pStyle w:val="FootnoteText"/>
      </w:pPr>
      <w:r>
        <w:rPr>
          <w:rStyle w:val="FootnoteReference1"/>
        </w:rPr>
        <w:footnoteRef/>
      </w:r>
      <w:r>
        <w:rPr>
          <w:rtl/>
        </w:rPr>
        <w:t xml:space="preserve"> </w:t>
      </w:r>
      <w:r>
        <w:rPr>
          <w:rtl/>
        </w:rPr>
        <w:tab/>
      </w:r>
      <w:r>
        <w:rPr>
          <w:rFonts w:hint="cs"/>
          <w:rtl/>
        </w:rPr>
        <w:t xml:space="preserve">הרשאה להתחייב היא </w:t>
      </w:r>
      <w:r w:rsidRPr="00463DBF">
        <w:rPr>
          <w:rtl/>
        </w:rPr>
        <w:t>אישור עקרוני</w:t>
      </w:r>
      <w:r>
        <w:rPr>
          <w:rFonts w:hint="cs"/>
          <w:rtl/>
        </w:rPr>
        <w:t xml:space="preserve"> שניתן מראש, ובאמצעותה ניתן</w:t>
      </w:r>
      <w:r w:rsidRPr="00463DBF">
        <w:rPr>
          <w:rtl/>
        </w:rPr>
        <w:t xml:space="preserve"> לחתום על חוזים מול ספקים</w:t>
      </w:r>
      <w:r>
        <w:rPr>
          <w:rFonts w:hint="cs"/>
          <w:rtl/>
        </w:rPr>
        <w:t xml:space="preserve"> ונותני שירותים</w:t>
      </w:r>
      <w:r w:rsidRPr="00463DBF">
        <w:rPr>
          <w:rtl/>
        </w:rPr>
        <w:t>, גם אם התשלום יתבצע רק בעתיד</w:t>
      </w:r>
      <w:r>
        <w:rPr>
          <w:rFonts w:hint="cs"/>
          <w:rtl/>
        </w:rPr>
        <w:t>.</w:t>
      </w:r>
    </w:p>
  </w:footnote>
  <w:footnote w:id="120">
    <w:p w:rsidR="002201F1" w:rsidRPr="0064233A" w:rsidP="005B126E">
      <w:pPr>
        <w:pStyle w:val="FootnoteText"/>
        <w:ind w:left="708" w:hanging="708"/>
        <w:rPr>
          <w:rtl/>
        </w:rPr>
      </w:pPr>
      <w:r w:rsidRPr="0064233A">
        <w:rPr>
          <w:rStyle w:val="FootnoteReference1"/>
        </w:rPr>
        <w:footnoteRef/>
      </w:r>
      <w:r w:rsidRPr="0064233A">
        <w:rPr>
          <w:rtl/>
        </w:rPr>
        <w:tab/>
      </w:r>
      <w:r w:rsidRPr="0064233A">
        <w:t xml:space="preserve">The Role of the Principle of Transparency and Accountability in Public Administration Murat </w:t>
      </w:r>
      <w:r w:rsidRPr="0064233A">
        <w:t>Jashari</w:t>
      </w:r>
      <w:r w:rsidRPr="0064233A">
        <w:t xml:space="preserve">, Islam </w:t>
      </w:r>
      <w:r w:rsidRPr="0064233A">
        <w:t>Pepaj</w:t>
      </w:r>
      <w:r w:rsidRPr="0064233A">
        <w:rPr>
          <w:rFonts w:hint="cs"/>
        </w:rPr>
        <w:t xml:space="preserve"> ACTA UNIVER</w:t>
      </w:r>
      <w:r w:rsidRPr="0064233A">
        <w:t>SITATIS DANUBIUS Vol.10, no.1/201</w:t>
      </w:r>
      <w:r w:rsidRPr="00BD15A0">
        <w:t>8</w:t>
      </w:r>
      <w:r w:rsidRPr="00E50CE0">
        <w:rPr>
          <w:rStyle w:val="Hyperlink"/>
          <w:color w:val="auto"/>
          <w:u w:val="none"/>
        </w:rPr>
        <w:t xml:space="preserve">; </w:t>
      </w:r>
      <w:r w:rsidRPr="00E50CE0">
        <w:rPr>
          <w:rStyle w:val="Hyperlink"/>
          <w:rFonts w:hint="cs"/>
          <w:color w:val="auto"/>
          <w:u w:val="none"/>
          <w:rtl/>
        </w:rPr>
        <w:t xml:space="preserve">להרחבה ראו גם מבקר המדינה, </w:t>
      </w:r>
      <w:r w:rsidRPr="00E50CE0">
        <w:rPr>
          <w:rStyle w:val="Hyperlink"/>
          <w:rFonts w:hint="eastAsia"/>
          <w:b/>
          <w:bCs/>
          <w:color w:val="auto"/>
          <w:u w:val="none"/>
          <w:rtl/>
        </w:rPr>
        <w:t>דוחות</w:t>
      </w:r>
      <w:r w:rsidRPr="00E50CE0">
        <w:rPr>
          <w:rStyle w:val="Hyperlink"/>
          <w:b/>
          <w:bCs/>
          <w:color w:val="auto"/>
          <w:u w:val="none"/>
          <w:rtl/>
        </w:rPr>
        <w:t xml:space="preserve"> על הביקורת </w:t>
      </w:r>
      <w:r w:rsidRPr="00E50CE0">
        <w:rPr>
          <w:rStyle w:val="Hyperlink"/>
          <w:rFonts w:hint="eastAsia"/>
          <w:b/>
          <w:bCs/>
          <w:color w:val="auto"/>
          <w:u w:val="none"/>
          <w:rtl/>
        </w:rPr>
        <w:t>בשלטון</w:t>
      </w:r>
      <w:r w:rsidRPr="00E50CE0">
        <w:rPr>
          <w:rStyle w:val="Hyperlink"/>
          <w:b/>
          <w:bCs/>
          <w:color w:val="auto"/>
          <w:u w:val="none"/>
          <w:rtl/>
        </w:rPr>
        <w:t xml:space="preserve"> </w:t>
      </w:r>
      <w:r w:rsidRPr="00E50CE0">
        <w:rPr>
          <w:rStyle w:val="Hyperlink"/>
          <w:rFonts w:hint="eastAsia"/>
          <w:b/>
          <w:bCs/>
          <w:color w:val="auto"/>
          <w:u w:val="none"/>
          <w:rtl/>
        </w:rPr>
        <w:t>המקומי</w:t>
      </w:r>
      <w:r w:rsidRPr="00E50CE0">
        <w:rPr>
          <w:rStyle w:val="Hyperlink"/>
          <w:rFonts w:hint="cs"/>
          <w:color w:val="auto"/>
          <w:u w:val="none"/>
          <w:rtl/>
        </w:rPr>
        <w:t xml:space="preserve"> (2024) "חופש המידע ברשויות המקומיות", עמ' 2</w:t>
      </w:r>
      <w:r>
        <w:rPr>
          <w:rFonts w:hint="cs"/>
          <w:rtl/>
        </w:rPr>
        <w:t>.</w:t>
      </w:r>
    </w:p>
  </w:footnote>
  <w:footnote w:id="121">
    <w:p w:rsidR="002201F1"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tl/>
        </w:rPr>
        <w:t xml:space="preserve">החלטת </w:t>
      </w:r>
      <w:r w:rsidRPr="0064233A">
        <w:rPr>
          <w:rFonts w:hint="cs"/>
          <w:rtl/>
        </w:rPr>
        <w:t>ה</w:t>
      </w:r>
      <w:r w:rsidRPr="0064233A">
        <w:rPr>
          <w:rtl/>
        </w:rPr>
        <w:t>ממשלה 1127, "מתווה לתוכנית אסטרטגית רב-שנתית לשיקום ולפיתוח 'חבל התקומה' ואוכלוסייתו וכלים ליישום" (10.12.23)</w:t>
      </w:r>
      <w:r w:rsidRPr="0064233A">
        <w:rPr>
          <w:rFonts w:hint="cs"/>
          <w:rtl/>
        </w:rPr>
        <w:t>.</w:t>
      </w:r>
    </w:p>
  </w:footnote>
  <w:footnote w:id="122">
    <w:p w:rsidR="002201F1"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Fonts w:hint="eastAsia"/>
          <w:rtl/>
        </w:rPr>
        <w:t>החלט</w:t>
      </w:r>
      <w:r w:rsidRPr="0064233A">
        <w:rPr>
          <w:rFonts w:hint="cs"/>
          <w:rtl/>
        </w:rPr>
        <w:t>ת הממשלה</w:t>
      </w:r>
      <w:r w:rsidRPr="0064233A">
        <w:rPr>
          <w:rtl/>
        </w:rPr>
        <w:t xml:space="preserve"> 2336 </w:t>
      </w:r>
      <w:r>
        <w:rPr>
          <w:rFonts w:hint="cs"/>
          <w:rtl/>
        </w:rPr>
        <w:t>(</w:t>
      </w:r>
      <w:r w:rsidRPr="0064233A">
        <w:rPr>
          <w:rtl/>
        </w:rPr>
        <w:t>31.10.</w:t>
      </w:r>
      <w:r w:rsidRPr="0064233A">
        <w:rPr>
          <w:rFonts w:hint="cs"/>
          <w:rtl/>
        </w:rPr>
        <w:t>24</w:t>
      </w:r>
      <w:r>
        <w:rPr>
          <w:rFonts w:hint="cs"/>
          <w:rtl/>
        </w:rPr>
        <w:t>)</w:t>
      </w:r>
      <w:r w:rsidRPr="0064233A">
        <w:rPr>
          <w:rtl/>
        </w:rPr>
        <w:t>.</w:t>
      </w:r>
    </w:p>
  </w:footnote>
  <w:footnote w:id="123">
    <w:p w:rsidR="002201F1" w:rsidP="005B126E">
      <w:pPr>
        <w:pStyle w:val="FootnoteText"/>
      </w:pPr>
      <w:r>
        <w:rPr>
          <w:rStyle w:val="FootnoteReference1"/>
        </w:rPr>
        <w:footnoteRef/>
      </w:r>
      <w:r>
        <w:rPr>
          <w:rtl/>
        </w:rPr>
        <w:t xml:space="preserve"> </w:t>
      </w:r>
      <w:r>
        <w:rPr>
          <w:rtl/>
        </w:rPr>
        <w:tab/>
      </w:r>
      <w:r>
        <w:rPr>
          <w:rFonts w:hint="cs"/>
          <w:rtl/>
        </w:rPr>
        <w:t>בהחלטה תוקנה טעות שהתגלתה בעבודת המטה שלא כללה את היישוב רוחמה שבמועצה האזורית שער הנגב במסגרת היישובים הזכאים לסיוע וכך עמד מספר היישובים הזכאים לסיוע על פי עבודת המטה על 26.</w:t>
      </w:r>
    </w:p>
  </w:footnote>
  <w:footnote w:id="124">
    <w:p w:rsidR="002201F1"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Fonts w:hint="cs"/>
          <w:rtl/>
        </w:rPr>
        <w:t>החלטות הממשלה 3303 ו-3304 (4.8.25)</w:t>
      </w:r>
      <w:r>
        <w:rPr>
          <w:rFonts w:hint="cs"/>
          <w:rtl/>
        </w:rPr>
        <w:t>.</w:t>
      </w:r>
    </w:p>
  </w:footnote>
  <w:footnote w:id="125">
    <w:p w:rsidR="002201F1"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Fonts w:hint="cs"/>
          <w:rtl/>
        </w:rPr>
        <w:t xml:space="preserve">י' אלון </w:t>
      </w:r>
      <w:r w:rsidRPr="0064233A">
        <w:rPr>
          <w:rFonts w:ascii="David" w:hAnsi="David" w:hint="cs"/>
          <w:rtl/>
        </w:rPr>
        <w:t>וע' עמית</w:t>
      </w:r>
      <w:r w:rsidRPr="0064233A">
        <w:rPr>
          <w:rFonts w:hint="cs"/>
          <w:rtl/>
        </w:rPr>
        <w:t xml:space="preserve">-כהן, "תפיסת מקום, דימוי תקשורתי, תדמית וקשר למקום: המקרה של ערי הפיתוח בנגב המערבי", </w:t>
      </w:r>
      <w:r w:rsidRPr="0064233A">
        <w:rPr>
          <w:rFonts w:hint="eastAsia"/>
          <w:b/>
          <w:bCs/>
          <w:rtl/>
        </w:rPr>
        <w:t>אופקים</w:t>
      </w:r>
      <w:r w:rsidRPr="0064233A">
        <w:rPr>
          <w:b/>
          <w:bCs/>
          <w:rtl/>
        </w:rPr>
        <w:t xml:space="preserve"> </w:t>
      </w:r>
      <w:r w:rsidRPr="0064233A">
        <w:rPr>
          <w:rFonts w:hint="eastAsia"/>
          <w:b/>
          <w:bCs/>
          <w:rtl/>
        </w:rPr>
        <w:t>בגאוגרפיה</w:t>
      </w:r>
      <w:r w:rsidRPr="0064233A">
        <w:rPr>
          <w:rFonts w:hint="cs"/>
          <w:rtl/>
        </w:rPr>
        <w:t>, 77 (2011), עמ' 89 - 109.</w:t>
      </w:r>
    </w:p>
  </w:footnote>
  <w:footnote w:id="126">
    <w:p w:rsidR="002201F1" w:rsidRPr="0064233A" w:rsidP="005B126E">
      <w:pPr>
        <w:pStyle w:val="FootnoteText"/>
      </w:pPr>
      <w:r w:rsidRPr="0064233A">
        <w:rPr>
          <w:rStyle w:val="FootnoteReference1"/>
        </w:rPr>
        <w:footnoteRef/>
      </w:r>
      <w:r w:rsidRPr="0064233A">
        <w:rPr>
          <w:rtl/>
        </w:rPr>
        <w:t xml:space="preserve"> </w:t>
      </w:r>
      <w:r w:rsidRPr="0064233A">
        <w:rPr>
          <w:rtl/>
        </w:rPr>
        <w:tab/>
      </w:r>
      <w:r w:rsidRPr="0064233A">
        <w:rPr>
          <w:rFonts w:hint="cs"/>
          <w:rtl/>
        </w:rPr>
        <w:t xml:space="preserve">יצחק דהן, </w:t>
      </w:r>
      <w:r w:rsidRPr="0064233A">
        <w:rPr>
          <w:rFonts w:ascii="David" w:hAnsi="David" w:hint="eastAsia"/>
          <w:b/>
          <w:bCs/>
          <w:rtl/>
        </w:rPr>
        <w:t>מרכז</w:t>
      </w:r>
      <w:r w:rsidRPr="0064233A">
        <w:rPr>
          <w:b/>
          <w:bCs/>
          <w:rtl/>
        </w:rPr>
        <w:t xml:space="preserve"> ופריפריה, טקסט וקונטקסט: תרומת המנהיגות המקומית בערי הפיתוח לפיתוח מקומי</w:t>
      </w:r>
      <w:r w:rsidRPr="0064233A">
        <w:rPr>
          <w:rFonts w:hint="cs"/>
          <w:rtl/>
        </w:rPr>
        <w:t>, האוניברסיטה העברית, המחלקה לגיאוגרפיה, 2000.</w:t>
      </w:r>
      <w:r w:rsidRPr="0064233A">
        <w:rPr>
          <w:rFonts w:hint="cs"/>
        </w:rPr>
        <w:t xml:space="preserve"> </w:t>
      </w:r>
    </w:p>
  </w:footnote>
  <w:footnote w:id="127">
    <w:p w:rsidR="002201F1" w:rsidRPr="0064233A" w:rsidP="005B126E">
      <w:pPr>
        <w:pStyle w:val="FootnoteText"/>
        <w:rPr>
          <w:rFonts w:ascii="David" w:hAnsi="David"/>
        </w:rPr>
      </w:pPr>
      <w:r w:rsidRPr="0064233A">
        <w:rPr>
          <w:rStyle w:val="FootnoteReference1"/>
          <w:rFonts w:ascii="David" w:hAnsi="David"/>
        </w:rPr>
        <w:footnoteRef/>
      </w:r>
      <w:r w:rsidRPr="0064233A">
        <w:rPr>
          <w:rFonts w:ascii="David" w:hAnsi="David"/>
          <w:rtl/>
        </w:rPr>
        <w:t xml:space="preserve"> </w:t>
      </w:r>
      <w:r w:rsidRPr="0064233A">
        <w:rPr>
          <w:rFonts w:ascii="David" w:hAnsi="David"/>
          <w:rtl/>
        </w:rPr>
        <w:tab/>
      </w:r>
      <w:r w:rsidRPr="0064233A">
        <w:rPr>
          <w:rFonts w:ascii="David" w:hAnsi="David"/>
          <w:rtl/>
        </w:rPr>
        <w:t xml:space="preserve">אבי </w:t>
      </w:r>
      <w:r w:rsidRPr="0064233A">
        <w:rPr>
          <w:rFonts w:ascii="David" w:hAnsi="David"/>
          <w:rtl/>
        </w:rPr>
        <w:t>פיקאר</w:t>
      </w:r>
      <w:r w:rsidRPr="0064233A">
        <w:rPr>
          <w:rFonts w:ascii="David" w:hAnsi="David"/>
          <w:rtl/>
        </w:rPr>
        <w:t xml:space="preserve">, </w:t>
      </w:r>
      <w:r w:rsidRPr="0064233A">
        <w:rPr>
          <w:rFonts w:ascii="David" w:hAnsi="David" w:hint="cs"/>
          <w:rtl/>
        </w:rPr>
        <w:t>"</w:t>
      </w:r>
      <w:r w:rsidRPr="0064233A">
        <w:rPr>
          <w:rFonts w:ascii="David" w:hAnsi="David"/>
          <w:rtl/>
        </w:rPr>
        <w:t>עיירות הפיתוח: הרעיונות שליוו את הקמתן ותהיות</w:t>
      </w:r>
      <w:r w:rsidRPr="0064233A">
        <w:rPr>
          <w:rFonts w:ascii="David" w:hAnsi="David" w:hint="cs"/>
          <w:rtl/>
        </w:rPr>
        <w:t xml:space="preserve">", </w:t>
      </w:r>
      <w:r w:rsidRPr="0064233A">
        <w:rPr>
          <w:rFonts w:ascii="David" w:hAnsi="David" w:hint="cs"/>
          <w:b/>
          <w:bCs/>
          <w:rtl/>
        </w:rPr>
        <w:t xml:space="preserve">אתרים המגזין </w:t>
      </w:r>
      <w:r w:rsidRPr="0064233A">
        <w:rPr>
          <w:rFonts w:ascii="David" w:hAnsi="David"/>
          <w:rtl/>
        </w:rPr>
        <w:t>(</w:t>
      </w:r>
      <w:r w:rsidRPr="0064233A">
        <w:rPr>
          <w:rFonts w:ascii="David" w:hAnsi="David" w:hint="cs"/>
          <w:rtl/>
        </w:rPr>
        <w:t>8.12.18), עמ' 50 - 51.</w:t>
      </w:r>
    </w:p>
  </w:footnote>
  <w:footnote w:id="128">
    <w:p w:rsidR="002201F1" w:rsidRPr="0064233A" w:rsidP="005B126E">
      <w:pPr>
        <w:pStyle w:val="FootnoteText"/>
        <w:rPr>
          <w:rFonts w:ascii="David" w:hAnsi="David"/>
          <w:rtl/>
        </w:rPr>
      </w:pPr>
      <w:r w:rsidRPr="0064233A">
        <w:rPr>
          <w:rStyle w:val="FootnoteReference1"/>
          <w:rFonts w:ascii="David" w:hAnsi="David"/>
        </w:rPr>
        <w:footnoteRef/>
      </w:r>
      <w:r w:rsidRPr="0064233A">
        <w:rPr>
          <w:rFonts w:ascii="David" w:hAnsi="David"/>
          <w:rtl/>
        </w:rPr>
        <w:t xml:space="preserve"> </w:t>
      </w:r>
      <w:r w:rsidRPr="0064233A">
        <w:rPr>
          <w:rFonts w:ascii="David" w:hAnsi="David"/>
          <w:rtl/>
        </w:rPr>
        <w:tab/>
      </w:r>
      <w:r w:rsidRPr="0064233A">
        <w:rPr>
          <w:rFonts w:ascii="David" w:hAnsi="David"/>
          <w:rtl/>
        </w:rPr>
        <w:t>אריה הרשקוביץ</w:t>
      </w:r>
      <w:r w:rsidRPr="0064233A">
        <w:rPr>
          <w:rFonts w:ascii="David" w:hAnsi="David" w:hint="cs"/>
          <w:rtl/>
        </w:rPr>
        <w:t>,</w:t>
      </w:r>
      <w:r w:rsidRPr="0064233A">
        <w:rPr>
          <w:rFonts w:ascii="David" w:hAnsi="David"/>
          <w:rtl/>
        </w:rPr>
        <w:t xml:space="preserve"> </w:t>
      </w:r>
      <w:r w:rsidRPr="0064233A">
        <w:rPr>
          <w:rFonts w:ascii="David" w:hAnsi="David" w:hint="cs"/>
          <w:rtl/>
        </w:rPr>
        <w:t>"</w:t>
      </w:r>
      <w:r w:rsidRPr="0064233A">
        <w:rPr>
          <w:rFonts w:ascii="David" w:hAnsi="David"/>
          <w:rtl/>
        </w:rPr>
        <w:t>מ</w:t>
      </w:r>
      <w:r w:rsidRPr="0064233A">
        <w:rPr>
          <w:rFonts w:ascii="David" w:hAnsi="David" w:hint="cs"/>
          <w:rtl/>
        </w:rPr>
        <w:t>'</w:t>
      </w:r>
      <w:r w:rsidRPr="0064233A">
        <w:rPr>
          <w:rFonts w:ascii="David" w:hAnsi="David"/>
          <w:rtl/>
        </w:rPr>
        <w:t>תוכנית</w:t>
      </w:r>
      <w:r w:rsidRPr="0064233A">
        <w:rPr>
          <w:rFonts w:ascii="David" w:hAnsi="David"/>
          <w:rtl/>
        </w:rPr>
        <w:t xml:space="preserve"> שר</w:t>
      </w:r>
      <w:r w:rsidRPr="0064233A">
        <w:rPr>
          <w:rFonts w:ascii="David" w:hAnsi="David" w:hint="cs"/>
          <w:rtl/>
        </w:rPr>
        <w:t>ו</w:t>
      </w:r>
      <w:r w:rsidRPr="0064233A">
        <w:rPr>
          <w:rFonts w:ascii="David" w:hAnsi="David"/>
          <w:rtl/>
        </w:rPr>
        <w:t>ן</w:t>
      </w:r>
      <w:r w:rsidRPr="0064233A">
        <w:rPr>
          <w:rFonts w:ascii="David" w:hAnsi="David" w:hint="cs"/>
          <w:rtl/>
        </w:rPr>
        <w:t>'</w:t>
      </w:r>
      <w:r w:rsidRPr="0064233A">
        <w:rPr>
          <w:rFonts w:ascii="David" w:hAnsi="David"/>
          <w:rtl/>
        </w:rPr>
        <w:t xml:space="preserve"> </w:t>
      </w:r>
      <w:r w:rsidRPr="0064233A">
        <w:rPr>
          <w:rFonts w:ascii="David" w:hAnsi="David"/>
          <w:rtl/>
        </w:rPr>
        <w:t>לתמ"א</w:t>
      </w:r>
      <w:r w:rsidRPr="0064233A">
        <w:rPr>
          <w:rFonts w:ascii="David" w:hAnsi="David"/>
          <w:rtl/>
        </w:rPr>
        <w:t>/35 - האידיאולוגיה של שלוש תוכניות מתאר ארציות</w:t>
      </w:r>
      <w:r w:rsidRPr="0064233A">
        <w:rPr>
          <w:rFonts w:ascii="David" w:hAnsi="David" w:hint="cs"/>
          <w:rtl/>
        </w:rPr>
        <w:t xml:space="preserve">", </w:t>
      </w:r>
      <w:r w:rsidRPr="0064233A">
        <w:rPr>
          <w:rFonts w:ascii="David" w:hAnsi="David" w:hint="cs"/>
          <w:b/>
          <w:bCs/>
          <w:rtl/>
        </w:rPr>
        <w:t xml:space="preserve">אופקים בגיאוגרפיה, </w:t>
      </w:r>
      <w:r w:rsidRPr="0064233A">
        <w:rPr>
          <w:rFonts w:ascii="David" w:hAnsi="David" w:hint="cs"/>
          <w:rtl/>
        </w:rPr>
        <w:t>67 (2006), עמ' 32 - 34.</w:t>
      </w:r>
      <w:r w:rsidRPr="0064233A">
        <w:rPr>
          <w:rFonts w:ascii="David" w:hAnsi="David"/>
          <w:rtl/>
        </w:rPr>
        <w:t xml:space="preserve"> </w:t>
      </w:r>
    </w:p>
  </w:footnote>
  <w:footnote w:id="129">
    <w:p w:rsidR="002201F1" w:rsidRPr="0064233A" w:rsidP="005B126E">
      <w:pPr>
        <w:pStyle w:val="FootnoteText"/>
        <w:rPr>
          <w:rFonts w:ascii="David" w:hAnsi="David"/>
          <w:rtl/>
        </w:rPr>
      </w:pPr>
      <w:r w:rsidRPr="0064233A">
        <w:rPr>
          <w:rStyle w:val="FootnoteReference1"/>
          <w:rFonts w:ascii="David" w:hAnsi="David"/>
        </w:rPr>
        <w:footnoteRef/>
      </w:r>
      <w:r w:rsidRPr="0064233A">
        <w:rPr>
          <w:rFonts w:ascii="David" w:hAnsi="David"/>
          <w:rtl/>
        </w:rPr>
        <w:t xml:space="preserve"> </w:t>
      </w:r>
      <w:r w:rsidRPr="0064233A">
        <w:rPr>
          <w:rFonts w:ascii="David" w:hAnsi="David"/>
          <w:rtl/>
        </w:rPr>
        <w:tab/>
      </w:r>
      <w:r w:rsidRPr="0064233A">
        <w:rPr>
          <w:rFonts w:ascii="David" w:hAnsi="David"/>
          <w:rtl/>
        </w:rPr>
        <w:t xml:space="preserve">רפי בר-אל, </w:t>
      </w:r>
      <w:r w:rsidRPr="00390432">
        <w:rPr>
          <w:rFonts w:ascii="David" w:hAnsi="David"/>
          <w:b/>
          <w:bCs/>
          <w:rtl/>
        </w:rPr>
        <w:t xml:space="preserve">אזור הדרום: בין נטל למשאב, </w:t>
      </w:r>
      <w:r w:rsidRPr="00390432">
        <w:rPr>
          <w:rFonts w:ascii="David" w:hAnsi="David" w:hint="eastAsia"/>
          <w:rtl/>
        </w:rPr>
        <w:t>מרכז</w:t>
      </w:r>
      <w:r w:rsidRPr="00390432">
        <w:rPr>
          <w:rFonts w:ascii="David" w:hAnsi="David"/>
          <w:rtl/>
        </w:rPr>
        <w:t xml:space="preserve"> </w:t>
      </w:r>
      <w:r w:rsidRPr="00390432">
        <w:rPr>
          <w:rFonts w:ascii="David" w:hAnsi="David" w:hint="eastAsia"/>
          <w:rtl/>
        </w:rPr>
        <w:t>טאוב</w:t>
      </w:r>
      <w:r w:rsidRPr="00390432">
        <w:rPr>
          <w:rFonts w:ascii="David" w:hAnsi="David"/>
          <w:rtl/>
        </w:rPr>
        <w:t xml:space="preserve"> לחקר המדיניות החברתית בישראל</w:t>
      </w:r>
      <w:r w:rsidRPr="0064233A">
        <w:rPr>
          <w:rFonts w:ascii="David" w:hAnsi="David" w:hint="cs"/>
          <w:rtl/>
        </w:rPr>
        <w:t xml:space="preserve"> (2003),</w:t>
      </w:r>
      <w:r w:rsidRPr="0064233A">
        <w:rPr>
          <w:rFonts w:ascii="David" w:hAnsi="David"/>
          <w:rtl/>
        </w:rPr>
        <w:t xml:space="preserve"> עמ'</w:t>
      </w:r>
      <w:r w:rsidRPr="0064233A">
        <w:rPr>
          <w:rFonts w:ascii="David" w:hAnsi="David" w:hint="cs"/>
          <w:rtl/>
        </w:rPr>
        <w:t xml:space="preserve"> 5 - 6.</w:t>
      </w:r>
    </w:p>
  </w:footnote>
  <w:footnote w:id="130">
    <w:p w:rsidR="002201F1" w:rsidP="005B126E">
      <w:pPr>
        <w:pStyle w:val="FootnoteText"/>
      </w:pPr>
      <w:r>
        <w:rPr>
          <w:rStyle w:val="FootnoteReference1"/>
        </w:rPr>
        <w:footnoteRef/>
      </w:r>
      <w:r>
        <w:rPr>
          <w:rtl/>
        </w:rPr>
        <w:t xml:space="preserve"> </w:t>
      </w:r>
      <w:r>
        <w:rPr>
          <w:rtl/>
        </w:rPr>
        <w:tab/>
      </w:r>
      <w:r w:rsidRPr="00B73B50">
        <w:rPr>
          <w:rtl/>
        </w:rPr>
        <w:t>הלמ"ס</w:t>
      </w:r>
      <w:r w:rsidRPr="00B73B50">
        <w:rPr>
          <w:rtl/>
        </w:rPr>
        <w:t xml:space="preserve"> מדרגת את הרשויות המקומיות לפי המצב החברתי-כלכלי של האוכלוסייה המתגוררת בתחום שיפוטן</w:t>
      </w:r>
      <w:r>
        <w:rPr>
          <w:rFonts w:hint="cs"/>
          <w:rtl/>
        </w:rPr>
        <w:t xml:space="preserve"> כערך רציף שמתקבל באמצעות שקלול הערכים המתוקננים של 14 המשתנים הנבחרים. </w:t>
      </w:r>
    </w:p>
  </w:footnote>
  <w:footnote w:id="131">
    <w:p w:rsidR="002201F1" w:rsidRPr="0064233A" w:rsidP="005B126E">
      <w:pPr>
        <w:pStyle w:val="FootnoteText"/>
        <w:rPr>
          <w:rtl/>
        </w:rPr>
      </w:pPr>
      <w:r w:rsidRPr="0064233A">
        <w:rPr>
          <w:rStyle w:val="FootnoteReference1"/>
        </w:rPr>
        <w:footnoteRef/>
      </w:r>
      <w:r w:rsidRPr="0064233A">
        <w:rPr>
          <w:rtl/>
        </w:rPr>
        <w:t xml:space="preserve"> </w:t>
      </w:r>
      <w:r w:rsidRPr="0064233A">
        <w:rPr>
          <w:rtl/>
        </w:rPr>
        <w:tab/>
      </w:r>
      <w:r w:rsidRPr="00B4372A">
        <w:rPr>
          <w:rtl/>
        </w:rPr>
        <w:t>החלט</w:t>
      </w:r>
      <w:r w:rsidRPr="00B4372A">
        <w:rPr>
          <w:rFonts w:hint="eastAsia"/>
          <w:rtl/>
        </w:rPr>
        <w:t>ת</w:t>
      </w:r>
      <w:r w:rsidRPr="00B4372A">
        <w:rPr>
          <w:rtl/>
        </w:rPr>
        <w:t xml:space="preserve"> 462 (20.4.23);</w:t>
      </w:r>
      <w:r w:rsidRPr="0064233A">
        <w:rPr>
          <w:rtl/>
        </w:rPr>
        <w:t xml:space="preserve"> החלטה</w:t>
      </w:r>
      <w:r w:rsidRPr="0064233A">
        <w:rPr>
          <w:rFonts w:hint="cs"/>
          <w:rtl/>
        </w:rPr>
        <w:t xml:space="preserve"> </w:t>
      </w:r>
      <w:r w:rsidRPr="0064233A">
        <w:rPr>
          <w:rtl/>
        </w:rPr>
        <w:t>1818</w:t>
      </w:r>
      <w:r w:rsidRPr="0064233A">
        <w:rPr>
          <w:rFonts w:hint="cs"/>
          <w:rtl/>
        </w:rPr>
        <w:t xml:space="preserve"> (14.8.22)</w:t>
      </w:r>
      <w:r w:rsidRPr="0064233A">
        <w:rPr>
          <w:rtl/>
        </w:rPr>
        <w:t>; החלטה 566</w:t>
      </w:r>
      <w:r w:rsidRPr="0064233A">
        <w:rPr>
          <w:rFonts w:hint="cs"/>
          <w:rtl/>
        </w:rPr>
        <w:t xml:space="preserve"> (22.11.20)</w:t>
      </w:r>
      <w:r w:rsidRPr="0064233A">
        <w:rPr>
          <w:rtl/>
        </w:rPr>
        <w:t xml:space="preserve">; החלטה 4328 </w:t>
      </w:r>
      <w:r w:rsidRPr="0064233A">
        <w:rPr>
          <w:rFonts w:hint="cs"/>
          <w:rtl/>
        </w:rPr>
        <w:t>(2.12.18)</w:t>
      </w:r>
      <w:r w:rsidRPr="0064233A">
        <w:rPr>
          <w:rtl/>
        </w:rPr>
        <w:t>; החלטה 2156</w:t>
      </w:r>
      <w:r w:rsidRPr="0064233A">
        <w:rPr>
          <w:rFonts w:hint="cs"/>
          <w:rtl/>
        </w:rPr>
        <w:t xml:space="preserve"> (11.12.16)</w:t>
      </w:r>
      <w:r w:rsidRPr="0064233A">
        <w:rPr>
          <w:rtl/>
        </w:rPr>
        <w:t xml:space="preserve">; החלטה 2017 מיום </w:t>
      </w:r>
      <w:r w:rsidRPr="0064233A">
        <w:rPr>
          <w:rFonts w:hint="cs"/>
          <w:rtl/>
        </w:rPr>
        <w:t>(21.9.14)</w:t>
      </w:r>
      <w:r w:rsidRPr="0064233A">
        <w:rPr>
          <w:rtl/>
        </w:rPr>
        <w:t xml:space="preserve">; החלטה 1114 </w:t>
      </w:r>
      <w:r w:rsidRPr="0064233A">
        <w:rPr>
          <w:rFonts w:hint="cs"/>
          <w:rtl/>
        </w:rPr>
        <w:t>(29.12.13)</w:t>
      </w:r>
      <w:r w:rsidRPr="0064233A">
        <w:rPr>
          <w:rtl/>
        </w:rPr>
        <w:t>; החלטה 5207</w:t>
      </w:r>
      <w:r w:rsidRPr="0064233A">
        <w:rPr>
          <w:rFonts w:hint="cs"/>
          <w:rtl/>
        </w:rPr>
        <w:t>(4.11.12)</w:t>
      </w:r>
      <w:r w:rsidRPr="0064233A">
        <w:rPr>
          <w:rtl/>
        </w:rPr>
        <w:t>; החלטה 4192</w:t>
      </w:r>
      <w:r w:rsidRPr="0064233A">
        <w:rPr>
          <w:rFonts w:hint="cs"/>
          <w:rtl/>
        </w:rPr>
        <w:t xml:space="preserve"> (29.1.12)</w:t>
      </w:r>
      <w:r w:rsidRPr="0064233A">
        <w:rPr>
          <w:rtl/>
        </w:rPr>
        <w:t>; החלטה 2664</w:t>
      </w:r>
      <w:r w:rsidRPr="0064233A">
        <w:rPr>
          <w:rFonts w:hint="cs"/>
          <w:rtl/>
        </w:rPr>
        <w:t xml:space="preserve"> (2.11.11)</w:t>
      </w:r>
      <w:r w:rsidRPr="0064233A">
        <w:rPr>
          <w:rtl/>
        </w:rPr>
        <w:t xml:space="preserve">; החלטה 746 </w:t>
      </w:r>
      <w:r w:rsidRPr="0064233A">
        <w:rPr>
          <w:rFonts w:hint="cs"/>
          <w:rtl/>
        </w:rPr>
        <w:t xml:space="preserve">(27.11.06); החלטה 2173 (4.7.04); והחלטה 2954 (23.02.03). </w:t>
      </w:r>
      <w:r w:rsidRPr="0064233A">
        <w:rPr>
          <w:rtl/>
        </w:rPr>
        <w:t>בשנת 2007 אף נחקק חוק</w:t>
      </w:r>
      <w:r w:rsidRPr="0064233A">
        <w:rPr>
          <w:rFonts w:hint="cs"/>
          <w:rtl/>
        </w:rPr>
        <w:t xml:space="preserve"> סיוע</w:t>
      </w:r>
      <w:r w:rsidRPr="0064233A">
        <w:rPr>
          <w:rtl/>
        </w:rPr>
        <w:t xml:space="preserve"> לשדרות וליישובי הנגב המערבי (הוראת שעה), התשס"ז</w:t>
      </w:r>
      <w:r w:rsidRPr="0064233A">
        <w:rPr>
          <w:rFonts w:hint="cs"/>
          <w:rtl/>
        </w:rPr>
        <w:t>-</w:t>
      </w:r>
      <w:r w:rsidRPr="0064233A">
        <w:rPr>
          <w:rtl/>
        </w:rPr>
        <w:t>2007, לסיוע לשדרות וליישובי הנגב המערבי.</w:t>
      </w:r>
    </w:p>
  </w:footnote>
  <w:footnote w:id="132">
    <w:p w:rsidR="002201F1" w:rsidRPr="0064233A" w:rsidP="005B126E">
      <w:pPr>
        <w:pStyle w:val="FootnoteText"/>
      </w:pPr>
      <w:r w:rsidRPr="0064233A">
        <w:rPr>
          <w:rStyle w:val="FootnoteReference1"/>
        </w:rPr>
        <w:footnoteRef/>
      </w:r>
      <w:r w:rsidRPr="0064233A">
        <w:rPr>
          <w:rtl/>
        </w:rPr>
        <w:t xml:space="preserve"> </w:t>
      </w:r>
      <w:r w:rsidRPr="0064233A">
        <w:rPr>
          <w:rtl/>
        </w:rPr>
        <w:tab/>
      </w:r>
      <w:r w:rsidRPr="0064233A">
        <w:rPr>
          <w:rFonts w:ascii="David" w:hAnsi="David" w:hint="cs"/>
          <w:rtl/>
        </w:rPr>
        <w:t xml:space="preserve">מרכז המחקר והמידע של הכנסת, </w:t>
      </w:r>
      <w:r w:rsidRPr="0064233A">
        <w:rPr>
          <w:rFonts w:ascii="David" w:hAnsi="David" w:hint="eastAsia"/>
          <w:b/>
          <w:bCs/>
          <w:rtl/>
        </w:rPr>
        <w:t>מ</w:t>
      </w:r>
      <w:r w:rsidRPr="0064233A">
        <w:rPr>
          <w:rFonts w:ascii="David" w:hAnsi="David"/>
          <w:b/>
          <w:bCs/>
          <w:rtl/>
        </w:rPr>
        <w:t xml:space="preserve">'שדרות </w:t>
      </w:r>
      <w:r w:rsidRPr="0064233A">
        <w:rPr>
          <w:rFonts w:ascii="David" w:hAnsi="David" w:hint="eastAsia"/>
          <w:b/>
          <w:bCs/>
          <w:rtl/>
        </w:rPr>
        <w:t>רבתי</w:t>
      </w:r>
      <w:r w:rsidRPr="0064233A">
        <w:rPr>
          <w:rFonts w:ascii="David" w:hAnsi="David"/>
          <w:b/>
          <w:bCs/>
          <w:rtl/>
        </w:rPr>
        <w:t xml:space="preserve">' </w:t>
      </w:r>
      <w:r w:rsidRPr="0064233A">
        <w:rPr>
          <w:rFonts w:ascii="David" w:hAnsi="David" w:hint="eastAsia"/>
          <w:b/>
          <w:bCs/>
          <w:rtl/>
        </w:rPr>
        <w:t>ל</w:t>
      </w:r>
      <w:r w:rsidRPr="0064233A">
        <w:rPr>
          <w:rFonts w:ascii="David" w:hAnsi="David"/>
          <w:b/>
          <w:bCs/>
          <w:rtl/>
        </w:rPr>
        <w:t xml:space="preserve">'חבל </w:t>
      </w:r>
      <w:r w:rsidRPr="0064233A">
        <w:rPr>
          <w:rFonts w:ascii="David" w:hAnsi="David" w:hint="eastAsia"/>
          <w:b/>
          <w:bCs/>
          <w:rtl/>
        </w:rPr>
        <w:t>התקומה</w:t>
      </w:r>
      <w:r w:rsidRPr="0064233A">
        <w:rPr>
          <w:rFonts w:ascii="David" w:hAnsi="David"/>
          <w:b/>
          <w:bCs/>
          <w:rtl/>
        </w:rPr>
        <w:t xml:space="preserve">' - </w:t>
      </w:r>
      <w:r w:rsidRPr="0064233A">
        <w:rPr>
          <w:rFonts w:ascii="David" w:hAnsi="David" w:hint="eastAsia"/>
          <w:b/>
          <w:bCs/>
          <w:rtl/>
        </w:rPr>
        <w:t>מהו</w:t>
      </w:r>
      <w:r w:rsidRPr="0064233A">
        <w:rPr>
          <w:rFonts w:ascii="David" w:hAnsi="David"/>
          <w:b/>
          <w:bCs/>
          <w:rtl/>
        </w:rPr>
        <w:t xml:space="preserve"> 'עוטף </w:t>
      </w:r>
      <w:r w:rsidRPr="0064233A">
        <w:rPr>
          <w:rFonts w:ascii="David" w:hAnsi="David" w:hint="eastAsia"/>
          <w:b/>
          <w:bCs/>
          <w:rtl/>
        </w:rPr>
        <w:t>עזה</w:t>
      </w:r>
      <w:r w:rsidRPr="0064233A">
        <w:rPr>
          <w:rFonts w:ascii="David" w:hAnsi="David"/>
          <w:b/>
          <w:bCs/>
          <w:rtl/>
        </w:rPr>
        <w:t>'?</w:t>
      </w:r>
      <w:r w:rsidRPr="0064233A">
        <w:rPr>
          <w:rFonts w:ascii="David" w:hAnsi="David" w:hint="cs"/>
          <w:rtl/>
        </w:rPr>
        <w:t xml:space="preserve"> נובמבר 2023.</w:t>
      </w:r>
    </w:p>
  </w:footnote>
  <w:footnote w:id="133">
    <w:p w:rsidR="002201F1" w:rsidRPr="0064233A" w:rsidP="005B126E">
      <w:pPr>
        <w:pStyle w:val="FootnoteText"/>
      </w:pPr>
      <w:r w:rsidRPr="0064233A">
        <w:rPr>
          <w:rStyle w:val="FootnoteReference1"/>
        </w:rPr>
        <w:footnoteRef/>
      </w:r>
      <w:r w:rsidRPr="0064233A">
        <w:rPr>
          <w:rtl/>
        </w:rPr>
        <w:t xml:space="preserve"> </w:t>
      </w:r>
      <w:r w:rsidRPr="0064233A">
        <w:rPr>
          <w:rtl/>
        </w:rPr>
        <w:tab/>
      </w:r>
      <w:r w:rsidRPr="0064233A">
        <w:rPr>
          <w:rFonts w:hint="cs"/>
          <w:rtl/>
        </w:rPr>
        <w:t xml:space="preserve">אבי </w:t>
      </w:r>
      <w:r w:rsidRPr="0064233A">
        <w:rPr>
          <w:rtl/>
        </w:rPr>
        <w:t>בן בסט</w:t>
      </w:r>
      <w:r w:rsidRPr="0064233A">
        <w:rPr>
          <w:rFonts w:hint="cs"/>
          <w:rtl/>
        </w:rPr>
        <w:t xml:space="preserve"> </w:t>
      </w:r>
      <w:r w:rsidRPr="0064233A">
        <w:rPr>
          <w:rtl/>
        </w:rPr>
        <w:t>ו</w:t>
      </w:r>
      <w:r w:rsidRPr="0064233A">
        <w:rPr>
          <w:rFonts w:hint="cs"/>
          <w:rtl/>
        </w:rPr>
        <w:t xml:space="preserve">מומי </w:t>
      </w:r>
      <w:r w:rsidRPr="0064233A">
        <w:rPr>
          <w:rtl/>
        </w:rPr>
        <w:t>דהן</w:t>
      </w:r>
      <w:r w:rsidRPr="0064233A">
        <w:rPr>
          <w:rFonts w:hint="cs"/>
          <w:rtl/>
        </w:rPr>
        <w:t>, "המשבר ברשויות המקומיות: יעילות מול ייצוגיות" בתוך: הנ"ל (עורכים),</w:t>
      </w:r>
      <w:r w:rsidRPr="0064233A">
        <w:rPr>
          <w:rtl/>
        </w:rPr>
        <w:t xml:space="preserve"> </w:t>
      </w:r>
      <w:r w:rsidRPr="0064233A">
        <w:rPr>
          <w:b/>
          <w:bCs/>
          <w:rtl/>
        </w:rPr>
        <w:t>הכלכלה הפוליטית של הרשויות המקומיות</w:t>
      </w:r>
      <w:r w:rsidRPr="0064233A">
        <w:rPr>
          <w:rFonts w:hint="cs"/>
          <w:rtl/>
        </w:rPr>
        <w:t>, המכון הישראלי לדמוקרטיה, 2009.</w:t>
      </w:r>
    </w:p>
  </w:footnote>
  <w:footnote w:id="134">
    <w:p w:rsidR="002201F1"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Fonts w:hint="cs"/>
          <w:rtl/>
        </w:rPr>
        <w:t xml:space="preserve">סיון להבי וגל-חגית רומנו, </w:t>
      </w:r>
      <w:r w:rsidRPr="0064233A">
        <w:rPr>
          <w:rFonts w:hint="eastAsia"/>
          <w:b/>
          <w:bCs/>
          <w:rtl/>
        </w:rPr>
        <w:t>כלכלת</w:t>
      </w:r>
      <w:r w:rsidRPr="0064233A">
        <w:rPr>
          <w:b/>
          <w:bCs/>
          <w:rtl/>
        </w:rPr>
        <w:t xml:space="preserve"> </w:t>
      </w:r>
      <w:r w:rsidRPr="0064233A">
        <w:rPr>
          <w:rFonts w:hint="eastAsia"/>
          <w:b/>
          <w:bCs/>
          <w:rtl/>
        </w:rPr>
        <w:t>השלטון</w:t>
      </w:r>
      <w:r w:rsidRPr="0064233A">
        <w:rPr>
          <w:b/>
          <w:bCs/>
          <w:rtl/>
        </w:rPr>
        <w:t xml:space="preserve"> </w:t>
      </w:r>
      <w:r w:rsidRPr="0064233A">
        <w:rPr>
          <w:rFonts w:hint="eastAsia"/>
          <w:b/>
          <w:bCs/>
          <w:rtl/>
        </w:rPr>
        <w:t>המקומי</w:t>
      </w:r>
      <w:r w:rsidRPr="0064233A">
        <w:rPr>
          <w:b/>
          <w:bCs/>
          <w:rtl/>
        </w:rPr>
        <w:t xml:space="preserve"> </w:t>
      </w:r>
      <w:r w:rsidRPr="0064233A">
        <w:rPr>
          <w:rFonts w:hint="eastAsia"/>
          <w:b/>
          <w:bCs/>
          <w:rtl/>
        </w:rPr>
        <w:t>בישראל</w:t>
      </w:r>
      <w:r w:rsidRPr="0064233A">
        <w:rPr>
          <w:b/>
          <w:bCs/>
          <w:rtl/>
        </w:rPr>
        <w:t xml:space="preserve">: </w:t>
      </w:r>
      <w:r w:rsidRPr="0064233A">
        <w:rPr>
          <w:rFonts w:hint="eastAsia"/>
          <w:b/>
          <w:bCs/>
          <w:rtl/>
        </w:rPr>
        <w:t>ניתוח</w:t>
      </w:r>
      <w:r w:rsidRPr="0064233A">
        <w:rPr>
          <w:b/>
          <w:bCs/>
          <w:rtl/>
        </w:rPr>
        <w:t xml:space="preserve"> </w:t>
      </w:r>
      <w:r w:rsidRPr="0064233A">
        <w:rPr>
          <w:rFonts w:hint="eastAsia"/>
          <w:b/>
          <w:bCs/>
          <w:rtl/>
        </w:rPr>
        <w:t>הפערים</w:t>
      </w:r>
      <w:r w:rsidRPr="0064233A">
        <w:rPr>
          <w:b/>
          <w:bCs/>
          <w:rtl/>
        </w:rPr>
        <w:t xml:space="preserve"> </w:t>
      </w:r>
      <w:r w:rsidRPr="0064233A">
        <w:rPr>
          <w:rFonts w:hint="eastAsia"/>
          <w:b/>
          <w:bCs/>
          <w:rtl/>
        </w:rPr>
        <w:t>בין</w:t>
      </w:r>
      <w:r w:rsidRPr="0064233A">
        <w:rPr>
          <w:b/>
          <w:bCs/>
          <w:rtl/>
        </w:rPr>
        <w:t xml:space="preserve"> </w:t>
      </w:r>
      <w:r w:rsidRPr="0064233A">
        <w:rPr>
          <w:rFonts w:hint="eastAsia"/>
          <w:b/>
          <w:bCs/>
          <w:rtl/>
        </w:rPr>
        <w:t>רשויות</w:t>
      </w:r>
      <w:r w:rsidRPr="0064233A">
        <w:rPr>
          <w:b/>
          <w:bCs/>
          <w:rtl/>
        </w:rPr>
        <w:t xml:space="preserve"> </w:t>
      </w:r>
      <w:r w:rsidRPr="0064233A">
        <w:rPr>
          <w:rFonts w:hint="eastAsia"/>
          <w:b/>
          <w:bCs/>
          <w:rtl/>
        </w:rPr>
        <w:t>מקומיות</w:t>
      </w:r>
      <w:r w:rsidRPr="0064233A">
        <w:rPr>
          <w:b/>
          <w:bCs/>
          <w:rtl/>
        </w:rPr>
        <w:t xml:space="preserve"> </w:t>
      </w:r>
      <w:r w:rsidRPr="0064233A">
        <w:rPr>
          <w:rFonts w:hint="eastAsia"/>
          <w:b/>
          <w:bCs/>
          <w:rtl/>
        </w:rPr>
        <w:t>בישראל</w:t>
      </w:r>
      <w:r w:rsidRPr="0064233A">
        <w:rPr>
          <w:rFonts w:hint="cs"/>
          <w:rtl/>
        </w:rPr>
        <w:t>, 2016.</w:t>
      </w:r>
    </w:p>
  </w:footnote>
  <w:footnote w:id="135">
    <w:p w:rsidR="002201F1" w:rsidRPr="0064233A" w:rsidP="005B126E">
      <w:pPr>
        <w:pStyle w:val="FootnoteText"/>
        <w:rPr>
          <w:rFonts w:ascii="David" w:hAnsi="David"/>
        </w:rPr>
      </w:pPr>
      <w:r w:rsidRPr="0064233A">
        <w:rPr>
          <w:rStyle w:val="FootnoteReference1"/>
        </w:rPr>
        <w:footnoteRef/>
      </w:r>
      <w:r w:rsidRPr="0064233A">
        <w:rPr>
          <w:rtl/>
        </w:rPr>
        <w:t xml:space="preserve"> </w:t>
      </w:r>
      <w:r w:rsidRPr="0064233A">
        <w:rPr>
          <w:rtl/>
        </w:rPr>
        <w:tab/>
      </w:r>
      <w:r w:rsidRPr="0064233A">
        <w:rPr>
          <w:rFonts w:ascii="David" w:hAnsi="David" w:hint="cs"/>
          <w:rtl/>
        </w:rPr>
        <w:t xml:space="preserve">על פי דוח בנק ישראל לשנת 2023 בהסכמי גג בין המדינה לרשויות מקומיות המדינה מתחייבת לממן את התשתיות ומבני הציבור הנדרשים להקמת שכונות חדשות, והרשויות </w:t>
      </w:r>
      <w:r w:rsidRPr="0064233A">
        <w:rPr>
          <w:rFonts w:ascii="David" w:hAnsi="David" w:hint="cs"/>
          <w:rtl/>
        </w:rPr>
        <w:t>מצ</w:t>
      </w:r>
      <w:r>
        <w:rPr>
          <w:rFonts w:ascii="David" w:hAnsi="David" w:hint="cs"/>
          <w:rtl/>
        </w:rPr>
        <w:t>י</w:t>
      </w:r>
      <w:r w:rsidRPr="0064233A">
        <w:rPr>
          <w:rFonts w:ascii="David" w:hAnsi="David" w:hint="cs"/>
          <w:rtl/>
        </w:rPr>
        <w:t>דן</w:t>
      </w:r>
      <w:r w:rsidRPr="0064233A">
        <w:rPr>
          <w:rFonts w:ascii="David" w:hAnsi="David" w:hint="cs"/>
          <w:rtl/>
        </w:rPr>
        <w:t xml:space="preserve"> מתחייבות לנפק היתרי בנייה וליישם את התוכניות, לרבות הקמת תשתית. ההסכמים מאפשרים גם לחדש את התשתית בשכונות הוותיקות, בהביאם להגדלת</w:t>
      </w:r>
      <w:r w:rsidRPr="0064233A">
        <w:rPr>
          <w:rFonts w:hint="cs"/>
          <w:rtl/>
        </w:rPr>
        <w:t xml:space="preserve"> </w:t>
      </w:r>
      <w:r w:rsidRPr="0064233A">
        <w:rPr>
          <w:rFonts w:ascii="David" w:hAnsi="David" w:hint="cs"/>
          <w:rtl/>
        </w:rPr>
        <w:t xml:space="preserve">מקורות הרשות המקומית שניתן להקצות לטובת העניין. </w:t>
      </w:r>
    </w:p>
  </w:footnote>
  <w:footnote w:id="136">
    <w:p w:rsidR="002201F1"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Fonts w:hint="cs"/>
          <w:rtl/>
        </w:rPr>
        <w:t xml:space="preserve">החלטת הממשלה 3303 (4.8.25). </w:t>
      </w:r>
    </w:p>
  </w:footnote>
  <w:footnote w:id="137">
    <w:p w:rsidR="002201F1" w:rsidRPr="0005720B" w:rsidP="005B126E">
      <w:pPr>
        <w:pStyle w:val="FootnoteText"/>
        <w:rPr>
          <w:rtl/>
        </w:rPr>
      </w:pPr>
      <w:r>
        <w:rPr>
          <w:rStyle w:val="FootnoteReference1"/>
        </w:rPr>
        <w:footnoteRef/>
      </w:r>
      <w:r>
        <w:rPr>
          <w:rtl/>
        </w:rPr>
        <w:t xml:space="preserve"> </w:t>
      </w:r>
      <w:r>
        <w:rPr>
          <w:rtl/>
        </w:rPr>
        <w:tab/>
      </w:r>
      <w:r w:rsidRPr="0005720B">
        <w:rPr>
          <w:rFonts w:hint="cs"/>
          <w:rtl/>
        </w:rPr>
        <w:t xml:space="preserve">לגבי יתר </w:t>
      </w:r>
      <w:r>
        <w:rPr>
          <w:rFonts w:hint="cs"/>
          <w:rtl/>
        </w:rPr>
        <w:t xml:space="preserve">37 </w:t>
      </w:r>
      <w:r w:rsidRPr="0005720B">
        <w:rPr>
          <w:rFonts w:hint="cs"/>
          <w:rtl/>
        </w:rPr>
        <w:t xml:space="preserve">המורים </w:t>
      </w:r>
      <w:r>
        <w:rPr>
          <w:rFonts w:hint="cs"/>
          <w:rtl/>
        </w:rPr>
        <w:t xml:space="preserve">משרד החינוך סיפק </w:t>
      </w:r>
      <w:r w:rsidRPr="0005720B">
        <w:rPr>
          <w:rFonts w:hint="cs"/>
          <w:rtl/>
        </w:rPr>
        <w:t>מידע רק על הוותק שלהם בהוראה, כלומר אם הם מורים ותיקים או חדשים</w:t>
      </w:r>
      <w:r>
        <w:rPr>
          <w:rFonts w:hint="cs"/>
          <w:rtl/>
        </w:rPr>
        <w:t xml:space="preserve">. </w:t>
      </w:r>
      <w:r w:rsidRPr="0005720B">
        <w:rPr>
          <w:rFonts w:hint="cs"/>
          <w:rtl/>
        </w:rPr>
        <w:t>ניתוח הנתונים מעלה כי ל-22 מהם שנת הלימודים תשפ"ה הייתה שנת הוותק הראשונה</w:t>
      </w:r>
      <w:r>
        <w:rPr>
          <w:rFonts w:hint="cs"/>
          <w:rtl/>
        </w:rPr>
        <w:t xml:space="preserve"> בתפקיד</w:t>
      </w:r>
      <w:r w:rsidRPr="0005720B">
        <w:rPr>
          <w:rFonts w:hint="cs"/>
          <w:rtl/>
        </w:rPr>
        <w:t>.</w:t>
      </w:r>
    </w:p>
    <w:p w:rsidR="002201F1" w:rsidP="005B126E">
      <w:pPr>
        <w:pStyle w:val="FootnoteText"/>
      </w:pPr>
    </w:p>
  </w:footnote>
  <w:footnote w:id="138">
    <w:p w:rsidR="002201F1" w:rsidRPr="0064233A" w:rsidP="005B126E">
      <w:pPr>
        <w:pStyle w:val="FootnoteText"/>
      </w:pPr>
      <w:r w:rsidRPr="0064233A">
        <w:rPr>
          <w:rStyle w:val="FootnoteReference1"/>
        </w:rPr>
        <w:footnoteRef/>
      </w:r>
      <w:r w:rsidRPr="0064233A">
        <w:rPr>
          <w:rtl/>
        </w:rPr>
        <w:t xml:space="preserve"> </w:t>
      </w:r>
      <w:r w:rsidRPr="0064233A">
        <w:rPr>
          <w:rtl/>
        </w:rPr>
        <w:tab/>
      </w:r>
      <w:r w:rsidRPr="0064233A">
        <w:rPr>
          <w:rFonts w:hint="cs"/>
          <w:rtl/>
        </w:rPr>
        <w:t xml:space="preserve">ראו עוד לעניין זה: רוית </w:t>
      </w:r>
      <w:r w:rsidRPr="0064233A">
        <w:rPr>
          <w:rtl/>
        </w:rPr>
        <w:t>חננאל</w:t>
      </w:r>
      <w:r w:rsidRPr="0064233A">
        <w:rPr>
          <w:rFonts w:hint="cs"/>
          <w:rtl/>
        </w:rPr>
        <w:t>,</w:t>
      </w:r>
      <w:r w:rsidRPr="0064233A">
        <w:rPr>
          <w:rtl/>
        </w:rPr>
        <w:t xml:space="preserve"> </w:t>
      </w:r>
      <w:r w:rsidRPr="0064233A">
        <w:rPr>
          <w:rFonts w:hint="cs"/>
          <w:rtl/>
        </w:rPr>
        <w:t>"</w:t>
      </w:r>
      <w:r w:rsidRPr="0064233A">
        <w:rPr>
          <w:rtl/>
        </w:rPr>
        <w:t>מ</w:t>
      </w:r>
      <w:r w:rsidRPr="0064233A">
        <w:rPr>
          <w:rFonts w:hint="cs"/>
          <w:rtl/>
        </w:rPr>
        <w:t>'</w:t>
      </w:r>
      <w:r w:rsidRPr="0064233A">
        <w:rPr>
          <w:rtl/>
        </w:rPr>
        <w:t>תוכנית</w:t>
      </w:r>
      <w:r w:rsidRPr="0064233A">
        <w:rPr>
          <w:rtl/>
        </w:rPr>
        <w:t xml:space="preserve"> שרון</w:t>
      </w:r>
      <w:r w:rsidRPr="0064233A">
        <w:rPr>
          <w:rFonts w:hint="cs"/>
          <w:rtl/>
        </w:rPr>
        <w:t>'</w:t>
      </w:r>
      <w:r w:rsidRPr="0064233A">
        <w:rPr>
          <w:rtl/>
        </w:rPr>
        <w:t xml:space="preserve"> ועד </w:t>
      </w:r>
      <w:r w:rsidRPr="0064233A">
        <w:rPr>
          <w:rtl/>
        </w:rPr>
        <w:t>ל</w:t>
      </w:r>
      <w:r w:rsidRPr="0064233A">
        <w:rPr>
          <w:rFonts w:hint="cs"/>
          <w:rtl/>
        </w:rPr>
        <w:t>'</w:t>
      </w:r>
      <w:r w:rsidRPr="0064233A">
        <w:rPr>
          <w:rtl/>
        </w:rPr>
        <w:t>תוכנית</w:t>
      </w:r>
      <w:r w:rsidRPr="0064233A">
        <w:rPr>
          <w:rtl/>
        </w:rPr>
        <w:t xml:space="preserve"> נתניהו</w:t>
      </w:r>
      <w:r w:rsidRPr="0064233A">
        <w:rPr>
          <w:rFonts w:hint="cs"/>
          <w:rtl/>
        </w:rPr>
        <w:t>'</w:t>
      </w:r>
      <w:r w:rsidRPr="0064233A">
        <w:rPr>
          <w:rtl/>
        </w:rPr>
        <w:t>: הפוליטיקה של המרחב האזורי בישראל</w:t>
      </w:r>
      <w:r w:rsidRPr="0064233A">
        <w:rPr>
          <w:rFonts w:hint="cs"/>
          <w:rtl/>
        </w:rPr>
        <w:t>"</w:t>
      </w:r>
      <w:r w:rsidRPr="0064233A">
        <w:rPr>
          <w:rtl/>
        </w:rPr>
        <w:t xml:space="preserve">, </w:t>
      </w:r>
      <w:r w:rsidRPr="0064233A">
        <w:rPr>
          <w:b/>
          <w:bCs/>
          <w:rtl/>
        </w:rPr>
        <w:t>משפט חברה ותרבות</w:t>
      </w:r>
      <w:r w:rsidRPr="0064233A">
        <w:rPr>
          <w:rFonts w:hint="cs"/>
          <w:rtl/>
        </w:rPr>
        <w:t xml:space="preserve"> 237 (2008).</w:t>
      </w:r>
    </w:p>
  </w:footnote>
  <w:footnote w:id="139">
    <w:p w:rsidR="002201F1" w:rsidRPr="0064233A" w:rsidP="005B126E">
      <w:pPr>
        <w:pStyle w:val="FootnoteText"/>
      </w:pPr>
      <w:r w:rsidRPr="0064233A">
        <w:rPr>
          <w:rStyle w:val="FootnoteReference1"/>
        </w:rPr>
        <w:footnoteRef/>
      </w:r>
      <w:r w:rsidRPr="0064233A">
        <w:rPr>
          <w:rtl/>
        </w:rPr>
        <w:t xml:space="preserve"> </w:t>
      </w:r>
      <w:r w:rsidRPr="0064233A">
        <w:rPr>
          <w:rtl/>
        </w:rPr>
        <w:tab/>
      </w:r>
      <w:r w:rsidRPr="0064233A">
        <w:rPr>
          <w:rtl/>
        </w:rPr>
        <w:t>בהודע</w:t>
      </w:r>
      <w:r w:rsidRPr="0064233A">
        <w:rPr>
          <w:rFonts w:hint="cs"/>
          <w:rtl/>
        </w:rPr>
        <w:t>ת</w:t>
      </w:r>
      <w:r w:rsidRPr="0064233A">
        <w:rPr>
          <w:rtl/>
        </w:rPr>
        <w:t xml:space="preserve"> הלשכה המרכזית לסטטיסטיקה לגבי מפקד האוכלוסין של שנת 2008, נקבעה הגדרת המטרופולין </w:t>
      </w:r>
      <w:r w:rsidRPr="0064233A">
        <w:rPr>
          <w:rFonts w:hint="cs"/>
          <w:rtl/>
        </w:rPr>
        <w:t>כאזור עירונ</w:t>
      </w:r>
      <w:r w:rsidRPr="0064233A">
        <w:rPr>
          <w:rFonts w:hint="eastAsia"/>
          <w:rtl/>
        </w:rPr>
        <w:t>י</w:t>
      </w:r>
      <w:r w:rsidRPr="0064233A">
        <w:rPr>
          <w:rFonts w:hint="cs"/>
          <w:rtl/>
        </w:rPr>
        <w:t xml:space="preserve"> הכולל כמה ערים ויישובים שהם ישות עירונית אחת מבחינה תפקודית</w:t>
      </w:r>
      <w:r w:rsidRPr="0064233A">
        <w:rPr>
          <w:rtl/>
        </w:rPr>
        <w:t>.</w:t>
      </w:r>
      <w:r w:rsidRPr="0064233A">
        <w:rPr>
          <w:rFonts w:hint="cs"/>
          <w:rtl/>
        </w:rPr>
        <w:t xml:space="preserve"> </w:t>
      </w:r>
      <w:r w:rsidRPr="0064233A">
        <w:rPr>
          <w:rtl/>
        </w:rPr>
        <w:t>המטרופולינים</w:t>
      </w:r>
      <w:r w:rsidRPr="0064233A">
        <w:rPr>
          <w:rtl/>
        </w:rPr>
        <w:t xml:space="preserve"> מחולק</w:t>
      </w:r>
      <w:r w:rsidRPr="0064233A">
        <w:rPr>
          <w:rFonts w:hint="cs"/>
          <w:rtl/>
        </w:rPr>
        <w:t>ות</w:t>
      </w:r>
      <w:r w:rsidRPr="0064233A">
        <w:rPr>
          <w:rtl/>
        </w:rPr>
        <w:t xml:space="preserve"> לחלוקות פנימיות </w:t>
      </w:r>
      <w:r w:rsidRPr="0064233A">
        <w:rPr>
          <w:rFonts w:hint="cs"/>
          <w:rtl/>
        </w:rPr>
        <w:t>ה</w:t>
      </w:r>
      <w:r w:rsidRPr="0064233A">
        <w:rPr>
          <w:rtl/>
        </w:rPr>
        <w:t>כולל</w:t>
      </w:r>
      <w:r w:rsidRPr="0064233A">
        <w:rPr>
          <w:rFonts w:hint="cs"/>
          <w:rtl/>
        </w:rPr>
        <w:t>ות</w:t>
      </w:r>
      <w:r w:rsidRPr="0064233A">
        <w:rPr>
          <w:rtl/>
        </w:rPr>
        <w:t xml:space="preserve"> גלעין, טבעת וגזרה הנקבע</w:t>
      </w:r>
      <w:r w:rsidRPr="0064233A">
        <w:rPr>
          <w:rFonts w:hint="cs"/>
          <w:rtl/>
        </w:rPr>
        <w:t>ות</w:t>
      </w:r>
      <w:r w:rsidRPr="0064233A">
        <w:rPr>
          <w:rtl/>
        </w:rPr>
        <w:t xml:space="preserve"> לפי היבטים פיזיים. הגלעין הוא שטח העיר הראשית והמרכזי</w:t>
      </w:r>
      <w:r w:rsidRPr="0064233A">
        <w:rPr>
          <w:rFonts w:hint="cs"/>
          <w:rtl/>
        </w:rPr>
        <w:t>ת</w:t>
      </w:r>
      <w:r w:rsidRPr="0064233A">
        <w:rPr>
          <w:rtl/>
        </w:rPr>
        <w:t xml:space="preserve"> במטרופולין, בעוד הטבעות והגזרות מייצגות רמות שונות של קשר אל הגלעין.</w:t>
      </w:r>
      <w:r w:rsidRPr="0064233A">
        <w:rPr>
          <w:rFonts w:hint="cs"/>
          <w:rtl/>
        </w:rPr>
        <w:t xml:space="preserve"> יישובי </w:t>
      </w:r>
      <w:r w:rsidRPr="0064233A">
        <w:rPr>
          <w:rtl/>
        </w:rPr>
        <w:t>המטרופולין מקיימים קשרי גומלין כלכליים, חברתיים ותרבותיים, שמתבטאים ביוממות ובנסיעות למטרות שונות</w:t>
      </w:r>
      <w:r w:rsidRPr="0064233A">
        <w:rPr>
          <w:rFonts w:hint="cs"/>
          <w:rtl/>
        </w:rPr>
        <w:t>.</w:t>
      </w:r>
      <w:r w:rsidRPr="0064233A">
        <w:rPr>
          <w:rFonts w:hint="cs"/>
        </w:rPr>
        <w:t xml:space="preserve"> </w:t>
      </w:r>
    </w:p>
  </w:footnote>
  <w:footnote w:id="140">
    <w:p w:rsidR="002201F1"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Fonts w:hint="cs"/>
          <w:rtl/>
        </w:rPr>
        <w:t>הליכי</w:t>
      </w:r>
      <w:r w:rsidRPr="0064233A">
        <w:rPr>
          <w:rtl/>
        </w:rPr>
        <w:t xml:space="preserve"> </w:t>
      </w:r>
      <w:r w:rsidRPr="0064233A">
        <w:rPr>
          <w:rFonts w:hint="cs"/>
          <w:rtl/>
        </w:rPr>
        <w:t>התכנון</w:t>
      </w:r>
      <w:r w:rsidRPr="0064233A">
        <w:rPr>
          <w:rtl/>
        </w:rPr>
        <w:t xml:space="preserve"> </w:t>
      </w:r>
      <w:r w:rsidRPr="0064233A">
        <w:rPr>
          <w:rFonts w:hint="cs"/>
          <w:rtl/>
        </w:rPr>
        <w:t>הפיזיים</w:t>
      </w:r>
      <w:r w:rsidRPr="0064233A">
        <w:rPr>
          <w:rtl/>
        </w:rPr>
        <w:t xml:space="preserve"> </w:t>
      </w:r>
      <w:r w:rsidRPr="0064233A">
        <w:rPr>
          <w:rFonts w:hint="cs"/>
          <w:rtl/>
        </w:rPr>
        <w:t>מסדירים</w:t>
      </w:r>
      <w:r w:rsidRPr="0064233A">
        <w:rPr>
          <w:rtl/>
        </w:rPr>
        <w:t xml:space="preserve"> </w:t>
      </w:r>
      <w:r w:rsidRPr="0064233A">
        <w:rPr>
          <w:rFonts w:hint="cs"/>
          <w:rtl/>
        </w:rPr>
        <w:t>את</w:t>
      </w:r>
      <w:r w:rsidRPr="0064233A">
        <w:rPr>
          <w:rtl/>
        </w:rPr>
        <w:t xml:space="preserve"> </w:t>
      </w:r>
      <w:r w:rsidRPr="0064233A">
        <w:rPr>
          <w:rFonts w:hint="cs"/>
          <w:rtl/>
        </w:rPr>
        <w:t>השימוש</w:t>
      </w:r>
      <w:r w:rsidRPr="0064233A">
        <w:rPr>
          <w:rtl/>
        </w:rPr>
        <w:t xml:space="preserve"> </w:t>
      </w:r>
      <w:r w:rsidRPr="0064233A">
        <w:rPr>
          <w:rFonts w:hint="cs"/>
          <w:rtl/>
        </w:rPr>
        <w:t>בקרקע</w:t>
      </w:r>
      <w:r w:rsidRPr="0064233A">
        <w:rPr>
          <w:rtl/>
        </w:rPr>
        <w:t xml:space="preserve"> </w:t>
      </w:r>
      <w:r w:rsidRPr="0064233A">
        <w:rPr>
          <w:rFonts w:hint="cs"/>
          <w:rtl/>
        </w:rPr>
        <w:t>ואת</w:t>
      </w:r>
      <w:r w:rsidRPr="0064233A">
        <w:rPr>
          <w:rtl/>
        </w:rPr>
        <w:t xml:space="preserve"> </w:t>
      </w:r>
      <w:r w:rsidRPr="0064233A">
        <w:rPr>
          <w:rFonts w:hint="cs"/>
          <w:rtl/>
        </w:rPr>
        <w:t>אופן</w:t>
      </w:r>
      <w:r w:rsidRPr="0064233A">
        <w:rPr>
          <w:rtl/>
        </w:rPr>
        <w:t xml:space="preserve"> </w:t>
      </w:r>
      <w:r w:rsidRPr="0064233A">
        <w:rPr>
          <w:rFonts w:hint="cs"/>
          <w:rtl/>
        </w:rPr>
        <w:t>פיתוחה</w:t>
      </w:r>
      <w:r w:rsidRPr="0064233A">
        <w:rPr>
          <w:rtl/>
        </w:rPr>
        <w:t xml:space="preserve"> </w:t>
      </w:r>
      <w:r w:rsidRPr="0064233A">
        <w:rPr>
          <w:rFonts w:hint="cs"/>
          <w:rtl/>
        </w:rPr>
        <w:t>במטרה</w:t>
      </w:r>
      <w:r w:rsidRPr="0064233A">
        <w:rPr>
          <w:rtl/>
        </w:rPr>
        <w:t xml:space="preserve"> </w:t>
      </w:r>
      <w:r w:rsidRPr="0064233A">
        <w:rPr>
          <w:rFonts w:hint="cs"/>
          <w:rtl/>
        </w:rPr>
        <w:t>לקדם</w:t>
      </w:r>
      <w:r w:rsidRPr="0064233A">
        <w:rPr>
          <w:rtl/>
        </w:rPr>
        <w:t xml:space="preserve"> </w:t>
      </w:r>
      <w:r w:rsidRPr="0064233A">
        <w:rPr>
          <w:rFonts w:hint="cs"/>
          <w:rtl/>
        </w:rPr>
        <w:t>אינטרסים ציבוריים</w:t>
      </w:r>
      <w:r w:rsidRPr="0064233A">
        <w:rPr>
          <w:rtl/>
        </w:rPr>
        <w:t xml:space="preserve"> </w:t>
      </w:r>
      <w:r w:rsidRPr="0064233A">
        <w:rPr>
          <w:rFonts w:hint="cs"/>
          <w:rtl/>
        </w:rPr>
        <w:t>מעוגנים</w:t>
      </w:r>
      <w:r w:rsidRPr="0064233A">
        <w:rPr>
          <w:rtl/>
        </w:rPr>
        <w:t xml:space="preserve"> </w:t>
      </w:r>
      <w:r w:rsidRPr="0064233A">
        <w:rPr>
          <w:rFonts w:hint="cs"/>
          <w:rtl/>
        </w:rPr>
        <w:t>בחוק</w:t>
      </w:r>
      <w:r w:rsidRPr="0064233A">
        <w:rPr>
          <w:rtl/>
        </w:rPr>
        <w:t xml:space="preserve"> </w:t>
      </w:r>
      <w:r w:rsidRPr="0064233A">
        <w:rPr>
          <w:rFonts w:hint="cs"/>
          <w:rtl/>
        </w:rPr>
        <w:t>התכנון</w:t>
      </w:r>
      <w:r w:rsidRPr="0064233A">
        <w:rPr>
          <w:rtl/>
        </w:rPr>
        <w:t xml:space="preserve"> </w:t>
      </w:r>
      <w:r w:rsidRPr="0064233A">
        <w:rPr>
          <w:rFonts w:hint="cs"/>
          <w:rtl/>
        </w:rPr>
        <w:t>והבניה,</w:t>
      </w:r>
      <w:r w:rsidRPr="0064233A">
        <w:rPr>
          <w:rtl/>
        </w:rPr>
        <w:t xml:space="preserve"> </w:t>
      </w:r>
      <w:r w:rsidRPr="0064233A">
        <w:rPr>
          <w:rFonts w:hint="cs"/>
          <w:rtl/>
        </w:rPr>
        <w:t>התשכ</w:t>
      </w:r>
      <w:r w:rsidRPr="0064233A">
        <w:rPr>
          <w:rtl/>
        </w:rPr>
        <w:t>"</w:t>
      </w:r>
      <w:r w:rsidRPr="0064233A">
        <w:rPr>
          <w:rFonts w:hint="cs"/>
          <w:rtl/>
        </w:rPr>
        <w:t>ה</w:t>
      </w:r>
      <w:r w:rsidRPr="0064233A">
        <w:rPr>
          <w:rtl/>
        </w:rPr>
        <w:t>-1965</w:t>
      </w:r>
      <w:r w:rsidRPr="0064233A">
        <w:rPr>
          <w:rFonts w:hint="cs"/>
          <w:rtl/>
        </w:rPr>
        <w:t>,</w:t>
      </w:r>
      <w:r w:rsidRPr="0064233A">
        <w:rPr>
          <w:rtl/>
        </w:rPr>
        <w:t xml:space="preserve"> </w:t>
      </w:r>
      <w:r w:rsidRPr="0064233A">
        <w:rPr>
          <w:rFonts w:hint="cs"/>
          <w:rtl/>
        </w:rPr>
        <w:t>ובתקנות</w:t>
      </w:r>
      <w:r w:rsidRPr="0064233A">
        <w:rPr>
          <w:rtl/>
        </w:rPr>
        <w:t xml:space="preserve"> </w:t>
      </w:r>
      <w:r w:rsidRPr="0064233A">
        <w:rPr>
          <w:rFonts w:hint="cs"/>
          <w:rtl/>
        </w:rPr>
        <w:t>מכוחו. המערכת</w:t>
      </w:r>
      <w:r w:rsidRPr="0064233A">
        <w:rPr>
          <w:rtl/>
        </w:rPr>
        <w:t xml:space="preserve"> </w:t>
      </w:r>
      <w:r w:rsidRPr="0064233A">
        <w:rPr>
          <w:rFonts w:hint="cs"/>
          <w:rtl/>
        </w:rPr>
        <w:t>התכנונית</w:t>
      </w:r>
      <w:r w:rsidRPr="0064233A">
        <w:rPr>
          <w:rtl/>
        </w:rPr>
        <w:t xml:space="preserve"> </w:t>
      </w:r>
      <w:r w:rsidRPr="0064233A">
        <w:rPr>
          <w:rFonts w:hint="cs"/>
          <w:rtl/>
        </w:rPr>
        <w:t>בישראל</w:t>
      </w:r>
      <w:r w:rsidRPr="0064233A">
        <w:rPr>
          <w:rtl/>
        </w:rPr>
        <w:t xml:space="preserve">, </w:t>
      </w:r>
      <w:r w:rsidRPr="0064233A">
        <w:rPr>
          <w:rFonts w:hint="cs"/>
          <w:rtl/>
        </w:rPr>
        <w:t>המוסדרת</w:t>
      </w:r>
      <w:r w:rsidRPr="0064233A">
        <w:rPr>
          <w:rtl/>
        </w:rPr>
        <w:t xml:space="preserve"> </w:t>
      </w:r>
      <w:r w:rsidRPr="0064233A">
        <w:rPr>
          <w:rFonts w:hint="cs"/>
          <w:rtl/>
        </w:rPr>
        <w:t>בחוק</w:t>
      </w:r>
      <w:r w:rsidRPr="0064233A">
        <w:rPr>
          <w:rtl/>
        </w:rPr>
        <w:t xml:space="preserve">, </w:t>
      </w:r>
      <w:r w:rsidRPr="0064233A">
        <w:rPr>
          <w:rFonts w:hint="cs"/>
          <w:rtl/>
        </w:rPr>
        <w:t>מתייחסת</w:t>
      </w:r>
      <w:r w:rsidRPr="0064233A">
        <w:rPr>
          <w:rtl/>
        </w:rPr>
        <w:t xml:space="preserve"> </w:t>
      </w:r>
      <w:r w:rsidRPr="0064233A">
        <w:rPr>
          <w:rFonts w:hint="cs"/>
          <w:rtl/>
        </w:rPr>
        <w:t>בין</w:t>
      </w:r>
      <w:r w:rsidRPr="0064233A">
        <w:rPr>
          <w:rtl/>
        </w:rPr>
        <w:t xml:space="preserve"> </w:t>
      </w:r>
      <w:r w:rsidRPr="0064233A">
        <w:rPr>
          <w:rFonts w:hint="cs"/>
          <w:rtl/>
        </w:rPr>
        <w:t>היתר</w:t>
      </w:r>
      <w:r w:rsidRPr="0064233A">
        <w:rPr>
          <w:rtl/>
        </w:rPr>
        <w:t xml:space="preserve"> </w:t>
      </w:r>
      <w:r w:rsidRPr="0064233A">
        <w:rPr>
          <w:rFonts w:hint="cs"/>
          <w:rtl/>
        </w:rPr>
        <w:t>למוסדות</w:t>
      </w:r>
      <w:r w:rsidRPr="0064233A">
        <w:rPr>
          <w:rtl/>
        </w:rPr>
        <w:t xml:space="preserve"> </w:t>
      </w:r>
      <w:r w:rsidRPr="0064233A">
        <w:rPr>
          <w:rFonts w:hint="cs"/>
          <w:rtl/>
        </w:rPr>
        <w:t>התכנון</w:t>
      </w:r>
      <w:r w:rsidRPr="0064233A">
        <w:rPr>
          <w:rtl/>
        </w:rPr>
        <w:t xml:space="preserve">, </w:t>
      </w:r>
      <w:r w:rsidRPr="0064233A">
        <w:rPr>
          <w:rFonts w:hint="cs"/>
          <w:rtl/>
        </w:rPr>
        <w:t>לתוכניות ולהיבטים</w:t>
      </w:r>
      <w:r w:rsidRPr="0064233A">
        <w:rPr>
          <w:rtl/>
        </w:rPr>
        <w:t xml:space="preserve"> </w:t>
      </w:r>
      <w:r w:rsidRPr="0064233A">
        <w:rPr>
          <w:rFonts w:hint="cs"/>
          <w:rtl/>
        </w:rPr>
        <w:t>נוספים.</w:t>
      </w:r>
    </w:p>
  </w:footnote>
  <w:footnote w:id="141">
    <w:p w:rsidR="002201F1" w:rsidRPr="0064233A" w:rsidP="005B126E">
      <w:pPr>
        <w:pStyle w:val="FootnoteText"/>
      </w:pPr>
      <w:r w:rsidRPr="0064233A">
        <w:rPr>
          <w:rStyle w:val="FootnoteReference1"/>
        </w:rPr>
        <w:footnoteRef/>
      </w:r>
      <w:r w:rsidRPr="0064233A">
        <w:rPr>
          <w:rtl/>
        </w:rPr>
        <w:t xml:space="preserve"> </w:t>
      </w:r>
      <w:r w:rsidRPr="0064233A">
        <w:rPr>
          <w:rtl/>
        </w:rPr>
        <w:tab/>
      </w:r>
      <w:r w:rsidRPr="0064233A">
        <w:rPr>
          <w:rtl/>
        </w:rPr>
        <w:t>תנועת אור הוקמה בשנת 2002</w:t>
      </w:r>
      <w:r w:rsidRPr="0064233A">
        <w:rPr>
          <w:rFonts w:hint="cs"/>
          <w:rtl/>
        </w:rPr>
        <w:t xml:space="preserve"> במטרה להפוך את </w:t>
      </w:r>
      <w:r w:rsidRPr="0064233A">
        <w:rPr>
          <w:rtl/>
        </w:rPr>
        <w:t>הנגב והגליל למרכזי חיים עצמאיים ומשגשגים ולמנועי צמיחה לאומיים</w:t>
      </w:r>
      <w:r w:rsidRPr="0064233A">
        <w:rPr>
          <w:rFonts w:hint="cs"/>
          <w:rtl/>
        </w:rPr>
        <w:t xml:space="preserve">. </w:t>
      </w:r>
      <w:r w:rsidRPr="00390432">
        <w:rPr>
          <w:rFonts w:hint="eastAsia"/>
          <w:rtl/>
        </w:rPr>
        <w:t>תנועת</w:t>
      </w:r>
      <w:r w:rsidRPr="00390432">
        <w:rPr>
          <w:rtl/>
        </w:rPr>
        <w:t xml:space="preserve"> </w:t>
      </w:r>
      <w:r w:rsidRPr="00390432">
        <w:rPr>
          <w:rFonts w:hint="eastAsia"/>
          <w:rtl/>
        </w:rPr>
        <w:t>אור</w:t>
      </w:r>
      <w:r w:rsidRPr="00390432">
        <w:rPr>
          <w:rtl/>
        </w:rPr>
        <w:t>,</w:t>
      </w:r>
      <w:r>
        <w:rPr>
          <w:rFonts w:hint="cs"/>
          <w:b/>
          <w:bCs/>
          <w:rtl/>
        </w:rPr>
        <w:t xml:space="preserve"> </w:t>
      </w:r>
      <w:r w:rsidRPr="0064233A">
        <w:rPr>
          <w:rFonts w:hint="eastAsia"/>
          <w:b/>
          <w:bCs/>
          <w:rtl/>
        </w:rPr>
        <w:t>תכנון</w:t>
      </w:r>
      <w:r w:rsidRPr="0064233A">
        <w:rPr>
          <w:b/>
          <w:bCs/>
          <w:rtl/>
        </w:rPr>
        <w:t xml:space="preserve"> </w:t>
      </w:r>
      <w:r w:rsidRPr="0064233A">
        <w:rPr>
          <w:rFonts w:hint="eastAsia"/>
          <w:b/>
          <w:bCs/>
          <w:rtl/>
        </w:rPr>
        <w:t>אזורי</w:t>
      </w:r>
      <w:r w:rsidRPr="0064233A">
        <w:rPr>
          <w:b/>
          <w:bCs/>
          <w:rtl/>
        </w:rPr>
        <w:t xml:space="preserve">: </w:t>
      </w:r>
      <w:r w:rsidRPr="0064233A">
        <w:rPr>
          <w:rFonts w:hint="eastAsia"/>
          <w:b/>
          <w:bCs/>
          <w:rtl/>
        </w:rPr>
        <w:t>תפישה</w:t>
      </w:r>
      <w:r w:rsidRPr="0064233A">
        <w:rPr>
          <w:b/>
          <w:bCs/>
          <w:rtl/>
        </w:rPr>
        <w:t xml:space="preserve"> </w:t>
      </w:r>
      <w:r w:rsidRPr="0064233A">
        <w:rPr>
          <w:rFonts w:hint="eastAsia"/>
          <w:b/>
          <w:bCs/>
          <w:rtl/>
        </w:rPr>
        <w:t>מבוססת</w:t>
      </w:r>
      <w:r w:rsidRPr="0064233A">
        <w:rPr>
          <w:b/>
          <w:bCs/>
          <w:rtl/>
        </w:rPr>
        <w:t xml:space="preserve"> </w:t>
      </w:r>
      <w:r w:rsidRPr="0064233A">
        <w:rPr>
          <w:rFonts w:hint="eastAsia"/>
          <w:b/>
          <w:bCs/>
          <w:rtl/>
        </w:rPr>
        <w:t>מרחבים</w:t>
      </w:r>
      <w:r w:rsidRPr="0064233A">
        <w:rPr>
          <w:b/>
          <w:bCs/>
          <w:rtl/>
        </w:rPr>
        <w:t xml:space="preserve"> </w:t>
      </w:r>
      <w:r w:rsidRPr="0064233A">
        <w:rPr>
          <w:rFonts w:hint="eastAsia"/>
          <w:b/>
          <w:bCs/>
          <w:rtl/>
        </w:rPr>
        <w:t>תפקודיים</w:t>
      </w:r>
      <w:r w:rsidRPr="0064233A">
        <w:rPr>
          <w:b/>
          <w:bCs/>
          <w:rtl/>
        </w:rPr>
        <w:t xml:space="preserve"> </w:t>
      </w:r>
      <w:r w:rsidRPr="0064233A">
        <w:rPr>
          <w:rFonts w:hint="eastAsia"/>
          <w:b/>
          <w:bCs/>
          <w:rtl/>
        </w:rPr>
        <w:t>והמלצות</w:t>
      </w:r>
      <w:r w:rsidRPr="0064233A">
        <w:rPr>
          <w:b/>
          <w:bCs/>
          <w:rtl/>
        </w:rPr>
        <w:t xml:space="preserve"> </w:t>
      </w:r>
      <w:r w:rsidRPr="0064233A">
        <w:rPr>
          <w:rFonts w:hint="eastAsia"/>
          <w:b/>
          <w:bCs/>
          <w:rtl/>
        </w:rPr>
        <w:t>מדיניות</w:t>
      </w:r>
      <w:r w:rsidRPr="0064233A">
        <w:rPr>
          <w:rtl/>
        </w:rPr>
        <w:t xml:space="preserve">, </w:t>
      </w:r>
      <w:r w:rsidRPr="0064233A">
        <w:rPr>
          <w:rFonts w:hint="cs"/>
          <w:rtl/>
        </w:rPr>
        <w:t>מעבדת</w:t>
      </w:r>
      <w:r w:rsidRPr="0064233A">
        <w:rPr>
          <w:rtl/>
        </w:rPr>
        <w:t xml:space="preserve"> </w:t>
      </w:r>
      <w:r w:rsidRPr="0064233A">
        <w:rPr>
          <w:rFonts w:hint="cs"/>
          <w:rtl/>
        </w:rPr>
        <w:t>גוטסמן</w:t>
      </w:r>
      <w:r w:rsidRPr="0064233A">
        <w:rPr>
          <w:rtl/>
        </w:rPr>
        <w:t xml:space="preserve"> </w:t>
      </w:r>
      <w:r w:rsidRPr="0064233A">
        <w:rPr>
          <w:rFonts w:hint="cs"/>
          <w:rtl/>
        </w:rPr>
        <w:t>לעתיד</w:t>
      </w:r>
      <w:r w:rsidRPr="0064233A">
        <w:rPr>
          <w:rtl/>
        </w:rPr>
        <w:t xml:space="preserve"> </w:t>
      </w:r>
      <w:r w:rsidRPr="0064233A">
        <w:rPr>
          <w:rFonts w:hint="cs"/>
          <w:rtl/>
        </w:rPr>
        <w:t>ישראל</w:t>
      </w:r>
      <w:r w:rsidRPr="0064233A">
        <w:rPr>
          <w:rtl/>
        </w:rPr>
        <w:t xml:space="preserve">: </w:t>
      </w:r>
      <w:r w:rsidRPr="0064233A">
        <w:rPr>
          <w:rFonts w:hint="cs"/>
          <w:rtl/>
        </w:rPr>
        <w:t>באר</w:t>
      </w:r>
      <w:r w:rsidRPr="0064233A">
        <w:rPr>
          <w:rtl/>
        </w:rPr>
        <w:t xml:space="preserve"> </w:t>
      </w:r>
      <w:r w:rsidRPr="0064233A">
        <w:rPr>
          <w:rFonts w:hint="cs"/>
          <w:rtl/>
        </w:rPr>
        <w:t>שבע, 2024.</w:t>
      </w:r>
    </w:p>
  </w:footnote>
  <w:footnote w:id="142">
    <w:p w:rsidR="002201F1"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Fonts w:hint="eastAsia"/>
          <w:rtl/>
        </w:rPr>
        <w:t>טל</w:t>
      </w:r>
      <w:r w:rsidRPr="0064233A">
        <w:rPr>
          <w:rtl/>
        </w:rPr>
        <w:t xml:space="preserve">, </w:t>
      </w:r>
      <w:r w:rsidRPr="0064233A">
        <w:rPr>
          <w:rFonts w:hint="eastAsia"/>
          <w:rtl/>
        </w:rPr>
        <w:t>ז</w:t>
      </w:r>
      <w:r w:rsidRPr="0064233A">
        <w:rPr>
          <w:rFonts w:hint="cs"/>
          <w:rtl/>
        </w:rPr>
        <w:t xml:space="preserve">', </w:t>
      </w:r>
      <w:r w:rsidRPr="0064233A">
        <w:rPr>
          <w:rtl/>
        </w:rPr>
        <w:t>"</w:t>
      </w:r>
      <w:r w:rsidRPr="0064233A">
        <w:rPr>
          <w:rFonts w:hint="eastAsia"/>
          <w:rtl/>
        </w:rPr>
        <w:t>אזוריות</w:t>
      </w:r>
      <w:r w:rsidRPr="0064233A">
        <w:rPr>
          <w:rtl/>
        </w:rPr>
        <w:t xml:space="preserve"> </w:t>
      </w:r>
      <w:r w:rsidRPr="0064233A">
        <w:rPr>
          <w:rFonts w:hint="eastAsia"/>
          <w:rtl/>
        </w:rPr>
        <w:t>חדשה</w:t>
      </w:r>
      <w:r w:rsidRPr="0064233A">
        <w:rPr>
          <w:rtl/>
        </w:rPr>
        <w:t xml:space="preserve">" </w:t>
      </w:r>
      <w:r w:rsidRPr="0064233A">
        <w:rPr>
          <w:rFonts w:hint="eastAsia"/>
          <w:rtl/>
        </w:rPr>
        <w:t>באשכול</w:t>
      </w:r>
      <w:r w:rsidRPr="0064233A">
        <w:rPr>
          <w:rtl/>
        </w:rPr>
        <w:t xml:space="preserve"> </w:t>
      </w:r>
      <w:r w:rsidRPr="0064233A">
        <w:rPr>
          <w:rFonts w:hint="eastAsia"/>
          <w:rtl/>
        </w:rPr>
        <w:t>רשויות</w:t>
      </w:r>
      <w:r w:rsidRPr="0064233A">
        <w:rPr>
          <w:rtl/>
        </w:rPr>
        <w:t xml:space="preserve"> </w:t>
      </w:r>
      <w:r w:rsidRPr="0064233A">
        <w:rPr>
          <w:rFonts w:hint="eastAsia"/>
          <w:rtl/>
        </w:rPr>
        <w:t>הנגב</w:t>
      </w:r>
      <w:r w:rsidRPr="0064233A">
        <w:rPr>
          <w:rtl/>
        </w:rPr>
        <w:t xml:space="preserve"> </w:t>
      </w:r>
      <w:r w:rsidRPr="0064233A">
        <w:rPr>
          <w:rFonts w:hint="eastAsia"/>
          <w:rtl/>
        </w:rPr>
        <w:t>המערבי</w:t>
      </w:r>
      <w:r w:rsidRPr="0064233A">
        <w:rPr>
          <w:rtl/>
        </w:rPr>
        <w:t xml:space="preserve">? </w:t>
      </w:r>
      <w:r w:rsidRPr="0064233A">
        <w:rPr>
          <w:rFonts w:hint="eastAsia"/>
          <w:b/>
          <w:bCs/>
          <w:rtl/>
        </w:rPr>
        <w:t>אורבנולוגיה</w:t>
      </w:r>
      <w:r w:rsidRPr="0064233A">
        <w:rPr>
          <w:rtl/>
        </w:rPr>
        <w:t xml:space="preserve">, </w:t>
      </w:r>
      <w:r w:rsidRPr="0064233A">
        <w:rPr>
          <w:rFonts w:hint="eastAsia"/>
          <w:rtl/>
        </w:rPr>
        <w:t>אפריל</w:t>
      </w:r>
      <w:r w:rsidRPr="0064233A">
        <w:rPr>
          <w:rFonts w:hint="cs"/>
          <w:rtl/>
        </w:rPr>
        <w:t xml:space="preserve"> 2</w:t>
      </w:r>
      <w:r w:rsidRPr="0064233A">
        <w:rPr>
          <w:rtl/>
        </w:rPr>
        <w:t>021</w:t>
      </w:r>
      <w:r w:rsidRPr="0064233A">
        <w:rPr>
          <w:rFonts w:hint="cs"/>
          <w:rtl/>
        </w:rPr>
        <w:t>.</w:t>
      </w:r>
    </w:p>
  </w:footnote>
  <w:footnote w:id="143">
    <w:p w:rsidR="002201F1"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Fonts w:hint="cs"/>
          <w:rtl/>
        </w:rPr>
        <w:t xml:space="preserve">לדוגמה תוכנית האשכולות האזוריים של משרד הפנים, 2020 והרפורמה לקידום אזוריות וביזור סמכויות מן השלטון המרכזי לשלטון המקומי פרי עבודה משותפת של משרד הפנים וג'וינט </w:t>
      </w:r>
      <w:r w:rsidRPr="0064233A">
        <w:rPr>
          <w:rFonts w:hint="cs"/>
          <w:rtl/>
        </w:rPr>
        <w:t>אלכא</w:t>
      </w:r>
      <w:r w:rsidRPr="0064233A">
        <w:rPr>
          <w:rFonts w:hint="cs"/>
          <w:rtl/>
        </w:rPr>
        <w:t xml:space="preserve">. </w:t>
      </w:r>
    </w:p>
  </w:footnote>
  <w:footnote w:id="144">
    <w:p w:rsidR="002201F1" w:rsidRPr="0064233A" w:rsidP="005B126E">
      <w:pPr>
        <w:pStyle w:val="FootnoteText"/>
      </w:pPr>
      <w:r w:rsidRPr="0064233A">
        <w:rPr>
          <w:rStyle w:val="FootnoteReference1"/>
        </w:rPr>
        <w:footnoteRef/>
      </w:r>
      <w:r w:rsidRPr="0064233A">
        <w:rPr>
          <w:rtl/>
        </w:rPr>
        <w:t xml:space="preserve"> </w:t>
      </w:r>
      <w:r w:rsidRPr="0064233A">
        <w:rPr>
          <w:rtl/>
        </w:rPr>
        <w:tab/>
      </w:r>
      <w:r w:rsidRPr="0064233A">
        <w:rPr>
          <w:rFonts w:hint="cs"/>
          <w:rtl/>
        </w:rPr>
        <w:t xml:space="preserve">רחל אלתרמן, "חוק התכנון והבנייה ותוכנית המתאר: הנחיות קשירות או מסגרת גמישה?" </w:t>
      </w:r>
      <w:r w:rsidRPr="0064233A">
        <w:rPr>
          <w:rFonts w:hint="cs"/>
          <w:b/>
          <w:bCs/>
          <w:rtl/>
        </w:rPr>
        <w:t>משפטים</w:t>
      </w:r>
      <w:r w:rsidRPr="0064233A">
        <w:rPr>
          <w:rFonts w:hint="cs"/>
          <w:rtl/>
        </w:rPr>
        <w:t xml:space="preserve"> יא (תשמ"א), עמ' 201. </w:t>
      </w:r>
    </w:p>
  </w:footnote>
  <w:footnote w:id="145">
    <w:p w:rsidR="002201F1" w:rsidRPr="0064233A" w:rsidP="005B126E">
      <w:pPr>
        <w:pStyle w:val="FootnoteText"/>
      </w:pPr>
      <w:r w:rsidRPr="0064233A">
        <w:rPr>
          <w:rStyle w:val="FootnoteReference1"/>
        </w:rPr>
        <w:footnoteRef/>
      </w:r>
      <w:r w:rsidRPr="0064233A">
        <w:rPr>
          <w:rtl/>
        </w:rPr>
        <w:t xml:space="preserve"> </w:t>
      </w:r>
      <w:r w:rsidRPr="0064233A">
        <w:rPr>
          <w:rtl/>
        </w:rPr>
        <w:tab/>
      </w:r>
      <w:r w:rsidRPr="0064233A">
        <w:rPr>
          <w:rtl/>
        </w:rPr>
        <w:t>סקירת ידע מס'</w:t>
      </w:r>
      <w:r>
        <w:rPr>
          <w:rFonts w:hint="cs"/>
          <w:rtl/>
        </w:rPr>
        <w:t xml:space="preserve"> </w:t>
      </w:r>
      <w:r w:rsidRPr="0064233A">
        <w:rPr>
          <w:rtl/>
        </w:rPr>
        <w:t>4</w:t>
      </w:r>
      <w:r>
        <w:rPr>
          <w:rFonts w:hint="cs"/>
          <w:rtl/>
        </w:rPr>
        <w:t>:</w:t>
      </w:r>
      <w:r w:rsidRPr="0064233A">
        <w:rPr>
          <w:rtl/>
        </w:rPr>
        <w:t xml:space="preserve"> תכנון אזורי</w:t>
      </w:r>
      <w:r>
        <w:rPr>
          <w:rFonts w:hint="cs"/>
          <w:rtl/>
        </w:rPr>
        <w:t xml:space="preserve">, </w:t>
      </w:r>
      <w:r w:rsidRPr="0064233A">
        <w:rPr>
          <w:rtl/>
        </w:rPr>
        <w:t xml:space="preserve">פורום המומחים לאזוריות. ירושלים: משרד הפנים ומכון </w:t>
      </w:r>
      <w:r w:rsidRPr="0064233A">
        <w:rPr>
          <w:rtl/>
        </w:rPr>
        <w:t>אלכא</w:t>
      </w:r>
      <w:r w:rsidRPr="0064233A">
        <w:rPr>
          <w:rtl/>
        </w:rPr>
        <w:t xml:space="preserve"> למנהיגות וממשל, ג'וינט ישראל</w:t>
      </w:r>
      <w:r>
        <w:rPr>
          <w:rFonts w:hint="cs"/>
          <w:rtl/>
        </w:rPr>
        <w:t xml:space="preserve">, </w:t>
      </w:r>
      <w:r w:rsidRPr="0064233A">
        <w:rPr>
          <w:rtl/>
        </w:rPr>
        <w:t>2018</w:t>
      </w:r>
      <w:r w:rsidRPr="0064233A">
        <w:t>.</w:t>
      </w:r>
      <w:r w:rsidRPr="0064233A">
        <w:rPr>
          <w:rFonts w:hint="cs"/>
          <w:rtl/>
        </w:rPr>
        <w:t xml:space="preserve"> </w:t>
      </w:r>
    </w:p>
  </w:footnote>
  <w:footnote w:id="146">
    <w:p w:rsidR="002201F1" w:rsidRPr="0064233A" w:rsidP="005B126E">
      <w:pPr>
        <w:pStyle w:val="FootnoteText"/>
      </w:pPr>
      <w:r w:rsidRPr="0064233A">
        <w:rPr>
          <w:rStyle w:val="FootnoteReference1"/>
        </w:rPr>
        <w:footnoteRef/>
      </w:r>
      <w:r w:rsidRPr="0064233A">
        <w:rPr>
          <w:rtl/>
        </w:rPr>
        <w:t xml:space="preserve"> </w:t>
      </w:r>
      <w:r w:rsidRPr="0064233A">
        <w:rPr>
          <w:rtl/>
        </w:rPr>
        <w:tab/>
      </w:r>
      <w:r w:rsidRPr="0064233A">
        <w:rPr>
          <w:rFonts w:hint="cs"/>
          <w:rtl/>
        </w:rPr>
        <w:t xml:space="preserve">עדי וולפסון וגליה לימור שגיב, </w:t>
      </w:r>
      <w:r w:rsidRPr="0064233A">
        <w:rPr>
          <w:b/>
          <w:bCs/>
          <w:rtl/>
        </w:rPr>
        <w:t xml:space="preserve">הנגב המערבי </w:t>
      </w:r>
      <w:r w:rsidRPr="0064233A">
        <w:rPr>
          <w:rFonts w:hint="cs"/>
          <w:b/>
          <w:bCs/>
          <w:rtl/>
        </w:rPr>
        <w:t>-</w:t>
      </w:r>
      <w:r w:rsidRPr="0064233A">
        <w:rPr>
          <w:b/>
          <w:bCs/>
          <w:rtl/>
        </w:rPr>
        <w:t xml:space="preserve"> ממשבר לחוסן - פיתוח בר קיימא על פי מודל </w:t>
      </w:r>
      <w:r w:rsidRPr="0064233A">
        <w:rPr>
          <w:b/>
          <w:bCs/>
        </w:rPr>
        <w:t>Build Back Better</w:t>
      </w:r>
      <w:r w:rsidRPr="0064233A">
        <w:rPr>
          <w:rFonts w:hint="cs"/>
          <w:rtl/>
        </w:rPr>
        <w:t>, המכללה האקדמית להנדסה ע"ש סמי שמעון ומוסד שמואל נאמן, 2023.</w:t>
      </w:r>
    </w:p>
  </w:footnote>
  <w:footnote w:id="147">
    <w:p w:rsidR="002201F1"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Fonts w:hint="cs"/>
          <w:rtl/>
        </w:rPr>
        <w:t xml:space="preserve">תוכנית אסטרטגית מרחבית למדינת ישראל, </w:t>
      </w:r>
      <w:r w:rsidRPr="0064233A">
        <w:rPr>
          <w:rFonts w:hint="cs"/>
          <w:rtl/>
        </w:rPr>
        <w:t>מינהל</w:t>
      </w:r>
      <w:r w:rsidRPr="0064233A">
        <w:rPr>
          <w:rFonts w:hint="cs"/>
          <w:rtl/>
        </w:rPr>
        <w:t xml:space="preserve"> התכנון, 2024, עמ' 72.</w:t>
      </w:r>
    </w:p>
  </w:footnote>
  <w:footnote w:id="148">
    <w:p w:rsidR="002201F1"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Fonts w:hint="cs"/>
          <w:rtl/>
        </w:rPr>
        <w:t>שם, עמ' 14.</w:t>
      </w:r>
    </w:p>
  </w:footnote>
  <w:footnote w:id="149">
    <w:p w:rsidR="002201F1"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Fonts w:hint="cs"/>
          <w:rtl/>
        </w:rPr>
        <w:t>שם, עמ' 72.</w:t>
      </w:r>
    </w:p>
  </w:footnote>
  <w:footnote w:id="150">
    <w:p w:rsidR="002201F1"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Fonts w:hint="cs"/>
          <w:rtl/>
        </w:rPr>
        <w:t>שם</w:t>
      </w:r>
      <w:r>
        <w:rPr>
          <w:rFonts w:hint="cs"/>
          <w:rtl/>
        </w:rPr>
        <w:t>, עמ' 86</w:t>
      </w:r>
      <w:r w:rsidRPr="0064233A">
        <w:rPr>
          <w:rFonts w:hint="cs"/>
          <w:rtl/>
        </w:rPr>
        <w:t>.</w:t>
      </w:r>
    </w:p>
  </w:footnote>
  <w:footnote w:id="151">
    <w:p w:rsidR="002201F1"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t xml:space="preserve">Dvora </w:t>
      </w:r>
      <w:r w:rsidRPr="0064233A">
        <w:t>Abramzon</w:t>
      </w:r>
      <w:r w:rsidRPr="0064233A">
        <w:t xml:space="preserve"> </w:t>
      </w:r>
      <w:r w:rsidRPr="0064233A">
        <w:t>Brosh</w:t>
      </w:r>
      <w:r w:rsidRPr="0064233A">
        <w:t xml:space="preserve">, </w:t>
      </w:r>
      <w:r w:rsidRPr="0064233A">
        <w:rPr>
          <w:b/>
          <w:bCs/>
        </w:rPr>
        <w:t xml:space="preserve">From National Priority to Inclusive Regionality: </w:t>
      </w:r>
      <w:r w:rsidRPr="00AB6523">
        <w:rPr>
          <w:b/>
          <w:bCs/>
        </w:rPr>
        <w:t>Rethinking Economic Development in the '</w:t>
      </w:r>
      <w:r w:rsidRPr="00AB6523">
        <w:rPr>
          <w:b/>
          <w:bCs/>
        </w:rPr>
        <w:t>Tkuma</w:t>
      </w:r>
      <w:r w:rsidRPr="00AB6523">
        <w:rPr>
          <w:b/>
          <w:bCs/>
        </w:rPr>
        <w:t>' Region</w:t>
      </w:r>
      <w:r w:rsidRPr="00AB6523">
        <w:t>. Vol 44 No 1 (2025): Towards New Regionalism in Israel, 2025</w:t>
      </w:r>
      <w:r>
        <w:t>.</w:t>
      </w:r>
    </w:p>
  </w:footnote>
  <w:footnote w:id="152">
    <w:p w:rsidR="002201F1" w:rsidRPr="0064233A" w:rsidP="005B126E">
      <w:pPr>
        <w:pStyle w:val="FootnoteText"/>
        <w:rPr>
          <w:rtl/>
        </w:rPr>
      </w:pPr>
      <w:r w:rsidRPr="0064233A">
        <w:rPr>
          <w:rStyle w:val="FootnoteReference1"/>
        </w:rPr>
        <w:footnoteRef/>
      </w:r>
      <w:r w:rsidRPr="0064233A">
        <w:rPr>
          <w:rtl/>
        </w:rPr>
        <w:t xml:space="preserve"> </w:t>
      </w:r>
      <w:r w:rsidRPr="0064233A">
        <w:rPr>
          <w:rtl/>
        </w:rPr>
        <w:tab/>
      </w:r>
      <w:r>
        <w:rPr>
          <w:rFonts w:hint="cs"/>
          <w:rtl/>
        </w:rPr>
        <w:t xml:space="preserve">בנק ישראל, </w:t>
      </w:r>
      <w:r w:rsidRPr="0064233A">
        <w:rPr>
          <w:rFonts w:hint="cs"/>
          <w:rtl/>
        </w:rPr>
        <w:t xml:space="preserve">דין וחשבון לשנת 2023 (מרץ 2024). </w:t>
      </w:r>
    </w:p>
  </w:footnote>
  <w:footnote w:id="153">
    <w:p w:rsidR="002201F1" w:rsidRPr="0064233A" w:rsidP="005B126E">
      <w:pPr>
        <w:pStyle w:val="FootnoteText"/>
      </w:pPr>
      <w:r w:rsidRPr="0064233A">
        <w:rPr>
          <w:rStyle w:val="FootnoteReference1"/>
        </w:rPr>
        <w:footnoteRef/>
      </w:r>
      <w:r w:rsidRPr="0064233A">
        <w:rPr>
          <w:rtl/>
        </w:rPr>
        <w:t xml:space="preserve"> </w:t>
      </w:r>
      <w:r w:rsidRPr="0064233A">
        <w:rPr>
          <w:rtl/>
        </w:rPr>
        <w:tab/>
      </w:r>
      <w:r w:rsidRPr="0064233A">
        <w:rPr>
          <w:rFonts w:hint="cs"/>
          <w:rtl/>
        </w:rPr>
        <w:t xml:space="preserve">משרד ראש הממשלה, </w:t>
      </w:r>
      <w:r w:rsidRPr="0064233A">
        <w:rPr>
          <w:rFonts w:hint="cs"/>
          <w:b/>
          <w:bCs/>
          <w:rtl/>
        </w:rPr>
        <w:t>גיבוש תוכנית אסטרטגית לפיתוח העיר באר שבע כמוקד המטרופולין האזורי.</w:t>
      </w:r>
    </w:p>
  </w:footnote>
  <w:footnote w:id="154">
    <w:p w:rsidR="002201F1" w:rsidRPr="0064233A" w:rsidP="005B126E">
      <w:pPr>
        <w:pStyle w:val="FootnoteText"/>
      </w:pPr>
      <w:r w:rsidRPr="0064233A">
        <w:rPr>
          <w:rStyle w:val="FootnoteReference1"/>
        </w:rPr>
        <w:footnoteRef/>
      </w:r>
      <w:r w:rsidRPr="0064233A">
        <w:rPr>
          <w:rtl/>
        </w:rPr>
        <w:t xml:space="preserve"> </w:t>
      </w:r>
      <w:r w:rsidRPr="0064233A">
        <w:rPr>
          <w:rtl/>
        </w:rPr>
        <w:tab/>
      </w:r>
      <w:r w:rsidRPr="0064233A">
        <w:rPr>
          <w:rFonts w:hint="cs"/>
          <w:rtl/>
        </w:rPr>
        <w:t xml:space="preserve">יצוין בהקשר זה כי גם הגבולות של התוכנית האסטרטגית לפיתוח אזור הנגב המערבי שהחלה רשות מקרקעי ישראל בשיתוף </w:t>
      </w:r>
      <w:r w:rsidRPr="0064233A">
        <w:rPr>
          <w:rFonts w:hint="cs"/>
          <w:rtl/>
        </w:rPr>
        <w:t>מינהל</w:t>
      </w:r>
      <w:r w:rsidRPr="0064233A">
        <w:rPr>
          <w:rFonts w:hint="cs"/>
          <w:rtl/>
        </w:rPr>
        <w:t xml:space="preserve"> התכנון לקדם לאחר אירועי שבעה באוקטובר נעצרים בבאר שבע אף שהיא עוסקת בין השאר בתחום התחבורה שיש קושי לפתחו בלי לכלול את באר שבע בתוכנית. </w:t>
      </w:r>
    </w:p>
  </w:footnote>
  <w:footnote w:id="155">
    <w:p w:rsidR="002201F1" w:rsidRPr="0064233A" w:rsidP="005B126E">
      <w:pPr>
        <w:pStyle w:val="FootnoteText"/>
        <w:rPr>
          <w:rtl/>
        </w:rPr>
      </w:pPr>
      <w:r w:rsidRPr="0064233A">
        <w:rPr>
          <w:rStyle w:val="FootnoteReference1"/>
        </w:rPr>
        <w:footnoteRef/>
      </w:r>
      <w:r w:rsidRPr="0064233A">
        <w:rPr>
          <w:rtl/>
        </w:rPr>
        <w:t xml:space="preserve"> </w:t>
      </w:r>
      <w:r w:rsidRPr="0064233A">
        <w:rPr>
          <w:rtl/>
        </w:rPr>
        <w:tab/>
      </w:r>
      <w:r>
        <w:rPr>
          <w:rFonts w:hint="cs"/>
          <w:rtl/>
        </w:rPr>
        <w:t xml:space="preserve">בנק ישראל, </w:t>
      </w:r>
      <w:r w:rsidRPr="0064233A">
        <w:rPr>
          <w:rFonts w:hint="cs"/>
          <w:rtl/>
        </w:rPr>
        <w:t xml:space="preserve">דין וחשבון לשנת 2023 (מרץ 2024). </w:t>
      </w:r>
    </w:p>
  </w:footnote>
  <w:footnote w:id="156">
    <w:p w:rsidR="002201F1" w:rsidRPr="0064233A" w:rsidP="005B126E">
      <w:pPr>
        <w:pStyle w:val="FootnoteText"/>
        <w:rPr>
          <w:rtl/>
        </w:rPr>
      </w:pPr>
      <w:r w:rsidRPr="0064233A">
        <w:rPr>
          <w:vertAlign w:val="superscript"/>
        </w:rPr>
        <w:footnoteRef/>
      </w:r>
      <w:r w:rsidRPr="0064233A">
        <w:rPr>
          <w:vertAlign w:val="superscript"/>
          <w:rtl/>
        </w:rPr>
        <w:t xml:space="preserve"> </w:t>
      </w:r>
      <w:r w:rsidRPr="0064233A">
        <w:rPr>
          <w:rtl/>
        </w:rPr>
        <w:tab/>
      </w:r>
      <w:r w:rsidRPr="0064233A">
        <w:t xml:space="preserve">Dvora </w:t>
      </w:r>
      <w:r w:rsidRPr="0064233A">
        <w:t>Abramzon</w:t>
      </w:r>
      <w:r w:rsidRPr="0064233A">
        <w:t xml:space="preserve"> </w:t>
      </w:r>
      <w:r w:rsidRPr="0064233A">
        <w:t>Brosh</w:t>
      </w:r>
      <w:r w:rsidRPr="0064233A">
        <w:t xml:space="preserve">, </w:t>
      </w:r>
      <w:r w:rsidRPr="0064233A">
        <w:rPr>
          <w:b/>
          <w:bCs/>
        </w:rPr>
        <w:t>From National Priority to Inclusive Regionality: Rethinking Economic Development in the '</w:t>
      </w:r>
      <w:r w:rsidRPr="0064233A">
        <w:rPr>
          <w:b/>
          <w:bCs/>
        </w:rPr>
        <w:t>Tkuma</w:t>
      </w:r>
      <w:r w:rsidRPr="0064233A">
        <w:rPr>
          <w:b/>
          <w:bCs/>
        </w:rPr>
        <w:t>' Region</w:t>
      </w:r>
      <w:r w:rsidRPr="0064233A">
        <w:t xml:space="preserve">. Vol 44 No 1 (2025): Towards New Regionalism in </w:t>
      </w:r>
      <w:r w:rsidRPr="00AB6523">
        <w:t>Israel, 2025.</w:t>
      </w:r>
    </w:p>
    <w:p w:rsidR="002201F1" w:rsidRPr="0064233A" w:rsidP="005B126E">
      <w:pPr>
        <w:pStyle w:val="FootnoteText"/>
        <w:rPr>
          <w:rtl/>
        </w:rPr>
      </w:pPr>
    </w:p>
  </w:footnote>
  <w:footnote w:id="157">
    <w:p w:rsidR="002201F1" w:rsidRPr="0064233A" w:rsidP="005B126E">
      <w:pPr>
        <w:pStyle w:val="FootnoteText"/>
      </w:pPr>
      <w:r w:rsidRPr="0064233A">
        <w:rPr>
          <w:rStyle w:val="FootnoteReference1"/>
        </w:rPr>
        <w:footnoteRef/>
      </w:r>
      <w:r w:rsidRPr="0064233A">
        <w:rPr>
          <w:rtl/>
        </w:rPr>
        <w:t xml:space="preserve"> </w:t>
      </w:r>
      <w:r w:rsidRPr="0064233A">
        <w:rPr>
          <w:rtl/>
        </w:rPr>
        <w:tab/>
      </w:r>
      <w:r w:rsidRPr="0064233A">
        <w:rPr>
          <w:rtl/>
        </w:rPr>
        <w:t xml:space="preserve">אופירה אילון </w:t>
      </w:r>
      <w:r w:rsidRPr="0064233A">
        <w:rPr>
          <w:rFonts w:hint="cs"/>
          <w:rtl/>
        </w:rPr>
        <w:t>ואח',</w:t>
      </w:r>
      <w:r w:rsidRPr="0064233A">
        <w:rPr>
          <w:rtl/>
        </w:rPr>
        <w:t xml:space="preserve"> </w:t>
      </w:r>
      <w:r w:rsidRPr="0064233A">
        <w:rPr>
          <w:b/>
          <w:bCs/>
          <w:rtl/>
        </w:rPr>
        <w:t>סדרי עדיפות לאומית בתחום איכות הסביבה בישראל תעשיית הטכנולוגיות החקלאיות החדשניות בישראל בצל משבר המזון העולמי והאתגרים הסביבתיים</w:t>
      </w:r>
      <w:r w:rsidRPr="0064233A">
        <w:rPr>
          <w:rFonts w:hint="cs"/>
          <w:rtl/>
        </w:rPr>
        <w:t>, מוסד שמואל נאמן,</w:t>
      </w:r>
      <w:r w:rsidRPr="0064233A">
        <w:rPr>
          <w:rtl/>
        </w:rPr>
        <w:t xml:space="preserve"> יוני 2016</w:t>
      </w:r>
      <w:r w:rsidRPr="0064233A">
        <w:rPr>
          <w:rFonts w:hint="cs"/>
          <w:rtl/>
        </w:rPr>
        <w:t>.</w:t>
      </w:r>
    </w:p>
  </w:footnote>
  <w:footnote w:id="158">
    <w:p w:rsidR="002201F1" w:rsidRPr="0064233A" w:rsidP="005B126E">
      <w:pPr>
        <w:pStyle w:val="FootnoteText"/>
      </w:pPr>
      <w:r w:rsidRPr="0064233A">
        <w:rPr>
          <w:rStyle w:val="FootnoteReference1"/>
        </w:rPr>
        <w:footnoteRef/>
      </w:r>
      <w:r w:rsidRPr="0064233A">
        <w:rPr>
          <w:rtl/>
        </w:rPr>
        <w:t xml:space="preserve"> </w:t>
      </w:r>
      <w:r w:rsidRPr="0064233A">
        <w:rPr>
          <w:rtl/>
        </w:rPr>
        <w:tab/>
      </w:r>
      <w:r w:rsidRPr="0064233A">
        <w:rPr>
          <w:rFonts w:hint="cs"/>
          <w:rtl/>
        </w:rPr>
        <w:t xml:space="preserve">אייל שמעוני וסימה </w:t>
      </w:r>
      <w:r w:rsidRPr="0064233A">
        <w:rPr>
          <w:rFonts w:hint="cs"/>
          <w:rtl/>
        </w:rPr>
        <w:t>ציפרפל</w:t>
      </w:r>
      <w:r w:rsidRPr="0064233A">
        <w:rPr>
          <w:rFonts w:hint="cs"/>
          <w:rtl/>
        </w:rPr>
        <w:t xml:space="preserve">, </w:t>
      </w:r>
      <w:r w:rsidRPr="0064233A">
        <w:rPr>
          <w:b/>
          <w:bCs/>
          <w:rtl/>
        </w:rPr>
        <w:t>צלחת המזון הישראלית ב-2050: דוח ביניים במסגרת פרויקט ביטחון מזון ישראל 2050</w:t>
      </w:r>
      <w:r w:rsidRPr="0064233A">
        <w:rPr>
          <w:rFonts w:hint="cs"/>
          <w:rtl/>
        </w:rPr>
        <w:t>, מוסד שמואל נאמן, ספטמבר 2024.</w:t>
      </w:r>
    </w:p>
  </w:footnote>
  <w:footnote w:id="159">
    <w:p w:rsidR="002201F1"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Fonts w:hint="cs"/>
          <w:rtl/>
        </w:rPr>
        <w:t xml:space="preserve">משרד הבינוי והשיכון, תנועת אור ועיריית אופקים, </w:t>
      </w:r>
      <w:r w:rsidRPr="0064233A">
        <w:rPr>
          <w:rFonts w:hint="cs"/>
          <w:b/>
          <w:bCs/>
          <w:rtl/>
        </w:rPr>
        <w:t>קלאסטר</w:t>
      </w:r>
      <w:r w:rsidRPr="0064233A">
        <w:rPr>
          <w:rFonts w:hint="cs"/>
          <w:b/>
          <w:bCs/>
          <w:rtl/>
        </w:rPr>
        <w:t xml:space="preserve"> תעשיות אגרו-טק באופקים ובנגב המערבי</w:t>
      </w:r>
      <w:r w:rsidRPr="0064233A">
        <w:rPr>
          <w:rFonts w:hint="cs"/>
          <w:rtl/>
        </w:rPr>
        <w:t xml:space="preserve"> - תקציר המתווה האסטרטגי לפיתוח (2023).</w:t>
      </w:r>
    </w:p>
  </w:footnote>
  <w:footnote w:id="160">
    <w:p w:rsidR="002201F1"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Fonts w:hint="cs"/>
          <w:rtl/>
        </w:rPr>
        <w:t>שם.</w:t>
      </w:r>
    </w:p>
  </w:footnote>
  <w:footnote w:id="161">
    <w:p w:rsidR="002201F1" w:rsidRPr="0064233A" w:rsidP="005B126E">
      <w:pPr>
        <w:pStyle w:val="FootnoteText"/>
      </w:pPr>
      <w:r w:rsidRPr="0064233A">
        <w:rPr>
          <w:rStyle w:val="FootnoteReference1"/>
        </w:rPr>
        <w:footnoteRef/>
      </w:r>
      <w:r w:rsidRPr="0064233A">
        <w:rPr>
          <w:rtl/>
        </w:rPr>
        <w:t xml:space="preserve"> </w:t>
      </w:r>
      <w:r w:rsidRPr="0064233A">
        <w:rPr>
          <w:rtl/>
        </w:rPr>
        <w:tab/>
      </w:r>
      <w:r w:rsidRPr="0064233A">
        <w:rPr>
          <w:rFonts w:hint="cs"/>
          <w:rtl/>
        </w:rPr>
        <w:t xml:space="preserve">משרד הכלכלה והתעשייה ורשות החדשנות נתנו מענקים ומשרד החקלאות השתתף במימון השקעות עם חברות ומיזמים בתחום שבחרו לפעול באופקים. בנובמבר 2024 התקיים כנס לחשיפת הזדמנויות </w:t>
      </w:r>
      <w:r w:rsidRPr="0064233A">
        <w:rPr>
          <w:rFonts w:hint="cs"/>
          <w:rtl/>
        </w:rPr>
        <w:t>האגרו</w:t>
      </w:r>
      <w:r w:rsidRPr="0064233A">
        <w:rPr>
          <w:rFonts w:hint="cs"/>
          <w:rtl/>
        </w:rPr>
        <w:t xml:space="preserve">-טק בנגב המערבי בהובלת עיריית אופקים ומשרד הנגב, הגליל והחוסן הלאומי והיו שותפים לו בין השאר גם </w:t>
      </w:r>
      <w:r w:rsidRPr="0064233A">
        <w:rPr>
          <w:rtl/>
        </w:rPr>
        <w:t>רשות החדשנות, משרד הכלכלה והתעשייה, משרד החקלאות וביטחון המזון</w:t>
      </w:r>
      <w:r w:rsidRPr="0064233A">
        <w:rPr>
          <w:rFonts w:hint="cs"/>
          <w:rtl/>
        </w:rPr>
        <w:t>.</w:t>
      </w:r>
      <w:r w:rsidRPr="0064233A">
        <w:t xml:space="preserve"> </w:t>
      </w:r>
      <w:r w:rsidRPr="0064233A">
        <w:rPr>
          <w:rFonts w:hint="cs"/>
          <w:rtl/>
        </w:rPr>
        <w:t xml:space="preserve">משרד הבינוי והשיכון, תנועת אור ועיריית אופקים, </w:t>
      </w:r>
      <w:r w:rsidRPr="0064233A">
        <w:rPr>
          <w:rFonts w:hint="cs"/>
          <w:b/>
          <w:bCs/>
          <w:rtl/>
        </w:rPr>
        <w:t xml:space="preserve">אופקים - השער </w:t>
      </w:r>
      <w:r w:rsidRPr="0064233A">
        <w:rPr>
          <w:rFonts w:hint="cs"/>
          <w:b/>
          <w:bCs/>
          <w:rtl/>
        </w:rPr>
        <w:t>לאגרו</w:t>
      </w:r>
      <w:r w:rsidRPr="0064233A">
        <w:rPr>
          <w:rFonts w:hint="cs"/>
          <w:b/>
          <w:bCs/>
          <w:rtl/>
        </w:rPr>
        <w:t>-טק בישראל</w:t>
      </w:r>
      <w:r w:rsidRPr="0064233A">
        <w:rPr>
          <w:rFonts w:hint="cs"/>
          <w:rtl/>
        </w:rPr>
        <w:t>.</w:t>
      </w:r>
    </w:p>
  </w:footnote>
  <w:footnote w:id="162">
    <w:p w:rsidR="002201F1" w:rsidP="005B126E">
      <w:pPr>
        <w:pStyle w:val="FootnoteText"/>
        <w:ind w:left="283" w:hanging="285"/>
        <w:rPr>
          <w:rtl/>
        </w:rPr>
      </w:pPr>
      <w:r w:rsidRPr="0064233A">
        <w:rPr>
          <w:rStyle w:val="FootnoteReference1"/>
        </w:rPr>
        <w:footnoteRef/>
      </w:r>
      <w:r w:rsidRPr="0064233A">
        <w:rPr>
          <w:rtl/>
        </w:rPr>
        <w:t xml:space="preserve"> </w:t>
      </w:r>
      <w:r w:rsidRPr="0064233A">
        <w:rPr>
          <w:rtl/>
        </w:rPr>
        <w:tab/>
      </w:r>
      <w:r>
        <w:rPr>
          <w:rtl/>
        </w:rPr>
        <w:tab/>
      </w:r>
      <w:r w:rsidRPr="0064233A">
        <w:rPr>
          <w:rFonts w:hint="cs"/>
          <w:rtl/>
        </w:rPr>
        <w:t>ניר בריל ויעל נאור,</w:t>
      </w:r>
      <w:r w:rsidRPr="0064233A">
        <w:rPr>
          <w:rFonts w:hint="cs"/>
          <w:b/>
          <w:bCs/>
          <w:rtl/>
        </w:rPr>
        <w:t xml:space="preserve"> פיתוח כלכלי בראייה </w:t>
      </w:r>
      <w:r w:rsidRPr="0064233A">
        <w:rPr>
          <w:rFonts w:hint="cs"/>
          <w:b/>
          <w:bCs/>
          <w:rtl/>
        </w:rPr>
        <w:t>מטרופולינית</w:t>
      </w:r>
      <w:r>
        <w:rPr>
          <w:rFonts w:hint="cs"/>
          <w:rtl/>
        </w:rPr>
        <w:t xml:space="preserve"> (המועצה הלאומית לכלכלה משרד ראש הממשלה,</w:t>
      </w:r>
    </w:p>
    <w:p w:rsidR="002201F1" w:rsidRPr="0064233A" w:rsidP="005B126E">
      <w:pPr>
        <w:pStyle w:val="FootnoteText"/>
        <w:ind w:left="283" w:firstLine="437"/>
        <w:rPr>
          <w:rtl/>
        </w:rPr>
      </w:pPr>
      <w:r>
        <w:rPr>
          <w:rFonts w:hint="cs"/>
          <w:rtl/>
        </w:rPr>
        <w:t xml:space="preserve"> 2018)</w:t>
      </w:r>
      <w:r w:rsidRPr="0064233A">
        <w:rPr>
          <w:rFonts w:hint="cs"/>
          <w:rtl/>
        </w:rPr>
        <w:t xml:space="preserve">. </w:t>
      </w:r>
    </w:p>
  </w:footnote>
  <w:footnote w:id="163">
    <w:p w:rsidR="002201F1"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t xml:space="preserve">Dvora </w:t>
      </w:r>
      <w:r w:rsidRPr="0064233A">
        <w:t>Abramzon</w:t>
      </w:r>
      <w:r w:rsidRPr="0064233A">
        <w:t xml:space="preserve"> </w:t>
      </w:r>
      <w:r w:rsidRPr="0064233A">
        <w:t>Brosh</w:t>
      </w:r>
      <w:r w:rsidRPr="0064233A">
        <w:t xml:space="preserve">, </w:t>
      </w:r>
      <w:r w:rsidRPr="0064233A">
        <w:rPr>
          <w:b/>
          <w:bCs/>
        </w:rPr>
        <w:t>From National Priority to Inclusive Regionality: Rethinking Economic Development in the '</w:t>
      </w:r>
      <w:r w:rsidRPr="0064233A">
        <w:rPr>
          <w:b/>
          <w:bCs/>
        </w:rPr>
        <w:t>Tkuma</w:t>
      </w:r>
      <w:r w:rsidRPr="0064233A">
        <w:rPr>
          <w:b/>
          <w:bCs/>
        </w:rPr>
        <w:t>' Region</w:t>
      </w:r>
      <w:r w:rsidRPr="0064233A">
        <w:t xml:space="preserve">. Vol 44 No 1 (2025): Towards </w:t>
      </w:r>
      <w:r w:rsidRPr="00AB6523">
        <w:t>New Regionalism in Israel, 2025.</w:t>
      </w:r>
    </w:p>
    <w:p w:rsidR="002201F1" w:rsidRPr="0064233A" w:rsidP="005B126E">
      <w:pPr>
        <w:pStyle w:val="FootnoteText"/>
        <w:rPr>
          <w:rtl/>
        </w:rPr>
      </w:pPr>
      <w:r>
        <w:rPr>
          <w:rFonts w:hint="cs"/>
          <w:rtl/>
        </w:rPr>
        <w:t xml:space="preserve"> </w:t>
      </w:r>
    </w:p>
  </w:footnote>
  <w:footnote w:id="164">
    <w:p w:rsidR="002201F1" w:rsidRPr="0064233A" w:rsidP="005B126E">
      <w:pPr>
        <w:pStyle w:val="FootnoteText"/>
      </w:pPr>
      <w:r w:rsidRPr="0064233A">
        <w:rPr>
          <w:rStyle w:val="FootnoteReference1"/>
        </w:rPr>
        <w:footnoteRef/>
      </w:r>
      <w:r w:rsidRPr="0064233A">
        <w:rPr>
          <w:rtl/>
        </w:rPr>
        <w:t xml:space="preserve"> </w:t>
      </w:r>
      <w:r w:rsidRPr="0064233A">
        <w:tab/>
      </w:r>
      <w:r w:rsidRPr="0064233A">
        <w:rPr>
          <w:rFonts w:hint="cs"/>
          <w:rtl/>
        </w:rPr>
        <w:t>ראו לעניין זה גם</w:t>
      </w:r>
      <w:r w:rsidRPr="00AB6523">
        <w:rPr>
          <w:rFonts w:hint="cs"/>
          <w:rtl/>
        </w:rPr>
        <w:t xml:space="preserve">: </w:t>
      </w:r>
      <w:r w:rsidRPr="00AB6523">
        <w:rPr>
          <w:rFonts w:hint="eastAsia"/>
          <w:rtl/>
        </w:rPr>
        <w:t>שם</w:t>
      </w:r>
      <w:r w:rsidRPr="00AB6523">
        <w:rPr>
          <w:rtl/>
        </w:rPr>
        <w:t>;</w:t>
      </w:r>
      <w:r w:rsidRPr="00AB6523">
        <w:rPr>
          <w:rFonts w:hint="cs"/>
          <w:rtl/>
        </w:rPr>
        <w:t xml:space="preserve"> </w:t>
      </w:r>
      <w:r w:rsidRPr="00AB6523">
        <w:rPr>
          <w:rFonts w:hint="eastAsia"/>
          <w:b/>
          <w:bCs/>
          <w:rtl/>
        </w:rPr>
        <w:t>ת</w:t>
      </w:r>
      <w:r w:rsidRPr="0064233A">
        <w:rPr>
          <w:rFonts w:hint="eastAsia"/>
          <w:b/>
          <w:bCs/>
          <w:rtl/>
        </w:rPr>
        <w:t>פיסת</w:t>
      </w:r>
      <w:r w:rsidRPr="0064233A">
        <w:rPr>
          <w:b/>
          <w:bCs/>
          <w:rtl/>
        </w:rPr>
        <w:t xml:space="preserve"> </w:t>
      </w:r>
      <w:r w:rsidRPr="0064233A">
        <w:rPr>
          <w:rFonts w:hint="eastAsia"/>
          <w:b/>
          <w:bCs/>
          <w:rtl/>
        </w:rPr>
        <w:t>התכנון</w:t>
      </w:r>
      <w:r w:rsidRPr="0064233A">
        <w:rPr>
          <w:b/>
          <w:bCs/>
          <w:rtl/>
        </w:rPr>
        <w:t xml:space="preserve"> </w:t>
      </w:r>
      <w:r w:rsidRPr="0064233A">
        <w:rPr>
          <w:rFonts w:hint="eastAsia"/>
          <w:b/>
          <w:bCs/>
          <w:rtl/>
        </w:rPr>
        <w:t>והפיתוח</w:t>
      </w:r>
      <w:r w:rsidRPr="0064233A">
        <w:rPr>
          <w:b/>
          <w:bCs/>
          <w:rtl/>
        </w:rPr>
        <w:t xml:space="preserve"> </w:t>
      </w:r>
      <w:r w:rsidRPr="0064233A">
        <w:rPr>
          <w:rFonts w:hint="eastAsia"/>
          <w:b/>
          <w:bCs/>
          <w:rtl/>
        </w:rPr>
        <w:t>לאזור</w:t>
      </w:r>
      <w:r w:rsidRPr="0064233A">
        <w:rPr>
          <w:b/>
          <w:bCs/>
          <w:rtl/>
        </w:rPr>
        <w:t xml:space="preserve"> </w:t>
      </w:r>
      <w:r w:rsidRPr="0064233A">
        <w:rPr>
          <w:rFonts w:hint="eastAsia"/>
          <w:b/>
          <w:bCs/>
          <w:rtl/>
        </w:rPr>
        <w:t>הנגב</w:t>
      </w:r>
      <w:r w:rsidRPr="0064233A">
        <w:rPr>
          <w:b/>
          <w:bCs/>
          <w:rtl/>
        </w:rPr>
        <w:t xml:space="preserve"> </w:t>
      </w:r>
      <w:r w:rsidRPr="0064233A">
        <w:rPr>
          <w:rFonts w:hint="eastAsia"/>
          <w:b/>
          <w:bCs/>
          <w:rtl/>
        </w:rPr>
        <w:t>המערבי</w:t>
      </w:r>
      <w:r w:rsidRPr="0064233A">
        <w:rPr>
          <w:b/>
          <w:bCs/>
          <w:rtl/>
        </w:rPr>
        <w:t xml:space="preserve"> </w:t>
      </w:r>
      <w:r w:rsidRPr="0064233A">
        <w:rPr>
          <w:rFonts w:hint="eastAsia"/>
          <w:b/>
          <w:bCs/>
          <w:rtl/>
        </w:rPr>
        <w:t>במטרופולין</w:t>
      </w:r>
      <w:r w:rsidRPr="0064233A">
        <w:rPr>
          <w:b/>
          <w:bCs/>
          <w:rtl/>
        </w:rPr>
        <w:t xml:space="preserve"> </w:t>
      </w:r>
      <w:r w:rsidRPr="0064233A">
        <w:rPr>
          <w:rFonts w:hint="eastAsia"/>
          <w:b/>
          <w:bCs/>
          <w:rtl/>
        </w:rPr>
        <w:t>באר</w:t>
      </w:r>
      <w:r w:rsidRPr="0064233A">
        <w:rPr>
          <w:b/>
          <w:bCs/>
          <w:rtl/>
        </w:rPr>
        <w:t>-</w:t>
      </w:r>
      <w:r w:rsidRPr="0064233A">
        <w:rPr>
          <w:rFonts w:hint="eastAsia"/>
          <w:b/>
          <w:bCs/>
          <w:rtl/>
        </w:rPr>
        <w:t>שבע</w:t>
      </w:r>
      <w:r w:rsidRPr="0064233A">
        <w:rPr>
          <w:b/>
          <w:bCs/>
          <w:rtl/>
        </w:rPr>
        <w:t xml:space="preserve"> </w:t>
      </w:r>
      <w:r w:rsidRPr="0064233A">
        <w:rPr>
          <w:rFonts w:hint="eastAsia"/>
          <w:b/>
          <w:bCs/>
          <w:rtl/>
        </w:rPr>
        <w:t>בעקבות</w:t>
      </w:r>
      <w:r w:rsidRPr="0064233A">
        <w:rPr>
          <w:b/>
          <w:bCs/>
          <w:rtl/>
        </w:rPr>
        <w:t xml:space="preserve"> </w:t>
      </w:r>
      <w:r w:rsidRPr="0064233A">
        <w:rPr>
          <w:rFonts w:hint="eastAsia"/>
          <w:b/>
          <w:bCs/>
          <w:rtl/>
        </w:rPr>
        <w:t>אירועי</w:t>
      </w:r>
      <w:r w:rsidRPr="0064233A">
        <w:rPr>
          <w:b/>
          <w:bCs/>
          <w:rtl/>
        </w:rPr>
        <w:t xml:space="preserve"> </w:t>
      </w:r>
      <w:r w:rsidRPr="0064233A">
        <w:rPr>
          <w:rFonts w:hint="eastAsia"/>
          <w:b/>
          <w:bCs/>
          <w:rtl/>
        </w:rPr>
        <w:t>ה</w:t>
      </w:r>
      <w:r w:rsidRPr="0064233A">
        <w:rPr>
          <w:b/>
          <w:bCs/>
          <w:rtl/>
        </w:rPr>
        <w:t xml:space="preserve">-7 </w:t>
      </w:r>
      <w:r w:rsidRPr="0064233A">
        <w:rPr>
          <w:rFonts w:hint="eastAsia"/>
          <w:b/>
          <w:bCs/>
          <w:rtl/>
        </w:rPr>
        <w:t>באוקטובר</w:t>
      </w:r>
      <w:r w:rsidRPr="0064233A">
        <w:rPr>
          <w:rFonts w:hint="cs"/>
          <w:rtl/>
        </w:rPr>
        <w:t>, תנועת אור, מעבדת</w:t>
      </w:r>
      <w:r w:rsidRPr="0064233A">
        <w:rPr>
          <w:rtl/>
        </w:rPr>
        <w:t xml:space="preserve"> </w:t>
      </w:r>
      <w:r w:rsidRPr="0064233A">
        <w:rPr>
          <w:rFonts w:hint="cs"/>
          <w:rtl/>
        </w:rPr>
        <w:t>גוטסמן</w:t>
      </w:r>
      <w:r w:rsidRPr="0064233A">
        <w:rPr>
          <w:rFonts w:hint="cs"/>
          <w:rtl/>
        </w:rPr>
        <w:t xml:space="preserve"> לעתיד</w:t>
      </w:r>
      <w:r w:rsidRPr="0064233A">
        <w:rPr>
          <w:rtl/>
        </w:rPr>
        <w:t xml:space="preserve"> </w:t>
      </w:r>
      <w:r w:rsidRPr="0064233A">
        <w:rPr>
          <w:rFonts w:hint="cs"/>
          <w:rtl/>
        </w:rPr>
        <w:t>ישראל</w:t>
      </w:r>
      <w:r w:rsidRPr="0064233A">
        <w:rPr>
          <w:rtl/>
        </w:rPr>
        <w:t xml:space="preserve">: </w:t>
      </w:r>
      <w:r w:rsidRPr="0064233A">
        <w:rPr>
          <w:rFonts w:hint="cs"/>
          <w:rtl/>
        </w:rPr>
        <w:t>באר</w:t>
      </w:r>
      <w:r w:rsidRPr="0064233A">
        <w:rPr>
          <w:rtl/>
        </w:rPr>
        <w:t xml:space="preserve"> </w:t>
      </w:r>
      <w:r w:rsidRPr="0064233A">
        <w:rPr>
          <w:rFonts w:hint="cs"/>
          <w:rtl/>
        </w:rPr>
        <w:t>שבע, 2024</w:t>
      </w:r>
      <w:r w:rsidRPr="0064233A">
        <w:t>.</w:t>
      </w:r>
    </w:p>
  </w:footnote>
  <w:footnote w:id="165">
    <w:p w:rsidR="002201F1"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Fonts w:hint="eastAsia"/>
          <w:rtl/>
        </w:rPr>
        <w:t>מבקר</w:t>
      </w:r>
      <w:r w:rsidRPr="0064233A">
        <w:rPr>
          <w:rtl/>
        </w:rPr>
        <w:t xml:space="preserve"> </w:t>
      </w:r>
      <w:r w:rsidRPr="0064233A">
        <w:rPr>
          <w:rFonts w:hint="eastAsia"/>
          <w:rtl/>
        </w:rPr>
        <w:t>המדינה</w:t>
      </w:r>
      <w:r w:rsidRPr="0064233A">
        <w:rPr>
          <w:rFonts w:hint="cs"/>
          <w:rtl/>
        </w:rPr>
        <w:t xml:space="preserve">, </w:t>
      </w:r>
      <w:r w:rsidRPr="0064233A">
        <w:rPr>
          <w:b/>
          <w:bCs/>
          <w:rtl/>
        </w:rPr>
        <w:t>דוח ביניים מיוחד: הליכי השיקום של יישובי הנגב המערבי, קהילותיהם ותושביהם שנפגעו באירועי שבעה באוקטובר</w:t>
      </w:r>
      <w:r w:rsidRPr="0064233A">
        <w:rPr>
          <w:rtl/>
        </w:rPr>
        <w:t xml:space="preserve">, </w:t>
      </w:r>
      <w:r w:rsidRPr="0064233A">
        <w:rPr>
          <w:rFonts w:hint="cs"/>
          <w:rtl/>
        </w:rPr>
        <w:t>פברואר</w:t>
      </w:r>
      <w:r w:rsidRPr="0064233A">
        <w:rPr>
          <w:rtl/>
        </w:rPr>
        <w:t xml:space="preserve"> 2025.</w:t>
      </w:r>
    </w:p>
  </w:footnote>
  <w:footnote w:id="166">
    <w:p w:rsidR="002201F1"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Fonts w:hint="cs"/>
          <w:rtl/>
        </w:rPr>
        <w:t>כפר עזה ברוחמה ובקיבוץ שפיים, חולית ברביבים, בארי בחצרים, כרם שלום באשלים, נחל עוז במשמר העמק וכיסופים בעומר.</w:t>
      </w:r>
    </w:p>
  </w:footnote>
  <w:footnote w:id="167">
    <w:p w:rsidR="002201F1"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Fonts w:hint="cs"/>
          <w:rtl/>
        </w:rPr>
        <w:t>דוח ביצוע תקומה, 1.10.</w:t>
      </w:r>
    </w:p>
  </w:footnote>
  <w:footnote w:id="168">
    <w:p w:rsidR="002201F1" w:rsidRPr="0064233A" w:rsidP="005B126E">
      <w:pPr>
        <w:pStyle w:val="FootnoteText"/>
      </w:pPr>
      <w:r w:rsidRPr="0064233A">
        <w:rPr>
          <w:rStyle w:val="FootnoteReference1"/>
        </w:rPr>
        <w:footnoteRef/>
      </w:r>
      <w:r w:rsidRPr="0064233A">
        <w:rPr>
          <w:rtl/>
        </w:rPr>
        <w:t xml:space="preserve"> </w:t>
      </w:r>
      <w:r w:rsidRPr="0064233A">
        <w:rPr>
          <w:rtl/>
        </w:rPr>
        <w:tab/>
      </w:r>
      <w:r w:rsidRPr="0064233A">
        <w:rPr>
          <w:rFonts w:hint="cs"/>
          <w:rtl/>
        </w:rPr>
        <w:t xml:space="preserve">שלושה מתוך ששת היישובים שקיבלו פתרון דיור כפרי. </w:t>
      </w:r>
    </w:p>
  </w:footnote>
  <w:footnote w:id="169">
    <w:p w:rsidR="002201F1" w:rsidRPr="0064233A" w:rsidP="005B126E">
      <w:pPr>
        <w:pStyle w:val="FootnoteText"/>
        <w:rPr>
          <w:rtl/>
        </w:rPr>
      </w:pPr>
      <w:r w:rsidRPr="0064233A">
        <w:rPr>
          <w:rStyle w:val="FootnoteReference1"/>
        </w:rPr>
        <w:footnoteRef/>
      </w:r>
      <w:r w:rsidRPr="0064233A">
        <w:rPr>
          <w:rtl/>
        </w:rPr>
        <w:t xml:space="preserve"> </w:t>
      </w:r>
      <w:r w:rsidRPr="0064233A">
        <w:rPr>
          <w:rtl/>
        </w:rPr>
        <w:tab/>
      </w:r>
      <w:r w:rsidRPr="0064233A">
        <w:rPr>
          <w:rtl/>
        </w:rPr>
        <w:t>תקופה שנקבעה במסמכי החוזה או בחוק המכר דירות,</w:t>
      </w:r>
      <w:r w:rsidRPr="0064233A">
        <w:rPr>
          <w:rFonts w:hint="cs"/>
          <w:rtl/>
        </w:rPr>
        <w:t xml:space="preserve"> </w:t>
      </w:r>
      <w:r w:rsidRPr="0064233A">
        <w:rPr>
          <w:rtl/>
        </w:rPr>
        <w:t>התשל"ג-1973 - ובאין הגדרה אחרת תקופה של 12 חודשים. מניינה של תקופת הבדק יתחיל מיום</w:t>
      </w:r>
      <w:r w:rsidRPr="0064233A">
        <w:rPr>
          <w:rFonts w:hint="cs"/>
          <w:rtl/>
        </w:rPr>
        <w:t xml:space="preserve"> </w:t>
      </w:r>
      <w:r w:rsidRPr="0064233A">
        <w:rPr>
          <w:rtl/>
        </w:rPr>
        <w:t>השלמת העבודה כמצוין בתעודת ההשלמה לעבודות</w:t>
      </w:r>
      <w:r w:rsidRPr="0064233A">
        <w:rPr>
          <w:rFonts w:hint="cs"/>
          <w:rtl/>
        </w:rPr>
        <w:t>.</w:t>
      </w:r>
    </w:p>
  </w:footnote>
  <w:footnote w:id="170">
    <w:p w:rsidR="002201F1" w:rsidRPr="0064233A" w:rsidP="005B126E">
      <w:pPr>
        <w:pStyle w:val="FootnoteText"/>
      </w:pPr>
      <w:r w:rsidRPr="0064233A">
        <w:rPr>
          <w:rStyle w:val="FootnoteReference1"/>
        </w:rPr>
        <w:footnoteRef/>
      </w:r>
      <w:r w:rsidRPr="0064233A">
        <w:rPr>
          <w:rtl/>
        </w:rPr>
        <w:t xml:space="preserve"> </w:t>
      </w:r>
      <w:r w:rsidRPr="0064233A">
        <w:rPr>
          <w:rtl/>
        </w:rPr>
        <w:tab/>
      </w:r>
      <w:r w:rsidRPr="0064233A">
        <w:rPr>
          <w:rtl/>
        </w:rPr>
        <w:t>הקואליציה הישראלית לטראומה משמשת ספק של משרד הבריאות אחרי שזכתה במכרז להפעלת מרכזי החוסן</w:t>
      </w:r>
      <w:r w:rsidRPr="0064233A">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201F1" w:rsidRPr="005C3049" w:rsidP="005C3049">
    <w:pPr>
      <w:pStyle w:val="Header"/>
      <w:tabs>
        <w:tab w:val="clear" w:pos="8306"/>
      </w:tabs>
      <w:ind w:right="-142"/>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g">
          <w:drawing>
            <wp:anchor distT="0" distB="0" distL="114300" distR="114300" simplePos="0" relativeHeight="251662336" behindDoc="0" locked="0" layoutInCell="1" allowOverlap="1">
              <wp:simplePos x="0" y="0"/>
              <wp:positionH relativeFrom="column">
                <wp:posOffset>-193040</wp:posOffset>
              </wp:positionH>
              <wp:positionV relativeFrom="paragraph">
                <wp:posOffset>-94615</wp:posOffset>
              </wp:positionV>
              <wp:extent cx="6150310" cy="604586"/>
              <wp:effectExtent l="0" t="0" r="3175" b="5080"/>
              <wp:wrapNone/>
              <wp:docPr id="453847227" name="קבוצה 453847227"/>
              <wp:cNvGraphicFramePr/>
              <a:graphic xmlns:a="http://schemas.openxmlformats.org/drawingml/2006/main">
                <a:graphicData uri="http://schemas.microsoft.com/office/word/2010/wordprocessingGroup">
                  <wpg:wgp xmlns:wpg="http://schemas.microsoft.com/office/word/2010/wordprocessingGroup">
                    <wpg:cNvGrpSpPr/>
                    <wpg:grpSpPr>
                      <a:xfrm>
                        <a:off x="0" y="0"/>
                        <a:ext cx="6150310" cy="604586"/>
                        <a:chOff x="31750" y="0"/>
                        <a:chExt cx="6150310" cy="604586"/>
                      </a:xfrm>
                    </wpg:grpSpPr>
                    <wps:wsp xmlns:wps="http://schemas.microsoft.com/office/word/2010/wordprocessingShape">
                      <wps:cNvPr id="1834351669" name="מחבר ישר 1834351669"/>
                      <wps:cNvCnPr/>
                      <wps:spPr>
                        <a:xfrm>
                          <a:off x="100483" y="304800"/>
                          <a:ext cx="6019800" cy="0"/>
                        </a:xfrm>
                        <a:prstGeom prst="line">
                          <a:avLst/>
                        </a:prstGeom>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1611176935" name="תיבת טקסט 2"/>
                      <wps:cNvSpPr txBox="1">
                        <a:spLocks noChangeArrowheads="1"/>
                      </wps:cNvSpPr>
                      <wps:spPr bwMode="auto">
                        <a:xfrm flipH="1">
                          <a:off x="3017855" y="0"/>
                          <a:ext cx="3164205" cy="285750"/>
                        </a:xfrm>
                        <a:prstGeom prst="rect">
                          <a:avLst/>
                        </a:prstGeom>
                        <a:noFill/>
                        <a:ln w="9525">
                          <a:noFill/>
                          <a:miter lim="800000"/>
                          <a:headEnd/>
                          <a:tailEnd/>
                        </a:ln>
                      </wps:spPr>
                      <wps:txbx>
                        <w:txbxContent>
                          <w:p w:rsidR="002201F1" w:rsidRPr="0062451B" w:rsidP="005C3049">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wps:txbx>
                      <wps:bodyPr rot="0" vert="horz" wrap="square" lIns="91440" tIns="45720" rIns="91440" bIns="45720" anchor="t" anchorCtr="0"/>
                    </wps:wsp>
                    <wps:wsp xmlns:wps="http://schemas.microsoft.com/office/word/2010/wordprocessingShape">
                      <wps:cNvPr id="1940763087" name="תיבת טקסט 2"/>
                      <wps:cNvSpPr txBox="1">
                        <a:spLocks noChangeArrowheads="1"/>
                      </wps:cNvSpPr>
                      <wps:spPr bwMode="auto">
                        <a:xfrm flipH="1">
                          <a:off x="31750" y="318836"/>
                          <a:ext cx="3164205" cy="285750"/>
                        </a:xfrm>
                        <a:prstGeom prst="rect">
                          <a:avLst/>
                        </a:prstGeom>
                        <a:noFill/>
                        <a:ln w="9525">
                          <a:noFill/>
                          <a:miter lim="800000"/>
                          <a:headEnd/>
                          <a:tailEnd/>
                        </a:ln>
                      </wps:spPr>
                      <wps:txbx>
                        <w:txbxContent>
                          <w:p w:rsidR="002201F1" w:rsidRPr="0062451B" w:rsidP="005C3049">
                            <w:pPr>
                              <w:spacing w:line="240" w:lineRule="auto"/>
                              <w:jc w:val="right"/>
                              <w:rPr>
                                <w:rFonts w:ascii="Calibri" w:hAnsi="Calibri" w:cs="Calibri"/>
                                <w:color w:val="002060"/>
                                <w:szCs w:val="20"/>
                                <w:rtl/>
                              </w:rPr>
                            </w:pPr>
                            <w:r>
                              <w:rPr>
                                <w:rFonts w:ascii="Calibri" w:hAnsi="Calibri" w:cs="Calibri" w:hint="cs"/>
                                <w:color w:val="002060"/>
                                <w:szCs w:val="20"/>
                                <w:rtl/>
                              </w:rPr>
                              <w:t xml:space="preserve">אלול </w:t>
                            </w:r>
                            <w:r>
                              <w:rPr>
                                <w:rFonts w:ascii="Calibri" w:hAnsi="Calibri" w:cs="Calibri" w:hint="cs"/>
                                <w:color w:val="002060"/>
                                <w:szCs w:val="20"/>
                                <w:rtl/>
                              </w:rPr>
                              <w:t>התשפ"ה</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ספטמבר  2025</w:t>
                            </w:r>
                            <w:r w:rsidRPr="0062451B">
                              <w:rPr>
                                <w:rFonts w:ascii="Calibri" w:hAnsi="Calibri" w:cs="Calibri" w:hint="cs"/>
                                <w:color w:val="002060"/>
                                <w:szCs w:val="20"/>
                                <w:rtl/>
                              </w:rPr>
                              <w:t xml:space="preserve"> </w:t>
                            </w:r>
                          </w:p>
                        </w:txbxContent>
                      </wps:txbx>
                      <wps:bodyPr rot="0" vert="horz" wrap="square" lIns="91440" tIns="45720" rIns="91440" bIns="45720" anchor="t" anchorCtr="0"/>
                    </wps:wsp>
                    <wps:wsp xmlns:wps="http://schemas.microsoft.com/office/word/2010/wordprocessingShape">
                      <wps:cNvPr id="1052732476" name="תיבת טקסט 2"/>
                      <wps:cNvSpPr txBox="1">
                        <a:spLocks noChangeArrowheads="1"/>
                      </wps:cNvSpPr>
                      <wps:spPr bwMode="auto">
                        <a:xfrm flipH="1">
                          <a:off x="2632668" y="318198"/>
                          <a:ext cx="3545205" cy="285750"/>
                        </a:xfrm>
                        <a:prstGeom prst="rect">
                          <a:avLst/>
                        </a:prstGeom>
                        <a:noFill/>
                        <a:ln w="9525">
                          <a:noFill/>
                          <a:miter lim="800000"/>
                          <a:headEnd/>
                          <a:tailEnd/>
                        </a:ln>
                      </wps:spPr>
                      <wps:txbx>
                        <w:txbxContent>
                          <w:p w:rsidR="002201F1" w:rsidRPr="001E204F" w:rsidP="005C3049">
                            <w:pPr>
                              <w:rPr>
                                <w:rFonts w:ascii="Calibri" w:hAnsi="Calibri" w:cs="Calibri"/>
                                <w:color w:val="002060"/>
                                <w:szCs w:val="20"/>
                                <w:rtl/>
                              </w:rPr>
                            </w:pP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id="קבוצה 453847227" o:spid="_x0000_s2049" style="width:484.3pt;height:47.6pt;margin-top:-7.45pt;margin-left:-15.2pt;mso-height-relative:margin;mso-width-relative:margin;position:absolute;z-index:251663360" coordorigin="317,0" coordsize="61503,6045">
              <v:line id="מחבר ישר 1834351669" o:spid="_x0000_s2050" style="mso-wrap-style:square;position:absolute;visibility:visible" from="1004,3048" to="61202,3048" o:connectortype="straight" strokecolor="#4579b8"/>
              <v:shapetype id="_x0000_t202" coordsize="21600,21600" o:spt="202" path="m,l,21600r21600,l21600,xe">
                <v:stroke joinstyle="miter"/>
                <v:path gradientshapeok="t" o:connecttype="rect"/>
              </v:shapetype>
              <v:shape id="תיבת טקסט 2" o:spid="_x0000_s2051" type="#_x0000_t202" style="width:31642;height:2857;flip:x;left:30178;mso-wrap-style:square;position:absolute;visibility:visible;v-text-anchor:top" filled="f" stroked="f">
                <v:textbox>
                  <w:txbxContent>
                    <w:p w:rsidR="002201F1" w:rsidRPr="0062451B" w:rsidP="005C3049">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v:textbox>
              </v:shape>
              <v:shape id="תיבת טקסט 2" o:spid="_x0000_s2052" type="#_x0000_t202" style="width:31642;height:2857;flip:x;left:317;mso-wrap-style:square;position:absolute;top:3188;visibility:visible;v-text-anchor:top" filled="f" stroked="f">
                <v:textbox>
                  <w:txbxContent>
                    <w:p w:rsidR="002201F1" w:rsidRPr="0062451B" w:rsidP="005C3049">
                      <w:pPr>
                        <w:spacing w:line="240" w:lineRule="auto"/>
                        <w:jc w:val="right"/>
                        <w:rPr>
                          <w:rFonts w:ascii="Calibri" w:hAnsi="Calibri" w:cs="Calibri"/>
                          <w:color w:val="002060"/>
                          <w:szCs w:val="20"/>
                          <w:rtl/>
                        </w:rPr>
                      </w:pPr>
                      <w:r>
                        <w:rPr>
                          <w:rFonts w:ascii="Calibri" w:hAnsi="Calibri" w:cs="Calibri" w:hint="cs"/>
                          <w:color w:val="002060"/>
                          <w:szCs w:val="20"/>
                          <w:rtl/>
                        </w:rPr>
                        <w:t xml:space="preserve">אלול </w:t>
                      </w:r>
                      <w:r>
                        <w:rPr>
                          <w:rFonts w:ascii="Calibri" w:hAnsi="Calibri" w:cs="Calibri" w:hint="cs"/>
                          <w:color w:val="002060"/>
                          <w:szCs w:val="20"/>
                          <w:rtl/>
                        </w:rPr>
                        <w:t>התשפ"ה</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ספטמבר  2025</w:t>
                      </w:r>
                      <w:r w:rsidRPr="0062451B">
                        <w:rPr>
                          <w:rFonts w:ascii="Calibri" w:hAnsi="Calibri" w:cs="Calibri" w:hint="cs"/>
                          <w:color w:val="002060"/>
                          <w:szCs w:val="20"/>
                          <w:rtl/>
                        </w:rPr>
                        <w:t xml:space="preserve"> </w:t>
                      </w:r>
                    </w:p>
                  </w:txbxContent>
                </v:textbox>
              </v:shape>
              <v:shape id="תיבת טקסט 2" o:spid="_x0000_s2053" type="#_x0000_t202" style="width:35452;height:2858;flip:x;left:26326;mso-wrap-style:square;position:absolute;top:3181;visibility:visible;v-text-anchor:top" filled="f" stroked="f">
                <v:textbox>
                  <w:txbxContent>
                    <w:p w:rsidR="002201F1" w:rsidRPr="001E204F" w:rsidP="005C3049">
                      <w:pPr>
                        <w:rPr>
                          <w:rFonts w:ascii="Calibri" w:hAnsi="Calibri" w:cs="Calibri"/>
                          <w:color w:val="002060"/>
                          <w:szCs w:val="20"/>
                          <w:rtl/>
                        </w:rPr>
                      </w:pPr>
                    </w:p>
                  </w:txbxContent>
                </v:textbox>
              </v:shape>
            </v:group>
          </w:pict>
        </mc:Fallback>
      </mc:AlternateContent>
    </w:r>
    <w:r w:rsidRPr="0062451B">
      <w:rPr>
        <w:rFonts w:asciiTheme="minorHAnsi" w:hAnsiTheme="minorHAnsi" w:cstheme="minorHAnsi"/>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Pr>
        <w:rFonts w:asciiTheme="minorHAnsi" w:hAnsiTheme="minorHAnsi" w:cstheme="minorHAnsi"/>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201F1" w:rsidRPr="0062451B" w:rsidP="00DA67CB">
    <w:pPr>
      <w:pStyle w:val="Header"/>
      <w:tabs>
        <w:tab w:val="clear" w:pos="8306"/>
      </w:tabs>
      <w:ind w:right="-142"/>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g">
          <w:drawing>
            <wp:anchor distT="0" distB="0" distL="114300" distR="114300" simplePos="0" relativeHeight="251658240" behindDoc="0" locked="0" layoutInCell="1" allowOverlap="1">
              <wp:simplePos x="0" y="0"/>
              <wp:positionH relativeFrom="column">
                <wp:posOffset>-191987</wp:posOffset>
              </wp:positionH>
              <wp:positionV relativeFrom="paragraph">
                <wp:posOffset>-93257</wp:posOffset>
              </wp:positionV>
              <wp:extent cx="6150310" cy="801934"/>
              <wp:effectExtent l="0" t="0" r="3175" b="0"/>
              <wp:wrapNone/>
              <wp:docPr id="37" name="קבוצה 37"/>
              <wp:cNvGraphicFramePr/>
              <a:graphic xmlns:a="http://schemas.openxmlformats.org/drawingml/2006/main">
                <a:graphicData uri="http://schemas.microsoft.com/office/word/2010/wordprocessingGroup">
                  <wpg:wgp xmlns:wpg="http://schemas.microsoft.com/office/word/2010/wordprocessingGroup">
                    <wpg:cNvGrpSpPr/>
                    <wpg:grpSpPr>
                      <a:xfrm>
                        <a:off x="0" y="0"/>
                        <a:ext cx="6150310" cy="801934"/>
                        <a:chOff x="31750" y="0"/>
                        <a:chExt cx="6150310" cy="801934"/>
                      </a:xfrm>
                    </wpg:grpSpPr>
                    <wps:wsp xmlns:wps="http://schemas.microsoft.com/office/word/2010/wordprocessingShape">
                      <wps:cNvPr id="38" name="מחבר ישר 38"/>
                      <wps:cNvCnPr/>
                      <wps:spPr>
                        <a:xfrm>
                          <a:off x="100483" y="304800"/>
                          <a:ext cx="6019800" cy="0"/>
                        </a:xfrm>
                        <a:prstGeom prst="line">
                          <a:avLst/>
                        </a:prstGeom>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39" name="תיבת טקסט 2"/>
                      <wps:cNvSpPr txBox="1">
                        <a:spLocks noChangeArrowheads="1"/>
                      </wps:cNvSpPr>
                      <wps:spPr bwMode="auto">
                        <a:xfrm flipH="1">
                          <a:off x="3017855" y="0"/>
                          <a:ext cx="3164205" cy="285750"/>
                        </a:xfrm>
                        <a:prstGeom prst="rect">
                          <a:avLst/>
                        </a:prstGeom>
                        <a:noFill/>
                        <a:ln w="9525">
                          <a:noFill/>
                          <a:miter lim="800000"/>
                          <a:headEnd/>
                          <a:tailEnd/>
                        </a:ln>
                      </wps:spPr>
                      <wps:txbx>
                        <w:txbxContent>
                          <w:p w:rsidR="002201F1" w:rsidRPr="0062451B">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wps:txbx>
                      <wps:bodyPr rot="0" vert="horz" wrap="square" lIns="91440" tIns="45720" rIns="91440" bIns="45720" anchor="t" anchorCtr="0"/>
                    </wps:wsp>
                    <wps:wsp xmlns:wps="http://schemas.microsoft.com/office/word/2010/wordprocessingShape">
                      <wps:cNvPr id="1" name="תיבת טקסט 2"/>
                      <wps:cNvSpPr txBox="1">
                        <a:spLocks noChangeArrowheads="1"/>
                      </wps:cNvSpPr>
                      <wps:spPr bwMode="auto">
                        <a:xfrm flipH="1">
                          <a:off x="31750" y="318836"/>
                          <a:ext cx="3164205" cy="285750"/>
                        </a:xfrm>
                        <a:prstGeom prst="rect">
                          <a:avLst/>
                        </a:prstGeom>
                        <a:noFill/>
                        <a:ln w="9525">
                          <a:noFill/>
                          <a:miter lim="800000"/>
                          <a:headEnd/>
                          <a:tailEnd/>
                        </a:ln>
                      </wps:spPr>
                      <wps:txbx>
                        <w:txbxContent>
                          <w:p w:rsidR="002201F1" w:rsidRPr="0062451B" w:rsidP="00276705">
                            <w:pPr>
                              <w:spacing w:line="240" w:lineRule="auto"/>
                              <w:jc w:val="right"/>
                              <w:rPr>
                                <w:rFonts w:ascii="Calibri" w:hAnsi="Calibri" w:cs="Calibri"/>
                                <w:color w:val="002060"/>
                                <w:szCs w:val="20"/>
                                <w:rtl/>
                              </w:rPr>
                            </w:pPr>
                            <w:r>
                              <w:rPr>
                                <w:rFonts w:ascii="Calibri" w:hAnsi="Calibri" w:cs="Calibri" w:hint="cs"/>
                                <w:color w:val="002060"/>
                                <w:szCs w:val="20"/>
                                <w:rtl/>
                              </w:rPr>
                              <w:t xml:space="preserve">שבט </w:t>
                            </w:r>
                            <w:r>
                              <w:rPr>
                                <w:rFonts w:ascii="Calibri" w:hAnsi="Calibri" w:cs="Calibri" w:hint="cs"/>
                                <w:color w:val="002060"/>
                                <w:szCs w:val="20"/>
                                <w:rtl/>
                              </w:rPr>
                              <w:t>התשפ"ו</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פברואר 2026</w:t>
                            </w:r>
                            <w:r w:rsidRPr="0062451B">
                              <w:rPr>
                                <w:rFonts w:ascii="Calibri" w:hAnsi="Calibri" w:cs="Calibri" w:hint="cs"/>
                                <w:color w:val="002060"/>
                                <w:szCs w:val="20"/>
                                <w:rtl/>
                              </w:rPr>
                              <w:t xml:space="preserve"> </w:t>
                            </w:r>
                          </w:p>
                        </w:txbxContent>
                      </wps:txbx>
                      <wps:bodyPr rot="0" vert="horz" wrap="square" lIns="91440" tIns="45720" rIns="91440" bIns="45720" anchor="t" anchorCtr="0"/>
                    </wps:wsp>
                    <wps:wsp xmlns:wps="http://schemas.microsoft.com/office/word/2010/wordprocessingShape">
                      <wps:cNvPr id="2" name="תיבת טקסט 2"/>
                      <wps:cNvSpPr txBox="1">
                        <a:spLocks noChangeArrowheads="1"/>
                      </wps:cNvSpPr>
                      <wps:spPr bwMode="auto">
                        <a:xfrm flipH="1">
                          <a:off x="2632526" y="318163"/>
                          <a:ext cx="3545205" cy="483771"/>
                        </a:xfrm>
                        <a:prstGeom prst="rect">
                          <a:avLst/>
                        </a:prstGeom>
                        <a:noFill/>
                        <a:ln w="9525">
                          <a:noFill/>
                          <a:miter lim="800000"/>
                          <a:headEnd/>
                          <a:tailEnd/>
                        </a:ln>
                      </wps:spPr>
                      <wps:txbx>
                        <w:txbxContent>
                          <w:p w:rsidR="002201F1" w:rsidRPr="001E204F" w:rsidP="00707CCC">
                            <w:pPr>
                              <w:spacing w:line="240" w:lineRule="auto"/>
                              <w:rPr>
                                <w:rFonts w:ascii="Calibri" w:hAnsi="Calibri" w:cs="Calibri"/>
                                <w:color w:val="002060"/>
                                <w:szCs w:val="20"/>
                                <w:rtl/>
                              </w:rPr>
                            </w:pPr>
                            <w:r w:rsidRPr="00707CCC">
                              <w:rPr>
                                <w:rFonts w:ascii="Calibri" w:hAnsi="Calibri" w:cs="Calibri"/>
                                <w:color w:val="002060"/>
                                <w:szCs w:val="20"/>
                                <w:rtl/>
                              </w:rPr>
                              <w:t>הליכי השיקום והפיתוח של יישובי הנגב המערבי, קהילותיהם ותושביהם שנפגעו במתקפת שבעה באוקטובר</w:t>
                            </w: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id="קבוצה 37" o:spid="_x0000_s2054" style="width:484.3pt;height:63.15pt;margin-top:-7.35pt;margin-left:-15.1pt;mso-height-relative:margin;mso-width-relative:margin;position:absolute;z-index:251659264" coordorigin="317,0" coordsize="61503,8019">
              <v:line id="מחבר ישר 38" o:spid="_x0000_s2055" style="mso-wrap-style:square;position:absolute;visibility:visible" from="1004,3048" to="61202,3048" o:connectortype="straight" strokecolor="#4579b8"/>
              <v:shapetype id="_x0000_t202" coordsize="21600,21600" o:spt="202" path="m,l,21600r21600,l21600,xe">
                <v:stroke joinstyle="miter"/>
                <v:path gradientshapeok="t" o:connecttype="rect"/>
              </v:shapetype>
              <v:shape id="תיבת טקסט 2" o:spid="_x0000_s2056" type="#_x0000_t202" style="width:31642;height:2857;flip:x;left:30178;mso-wrap-style:square;position:absolute;visibility:visible;v-text-anchor:top" filled="f" stroked="f">
                <v:textbox>
                  <w:txbxContent>
                    <w:p w:rsidR="002201F1" w:rsidRPr="0062451B">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v:textbox>
              </v:shape>
              <v:shape id="תיבת טקסט 2" o:spid="_x0000_s2057" type="#_x0000_t202" style="width:31642;height:2857;flip:x;left:317;mso-wrap-style:square;position:absolute;top:3188;visibility:visible;v-text-anchor:top" filled="f" stroked="f">
                <v:textbox>
                  <w:txbxContent>
                    <w:p w:rsidR="002201F1" w:rsidRPr="0062451B" w:rsidP="00276705">
                      <w:pPr>
                        <w:spacing w:line="240" w:lineRule="auto"/>
                        <w:jc w:val="right"/>
                        <w:rPr>
                          <w:rFonts w:ascii="Calibri" w:hAnsi="Calibri" w:cs="Calibri"/>
                          <w:color w:val="002060"/>
                          <w:szCs w:val="20"/>
                          <w:rtl/>
                        </w:rPr>
                      </w:pPr>
                      <w:r>
                        <w:rPr>
                          <w:rFonts w:ascii="Calibri" w:hAnsi="Calibri" w:cs="Calibri" w:hint="cs"/>
                          <w:color w:val="002060"/>
                          <w:szCs w:val="20"/>
                          <w:rtl/>
                        </w:rPr>
                        <w:t xml:space="preserve">שבט </w:t>
                      </w:r>
                      <w:r>
                        <w:rPr>
                          <w:rFonts w:ascii="Calibri" w:hAnsi="Calibri" w:cs="Calibri" w:hint="cs"/>
                          <w:color w:val="002060"/>
                          <w:szCs w:val="20"/>
                          <w:rtl/>
                        </w:rPr>
                        <w:t>התשפ"ו</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פברואר 2026</w:t>
                      </w:r>
                      <w:r w:rsidRPr="0062451B">
                        <w:rPr>
                          <w:rFonts w:ascii="Calibri" w:hAnsi="Calibri" w:cs="Calibri" w:hint="cs"/>
                          <w:color w:val="002060"/>
                          <w:szCs w:val="20"/>
                          <w:rtl/>
                        </w:rPr>
                        <w:t xml:space="preserve"> </w:t>
                      </w:r>
                    </w:p>
                  </w:txbxContent>
                </v:textbox>
              </v:shape>
              <v:shape id="תיבת טקסט 2" o:spid="_x0000_s2058" type="#_x0000_t202" style="width:35452;height:4838;flip:x;left:26325;mso-wrap-style:square;position:absolute;top:3181;visibility:visible;v-text-anchor:top" filled="f" stroked="f">
                <v:textbox>
                  <w:txbxContent>
                    <w:p w:rsidR="002201F1" w:rsidRPr="001E204F" w:rsidP="00707CCC">
                      <w:pPr>
                        <w:spacing w:line="240" w:lineRule="auto"/>
                        <w:rPr>
                          <w:rFonts w:ascii="Calibri" w:hAnsi="Calibri" w:cs="Calibri"/>
                          <w:color w:val="002060"/>
                          <w:szCs w:val="20"/>
                          <w:rtl/>
                        </w:rPr>
                      </w:pPr>
                      <w:r w:rsidRPr="00707CCC">
                        <w:rPr>
                          <w:rFonts w:ascii="Calibri" w:hAnsi="Calibri" w:cs="Calibri"/>
                          <w:color w:val="002060"/>
                          <w:szCs w:val="20"/>
                          <w:rtl/>
                        </w:rPr>
                        <w:t>הליכי השיקום והפיתוח של יישובי הנגב המערבי, קהילותיהם ותושביהם שנפגעו במתקפת שבעה באוקטובר</w:t>
                      </w:r>
                    </w:p>
                  </w:txbxContent>
                </v:textbox>
              </v:shape>
            </v:group>
          </w:pict>
        </mc:Fallback>
      </mc:AlternateContent>
    </w:r>
    <w:r w:rsidRPr="0062451B">
      <w:rPr>
        <w:rFonts w:asciiTheme="minorHAnsi" w:hAnsiTheme="minorHAnsi" w:cstheme="minorHAnsi"/>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sidRPr="0062451B">
      <w:rPr>
        <w:rFonts w:asciiTheme="minorHAnsi" w:hAnsiTheme="minorHAnsi" w:cstheme="minorHAnsi"/>
        <w:noProof/>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201F1" w:rsidRPr="00FB414E" w:rsidP="00FB414E">
    <w:pPr>
      <w:pStyle w:val="Header"/>
      <w:tabs>
        <w:tab w:val="clear" w:pos="8306"/>
      </w:tabs>
      <w:ind w:right="-142"/>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g">
          <w:drawing>
            <wp:anchor distT="0" distB="0" distL="114300" distR="114300" simplePos="0" relativeHeight="251660288" behindDoc="0" locked="0" layoutInCell="1" allowOverlap="1">
              <wp:simplePos x="0" y="0"/>
              <wp:positionH relativeFrom="column">
                <wp:posOffset>-191987</wp:posOffset>
              </wp:positionH>
              <wp:positionV relativeFrom="paragraph">
                <wp:posOffset>-93257</wp:posOffset>
              </wp:positionV>
              <wp:extent cx="6150310" cy="757925"/>
              <wp:effectExtent l="0" t="0" r="3175" b="4445"/>
              <wp:wrapNone/>
              <wp:docPr id="2084162802" name="קבוצה 2084162802"/>
              <wp:cNvGraphicFramePr/>
              <a:graphic xmlns:a="http://schemas.openxmlformats.org/drawingml/2006/main">
                <a:graphicData uri="http://schemas.microsoft.com/office/word/2010/wordprocessingGroup">
                  <wpg:wgp xmlns:wpg="http://schemas.microsoft.com/office/word/2010/wordprocessingGroup">
                    <wpg:cNvGrpSpPr/>
                    <wpg:grpSpPr>
                      <a:xfrm>
                        <a:off x="0" y="0"/>
                        <a:ext cx="6150310" cy="757925"/>
                        <a:chOff x="31750" y="0"/>
                        <a:chExt cx="6150310" cy="757925"/>
                      </a:xfrm>
                    </wpg:grpSpPr>
                    <wps:wsp xmlns:wps="http://schemas.microsoft.com/office/word/2010/wordprocessingShape">
                      <wps:cNvPr id="310852764" name="מחבר ישר 310852764"/>
                      <wps:cNvCnPr/>
                      <wps:spPr>
                        <a:xfrm>
                          <a:off x="100483" y="304800"/>
                          <a:ext cx="6019800" cy="0"/>
                        </a:xfrm>
                        <a:prstGeom prst="line">
                          <a:avLst/>
                        </a:prstGeom>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596523369" name="תיבת טקסט 2"/>
                      <wps:cNvSpPr txBox="1">
                        <a:spLocks noChangeArrowheads="1"/>
                      </wps:cNvSpPr>
                      <wps:spPr bwMode="auto">
                        <a:xfrm flipH="1">
                          <a:off x="3017855" y="0"/>
                          <a:ext cx="3164205" cy="285750"/>
                        </a:xfrm>
                        <a:prstGeom prst="rect">
                          <a:avLst/>
                        </a:prstGeom>
                        <a:noFill/>
                        <a:ln w="9525">
                          <a:noFill/>
                          <a:miter lim="800000"/>
                          <a:headEnd/>
                          <a:tailEnd/>
                        </a:ln>
                      </wps:spPr>
                      <wps:txbx>
                        <w:txbxContent>
                          <w:p w:rsidR="002201F1" w:rsidRPr="0062451B" w:rsidP="00FB414E">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wps:txbx>
                      <wps:bodyPr rot="0" vert="horz" wrap="square" lIns="91440" tIns="45720" rIns="91440" bIns="45720" anchor="t" anchorCtr="0"/>
                    </wps:wsp>
                    <wps:wsp xmlns:wps="http://schemas.microsoft.com/office/word/2010/wordprocessingShape">
                      <wps:cNvPr id="376496201" name="תיבת טקסט 2"/>
                      <wps:cNvSpPr txBox="1">
                        <a:spLocks noChangeArrowheads="1"/>
                      </wps:cNvSpPr>
                      <wps:spPr bwMode="auto">
                        <a:xfrm flipH="1">
                          <a:off x="31750" y="318836"/>
                          <a:ext cx="3164205" cy="285750"/>
                        </a:xfrm>
                        <a:prstGeom prst="rect">
                          <a:avLst/>
                        </a:prstGeom>
                        <a:noFill/>
                        <a:ln w="9525">
                          <a:noFill/>
                          <a:miter lim="800000"/>
                          <a:headEnd/>
                          <a:tailEnd/>
                        </a:ln>
                      </wps:spPr>
                      <wps:txbx>
                        <w:txbxContent>
                          <w:p w:rsidR="002201F1" w:rsidRPr="0062451B" w:rsidP="00FB414E">
                            <w:pPr>
                              <w:spacing w:line="240" w:lineRule="auto"/>
                              <w:jc w:val="right"/>
                              <w:rPr>
                                <w:rFonts w:ascii="Calibri" w:hAnsi="Calibri" w:cs="Calibri"/>
                                <w:color w:val="002060"/>
                                <w:szCs w:val="20"/>
                                <w:rtl/>
                              </w:rPr>
                            </w:pPr>
                            <w:r>
                              <w:rPr>
                                <w:rFonts w:ascii="Calibri" w:hAnsi="Calibri" w:cs="Calibri" w:hint="cs"/>
                                <w:color w:val="002060"/>
                                <w:szCs w:val="20"/>
                                <w:rtl/>
                              </w:rPr>
                              <w:t xml:space="preserve">שבט </w:t>
                            </w:r>
                            <w:r>
                              <w:rPr>
                                <w:rFonts w:ascii="Calibri" w:hAnsi="Calibri" w:cs="Calibri" w:hint="cs"/>
                                <w:color w:val="002060"/>
                                <w:szCs w:val="20"/>
                                <w:rtl/>
                              </w:rPr>
                              <w:t>התשפ"ו</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פברואר 2026</w:t>
                            </w:r>
                            <w:r w:rsidRPr="0062451B">
                              <w:rPr>
                                <w:rFonts w:ascii="Calibri" w:hAnsi="Calibri" w:cs="Calibri" w:hint="cs"/>
                                <w:color w:val="002060"/>
                                <w:szCs w:val="20"/>
                                <w:rtl/>
                              </w:rPr>
                              <w:t xml:space="preserve"> </w:t>
                            </w:r>
                          </w:p>
                        </w:txbxContent>
                      </wps:txbx>
                      <wps:bodyPr rot="0" vert="horz" wrap="square" lIns="91440" tIns="45720" rIns="91440" bIns="45720" anchor="t" anchorCtr="0"/>
                    </wps:wsp>
                    <wps:wsp xmlns:wps="http://schemas.microsoft.com/office/word/2010/wordprocessingShape">
                      <wps:cNvPr id="1243057793" name="תיבת טקסט 2"/>
                      <wps:cNvSpPr txBox="1">
                        <a:spLocks noChangeArrowheads="1"/>
                      </wps:cNvSpPr>
                      <wps:spPr bwMode="auto">
                        <a:xfrm flipH="1">
                          <a:off x="2632384" y="317911"/>
                          <a:ext cx="3545205" cy="440014"/>
                        </a:xfrm>
                        <a:prstGeom prst="rect">
                          <a:avLst/>
                        </a:prstGeom>
                        <a:noFill/>
                        <a:ln w="9525">
                          <a:noFill/>
                          <a:miter lim="800000"/>
                          <a:headEnd/>
                          <a:tailEnd/>
                        </a:ln>
                      </wps:spPr>
                      <wps:txbx>
                        <w:txbxContent>
                          <w:p w:rsidR="002201F1" w:rsidRPr="001E204F" w:rsidP="00707CCC">
                            <w:pPr>
                              <w:spacing w:line="240" w:lineRule="auto"/>
                              <w:rPr>
                                <w:rFonts w:ascii="Calibri" w:hAnsi="Calibri" w:cs="Calibri"/>
                                <w:color w:val="002060"/>
                                <w:szCs w:val="20"/>
                                <w:rtl/>
                              </w:rPr>
                            </w:pP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id="קבוצה 2084162802" o:spid="_x0000_s2059" style="width:484.3pt;height:59.7pt;margin-top:-7.35pt;margin-left:-15.1pt;mso-height-relative:margin;mso-width-relative:margin;position:absolute;z-index:251661312" coordorigin="317,0" coordsize="61503,7579">
              <v:line id="מחבר ישר 310852764" o:spid="_x0000_s2060" style="mso-wrap-style:square;position:absolute;visibility:visible" from="1004,3048" to="61202,3048" o:connectortype="straight" strokecolor="#4579b8"/>
              <v:shapetype id="_x0000_t202" coordsize="21600,21600" o:spt="202" path="m,l,21600r21600,l21600,xe">
                <v:stroke joinstyle="miter"/>
                <v:path gradientshapeok="t" o:connecttype="rect"/>
              </v:shapetype>
              <v:shape id="תיבת טקסט 2" o:spid="_x0000_s2061" type="#_x0000_t202" style="width:31642;height:2857;flip:x;left:30178;mso-wrap-style:square;position:absolute;visibility:visible;v-text-anchor:top" filled="f" stroked="f">
                <v:textbox>
                  <w:txbxContent>
                    <w:p w:rsidR="002201F1" w:rsidRPr="0062451B" w:rsidP="00FB414E">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v:textbox>
              </v:shape>
              <v:shape id="תיבת טקסט 2" o:spid="_x0000_s2062" type="#_x0000_t202" style="width:31642;height:2857;flip:x;left:317;mso-wrap-style:square;position:absolute;top:3188;visibility:visible;v-text-anchor:top" filled="f" stroked="f">
                <v:textbox>
                  <w:txbxContent>
                    <w:p w:rsidR="002201F1" w:rsidRPr="0062451B" w:rsidP="00FB414E">
                      <w:pPr>
                        <w:spacing w:line="240" w:lineRule="auto"/>
                        <w:jc w:val="right"/>
                        <w:rPr>
                          <w:rFonts w:ascii="Calibri" w:hAnsi="Calibri" w:cs="Calibri"/>
                          <w:color w:val="002060"/>
                          <w:szCs w:val="20"/>
                          <w:rtl/>
                        </w:rPr>
                      </w:pPr>
                      <w:r>
                        <w:rPr>
                          <w:rFonts w:ascii="Calibri" w:hAnsi="Calibri" w:cs="Calibri" w:hint="cs"/>
                          <w:color w:val="002060"/>
                          <w:szCs w:val="20"/>
                          <w:rtl/>
                        </w:rPr>
                        <w:t xml:space="preserve">שבט </w:t>
                      </w:r>
                      <w:r>
                        <w:rPr>
                          <w:rFonts w:ascii="Calibri" w:hAnsi="Calibri" w:cs="Calibri" w:hint="cs"/>
                          <w:color w:val="002060"/>
                          <w:szCs w:val="20"/>
                          <w:rtl/>
                        </w:rPr>
                        <w:t>התשפ"ו</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פברואר 2026</w:t>
                      </w:r>
                      <w:r w:rsidRPr="0062451B">
                        <w:rPr>
                          <w:rFonts w:ascii="Calibri" w:hAnsi="Calibri" w:cs="Calibri" w:hint="cs"/>
                          <w:color w:val="002060"/>
                          <w:szCs w:val="20"/>
                          <w:rtl/>
                        </w:rPr>
                        <w:t xml:space="preserve"> </w:t>
                      </w:r>
                    </w:p>
                  </w:txbxContent>
                </v:textbox>
              </v:shape>
              <v:shape id="תיבת טקסט 2" o:spid="_x0000_s2063" type="#_x0000_t202" style="width:35452;height:4400;flip:x;left:26323;mso-wrap-style:square;position:absolute;top:3179;visibility:visible;v-text-anchor:top" filled="f" stroked="f">
                <v:textbox>
                  <w:txbxContent>
                    <w:p w:rsidR="002201F1" w:rsidRPr="001E204F" w:rsidP="00707CCC">
                      <w:pPr>
                        <w:spacing w:line="240" w:lineRule="auto"/>
                        <w:rPr>
                          <w:rFonts w:ascii="Calibri" w:hAnsi="Calibri" w:cs="Calibri"/>
                          <w:color w:val="002060"/>
                          <w:szCs w:val="20"/>
                          <w:rtl/>
                        </w:rPr>
                      </w:pPr>
                    </w:p>
                  </w:txbxContent>
                </v:textbox>
              </v:shape>
            </v:group>
          </w:pict>
        </mc:Fallback>
      </mc:AlternateContent>
    </w:r>
    <w:r w:rsidRPr="0062451B">
      <w:rPr>
        <w:rFonts w:asciiTheme="minorHAnsi" w:hAnsiTheme="minorHAnsi" w:cstheme="minorHAnsi"/>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Pr>
        <w:rFonts w:asciiTheme="minorHAnsi" w:hAnsiTheme="minorHAnsi" w:cstheme="minorHAnsi"/>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201F1" w:rsidRPr="005C3049" w:rsidP="005C3049">
    <w:pPr>
      <w:pStyle w:val="Header"/>
      <w:tabs>
        <w:tab w:val="clear" w:pos="8306"/>
      </w:tabs>
      <w:ind w:right="-142"/>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g">
          <w:drawing>
            <wp:anchor distT="0" distB="0" distL="114300" distR="114300" simplePos="0" relativeHeight="251664384" behindDoc="0" locked="0" layoutInCell="1" allowOverlap="1">
              <wp:simplePos x="0" y="0"/>
              <wp:positionH relativeFrom="column">
                <wp:posOffset>-193040</wp:posOffset>
              </wp:positionH>
              <wp:positionV relativeFrom="paragraph">
                <wp:posOffset>-94615</wp:posOffset>
              </wp:positionV>
              <wp:extent cx="6150310" cy="604586"/>
              <wp:effectExtent l="0" t="0" r="3175" b="5080"/>
              <wp:wrapNone/>
              <wp:docPr id="89213021" name="קבוצה 89213021"/>
              <wp:cNvGraphicFramePr/>
              <a:graphic xmlns:a="http://schemas.openxmlformats.org/drawingml/2006/main">
                <a:graphicData uri="http://schemas.microsoft.com/office/word/2010/wordprocessingGroup">
                  <wpg:wgp xmlns:wpg="http://schemas.microsoft.com/office/word/2010/wordprocessingGroup">
                    <wpg:cNvGrpSpPr/>
                    <wpg:grpSpPr>
                      <a:xfrm>
                        <a:off x="0" y="0"/>
                        <a:ext cx="6150310" cy="604586"/>
                        <a:chOff x="31750" y="0"/>
                        <a:chExt cx="6150310" cy="604586"/>
                      </a:xfrm>
                    </wpg:grpSpPr>
                    <wps:wsp xmlns:wps="http://schemas.microsoft.com/office/word/2010/wordprocessingShape">
                      <wps:cNvPr id="347956213" name="מחבר ישר 347956213"/>
                      <wps:cNvCnPr/>
                      <wps:spPr>
                        <a:xfrm>
                          <a:off x="100483" y="304800"/>
                          <a:ext cx="6019800" cy="0"/>
                        </a:xfrm>
                        <a:prstGeom prst="line">
                          <a:avLst/>
                        </a:prstGeom>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649674053" name="תיבת טקסט 2"/>
                      <wps:cNvSpPr txBox="1">
                        <a:spLocks noChangeArrowheads="1"/>
                      </wps:cNvSpPr>
                      <wps:spPr bwMode="auto">
                        <a:xfrm flipH="1">
                          <a:off x="3017855" y="0"/>
                          <a:ext cx="3164205" cy="285750"/>
                        </a:xfrm>
                        <a:prstGeom prst="rect">
                          <a:avLst/>
                        </a:prstGeom>
                        <a:noFill/>
                        <a:ln w="9525">
                          <a:noFill/>
                          <a:miter lim="800000"/>
                          <a:headEnd/>
                          <a:tailEnd/>
                        </a:ln>
                      </wps:spPr>
                      <wps:txbx>
                        <w:txbxContent>
                          <w:p w:rsidR="002201F1" w:rsidRPr="0062451B" w:rsidP="005C3049">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wps:txbx>
                      <wps:bodyPr rot="0" vert="horz" wrap="square" lIns="91440" tIns="45720" rIns="91440" bIns="45720" anchor="t" anchorCtr="0"/>
                    </wps:wsp>
                    <wps:wsp xmlns:wps="http://schemas.microsoft.com/office/word/2010/wordprocessingShape">
                      <wps:cNvPr id="525218000" name="תיבת טקסט 2"/>
                      <wps:cNvSpPr txBox="1">
                        <a:spLocks noChangeArrowheads="1"/>
                      </wps:cNvSpPr>
                      <wps:spPr bwMode="auto">
                        <a:xfrm flipH="1">
                          <a:off x="31750" y="318836"/>
                          <a:ext cx="3164205" cy="285750"/>
                        </a:xfrm>
                        <a:prstGeom prst="rect">
                          <a:avLst/>
                        </a:prstGeom>
                        <a:noFill/>
                        <a:ln w="9525">
                          <a:noFill/>
                          <a:miter lim="800000"/>
                          <a:headEnd/>
                          <a:tailEnd/>
                        </a:ln>
                      </wps:spPr>
                      <wps:txbx>
                        <w:txbxContent>
                          <w:p w:rsidR="002201F1" w:rsidRPr="0062451B" w:rsidP="005C3049">
                            <w:pPr>
                              <w:spacing w:line="240" w:lineRule="auto"/>
                              <w:jc w:val="right"/>
                              <w:rPr>
                                <w:rFonts w:ascii="Calibri" w:hAnsi="Calibri" w:cs="Calibri"/>
                                <w:color w:val="002060"/>
                                <w:szCs w:val="20"/>
                                <w:rtl/>
                              </w:rPr>
                            </w:pPr>
                            <w:r>
                              <w:rPr>
                                <w:rFonts w:ascii="Calibri" w:hAnsi="Calibri" w:cs="Calibri" w:hint="cs"/>
                                <w:color w:val="002060"/>
                                <w:szCs w:val="20"/>
                                <w:rtl/>
                              </w:rPr>
                              <w:t xml:space="preserve">אלול </w:t>
                            </w:r>
                            <w:r>
                              <w:rPr>
                                <w:rFonts w:ascii="Calibri" w:hAnsi="Calibri" w:cs="Calibri" w:hint="cs"/>
                                <w:color w:val="002060"/>
                                <w:szCs w:val="20"/>
                                <w:rtl/>
                              </w:rPr>
                              <w:t>התשפ"ה</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ספטמבר  2025</w:t>
                            </w:r>
                            <w:r w:rsidRPr="0062451B">
                              <w:rPr>
                                <w:rFonts w:ascii="Calibri" w:hAnsi="Calibri" w:cs="Calibri" w:hint="cs"/>
                                <w:color w:val="002060"/>
                                <w:szCs w:val="20"/>
                                <w:rtl/>
                              </w:rPr>
                              <w:t xml:space="preserve"> </w:t>
                            </w:r>
                          </w:p>
                        </w:txbxContent>
                      </wps:txbx>
                      <wps:bodyPr rot="0" vert="horz" wrap="square" lIns="91440" tIns="45720" rIns="91440" bIns="45720" anchor="t" anchorCtr="0"/>
                    </wps:wsp>
                    <wps:wsp xmlns:wps="http://schemas.microsoft.com/office/word/2010/wordprocessingShape">
                      <wps:cNvPr id="1769145022" name="תיבת טקסט 2"/>
                      <wps:cNvSpPr txBox="1">
                        <a:spLocks noChangeArrowheads="1"/>
                      </wps:cNvSpPr>
                      <wps:spPr bwMode="auto">
                        <a:xfrm flipH="1">
                          <a:off x="2632668" y="318198"/>
                          <a:ext cx="3545205" cy="285750"/>
                        </a:xfrm>
                        <a:prstGeom prst="rect">
                          <a:avLst/>
                        </a:prstGeom>
                        <a:noFill/>
                        <a:ln w="9525">
                          <a:noFill/>
                          <a:miter lim="800000"/>
                          <a:headEnd/>
                          <a:tailEnd/>
                        </a:ln>
                      </wps:spPr>
                      <wps:txbx>
                        <w:txbxContent>
                          <w:p w:rsidR="002201F1" w:rsidRPr="001E204F" w:rsidP="005C3049">
                            <w:pPr>
                              <w:rPr>
                                <w:rFonts w:ascii="Calibri" w:hAnsi="Calibri" w:cs="Calibri"/>
                                <w:color w:val="002060"/>
                                <w:szCs w:val="20"/>
                                <w:rtl/>
                              </w:rPr>
                            </w:pP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id="קבוצה 89213021" o:spid="_x0000_s2065" style="width:484.3pt;height:47.6pt;margin-top:-7.45pt;margin-left:-15.2pt;mso-height-relative:margin;mso-width-relative:margin;position:absolute;z-index:251665408" coordorigin="317,0" coordsize="61503,6045">
              <v:line id="מחבר ישר 347956213" o:spid="_x0000_s2066" style="mso-wrap-style:square;position:absolute;visibility:visible" from="1004,3048" to="61202,3048" o:connectortype="straight" strokecolor="#4579b8"/>
              <v:shapetype id="_x0000_t202" coordsize="21600,21600" o:spt="202" path="m,l,21600r21600,l21600,xe">
                <v:stroke joinstyle="miter"/>
                <v:path gradientshapeok="t" o:connecttype="rect"/>
              </v:shapetype>
              <v:shape id="תיבת טקסט 2" o:spid="_x0000_s2067" type="#_x0000_t202" style="width:31642;height:2857;flip:x;left:30178;mso-wrap-style:square;position:absolute;visibility:visible;v-text-anchor:top" filled="f" stroked="f">
                <v:textbox>
                  <w:txbxContent>
                    <w:p w:rsidR="002201F1" w:rsidRPr="0062451B" w:rsidP="005C3049">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v:textbox>
              </v:shape>
              <v:shape id="תיבת טקסט 2" o:spid="_x0000_s2068" type="#_x0000_t202" style="width:31642;height:2857;flip:x;left:317;mso-wrap-style:square;position:absolute;top:3188;visibility:visible;v-text-anchor:top" filled="f" stroked="f">
                <v:textbox>
                  <w:txbxContent>
                    <w:p w:rsidR="002201F1" w:rsidRPr="0062451B" w:rsidP="005C3049">
                      <w:pPr>
                        <w:spacing w:line="240" w:lineRule="auto"/>
                        <w:jc w:val="right"/>
                        <w:rPr>
                          <w:rFonts w:ascii="Calibri" w:hAnsi="Calibri" w:cs="Calibri"/>
                          <w:color w:val="002060"/>
                          <w:szCs w:val="20"/>
                          <w:rtl/>
                        </w:rPr>
                      </w:pPr>
                      <w:r>
                        <w:rPr>
                          <w:rFonts w:ascii="Calibri" w:hAnsi="Calibri" w:cs="Calibri" w:hint="cs"/>
                          <w:color w:val="002060"/>
                          <w:szCs w:val="20"/>
                          <w:rtl/>
                        </w:rPr>
                        <w:t xml:space="preserve">אלול </w:t>
                      </w:r>
                      <w:r>
                        <w:rPr>
                          <w:rFonts w:ascii="Calibri" w:hAnsi="Calibri" w:cs="Calibri" w:hint="cs"/>
                          <w:color w:val="002060"/>
                          <w:szCs w:val="20"/>
                          <w:rtl/>
                        </w:rPr>
                        <w:t>התשפ"ה</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ספטמבר  2025</w:t>
                      </w:r>
                      <w:r w:rsidRPr="0062451B">
                        <w:rPr>
                          <w:rFonts w:ascii="Calibri" w:hAnsi="Calibri" w:cs="Calibri" w:hint="cs"/>
                          <w:color w:val="002060"/>
                          <w:szCs w:val="20"/>
                          <w:rtl/>
                        </w:rPr>
                        <w:t xml:space="preserve"> </w:t>
                      </w:r>
                    </w:p>
                  </w:txbxContent>
                </v:textbox>
              </v:shape>
              <v:shape id="תיבת טקסט 2" o:spid="_x0000_s2069" type="#_x0000_t202" style="width:35452;height:2858;flip:x;left:26326;mso-wrap-style:square;position:absolute;top:3181;visibility:visible;v-text-anchor:top" filled="f" stroked="f">
                <v:textbox>
                  <w:txbxContent>
                    <w:p w:rsidR="002201F1" w:rsidRPr="001E204F" w:rsidP="005C3049">
                      <w:pPr>
                        <w:rPr>
                          <w:rFonts w:ascii="Calibri" w:hAnsi="Calibri" w:cs="Calibri"/>
                          <w:color w:val="002060"/>
                          <w:szCs w:val="20"/>
                          <w:rtl/>
                        </w:rPr>
                      </w:pPr>
                    </w:p>
                  </w:txbxContent>
                </v:textbox>
              </v:shape>
            </v:group>
          </w:pict>
        </mc:Fallback>
      </mc:AlternateContent>
    </w:r>
    <w:r w:rsidRPr="0062451B">
      <w:rPr>
        <w:rFonts w:asciiTheme="minorHAnsi" w:hAnsiTheme="minorHAnsi" w:cstheme="minorHAnsi"/>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Pr>
        <w:rFonts w:asciiTheme="minorHAnsi" w:hAnsiTheme="minorHAnsi" w:cstheme="minorHAnsi"/>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5pt;height:8.8pt" o:bullet="t">
        <v:imagedata r:id="rId1" o:title="hand-red"/>
      </v:shape>
    </w:pict>
  </w:numPicBullet>
  <w:numPicBullet w:numPicBulletId="1">
    <w:pict>
      <v:shape id="_x0000_i1026" type="#_x0000_t75" style="width:384pt;height:384pt" o:bullet="t">
        <v:imagedata r:id="rId2" o:title=""/>
      </v:shape>
    </w:pict>
  </w:numPicBullet>
  <w:abstractNum w:abstractNumId="0">
    <w:nsid w:val="088216AB"/>
    <w:multiLevelType w:val="hybridMultilevel"/>
    <w:tmpl w:val="BB7ADECA"/>
    <w:lvl w:ilvl="0">
      <w:start w:val="1"/>
      <w:numFmt w:val="hebrew1"/>
      <w:pStyle w:val="15"/>
      <w:lvlText w:val="%1."/>
      <w:lvlJc w:val="center"/>
      <w:pPr>
        <w:ind w:left="1915" w:hanging="360"/>
      </w:pPr>
    </w:lvl>
    <w:lvl w:ilvl="1" w:tentative="1">
      <w:start w:val="1"/>
      <w:numFmt w:val="lowerLetter"/>
      <w:lvlText w:val="%2."/>
      <w:lvlJc w:val="left"/>
      <w:pPr>
        <w:ind w:left="2635" w:hanging="360"/>
      </w:pPr>
    </w:lvl>
    <w:lvl w:ilvl="2" w:tentative="1">
      <w:start w:val="1"/>
      <w:numFmt w:val="lowerRoman"/>
      <w:lvlText w:val="%3."/>
      <w:lvlJc w:val="right"/>
      <w:pPr>
        <w:ind w:left="3355" w:hanging="180"/>
      </w:pPr>
    </w:lvl>
    <w:lvl w:ilvl="3" w:tentative="1">
      <w:start w:val="1"/>
      <w:numFmt w:val="decimal"/>
      <w:lvlText w:val="%4."/>
      <w:lvlJc w:val="left"/>
      <w:pPr>
        <w:ind w:left="4075" w:hanging="360"/>
      </w:pPr>
    </w:lvl>
    <w:lvl w:ilvl="4" w:tentative="1">
      <w:start w:val="1"/>
      <w:numFmt w:val="lowerLetter"/>
      <w:lvlText w:val="%5."/>
      <w:lvlJc w:val="left"/>
      <w:pPr>
        <w:ind w:left="4795" w:hanging="360"/>
      </w:pPr>
    </w:lvl>
    <w:lvl w:ilvl="5" w:tentative="1">
      <w:start w:val="1"/>
      <w:numFmt w:val="lowerRoman"/>
      <w:lvlText w:val="%6."/>
      <w:lvlJc w:val="right"/>
      <w:pPr>
        <w:ind w:left="5515" w:hanging="180"/>
      </w:pPr>
    </w:lvl>
    <w:lvl w:ilvl="6" w:tentative="1">
      <w:start w:val="1"/>
      <w:numFmt w:val="decimal"/>
      <w:lvlText w:val="%7."/>
      <w:lvlJc w:val="left"/>
      <w:pPr>
        <w:ind w:left="6235" w:hanging="360"/>
      </w:pPr>
    </w:lvl>
    <w:lvl w:ilvl="7" w:tentative="1">
      <w:start w:val="1"/>
      <w:numFmt w:val="lowerLetter"/>
      <w:lvlText w:val="%8."/>
      <w:lvlJc w:val="left"/>
      <w:pPr>
        <w:ind w:left="6955" w:hanging="360"/>
      </w:pPr>
    </w:lvl>
    <w:lvl w:ilvl="8" w:tentative="1">
      <w:start w:val="1"/>
      <w:numFmt w:val="lowerRoman"/>
      <w:lvlText w:val="%9."/>
      <w:lvlJc w:val="right"/>
      <w:pPr>
        <w:ind w:left="7675" w:hanging="180"/>
      </w:pPr>
    </w:lvl>
  </w:abstractNum>
  <w:abstractNum w:abstractNumId="1">
    <w:nsid w:val="0CBD5F52"/>
    <w:multiLevelType w:val="hybridMultilevel"/>
    <w:tmpl w:val="D94CDEE4"/>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E697B12"/>
    <w:multiLevelType w:val="hybridMultilevel"/>
    <w:tmpl w:val="30EA0890"/>
    <w:lvl w:ilvl="0">
      <w:start w:val="1"/>
      <w:numFmt w:val="bullet"/>
      <w:lvlText w:val=""/>
      <w:lvlJc w:val="left"/>
      <w:pPr>
        <w:ind w:left="397" w:hanging="397"/>
      </w:pPr>
      <w:rPr>
        <w:rFonts w:ascii="Wingdings" w:hAnsi="Wingdings" w:cs="Wingdings" w:hint="default"/>
        <w:b/>
        <w:i w:val="0"/>
        <w:caps w:val="0"/>
        <w:strike w:val="0"/>
        <w:dstrike w:val="0"/>
        <w:vanish w:val="0"/>
        <w:color w:val="FF0000"/>
        <w:sz w:val="40"/>
        <w:szCs w:val="25"/>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0F684B52"/>
    <w:multiLevelType w:val="multilevel"/>
    <w:tmpl w:val="5412CCB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
    <w:nsid w:val="12806966"/>
    <w:multiLevelType w:val="hybridMultilevel"/>
    <w:tmpl w:val="FC6ED52C"/>
    <w:lvl w:ilvl="0">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1CF648D2"/>
    <w:multiLevelType w:val="hybridMultilevel"/>
    <w:tmpl w:val="E2B6F6AA"/>
    <w:lvl w:ilvl="0">
      <w:start w:val="1"/>
      <w:numFmt w:val="bullet"/>
      <w:lvlText w:val=""/>
      <w:lvlJc w:val="left"/>
      <w:pPr>
        <w:ind w:left="1117" w:hanging="360"/>
      </w:pPr>
      <w:rPr>
        <w:rFonts w:ascii="Wingdings" w:hAnsi="Wingdings" w:cs="Wingdings" w:hint="default"/>
        <w:b/>
        <w:i w:val="0"/>
        <w:caps w:val="0"/>
        <w:strike w:val="0"/>
        <w:dstrike w:val="0"/>
        <w:vanish w:val="0"/>
        <w:color w:val="FF0000"/>
        <w:sz w:val="40"/>
        <w:szCs w:val="25"/>
        <w:vertAlign w:val="baseline"/>
      </w:rPr>
    </w:lvl>
    <w:lvl w:ilvl="1" w:tentative="1">
      <w:start w:val="1"/>
      <w:numFmt w:val="bullet"/>
      <w:lvlText w:val="o"/>
      <w:lvlJc w:val="left"/>
      <w:pPr>
        <w:ind w:left="1837" w:hanging="360"/>
      </w:pPr>
      <w:rPr>
        <w:rFonts w:ascii="Courier New" w:hAnsi="Courier New" w:cs="Courier New"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6">
    <w:nsid w:val="1D587F94"/>
    <w:multiLevelType w:val="hybridMultilevel"/>
    <w:tmpl w:val="FF2AB340"/>
    <w:lvl w:ilvl="0">
      <w:start w:val="1"/>
      <w:numFmt w:val="decimal"/>
      <w:lvlText w:val="%1."/>
      <w:lvlJc w:val="left"/>
      <w:pPr>
        <w:ind w:left="397" w:hanging="397"/>
      </w:pPr>
      <w:rPr>
        <w:rFonts w:hint="default"/>
        <w:b/>
        <w:i w:val="0"/>
        <w:caps w:val="0"/>
        <w:strike w:val="0"/>
        <w:dstrike w:val="0"/>
        <w:vanish w:val="0"/>
        <w:color w:val="FF0000"/>
        <w:sz w:val="40"/>
        <w:szCs w:val="25"/>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22E55D56"/>
    <w:multiLevelType w:val="hybridMultilevel"/>
    <w:tmpl w:val="DFB6D314"/>
    <w:lvl w:ilvl="0">
      <w:start w:val="1"/>
      <w:numFmt w:val="decimal"/>
      <w:pStyle w:val="a49"/>
      <w:suff w:val="space"/>
      <w:lvlText w:val="תרשים %1:"/>
      <w:lvlJc w:val="left"/>
      <w:pPr>
        <w:ind w:left="2628" w:hanging="360"/>
      </w:pPr>
      <w:rPr>
        <w:rFonts w:ascii="David" w:hAnsi="David" w:cs="David" w:hint="cs"/>
        <w:b w:val="0"/>
        <w:bCs w:val="0"/>
        <w:i w:val="0"/>
        <w:iCs w:val="0"/>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2DB951A8"/>
    <w:multiLevelType w:val="hybridMultilevel"/>
    <w:tmpl w:val="477266D6"/>
    <w:lvl w:ilvl="0">
      <w:start w:val="1"/>
      <w:numFmt w:val="bullet"/>
      <w:lvlText w:val=""/>
      <w:lvlJc w:val="left"/>
      <w:pPr>
        <w:ind w:left="1117" w:hanging="360"/>
      </w:pPr>
      <w:rPr>
        <w:rFonts w:ascii="Wingdings" w:hAnsi="Wingdings" w:cs="Wingdings" w:hint="default"/>
        <w:b/>
        <w:i w:val="0"/>
        <w:caps w:val="0"/>
        <w:strike w:val="0"/>
        <w:dstrike w:val="0"/>
        <w:vanish w:val="0"/>
        <w:color w:val="FF0000"/>
        <w:sz w:val="40"/>
        <w:szCs w:val="25"/>
        <w:vertAlign w:val="baseline"/>
        <w:lang w:bidi="he-IL"/>
      </w:rPr>
    </w:lvl>
    <w:lvl w:ilvl="1" w:tentative="1">
      <w:start w:val="1"/>
      <w:numFmt w:val="bullet"/>
      <w:lvlText w:val="o"/>
      <w:lvlJc w:val="left"/>
      <w:pPr>
        <w:ind w:left="1837" w:hanging="360"/>
      </w:pPr>
      <w:rPr>
        <w:rFonts w:ascii="Courier New" w:hAnsi="Courier New" w:cs="Courier New"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9">
    <w:nsid w:val="2EC744C3"/>
    <w:multiLevelType w:val="hybridMultilevel"/>
    <w:tmpl w:val="4A68CCE0"/>
    <w:lvl w:ilvl="0">
      <w:start w:val="1"/>
      <w:numFmt w:val="bullet"/>
      <w:lvlText w:val=""/>
      <w:lvlJc w:val="left"/>
      <w:pPr>
        <w:ind w:left="794" w:hanging="397"/>
      </w:pPr>
      <w:rPr>
        <w:rFonts w:ascii="Wingdings" w:hAnsi="Wingdings" w:cs="Wingdings" w:hint="default"/>
        <w:b/>
        <w:i w:val="0"/>
        <w:caps w:val="0"/>
        <w:strike w:val="0"/>
        <w:dstrike w:val="0"/>
        <w:vanish w:val="0"/>
        <w:color w:val="FF0000"/>
        <w:sz w:val="40"/>
        <w:szCs w:val="25"/>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30D17255"/>
    <w:multiLevelType w:val="hybridMultilevel"/>
    <w:tmpl w:val="F1AE1FFC"/>
    <w:lvl w:ilvl="0">
      <w:start w:val="1"/>
      <w:numFmt w:val="decimal"/>
      <w:pStyle w:val="a39"/>
      <w:lvlText w:val="לוח %1:"/>
      <w:lvlJc w:val="left"/>
      <w:pPr>
        <w:ind w:left="185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11">
    <w:nsid w:val="316B14B9"/>
    <w:multiLevelType w:val="hybridMultilevel"/>
    <w:tmpl w:val="378E9214"/>
    <w:lvl w:ilvl="0">
      <w:start w:val="1"/>
      <w:numFmt w:val="decimal"/>
      <w:pStyle w:val="a37"/>
      <w:lvlText w:val="תמונה %1:"/>
      <w:lvlJc w:val="left"/>
      <w:pPr>
        <w:ind w:left="149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12">
    <w:nsid w:val="33A86F96"/>
    <w:multiLevelType w:val="hybridMultilevel"/>
    <w:tmpl w:val="220A2AB2"/>
    <w:lvl w:ilvl="0">
      <w:start w:val="1"/>
      <w:numFmt w:val="decimal"/>
      <w:pStyle w:val="a41"/>
      <w:lvlText w:val="מפה %1:"/>
      <w:lvlJc w:val="left"/>
      <w:pPr>
        <w:ind w:left="1858"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934" w:hanging="360"/>
      </w:pPr>
    </w:lvl>
    <w:lvl w:ilvl="2" w:tentative="1">
      <w:start w:val="1"/>
      <w:numFmt w:val="lowerRoman"/>
      <w:lvlText w:val="%3."/>
      <w:lvlJc w:val="right"/>
      <w:pPr>
        <w:ind w:left="3654" w:hanging="180"/>
      </w:pPr>
    </w:lvl>
    <w:lvl w:ilvl="3" w:tentative="1">
      <w:start w:val="1"/>
      <w:numFmt w:val="decimal"/>
      <w:lvlText w:val="%4."/>
      <w:lvlJc w:val="left"/>
      <w:pPr>
        <w:ind w:left="4374" w:hanging="360"/>
      </w:pPr>
    </w:lvl>
    <w:lvl w:ilvl="4" w:tentative="1">
      <w:start w:val="1"/>
      <w:numFmt w:val="lowerLetter"/>
      <w:lvlText w:val="%5."/>
      <w:lvlJc w:val="left"/>
      <w:pPr>
        <w:ind w:left="5094" w:hanging="360"/>
      </w:pPr>
    </w:lvl>
    <w:lvl w:ilvl="5" w:tentative="1">
      <w:start w:val="1"/>
      <w:numFmt w:val="lowerRoman"/>
      <w:lvlText w:val="%6."/>
      <w:lvlJc w:val="right"/>
      <w:pPr>
        <w:ind w:left="5814" w:hanging="180"/>
      </w:pPr>
    </w:lvl>
    <w:lvl w:ilvl="6" w:tentative="1">
      <w:start w:val="1"/>
      <w:numFmt w:val="decimal"/>
      <w:lvlText w:val="%7."/>
      <w:lvlJc w:val="left"/>
      <w:pPr>
        <w:ind w:left="6534" w:hanging="360"/>
      </w:pPr>
    </w:lvl>
    <w:lvl w:ilvl="7" w:tentative="1">
      <w:start w:val="1"/>
      <w:numFmt w:val="lowerLetter"/>
      <w:lvlText w:val="%8."/>
      <w:lvlJc w:val="left"/>
      <w:pPr>
        <w:ind w:left="7254" w:hanging="360"/>
      </w:pPr>
    </w:lvl>
    <w:lvl w:ilvl="8" w:tentative="1">
      <w:start w:val="1"/>
      <w:numFmt w:val="lowerRoman"/>
      <w:lvlText w:val="%9."/>
      <w:lvlJc w:val="right"/>
      <w:pPr>
        <w:ind w:left="7974" w:hanging="180"/>
      </w:pPr>
    </w:lvl>
  </w:abstractNum>
  <w:abstractNum w:abstractNumId="13">
    <w:nsid w:val="355B1DDE"/>
    <w:multiLevelType w:val="hybridMultilevel"/>
    <w:tmpl w:val="0382FD12"/>
    <w:lvl w:ilvl="0">
      <w:start w:val="1"/>
      <w:numFmt w:val="bullet"/>
      <w:lvlText w:val=""/>
      <w:lvlJc w:val="left"/>
      <w:pPr>
        <w:ind w:left="397" w:hanging="397"/>
      </w:pPr>
      <w:rPr>
        <w:rFonts w:ascii="Segoe MDL2 Assets" w:hAnsi="Segoe MDL2 Assets" w:cs="Segoe MDL2 Assets" w:hint="default"/>
        <w:b/>
        <w:bCs/>
        <w:i w:val="0"/>
        <w:iCs w:val="0"/>
        <w:color w:val="FFC000"/>
        <w:position w:val="-6"/>
        <w:sz w:val="28"/>
        <w:szCs w:val="32"/>
        <w:lang w:bidi="he-IL"/>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4">
    <w:nsid w:val="392E622D"/>
    <w:multiLevelType w:val="hybridMultilevel"/>
    <w:tmpl w:val="7D5E01EA"/>
    <w:lvl w:ilvl="0">
      <w:start w:val="1"/>
      <w:numFmt w:val="bullet"/>
      <w:lvlText w:val=""/>
      <w:lvlJc w:val="left"/>
      <w:pPr>
        <w:ind w:left="397" w:hanging="397"/>
      </w:pPr>
      <w:rPr>
        <w:rFonts w:ascii="Wingdings" w:hAnsi="Wingdings" w:cs="Wingdings" w:hint="default"/>
        <w:b/>
        <w:i w:val="0"/>
        <w:caps w:val="0"/>
        <w:strike w:val="0"/>
        <w:dstrike w:val="0"/>
        <w:vanish w:val="0"/>
        <w:color w:val="FF0000"/>
        <w:sz w:val="40"/>
        <w:szCs w:val="25"/>
        <w:vertAlign w:val="baseline"/>
      </w:rPr>
    </w:lvl>
    <w:lvl w:ilvl="1" w:tentative="1">
      <w:start w:val="1"/>
      <w:numFmt w:val="bullet"/>
      <w:lvlText w:val="o"/>
      <w:lvlJc w:val="left"/>
      <w:pPr>
        <w:ind w:left="1837" w:hanging="360"/>
      </w:pPr>
      <w:rPr>
        <w:rFonts w:ascii="Courier New" w:hAnsi="Courier New" w:cs="Courier New"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15">
    <w:nsid w:val="3A923526"/>
    <w:multiLevelType w:val="hybridMultilevel"/>
    <w:tmpl w:val="4E74417E"/>
    <w:lvl w:ilvl="0">
      <w:start w:val="1"/>
      <w:numFmt w:val="decimal"/>
      <w:pStyle w:val="a35"/>
      <w:lvlText w:val="תרשים %1:"/>
      <w:lvlJc w:val="left"/>
      <w:pPr>
        <w:ind w:left="149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16">
    <w:nsid w:val="3B0B597E"/>
    <w:multiLevelType w:val="hybridMultilevel"/>
    <w:tmpl w:val="C582C6B2"/>
    <w:lvl w:ilvl="0">
      <w:start w:val="0"/>
      <w:numFmt w:val="bullet"/>
      <w:lvlText w:val="•"/>
      <w:lvlJc w:val="left"/>
      <w:pPr>
        <w:ind w:left="1003" w:hanging="360"/>
      </w:pPr>
      <w:rPr>
        <w:rFonts w:ascii="Tahoma" w:hAnsi="Tahoma" w:eastAsiaTheme="minorHAnsi" w:cs="Tahoma" w:hint="default"/>
        <w:b/>
        <w:i w:val="0"/>
        <w:caps w:val="0"/>
        <w:strike w:val="0"/>
        <w:dstrike w:val="0"/>
        <w:vanish w:val="0"/>
        <w:color w:val="FF0000"/>
        <w:position w:val="0"/>
        <w:sz w:val="21"/>
        <w:szCs w:val="25"/>
        <w:vertAlign w:val="baseline"/>
        <w14:ligatures w14:val="all"/>
        <w14:numForm w14:val="default"/>
        <w14:numSpacing w14:val="default"/>
        <w14:stylisticSets xmlns:w14="http://schemas.microsoft.com/office/word/2010/wordml"/>
      </w:rPr>
    </w:lvl>
    <w:lvl w:ilvl="1">
      <w:start w:val="0"/>
      <w:numFmt w:val="bullet"/>
      <w:lvlText w:val="•"/>
      <w:lvlJc w:val="left"/>
      <w:pPr>
        <w:ind w:left="1528" w:hanging="165"/>
      </w:pPr>
      <w:rPr>
        <w:rFonts w:ascii="Tahoma" w:hAnsi="Tahoma" w:eastAsiaTheme="minorHAnsi" w:cs="Tahoma" w:hint="default"/>
        <w:b/>
        <w:color w:val="FF0000"/>
        <w:sz w:val="21"/>
      </w:rPr>
    </w:lvl>
    <w:lvl w:ilvl="2" w:tentative="1">
      <w:start w:val="1"/>
      <w:numFmt w:val="bullet"/>
      <w:lvlText w:val=""/>
      <w:lvlJc w:val="left"/>
      <w:pPr>
        <w:ind w:left="2443" w:hanging="360"/>
      </w:pPr>
      <w:rPr>
        <w:rFonts w:ascii="Wingdings" w:hAnsi="Wingdings" w:hint="default"/>
      </w:rPr>
    </w:lvl>
    <w:lvl w:ilvl="3" w:tentative="1">
      <w:start w:val="1"/>
      <w:numFmt w:val="bullet"/>
      <w:lvlText w:val=""/>
      <w:lvlJc w:val="left"/>
      <w:pPr>
        <w:ind w:left="3163" w:hanging="360"/>
      </w:pPr>
      <w:rPr>
        <w:rFonts w:ascii="Symbol" w:hAnsi="Symbol" w:hint="default"/>
      </w:rPr>
    </w:lvl>
    <w:lvl w:ilvl="4" w:tentative="1">
      <w:start w:val="1"/>
      <w:numFmt w:val="bullet"/>
      <w:lvlText w:val="o"/>
      <w:lvlJc w:val="left"/>
      <w:pPr>
        <w:ind w:left="3883" w:hanging="360"/>
      </w:pPr>
      <w:rPr>
        <w:rFonts w:ascii="Courier New" w:hAnsi="Courier New" w:cs="Courier New" w:hint="default"/>
      </w:rPr>
    </w:lvl>
    <w:lvl w:ilvl="5" w:tentative="1">
      <w:start w:val="1"/>
      <w:numFmt w:val="bullet"/>
      <w:lvlText w:val=""/>
      <w:lvlJc w:val="left"/>
      <w:pPr>
        <w:ind w:left="4603" w:hanging="360"/>
      </w:pPr>
      <w:rPr>
        <w:rFonts w:ascii="Wingdings" w:hAnsi="Wingdings" w:hint="default"/>
      </w:rPr>
    </w:lvl>
    <w:lvl w:ilvl="6" w:tentative="1">
      <w:start w:val="1"/>
      <w:numFmt w:val="bullet"/>
      <w:lvlText w:val=""/>
      <w:lvlJc w:val="left"/>
      <w:pPr>
        <w:ind w:left="5323" w:hanging="360"/>
      </w:pPr>
      <w:rPr>
        <w:rFonts w:ascii="Symbol" w:hAnsi="Symbol" w:hint="default"/>
      </w:rPr>
    </w:lvl>
    <w:lvl w:ilvl="7" w:tentative="1">
      <w:start w:val="1"/>
      <w:numFmt w:val="bullet"/>
      <w:lvlText w:val="o"/>
      <w:lvlJc w:val="left"/>
      <w:pPr>
        <w:ind w:left="6043" w:hanging="360"/>
      </w:pPr>
      <w:rPr>
        <w:rFonts w:ascii="Courier New" w:hAnsi="Courier New" w:cs="Courier New" w:hint="default"/>
      </w:rPr>
    </w:lvl>
    <w:lvl w:ilvl="8" w:tentative="1">
      <w:start w:val="1"/>
      <w:numFmt w:val="bullet"/>
      <w:lvlText w:val=""/>
      <w:lvlJc w:val="left"/>
      <w:pPr>
        <w:ind w:left="6763" w:hanging="360"/>
      </w:pPr>
      <w:rPr>
        <w:rFonts w:ascii="Wingdings" w:hAnsi="Wingdings" w:hint="default"/>
      </w:rPr>
    </w:lvl>
  </w:abstractNum>
  <w:abstractNum w:abstractNumId="17">
    <w:nsid w:val="3DFC3F2B"/>
    <w:multiLevelType w:val="hybridMultilevel"/>
    <w:tmpl w:val="27902D54"/>
    <w:lvl w:ilvl="0">
      <w:start w:val="1"/>
      <w:numFmt w:val="bullet"/>
      <w:lvlText w:val=""/>
      <w:lvlJc w:val="left"/>
      <w:pPr>
        <w:ind w:left="720" w:hanging="360"/>
      </w:pPr>
      <w:rPr>
        <w:rFonts w:ascii="Wingdings" w:hAnsi="Wingdings" w:cs="Wingdings" w:hint="default"/>
        <w:b/>
        <w:i w:val="0"/>
        <w:caps w:val="0"/>
        <w:strike w:val="0"/>
        <w:dstrike w:val="0"/>
        <w:vanish w:val="0"/>
        <w:color w:val="FF0000"/>
        <w:sz w:val="40"/>
        <w:szCs w:val="25"/>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40DC7E01"/>
    <w:multiLevelType w:val="hybridMultilevel"/>
    <w:tmpl w:val="5D24C320"/>
    <w:lvl w:ilvl="0">
      <w:start w:val="1"/>
      <w:numFmt w:val="decimal"/>
      <w:pStyle w:val="30"/>
      <w:lvlText w:val="%1.1.1"/>
      <w:lvlJc w:val="left"/>
      <w:pPr>
        <w:ind w:left="1854" w:hanging="360"/>
      </w:pPr>
      <w:rPr>
        <w:rFonts w:hint="default"/>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19">
    <w:nsid w:val="441A6670"/>
    <w:multiLevelType w:val="hybridMultilevel"/>
    <w:tmpl w:val="369C82D6"/>
    <w:lvl w:ilvl="0">
      <w:start w:val="1"/>
      <w:numFmt w:val="hebrew1"/>
      <w:pStyle w:val="32"/>
      <w:lvlText w:val="%1."/>
      <w:lvlJc w:val="center"/>
      <w:pPr>
        <w:ind w:left="2705" w:hanging="360"/>
      </w:pPr>
    </w:lvl>
    <w:lvl w:ilvl="1" w:tentative="1">
      <w:start w:val="1"/>
      <w:numFmt w:val="lowerLetter"/>
      <w:lvlText w:val="%2."/>
      <w:lvlJc w:val="left"/>
      <w:pPr>
        <w:ind w:left="3425" w:hanging="360"/>
      </w:pPr>
    </w:lvl>
    <w:lvl w:ilvl="2" w:tentative="1">
      <w:start w:val="1"/>
      <w:numFmt w:val="lowerRoman"/>
      <w:lvlText w:val="%3."/>
      <w:lvlJc w:val="right"/>
      <w:pPr>
        <w:ind w:left="4145" w:hanging="180"/>
      </w:pPr>
    </w:lvl>
    <w:lvl w:ilvl="3" w:tentative="1">
      <w:start w:val="1"/>
      <w:numFmt w:val="decimal"/>
      <w:lvlText w:val="%4."/>
      <w:lvlJc w:val="left"/>
      <w:pPr>
        <w:ind w:left="4865" w:hanging="360"/>
      </w:pPr>
    </w:lvl>
    <w:lvl w:ilvl="4" w:tentative="1">
      <w:start w:val="1"/>
      <w:numFmt w:val="lowerLetter"/>
      <w:lvlText w:val="%5."/>
      <w:lvlJc w:val="left"/>
      <w:pPr>
        <w:ind w:left="5585" w:hanging="360"/>
      </w:pPr>
    </w:lvl>
    <w:lvl w:ilvl="5" w:tentative="1">
      <w:start w:val="1"/>
      <w:numFmt w:val="lowerRoman"/>
      <w:lvlText w:val="%6."/>
      <w:lvlJc w:val="right"/>
      <w:pPr>
        <w:ind w:left="6305" w:hanging="180"/>
      </w:pPr>
    </w:lvl>
    <w:lvl w:ilvl="6" w:tentative="1">
      <w:start w:val="1"/>
      <w:numFmt w:val="decimal"/>
      <w:lvlText w:val="%7."/>
      <w:lvlJc w:val="left"/>
      <w:pPr>
        <w:ind w:left="7025" w:hanging="360"/>
      </w:pPr>
    </w:lvl>
    <w:lvl w:ilvl="7" w:tentative="1">
      <w:start w:val="1"/>
      <w:numFmt w:val="lowerLetter"/>
      <w:lvlText w:val="%8."/>
      <w:lvlJc w:val="left"/>
      <w:pPr>
        <w:ind w:left="7745" w:hanging="360"/>
      </w:pPr>
    </w:lvl>
    <w:lvl w:ilvl="8" w:tentative="1">
      <w:start w:val="1"/>
      <w:numFmt w:val="lowerRoman"/>
      <w:lvlText w:val="%9."/>
      <w:lvlJc w:val="right"/>
      <w:pPr>
        <w:ind w:left="8465" w:hanging="180"/>
      </w:pPr>
    </w:lvl>
  </w:abstractNum>
  <w:abstractNum w:abstractNumId="20">
    <w:nsid w:val="4DD35436"/>
    <w:multiLevelType w:val="hybridMultilevel"/>
    <w:tmpl w:val="EC1EC164"/>
    <w:lvl w:ilvl="0">
      <w:start w:val="1"/>
      <w:numFmt w:val="decimal"/>
      <w:pStyle w:val="20"/>
      <w:lvlText w:val="%1.1"/>
      <w:lvlJc w:val="left"/>
      <w:pPr>
        <w:ind w:left="1860" w:hanging="360"/>
      </w:pPr>
      <w:rPr>
        <w:rFonts w:hint="default"/>
      </w:rPr>
    </w:lvl>
    <w:lvl w:ilvl="1" w:tentative="1">
      <w:start w:val="1"/>
      <w:numFmt w:val="lowerLetter"/>
      <w:lvlText w:val="%2."/>
      <w:lvlJc w:val="left"/>
      <w:pPr>
        <w:ind w:left="2580" w:hanging="360"/>
      </w:pPr>
    </w:lvl>
    <w:lvl w:ilvl="2" w:tentative="1">
      <w:start w:val="1"/>
      <w:numFmt w:val="lowerRoman"/>
      <w:lvlText w:val="%3."/>
      <w:lvlJc w:val="right"/>
      <w:pPr>
        <w:ind w:left="3300" w:hanging="180"/>
      </w:pPr>
    </w:lvl>
    <w:lvl w:ilvl="3" w:tentative="1">
      <w:start w:val="1"/>
      <w:numFmt w:val="decimal"/>
      <w:lvlText w:val="%4."/>
      <w:lvlJc w:val="left"/>
      <w:pPr>
        <w:ind w:left="4020" w:hanging="360"/>
      </w:pPr>
    </w:lvl>
    <w:lvl w:ilvl="4" w:tentative="1">
      <w:start w:val="1"/>
      <w:numFmt w:val="lowerLetter"/>
      <w:lvlText w:val="%5."/>
      <w:lvlJc w:val="left"/>
      <w:pPr>
        <w:ind w:left="4740" w:hanging="360"/>
      </w:pPr>
    </w:lvl>
    <w:lvl w:ilvl="5" w:tentative="1">
      <w:start w:val="1"/>
      <w:numFmt w:val="lowerRoman"/>
      <w:lvlText w:val="%6."/>
      <w:lvlJc w:val="right"/>
      <w:pPr>
        <w:ind w:left="5460" w:hanging="180"/>
      </w:pPr>
    </w:lvl>
    <w:lvl w:ilvl="6" w:tentative="1">
      <w:start w:val="1"/>
      <w:numFmt w:val="decimal"/>
      <w:lvlText w:val="%7."/>
      <w:lvlJc w:val="left"/>
      <w:pPr>
        <w:ind w:left="6180" w:hanging="360"/>
      </w:pPr>
    </w:lvl>
    <w:lvl w:ilvl="7" w:tentative="1">
      <w:start w:val="1"/>
      <w:numFmt w:val="lowerLetter"/>
      <w:lvlText w:val="%8."/>
      <w:lvlJc w:val="left"/>
      <w:pPr>
        <w:ind w:left="6900" w:hanging="360"/>
      </w:pPr>
    </w:lvl>
    <w:lvl w:ilvl="8" w:tentative="1">
      <w:start w:val="1"/>
      <w:numFmt w:val="lowerRoman"/>
      <w:lvlText w:val="%9."/>
      <w:lvlJc w:val="right"/>
      <w:pPr>
        <w:ind w:left="7620" w:hanging="180"/>
      </w:pPr>
    </w:lvl>
  </w:abstractNum>
  <w:abstractNum w:abstractNumId="21">
    <w:nsid w:val="59F011FB"/>
    <w:multiLevelType w:val="hybridMultilevel"/>
    <w:tmpl w:val="FBB8779C"/>
    <w:lvl w:ilvl="0">
      <w:start w:val="1"/>
      <w:numFmt w:val="bullet"/>
      <w:lvlText w:val=""/>
      <w:lvlJc w:val="left"/>
      <w:pPr>
        <w:ind w:left="720" w:hanging="360"/>
      </w:pPr>
      <w:rPr>
        <w:rFonts w:ascii="Wingdings" w:hAnsi="Wingdings" w:cs="Wingdings" w:hint="default"/>
        <w:b/>
        <w:i w:val="0"/>
        <w:caps w:val="0"/>
        <w:strike w:val="0"/>
        <w:dstrike w:val="0"/>
        <w:vanish w:val="0"/>
        <w:color w:val="FF0000"/>
        <w:sz w:val="40"/>
        <w:szCs w:val="25"/>
        <w:vertAlign w:val="baseline"/>
        <w:lang w:bidi="he-IL"/>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6079445E"/>
    <w:multiLevelType w:val="hybridMultilevel"/>
    <w:tmpl w:val="CDCA638E"/>
    <w:lvl w:ilvl="0">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lang w:bidi="he-IL"/>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3">
    <w:nsid w:val="6430542A"/>
    <w:multiLevelType w:val="hybridMultilevel"/>
    <w:tmpl w:val="EB4C5C20"/>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4">
    <w:nsid w:val="65D5678F"/>
    <w:multiLevelType w:val="hybridMultilevel"/>
    <w:tmpl w:val="8844FB18"/>
    <w:lvl w:ilvl="0">
      <w:start w:val="1"/>
      <w:numFmt w:val="bullet"/>
      <w:lvlText w:val=""/>
      <w:lvlJc w:val="left"/>
      <w:pPr>
        <w:ind w:left="1080" w:hanging="360"/>
      </w:pPr>
      <w:rPr>
        <w:rFonts w:ascii="Symbol" w:hAnsi="Symbol" w:hint="default"/>
        <w:color w:val="FF0000"/>
        <w:lang w:val="en-US"/>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5">
    <w:nsid w:val="665B09CB"/>
    <w:multiLevelType w:val="hybridMultilevel"/>
    <w:tmpl w:val="F98283A0"/>
    <w:lvl w:ilvl="0">
      <w:start w:val="1"/>
      <w:numFmt w:val="bullet"/>
      <w:pStyle w:val="50"/>
      <w:lvlText w:val=""/>
      <w:lvlJc w:val="left"/>
      <w:pPr>
        <w:ind w:left="1854" w:hanging="360"/>
      </w:pPr>
      <w:rPr>
        <w:rFonts w:ascii="Wingdings" w:hAnsi="Wingdings" w:hint="default"/>
        <w:color w:val="FFF400"/>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26">
    <w:nsid w:val="6699458C"/>
    <w:multiLevelType w:val="hybridMultilevel"/>
    <w:tmpl w:val="B9E2BA98"/>
    <w:lvl w:ilvl="0">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7">
    <w:nsid w:val="75B45A6E"/>
    <w:multiLevelType w:val="hybridMultilevel"/>
    <w:tmpl w:val="0B7836AC"/>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8">
    <w:nsid w:val="778F7677"/>
    <w:multiLevelType w:val="hybridMultilevel"/>
    <w:tmpl w:val="257EC434"/>
    <w:lvl w:ilvl="0">
      <w:start w:val="1"/>
      <w:numFmt w:val="bullet"/>
      <w:lvlText w:val=""/>
      <w:lvlJc w:val="left"/>
      <w:pPr>
        <w:ind w:left="397" w:hanging="397"/>
      </w:pPr>
      <w:rPr>
        <w:rFonts w:ascii="Wingdings" w:hAnsi="Wingdings" w:cs="Wingdings" w:hint="default"/>
        <w:b/>
        <w:i w:val="0"/>
        <w:caps w:val="0"/>
        <w:strike w:val="0"/>
        <w:dstrike w:val="0"/>
        <w:vanish w:val="0"/>
        <w:color w:val="FF0000"/>
        <w:sz w:val="40"/>
        <w:szCs w:val="25"/>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7E431D00"/>
    <w:multiLevelType w:val="hybridMultilevel"/>
    <w:tmpl w:val="7576C230"/>
    <w:lvl w:ilvl="0">
      <w:start w:val="1"/>
      <w:numFmt w:val="decimal"/>
      <w:pStyle w:val="13"/>
      <w:lvlText w:val="%1."/>
      <w:lvlJc w:val="left"/>
      <w:pPr>
        <w:ind w:left="1858" w:hanging="360"/>
      </w:pPr>
      <w:rPr>
        <w:rFonts w:ascii="Calibri" w:hAnsi="Calibri" w:cs="Calibri" w:hint="default"/>
        <w:b/>
        <w:bCs/>
        <w:i w:val="0"/>
        <w:iCs w:val="0"/>
        <w:color w:val="002060"/>
        <w:sz w:val="40"/>
        <w:szCs w:val="40"/>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num w:numId="1">
    <w:abstractNumId w:val="29"/>
  </w:num>
  <w:num w:numId="2">
    <w:abstractNumId w:val="20"/>
  </w:num>
  <w:num w:numId="3">
    <w:abstractNumId w:val="18"/>
  </w:num>
  <w:num w:numId="4">
    <w:abstractNumId w:val="0"/>
  </w:num>
  <w:num w:numId="5">
    <w:abstractNumId w:val="19"/>
  </w:num>
  <w:num w:numId="6">
    <w:abstractNumId w:val="25"/>
  </w:num>
  <w:num w:numId="7">
    <w:abstractNumId w:val="15"/>
  </w:num>
  <w:num w:numId="8">
    <w:abstractNumId w:val="11"/>
  </w:num>
  <w:num w:numId="9">
    <w:abstractNumId w:val="10"/>
  </w:num>
  <w:num w:numId="10">
    <w:abstractNumId w:val="12"/>
  </w:num>
  <w:num w:numId="11">
    <w:abstractNumId w:val="26"/>
  </w:num>
  <w:num w:numId="12">
    <w:abstractNumId w:val="22"/>
  </w:num>
  <w:num w:numId="13">
    <w:abstractNumId w:val="21"/>
  </w:num>
  <w:num w:numId="14">
    <w:abstractNumId w:val="24"/>
  </w:num>
  <w:num w:numId="15">
    <w:abstractNumId w:val="1"/>
  </w:num>
  <w:num w:numId="16">
    <w:abstractNumId w:val="8"/>
  </w:num>
  <w:num w:numId="17">
    <w:abstractNumId w:val="9"/>
  </w:num>
  <w:num w:numId="18">
    <w:abstractNumId w:val="2"/>
  </w:num>
  <w:num w:numId="19">
    <w:abstractNumId w:val="13"/>
  </w:num>
  <w:num w:numId="20">
    <w:abstractNumId w:val="17"/>
  </w:num>
  <w:num w:numId="21">
    <w:abstractNumId w:val="6"/>
  </w:num>
  <w:num w:numId="22">
    <w:abstractNumId w:val="4"/>
  </w:num>
  <w:num w:numId="23">
    <w:abstractNumId w:val="28"/>
  </w:num>
  <w:num w:numId="24">
    <w:abstractNumId w:val="5"/>
  </w:num>
  <w:num w:numId="25">
    <w:abstractNumId w:val="14"/>
  </w:num>
  <w:num w:numId="26">
    <w:abstractNumId w:val="16"/>
  </w:num>
  <w:num w:numId="27">
    <w:abstractNumId w:val="27"/>
  </w:num>
  <w:num w:numId="28">
    <w:abstractNumId w:val="7"/>
  </w:num>
  <w:num w:numId="29">
    <w:abstractNumId w:val="23"/>
  </w:num>
  <w:num w:numId="30">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oNotDisplayPageBoundaries/>
  <w:proofState w:spelling="clean" w:grammar="clean"/>
  <w:stylePaneSortMethod w:val="name"/>
  <w:defaultTabStop w:val="720"/>
  <w:drawingGridHorizontalSpacing w:val="100"/>
  <w:displayHorizontalDrawingGridEvery w:val="2"/>
  <w:displayVerticalDrawingGridEvery w:val="2"/>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51B"/>
    <w:rsid w:val="00001576"/>
    <w:rsid w:val="00003B77"/>
    <w:rsid w:val="0001735B"/>
    <w:rsid w:val="00042837"/>
    <w:rsid w:val="000501A4"/>
    <w:rsid w:val="000532AA"/>
    <w:rsid w:val="000534C7"/>
    <w:rsid w:val="0005720B"/>
    <w:rsid w:val="000756B7"/>
    <w:rsid w:val="00092F16"/>
    <w:rsid w:val="000B06DD"/>
    <w:rsid w:val="000B1102"/>
    <w:rsid w:val="000C6528"/>
    <w:rsid w:val="000C7459"/>
    <w:rsid w:val="000D221E"/>
    <w:rsid w:val="000E013E"/>
    <w:rsid w:val="000E4320"/>
    <w:rsid w:val="000F7725"/>
    <w:rsid w:val="00101D0F"/>
    <w:rsid w:val="00113AB4"/>
    <w:rsid w:val="00113E28"/>
    <w:rsid w:val="00114325"/>
    <w:rsid w:val="00160279"/>
    <w:rsid w:val="00160BFC"/>
    <w:rsid w:val="00164D9B"/>
    <w:rsid w:val="00166477"/>
    <w:rsid w:val="001730B0"/>
    <w:rsid w:val="0018262A"/>
    <w:rsid w:val="001916A9"/>
    <w:rsid w:val="00191A49"/>
    <w:rsid w:val="001960B4"/>
    <w:rsid w:val="001A346B"/>
    <w:rsid w:val="001A613C"/>
    <w:rsid w:val="001B2821"/>
    <w:rsid w:val="001C057E"/>
    <w:rsid w:val="001C6185"/>
    <w:rsid w:val="001E204F"/>
    <w:rsid w:val="001F3E0C"/>
    <w:rsid w:val="002019E1"/>
    <w:rsid w:val="00203604"/>
    <w:rsid w:val="002064F7"/>
    <w:rsid w:val="00212D9D"/>
    <w:rsid w:val="002201F1"/>
    <w:rsid w:val="0022383F"/>
    <w:rsid w:val="00240887"/>
    <w:rsid w:val="00256AD3"/>
    <w:rsid w:val="00263521"/>
    <w:rsid w:val="00276705"/>
    <w:rsid w:val="00282A8B"/>
    <w:rsid w:val="00285434"/>
    <w:rsid w:val="002A7D21"/>
    <w:rsid w:val="002C0C75"/>
    <w:rsid w:val="002C0FD0"/>
    <w:rsid w:val="002C1EE0"/>
    <w:rsid w:val="002C4139"/>
    <w:rsid w:val="002C713E"/>
    <w:rsid w:val="002E068A"/>
    <w:rsid w:val="00301153"/>
    <w:rsid w:val="0030602D"/>
    <w:rsid w:val="00310345"/>
    <w:rsid w:val="00313DEA"/>
    <w:rsid w:val="00314A89"/>
    <w:rsid w:val="00323027"/>
    <w:rsid w:val="00324AB8"/>
    <w:rsid w:val="00340B52"/>
    <w:rsid w:val="003474AA"/>
    <w:rsid w:val="0035239E"/>
    <w:rsid w:val="00353804"/>
    <w:rsid w:val="0036735A"/>
    <w:rsid w:val="0037370B"/>
    <w:rsid w:val="0037752E"/>
    <w:rsid w:val="0037780B"/>
    <w:rsid w:val="00380052"/>
    <w:rsid w:val="00386E9B"/>
    <w:rsid w:val="00390432"/>
    <w:rsid w:val="0039415D"/>
    <w:rsid w:val="0039635D"/>
    <w:rsid w:val="003B12F0"/>
    <w:rsid w:val="003B3F5B"/>
    <w:rsid w:val="003C47BA"/>
    <w:rsid w:val="003D0D13"/>
    <w:rsid w:val="003D61C6"/>
    <w:rsid w:val="003E58C2"/>
    <w:rsid w:val="00421028"/>
    <w:rsid w:val="0042230F"/>
    <w:rsid w:val="0042234E"/>
    <w:rsid w:val="00432EC1"/>
    <w:rsid w:val="00450C77"/>
    <w:rsid w:val="00463DBF"/>
    <w:rsid w:val="004672FB"/>
    <w:rsid w:val="004779AA"/>
    <w:rsid w:val="004801F3"/>
    <w:rsid w:val="0048779B"/>
    <w:rsid w:val="0049728B"/>
    <w:rsid w:val="004A0385"/>
    <w:rsid w:val="004C7D9F"/>
    <w:rsid w:val="004D758A"/>
    <w:rsid w:val="004E2733"/>
    <w:rsid w:val="004E488A"/>
    <w:rsid w:val="004F0AB4"/>
    <w:rsid w:val="004F7BE6"/>
    <w:rsid w:val="005006C5"/>
    <w:rsid w:val="00524C99"/>
    <w:rsid w:val="00527A32"/>
    <w:rsid w:val="00551B42"/>
    <w:rsid w:val="00551FF7"/>
    <w:rsid w:val="00574579"/>
    <w:rsid w:val="00580C5C"/>
    <w:rsid w:val="0059362E"/>
    <w:rsid w:val="005A021D"/>
    <w:rsid w:val="005A09B4"/>
    <w:rsid w:val="005A3F71"/>
    <w:rsid w:val="005B126E"/>
    <w:rsid w:val="005B2688"/>
    <w:rsid w:val="005B3801"/>
    <w:rsid w:val="005C1464"/>
    <w:rsid w:val="005C1BD3"/>
    <w:rsid w:val="005C3049"/>
    <w:rsid w:val="005C568B"/>
    <w:rsid w:val="005D6B60"/>
    <w:rsid w:val="005D724A"/>
    <w:rsid w:val="005E62A6"/>
    <w:rsid w:val="005E7B6F"/>
    <w:rsid w:val="005F4A6D"/>
    <w:rsid w:val="00602674"/>
    <w:rsid w:val="00614B9F"/>
    <w:rsid w:val="00620D15"/>
    <w:rsid w:val="0062451B"/>
    <w:rsid w:val="00634DAD"/>
    <w:rsid w:val="00640B60"/>
    <w:rsid w:val="0064233A"/>
    <w:rsid w:val="00642B86"/>
    <w:rsid w:val="006436E4"/>
    <w:rsid w:val="006457EB"/>
    <w:rsid w:val="00647723"/>
    <w:rsid w:val="006531CB"/>
    <w:rsid w:val="00653A21"/>
    <w:rsid w:val="006A0446"/>
    <w:rsid w:val="006A646E"/>
    <w:rsid w:val="006B1593"/>
    <w:rsid w:val="006B7706"/>
    <w:rsid w:val="006C4033"/>
    <w:rsid w:val="006D4161"/>
    <w:rsid w:val="006D4DD0"/>
    <w:rsid w:val="006D786C"/>
    <w:rsid w:val="006E1414"/>
    <w:rsid w:val="006F285F"/>
    <w:rsid w:val="00707CCC"/>
    <w:rsid w:val="00713E16"/>
    <w:rsid w:val="00716AFD"/>
    <w:rsid w:val="0072219B"/>
    <w:rsid w:val="00746DC8"/>
    <w:rsid w:val="007474F0"/>
    <w:rsid w:val="00747B13"/>
    <w:rsid w:val="00753ADE"/>
    <w:rsid w:val="00773F61"/>
    <w:rsid w:val="00792AAB"/>
    <w:rsid w:val="00792BDC"/>
    <w:rsid w:val="007A2205"/>
    <w:rsid w:val="007A4EBD"/>
    <w:rsid w:val="007B112B"/>
    <w:rsid w:val="007B1885"/>
    <w:rsid w:val="007B2A75"/>
    <w:rsid w:val="007B5B26"/>
    <w:rsid w:val="007B691A"/>
    <w:rsid w:val="007C1FF6"/>
    <w:rsid w:val="007C37A3"/>
    <w:rsid w:val="007D61B8"/>
    <w:rsid w:val="007E1C6B"/>
    <w:rsid w:val="007E24BD"/>
    <w:rsid w:val="007F3DE7"/>
    <w:rsid w:val="007F7FF2"/>
    <w:rsid w:val="00805B42"/>
    <w:rsid w:val="008102AD"/>
    <w:rsid w:val="00824AB2"/>
    <w:rsid w:val="008302B0"/>
    <w:rsid w:val="00830810"/>
    <w:rsid w:val="00830A29"/>
    <w:rsid w:val="00837997"/>
    <w:rsid w:val="008654CB"/>
    <w:rsid w:val="00867B15"/>
    <w:rsid w:val="00867FC5"/>
    <w:rsid w:val="008852C4"/>
    <w:rsid w:val="00892F80"/>
    <w:rsid w:val="00897698"/>
    <w:rsid w:val="008A2E0E"/>
    <w:rsid w:val="008B3CAB"/>
    <w:rsid w:val="008B4F41"/>
    <w:rsid w:val="008B5F6C"/>
    <w:rsid w:val="008C1428"/>
    <w:rsid w:val="008C6F75"/>
    <w:rsid w:val="008D5921"/>
    <w:rsid w:val="009015B2"/>
    <w:rsid w:val="00902020"/>
    <w:rsid w:val="00906E90"/>
    <w:rsid w:val="0091051D"/>
    <w:rsid w:val="00936F84"/>
    <w:rsid w:val="00940851"/>
    <w:rsid w:val="00944018"/>
    <w:rsid w:val="00945AA0"/>
    <w:rsid w:val="00960A4D"/>
    <w:rsid w:val="009679D9"/>
    <w:rsid w:val="009A30BE"/>
    <w:rsid w:val="009A6817"/>
    <w:rsid w:val="009B497A"/>
    <w:rsid w:val="009C6066"/>
    <w:rsid w:val="009D01A8"/>
    <w:rsid w:val="009D45C5"/>
    <w:rsid w:val="009D73F5"/>
    <w:rsid w:val="009E1A3F"/>
    <w:rsid w:val="009E53CF"/>
    <w:rsid w:val="009F0BD3"/>
    <w:rsid w:val="00A02CC7"/>
    <w:rsid w:val="00A055D0"/>
    <w:rsid w:val="00A11C97"/>
    <w:rsid w:val="00A12A6A"/>
    <w:rsid w:val="00A222E2"/>
    <w:rsid w:val="00A30B00"/>
    <w:rsid w:val="00A54879"/>
    <w:rsid w:val="00A61AD5"/>
    <w:rsid w:val="00A64958"/>
    <w:rsid w:val="00A665F8"/>
    <w:rsid w:val="00A73038"/>
    <w:rsid w:val="00A76C99"/>
    <w:rsid w:val="00A81EBE"/>
    <w:rsid w:val="00A92416"/>
    <w:rsid w:val="00AA0192"/>
    <w:rsid w:val="00AB465B"/>
    <w:rsid w:val="00AB6523"/>
    <w:rsid w:val="00AB66C8"/>
    <w:rsid w:val="00AC0955"/>
    <w:rsid w:val="00AC6B95"/>
    <w:rsid w:val="00AC7655"/>
    <w:rsid w:val="00AE225E"/>
    <w:rsid w:val="00AE39DA"/>
    <w:rsid w:val="00AE741B"/>
    <w:rsid w:val="00B00E5C"/>
    <w:rsid w:val="00B14FC8"/>
    <w:rsid w:val="00B4321D"/>
    <w:rsid w:val="00B4372A"/>
    <w:rsid w:val="00B544FF"/>
    <w:rsid w:val="00B666B9"/>
    <w:rsid w:val="00B73B50"/>
    <w:rsid w:val="00B76DC1"/>
    <w:rsid w:val="00B862C0"/>
    <w:rsid w:val="00B97E44"/>
    <w:rsid w:val="00BB7198"/>
    <w:rsid w:val="00BD15A0"/>
    <w:rsid w:val="00BD291C"/>
    <w:rsid w:val="00BE22D7"/>
    <w:rsid w:val="00BE2DD8"/>
    <w:rsid w:val="00BE311A"/>
    <w:rsid w:val="00BF1A05"/>
    <w:rsid w:val="00C06E03"/>
    <w:rsid w:val="00C10FE4"/>
    <w:rsid w:val="00C22A3B"/>
    <w:rsid w:val="00C2305A"/>
    <w:rsid w:val="00C23CC9"/>
    <w:rsid w:val="00C26289"/>
    <w:rsid w:val="00C30B3D"/>
    <w:rsid w:val="00C33AE2"/>
    <w:rsid w:val="00C36C5E"/>
    <w:rsid w:val="00C4664C"/>
    <w:rsid w:val="00C50FAA"/>
    <w:rsid w:val="00C75A49"/>
    <w:rsid w:val="00C8096C"/>
    <w:rsid w:val="00C8100B"/>
    <w:rsid w:val="00CA41D2"/>
    <w:rsid w:val="00CA4F20"/>
    <w:rsid w:val="00CA64A3"/>
    <w:rsid w:val="00CC120D"/>
    <w:rsid w:val="00CC39C2"/>
    <w:rsid w:val="00CD5320"/>
    <w:rsid w:val="00CD6EEC"/>
    <w:rsid w:val="00CE6B6A"/>
    <w:rsid w:val="00D22748"/>
    <w:rsid w:val="00D26918"/>
    <w:rsid w:val="00D27009"/>
    <w:rsid w:val="00D37121"/>
    <w:rsid w:val="00D71966"/>
    <w:rsid w:val="00D74BC3"/>
    <w:rsid w:val="00D77190"/>
    <w:rsid w:val="00D779F7"/>
    <w:rsid w:val="00D87542"/>
    <w:rsid w:val="00D95C20"/>
    <w:rsid w:val="00D97C16"/>
    <w:rsid w:val="00D97D95"/>
    <w:rsid w:val="00DA3406"/>
    <w:rsid w:val="00DA67CB"/>
    <w:rsid w:val="00DA6AD6"/>
    <w:rsid w:val="00DB2E3A"/>
    <w:rsid w:val="00DB6E18"/>
    <w:rsid w:val="00DC6823"/>
    <w:rsid w:val="00DD13EA"/>
    <w:rsid w:val="00DD3214"/>
    <w:rsid w:val="00DE1DAB"/>
    <w:rsid w:val="00DE20A2"/>
    <w:rsid w:val="00DE29D1"/>
    <w:rsid w:val="00DE7DAD"/>
    <w:rsid w:val="00DF0B89"/>
    <w:rsid w:val="00DF38DB"/>
    <w:rsid w:val="00DF43DC"/>
    <w:rsid w:val="00E212C3"/>
    <w:rsid w:val="00E35682"/>
    <w:rsid w:val="00E46EA3"/>
    <w:rsid w:val="00E50CE0"/>
    <w:rsid w:val="00E51C1B"/>
    <w:rsid w:val="00E53DA7"/>
    <w:rsid w:val="00E66397"/>
    <w:rsid w:val="00E678C7"/>
    <w:rsid w:val="00EB36CE"/>
    <w:rsid w:val="00EB41BA"/>
    <w:rsid w:val="00EC6B44"/>
    <w:rsid w:val="00ED2833"/>
    <w:rsid w:val="00EE37A3"/>
    <w:rsid w:val="00EE5C78"/>
    <w:rsid w:val="00F30558"/>
    <w:rsid w:val="00F31CB9"/>
    <w:rsid w:val="00F4385E"/>
    <w:rsid w:val="00F56CE4"/>
    <w:rsid w:val="00F627EB"/>
    <w:rsid w:val="00F66FC8"/>
    <w:rsid w:val="00F75A10"/>
    <w:rsid w:val="00F77276"/>
    <w:rsid w:val="00F92629"/>
    <w:rsid w:val="00F95853"/>
    <w:rsid w:val="00FA48C8"/>
    <w:rsid w:val="00FB3F26"/>
    <w:rsid w:val="00FB414E"/>
    <w:rsid w:val="00FB7B0A"/>
    <w:rsid w:val="00FC3213"/>
    <w:rsid w:val="00FC48C6"/>
    <w:rsid w:val="00FC6AA9"/>
    <w:rsid w:val="00FF020F"/>
    <w:rsid w:val="00FF2A74"/>
    <w:rsid w:val="00FF5E54"/>
  </w:rsids>
  <w:docVars>
    <w:docVar w:name="sivug" w:val="1"/>
    <w:docVar w:name="space" w:val="True"/>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4:docId w14:val="12CF4140"/>
  <w15:chartTrackingRefBased/>
  <w15:docId w15:val="{89CA0B52-15F1-4656-A946-83738ED0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501A4"/>
    <w:pPr>
      <w:bidi/>
      <w:spacing w:after="0" w:line="312" w:lineRule="auto"/>
    </w:pPr>
  </w:style>
  <w:style w:type="paragraph" w:styleId="Heading1">
    <w:name w:val="heading 1"/>
    <w:basedOn w:val="Normal"/>
    <w:next w:val="Normal"/>
    <w:link w:val="1"/>
    <w:uiPriority w:val="1"/>
    <w:qFormat/>
    <w:rsid w:val="000501A4"/>
    <w:pPr>
      <w:keepNext/>
      <w:keepLines/>
      <w:jc w:val="center"/>
      <w:outlineLvl w:val="0"/>
    </w:pPr>
    <w:rPr>
      <w:rFonts w:eastAsiaTheme="majorEastAsia"/>
      <w:bCs/>
      <w:szCs w:val="36"/>
      <w:u w:val="single"/>
    </w:rPr>
  </w:style>
  <w:style w:type="paragraph" w:styleId="Heading2">
    <w:name w:val="heading 2"/>
    <w:basedOn w:val="Normal"/>
    <w:next w:val="Normal"/>
    <w:link w:val="2"/>
    <w:uiPriority w:val="1"/>
    <w:qFormat/>
    <w:rsid w:val="000501A4"/>
    <w:pPr>
      <w:keepNext/>
      <w:keepLines/>
      <w:spacing w:before="480"/>
      <w:jc w:val="center"/>
      <w:outlineLvl w:val="1"/>
    </w:pPr>
    <w:rPr>
      <w:rFonts w:eastAsiaTheme="majorEastAsia"/>
      <w:bCs/>
      <w:szCs w:val="32"/>
    </w:rPr>
  </w:style>
  <w:style w:type="paragraph" w:styleId="Heading3">
    <w:name w:val="heading 3"/>
    <w:basedOn w:val="Normal"/>
    <w:next w:val="Normal"/>
    <w:link w:val="3"/>
    <w:uiPriority w:val="1"/>
    <w:qFormat/>
    <w:rsid w:val="0018262A"/>
    <w:pPr>
      <w:keepNext/>
      <w:keepLines/>
      <w:spacing w:before="120" w:line="269" w:lineRule="auto"/>
      <w:outlineLvl w:val="2"/>
    </w:pPr>
    <w:rPr>
      <w:rFonts w:eastAsiaTheme="majorEastAsia"/>
      <w:bCs/>
      <w:szCs w:val="28"/>
      <w:u w:val="single"/>
    </w:rPr>
  </w:style>
  <w:style w:type="paragraph" w:styleId="Heading4">
    <w:name w:val="heading 4"/>
    <w:basedOn w:val="Normal"/>
    <w:next w:val="Normal"/>
    <w:link w:val="4"/>
    <w:uiPriority w:val="1"/>
    <w:qFormat/>
    <w:rsid w:val="003474AA"/>
    <w:pPr>
      <w:keepNext/>
      <w:keepLines/>
      <w:spacing w:before="120" w:line="269" w:lineRule="auto"/>
      <w:outlineLvl w:val="3"/>
    </w:pPr>
    <w:rPr>
      <w:rFonts w:eastAsiaTheme="majorEastAsia"/>
      <w:bCs/>
      <w:szCs w:val="26"/>
    </w:rPr>
  </w:style>
  <w:style w:type="paragraph" w:styleId="Heading5">
    <w:name w:val="heading 5"/>
    <w:basedOn w:val="Normal"/>
    <w:next w:val="Normal"/>
    <w:link w:val="5"/>
    <w:uiPriority w:val="1"/>
    <w:qFormat/>
    <w:rsid w:val="000501A4"/>
    <w:pPr>
      <w:keepNext/>
      <w:keepLines/>
      <w:outlineLvl w:val="4"/>
    </w:pPr>
    <w:rPr>
      <w:rFonts w:eastAsiaTheme="majorEastAsia"/>
      <w:bCs/>
      <w:spacing w:val="40"/>
    </w:rPr>
  </w:style>
  <w:style w:type="paragraph" w:styleId="Heading6">
    <w:name w:val="heading 6"/>
    <w:basedOn w:val="Normal"/>
    <w:next w:val="Normal"/>
    <w:link w:val="6"/>
    <w:uiPriority w:val="1"/>
    <w:qFormat/>
    <w:rsid w:val="000501A4"/>
    <w:pPr>
      <w:keepNext/>
      <w:keepLines/>
      <w:outlineLvl w:val="5"/>
    </w:pPr>
    <w:rPr>
      <w:rFonts w:eastAsiaTheme="majorEastAsia"/>
      <w:spacing w:val="40"/>
    </w:rPr>
  </w:style>
  <w:style w:type="paragraph" w:styleId="Heading7">
    <w:name w:val="heading 7"/>
    <w:basedOn w:val="Normal"/>
    <w:next w:val="Normal"/>
    <w:link w:val="7"/>
    <w:uiPriority w:val="1"/>
    <w:qFormat/>
    <w:rsid w:val="000501A4"/>
    <w:pPr>
      <w:keepNext/>
      <w:keepLines/>
      <w:outlineLvl w:val="6"/>
    </w:pPr>
    <w:rPr>
      <w:rFonts w:eastAsiaTheme="majorEastAsia"/>
      <w:bCs/>
      <w:spacing w:val="40"/>
    </w:rPr>
  </w:style>
  <w:style w:type="paragraph" w:styleId="Heading8">
    <w:name w:val="heading 8"/>
    <w:basedOn w:val="Normal"/>
    <w:next w:val="Normal"/>
    <w:link w:val="8"/>
    <w:uiPriority w:val="1"/>
    <w:qFormat/>
    <w:rsid w:val="000501A4"/>
    <w:pPr>
      <w:keepNext/>
      <w:keepLines/>
      <w:outlineLvl w:val="7"/>
    </w:pPr>
    <w:rPr>
      <w:rFonts w:eastAsiaTheme="majorEastAsia"/>
      <w:spacing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כותרת 1 תו"/>
    <w:basedOn w:val="DefaultParagraphFont"/>
    <w:link w:val="Heading1"/>
    <w:uiPriority w:val="1"/>
    <w:rsid w:val="000501A4"/>
    <w:rPr>
      <w:rFonts w:eastAsiaTheme="majorEastAsia"/>
      <w:bCs/>
      <w:szCs w:val="36"/>
      <w:u w:val="single"/>
    </w:rPr>
  </w:style>
  <w:style w:type="character" w:customStyle="1" w:styleId="2">
    <w:name w:val="כותרת 2 תו"/>
    <w:basedOn w:val="DefaultParagraphFont"/>
    <w:link w:val="Heading2"/>
    <w:uiPriority w:val="1"/>
    <w:rsid w:val="000501A4"/>
    <w:rPr>
      <w:rFonts w:eastAsiaTheme="majorEastAsia"/>
      <w:bCs/>
      <w:szCs w:val="32"/>
    </w:rPr>
  </w:style>
  <w:style w:type="character" w:customStyle="1" w:styleId="3">
    <w:name w:val="כותרת 3 תו"/>
    <w:basedOn w:val="DefaultParagraphFont"/>
    <w:link w:val="Heading3"/>
    <w:uiPriority w:val="1"/>
    <w:rsid w:val="0018262A"/>
    <w:rPr>
      <w:rFonts w:eastAsiaTheme="majorEastAsia"/>
      <w:bCs/>
      <w:szCs w:val="28"/>
      <w:u w:val="single"/>
    </w:rPr>
  </w:style>
  <w:style w:type="character" w:customStyle="1" w:styleId="4">
    <w:name w:val="כותרת 4 תו"/>
    <w:basedOn w:val="DefaultParagraphFont"/>
    <w:link w:val="Heading4"/>
    <w:uiPriority w:val="1"/>
    <w:rsid w:val="003474AA"/>
    <w:rPr>
      <w:rFonts w:eastAsiaTheme="majorEastAsia"/>
      <w:bCs/>
      <w:szCs w:val="26"/>
    </w:rPr>
  </w:style>
  <w:style w:type="character" w:customStyle="1" w:styleId="5">
    <w:name w:val="כותרת 5 תו"/>
    <w:basedOn w:val="DefaultParagraphFont"/>
    <w:link w:val="Heading5"/>
    <w:uiPriority w:val="1"/>
    <w:rsid w:val="000501A4"/>
    <w:rPr>
      <w:rFonts w:eastAsiaTheme="majorEastAsia"/>
      <w:bCs/>
      <w:spacing w:val="40"/>
    </w:rPr>
  </w:style>
  <w:style w:type="character" w:customStyle="1" w:styleId="6">
    <w:name w:val="כותרת 6 תו"/>
    <w:basedOn w:val="DefaultParagraphFont"/>
    <w:link w:val="Heading6"/>
    <w:uiPriority w:val="1"/>
    <w:rsid w:val="000501A4"/>
    <w:rPr>
      <w:rFonts w:eastAsiaTheme="majorEastAsia"/>
      <w:spacing w:val="40"/>
    </w:rPr>
  </w:style>
  <w:style w:type="character" w:customStyle="1" w:styleId="7">
    <w:name w:val="כותרת 7 תו"/>
    <w:basedOn w:val="DefaultParagraphFont"/>
    <w:link w:val="Heading7"/>
    <w:uiPriority w:val="1"/>
    <w:rsid w:val="000501A4"/>
    <w:rPr>
      <w:rFonts w:eastAsiaTheme="majorEastAsia"/>
      <w:bCs/>
      <w:spacing w:val="40"/>
    </w:rPr>
  </w:style>
  <w:style w:type="character" w:customStyle="1" w:styleId="8">
    <w:name w:val="כותרת 8 תו"/>
    <w:basedOn w:val="DefaultParagraphFont"/>
    <w:link w:val="Heading8"/>
    <w:uiPriority w:val="1"/>
    <w:rsid w:val="000501A4"/>
    <w:rPr>
      <w:rFonts w:eastAsiaTheme="majorEastAsia"/>
      <w:spacing w:val="40"/>
    </w:rPr>
  </w:style>
  <w:style w:type="paragraph" w:customStyle="1" w:styleId="a">
    <w:name w:val="נבנצאל"/>
    <w:basedOn w:val="Normal"/>
    <w:next w:val="Normal"/>
    <w:link w:val="a0"/>
    <w:uiPriority w:val="99"/>
    <w:rsid w:val="000501A4"/>
    <w:pPr>
      <w:ind w:left="-567"/>
    </w:pPr>
    <w:rPr>
      <w:szCs w:val="20"/>
    </w:rPr>
  </w:style>
  <w:style w:type="character" w:customStyle="1" w:styleId="a0">
    <w:name w:val="נבנצאל תו"/>
    <w:basedOn w:val="DefaultParagraphFont"/>
    <w:link w:val="a"/>
    <w:uiPriority w:val="99"/>
    <w:rsid w:val="000501A4"/>
    <w:rPr>
      <w:szCs w:val="20"/>
    </w:rPr>
  </w:style>
  <w:style w:type="paragraph" w:styleId="Header">
    <w:name w:val="header"/>
    <w:basedOn w:val="Normal"/>
    <w:link w:val="a1"/>
    <w:uiPriority w:val="99"/>
    <w:unhideWhenUsed/>
    <w:rsid w:val="000501A4"/>
    <w:pPr>
      <w:tabs>
        <w:tab w:val="center" w:pos="4153"/>
        <w:tab w:val="right" w:pos="8306"/>
      </w:tabs>
      <w:spacing w:line="240" w:lineRule="auto"/>
    </w:pPr>
  </w:style>
  <w:style w:type="character" w:customStyle="1" w:styleId="a1">
    <w:name w:val="כותרת עליונה תו"/>
    <w:basedOn w:val="DefaultParagraphFont"/>
    <w:link w:val="Header"/>
    <w:uiPriority w:val="99"/>
    <w:rsid w:val="000501A4"/>
  </w:style>
  <w:style w:type="paragraph" w:styleId="Footer">
    <w:name w:val="footer"/>
    <w:basedOn w:val="Normal"/>
    <w:link w:val="a2"/>
    <w:uiPriority w:val="99"/>
    <w:unhideWhenUsed/>
    <w:rsid w:val="000501A4"/>
    <w:pPr>
      <w:tabs>
        <w:tab w:val="center" w:pos="4153"/>
        <w:tab w:val="right" w:pos="8306"/>
      </w:tabs>
      <w:spacing w:line="240" w:lineRule="auto"/>
    </w:pPr>
  </w:style>
  <w:style w:type="character" w:customStyle="1" w:styleId="a2">
    <w:name w:val="כותרת תחתונה תו"/>
    <w:basedOn w:val="DefaultParagraphFont"/>
    <w:link w:val="Footer"/>
    <w:uiPriority w:val="99"/>
    <w:rsid w:val="000501A4"/>
  </w:style>
  <w:style w:type="paragraph" w:styleId="Date">
    <w:name w:val="Date"/>
    <w:basedOn w:val="Normal"/>
    <w:next w:val="Normal"/>
    <w:link w:val="a3"/>
    <w:uiPriority w:val="99"/>
    <w:unhideWhenUsed/>
    <w:rsid w:val="000501A4"/>
    <w:pPr>
      <w:spacing w:before="120" w:line="240" w:lineRule="auto"/>
    </w:pPr>
  </w:style>
  <w:style w:type="character" w:customStyle="1" w:styleId="a3">
    <w:name w:val="תאריך תו"/>
    <w:basedOn w:val="DefaultParagraphFont"/>
    <w:link w:val="Date"/>
    <w:uiPriority w:val="99"/>
    <w:rsid w:val="000501A4"/>
  </w:style>
  <w:style w:type="paragraph" w:styleId="FootnoteText">
    <w:name w:val="footnote text"/>
    <w:aliases w:val=" Char,Char,F1,FOOTNOTES,Footnote Text - Sharp,Footnote Text - Sharp Char,Footnote Text - Sharp Char Char,Footnote Text Char Char Char Char Char,Footnote reference,Sharp - Footnote Text,Sharp - Footnote Text1 Char,fn,footnote text"/>
    <w:basedOn w:val="Normal"/>
    <w:link w:val="a4"/>
    <w:uiPriority w:val="99"/>
    <w:qFormat/>
    <w:rsid w:val="00574579"/>
    <w:pPr>
      <w:spacing w:line="240" w:lineRule="auto"/>
      <w:ind w:left="720" w:hanging="720"/>
    </w:pPr>
    <w:rPr>
      <w:szCs w:val="20"/>
    </w:rPr>
  </w:style>
  <w:style w:type="character" w:customStyle="1" w:styleId="a4">
    <w:name w:val="טקסט הערת שוליים תו"/>
    <w:aliases w:val=" Char תו,Char תו,F1 תו,FOOTNOTES תו,Footnote Text - Sharp Char Char תו,Footnote Text - Sharp Char תו,Footnote Text - Sharp תו,Footnote Text Char Char Char Char Char תו,Footnote reference תו,Sharp - Footnote Text תו,fn תו"/>
    <w:basedOn w:val="DefaultParagraphFont"/>
    <w:link w:val="FootnoteText"/>
    <w:uiPriority w:val="99"/>
    <w:rsid w:val="00574579"/>
    <w:rPr>
      <w:szCs w:val="20"/>
    </w:rPr>
  </w:style>
  <w:style w:type="character" w:styleId="FootnoteReference1">
    <w:name w:val="footnote reference"/>
    <w:aliases w:val="Footnote Reference_0,Footnote Reference_0_0,Footnote Reference_0_0_0,Footnote Reference_0_0_0_0,Footnote Reference_1,Footnote Reference_2,Footnote Reference_3,Footnote Reference_3_0,Footnote Reference_4,Footnote text,fr,מ"/>
    <w:basedOn w:val="DefaultParagraphFont"/>
    <w:uiPriority w:val="99"/>
    <w:unhideWhenUsed/>
    <w:rsid w:val="000501A4"/>
    <w:rPr>
      <w:vertAlign w:val="superscript"/>
    </w:rPr>
  </w:style>
  <w:style w:type="paragraph" w:styleId="ListParagraph">
    <w:name w:val="List Paragraph"/>
    <w:aliases w:val="Bullet Number,Num Bullet 1,Use Case List Paragraph,style 2,פיסקת רשימה1"/>
    <w:basedOn w:val="Normal"/>
    <w:link w:val="a9"/>
    <w:uiPriority w:val="34"/>
    <w:qFormat/>
    <w:rsid w:val="00B4321D"/>
    <w:pPr>
      <w:ind w:left="720"/>
      <w:contextualSpacing/>
    </w:pPr>
  </w:style>
  <w:style w:type="table" w:styleId="TableGrid">
    <w:name w:val="Table Grid"/>
    <w:basedOn w:val="TableNormal"/>
    <w:uiPriority w:val="59"/>
    <w:rsid w:val="00B43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a5"/>
    <w:uiPriority w:val="99"/>
    <w:unhideWhenUsed/>
    <w:rsid w:val="00B4321D"/>
    <w:pPr>
      <w:spacing w:line="240" w:lineRule="auto"/>
    </w:pPr>
    <w:rPr>
      <w:rFonts w:ascii="Tahoma" w:hAnsi="Tahoma" w:cs="Tahoma"/>
      <w:sz w:val="18"/>
      <w:szCs w:val="18"/>
    </w:rPr>
  </w:style>
  <w:style w:type="character" w:customStyle="1" w:styleId="a5">
    <w:name w:val="טקסט בלונים תו"/>
    <w:basedOn w:val="DefaultParagraphFont"/>
    <w:link w:val="BalloonText"/>
    <w:uiPriority w:val="99"/>
    <w:rsid w:val="00B4321D"/>
    <w:rPr>
      <w:rFonts w:ascii="Tahoma" w:hAnsi="Tahoma" w:cs="Tahoma"/>
      <w:sz w:val="18"/>
      <w:szCs w:val="18"/>
    </w:rPr>
  </w:style>
  <w:style w:type="character" w:styleId="CommentReference">
    <w:name w:val="annotation reference"/>
    <w:basedOn w:val="DefaultParagraphFont"/>
    <w:uiPriority w:val="99"/>
    <w:semiHidden/>
    <w:unhideWhenUsed/>
    <w:rsid w:val="00B4321D"/>
    <w:rPr>
      <w:sz w:val="16"/>
      <w:szCs w:val="16"/>
    </w:rPr>
  </w:style>
  <w:style w:type="paragraph" w:styleId="CommentText">
    <w:name w:val="annotation text"/>
    <w:basedOn w:val="Normal"/>
    <w:link w:val="a6"/>
    <w:uiPriority w:val="99"/>
    <w:unhideWhenUsed/>
    <w:rsid w:val="00B4321D"/>
    <w:pPr>
      <w:spacing w:line="240" w:lineRule="auto"/>
    </w:pPr>
    <w:rPr>
      <w:szCs w:val="20"/>
    </w:rPr>
  </w:style>
  <w:style w:type="character" w:customStyle="1" w:styleId="a6">
    <w:name w:val="טקסט הערה תו"/>
    <w:basedOn w:val="DefaultParagraphFont"/>
    <w:link w:val="CommentText"/>
    <w:uiPriority w:val="99"/>
    <w:rsid w:val="00B4321D"/>
    <w:rPr>
      <w:szCs w:val="20"/>
    </w:rPr>
  </w:style>
  <w:style w:type="paragraph" w:styleId="CommentSubject">
    <w:name w:val="annotation subject"/>
    <w:basedOn w:val="CommentText"/>
    <w:next w:val="CommentText"/>
    <w:link w:val="a7"/>
    <w:uiPriority w:val="99"/>
    <w:semiHidden/>
    <w:unhideWhenUsed/>
    <w:rsid w:val="00B4321D"/>
    <w:rPr>
      <w:b/>
      <w:bCs/>
    </w:rPr>
  </w:style>
  <w:style w:type="character" w:customStyle="1" w:styleId="a7">
    <w:name w:val="נושא הערה תו"/>
    <w:basedOn w:val="a6"/>
    <w:link w:val="CommentSubject"/>
    <w:uiPriority w:val="99"/>
    <w:semiHidden/>
    <w:rsid w:val="00B4321D"/>
    <w:rPr>
      <w:b/>
      <w:bCs/>
      <w:szCs w:val="20"/>
    </w:rPr>
  </w:style>
  <w:style w:type="paragraph" w:styleId="Revision">
    <w:name w:val="Revision"/>
    <w:hidden/>
    <w:uiPriority w:val="99"/>
    <w:semiHidden/>
    <w:rsid w:val="00B4321D"/>
    <w:pPr>
      <w:spacing w:after="0" w:line="240" w:lineRule="auto"/>
      <w:jc w:val="left"/>
    </w:pPr>
  </w:style>
  <w:style w:type="paragraph" w:styleId="NoSpacing">
    <w:name w:val="No Spacing"/>
    <w:aliases w:val="מספורנוהל"/>
    <w:basedOn w:val="Normal"/>
    <w:link w:val="a8"/>
    <w:uiPriority w:val="1"/>
    <w:qFormat/>
    <w:rsid w:val="00B4321D"/>
    <w:pPr>
      <w:tabs>
        <w:tab w:val="left" w:pos="1701"/>
      </w:tabs>
      <w:spacing w:line="360" w:lineRule="auto"/>
      <w:contextualSpacing/>
    </w:pPr>
    <w:rPr>
      <w:rFonts w:ascii="David" w:eastAsia="Times New Roman" w:hAnsi="David"/>
      <w:b/>
      <w:sz w:val="24"/>
      <w:lang w:eastAsia="he-IL"/>
    </w:rPr>
  </w:style>
  <w:style w:type="character" w:customStyle="1" w:styleId="a8">
    <w:name w:val="ללא מרווח תו"/>
    <w:aliases w:val="מספורנוהל תו"/>
    <w:basedOn w:val="DefaultParagraphFont"/>
    <w:link w:val="NoSpacing"/>
    <w:uiPriority w:val="1"/>
    <w:rsid w:val="00B4321D"/>
    <w:rPr>
      <w:rFonts w:ascii="David" w:eastAsia="Times New Roman" w:hAnsi="David"/>
      <w:b/>
      <w:sz w:val="24"/>
      <w:lang w:eastAsia="he-IL"/>
    </w:rPr>
  </w:style>
  <w:style w:type="paragraph" w:styleId="NormalWeb">
    <w:name w:val="Normal (Web)"/>
    <w:basedOn w:val="Normal"/>
    <w:uiPriority w:val="99"/>
    <w:semiHidden/>
    <w:unhideWhenUsed/>
    <w:rsid w:val="00B4321D"/>
    <w:pPr>
      <w:bidi w:val="0"/>
      <w:spacing w:before="100" w:beforeAutospacing="1" w:after="100" w:afterAutospacing="1" w:line="240" w:lineRule="auto"/>
      <w:jc w:val="left"/>
    </w:pPr>
    <w:rPr>
      <w:rFonts w:eastAsiaTheme="minorEastAsia" w:cs="Times New Roman"/>
      <w:sz w:val="24"/>
    </w:rPr>
  </w:style>
  <w:style w:type="table" w:customStyle="1" w:styleId="11">
    <w:name w:val="רשת טבלה1"/>
    <w:basedOn w:val="TableNormal"/>
    <w:next w:val="TableGrid"/>
    <w:uiPriority w:val="39"/>
    <w:rsid w:val="00B4321D"/>
    <w:pPr>
      <w:spacing w:after="0" w:line="240" w:lineRule="auto"/>
      <w:jc w:val="left"/>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פיסקת רשימה תו"/>
    <w:aliases w:val="Bullet Number תו,Num Bullet 1 תו,Use Case List Paragraph תו,style 2 תו,פיסקת רשימה1 תו"/>
    <w:link w:val="ListParagraph"/>
    <w:uiPriority w:val="34"/>
    <w:rsid w:val="00B4321D"/>
  </w:style>
  <w:style w:type="table" w:styleId="GridTable1LightAccent5">
    <w:name w:val="Grid Table 1 Light Accent 5"/>
    <w:basedOn w:val="TableNormal"/>
    <w:uiPriority w:val="46"/>
    <w:rsid w:val="00B4321D"/>
    <w:pPr>
      <w:spacing w:after="0" w:line="240" w:lineRule="auto"/>
      <w:jc w:val="left"/>
    </w:pPr>
    <w:rPr>
      <w:rFonts w:asciiTheme="minorHAnsi" w:hAnsiTheme="minorHAnsi" w:cstheme="minorBidi"/>
      <w:sz w:val="22"/>
      <w:szCs w:val="22"/>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B4321D"/>
    <w:rPr>
      <w:color w:val="0000FF" w:themeColor="hyperlink"/>
      <w:u w:val="single"/>
    </w:rPr>
  </w:style>
  <w:style w:type="paragraph" w:customStyle="1" w:styleId="75">
    <w:name w:val="75א מספור הערות שוליים"/>
    <w:basedOn w:val="Normal"/>
    <w:qFormat/>
    <w:rsid w:val="00B4321D"/>
    <w:pPr>
      <w:keepLines/>
      <w:spacing w:after="60" w:line="220" w:lineRule="exact"/>
      <w:ind w:left="397" w:hanging="397"/>
    </w:pPr>
    <w:rPr>
      <w:rFonts w:ascii="Tahoma" w:hAnsi="Tahoma" w:cs="Tahoma"/>
      <w:color w:val="0D0D0D" w:themeColor="text1" w:themeTint="F2"/>
      <w:sz w:val="14"/>
      <w:szCs w:val="14"/>
    </w:rPr>
  </w:style>
  <w:style w:type="character" w:styleId="FollowedHyperlink">
    <w:name w:val="FollowedHyperlink"/>
    <w:basedOn w:val="DefaultParagraphFont"/>
    <w:uiPriority w:val="99"/>
    <w:semiHidden/>
    <w:unhideWhenUsed/>
    <w:rsid w:val="00B4321D"/>
    <w:rPr>
      <w:color w:val="800080" w:themeColor="followedHyperlink"/>
      <w:u w:val="single"/>
    </w:rPr>
  </w:style>
  <w:style w:type="character" w:styleId="UnresolvedMention">
    <w:name w:val="Unresolved Mention"/>
    <w:basedOn w:val="DefaultParagraphFont"/>
    <w:uiPriority w:val="99"/>
    <w:semiHidden/>
    <w:unhideWhenUsed/>
    <w:rsid w:val="00B4321D"/>
    <w:rPr>
      <w:color w:val="605E5C"/>
      <w:shd w:val="clear" w:color="auto" w:fill="E1DFDD"/>
    </w:rPr>
  </w:style>
  <w:style w:type="paragraph" w:customStyle="1" w:styleId="a10">
    <w:name w:val="פרטי הדוח ממה"/>
    <w:basedOn w:val="Normal"/>
    <w:qFormat/>
    <w:rsid w:val="00B4321D"/>
    <w:pPr>
      <w:spacing w:before="600" w:line="240" w:lineRule="auto"/>
      <w:ind w:left="284"/>
      <w:jc w:val="left"/>
    </w:pPr>
    <w:rPr>
      <w:rFonts w:ascii="Calibri" w:eastAsia="Calibri" w:hAnsi="Calibri" w:cs="Calibri"/>
      <w:noProof/>
      <w:color w:val="FFFFFF" w:themeColor="background1"/>
      <w:sz w:val="24"/>
    </w:rPr>
  </w:style>
  <w:style w:type="paragraph" w:customStyle="1" w:styleId="a11">
    <w:name w:val="כותרת הדוח ממה"/>
    <w:basedOn w:val="Normal"/>
    <w:link w:val="a12"/>
    <w:qFormat/>
    <w:rsid w:val="00B4321D"/>
    <w:pPr>
      <w:widowControl w:val="0"/>
      <w:spacing w:before="600" w:line="240" w:lineRule="auto"/>
      <w:ind w:left="284"/>
      <w:jc w:val="left"/>
    </w:pPr>
    <w:rPr>
      <w:rFonts w:ascii="Calibri" w:hAnsi="Calibri" w:cs="Calibri"/>
      <w:b/>
      <w:bCs/>
      <w:color w:val="FFFFFF" w:themeColor="background1"/>
      <w:sz w:val="60"/>
      <w:szCs w:val="60"/>
    </w:rPr>
  </w:style>
  <w:style w:type="character" w:customStyle="1" w:styleId="a12">
    <w:name w:val="כותרת הדוח ממה תו"/>
    <w:basedOn w:val="DefaultParagraphFont"/>
    <w:link w:val="a11"/>
    <w:rsid w:val="00B4321D"/>
    <w:rPr>
      <w:rFonts w:ascii="Calibri" w:hAnsi="Calibri" w:cs="Calibri"/>
      <w:b/>
      <w:bCs/>
      <w:color w:val="FFFFFF" w:themeColor="background1"/>
      <w:sz w:val="60"/>
      <w:szCs w:val="60"/>
    </w:rPr>
  </w:style>
  <w:style w:type="paragraph" w:customStyle="1" w:styleId="a13">
    <w:name w:val="טקסט שם מונח ממה"/>
    <w:basedOn w:val="Normal"/>
    <w:qFormat/>
    <w:rsid w:val="00B4321D"/>
    <w:pPr>
      <w:suppressAutoHyphens/>
      <w:autoSpaceDE w:val="0"/>
      <w:autoSpaceDN w:val="0"/>
      <w:adjustRightInd w:val="0"/>
      <w:spacing w:before="60" w:after="60"/>
      <w:ind w:left="57" w:right="170"/>
      <w:jc w:val="left"/>
      <w:textAlignment w:val="center"/>
    </w:pPr>
    <w:rPr>
      <w:rFonts w:ascii="Calibri" w:eastAsia="DengXian" w:hAnsi="Calibri" w:cs="Calibri"/>
      <w:b/>
      <w:bCs/>
      <w:color w:val="002060"/>
      <w:sz w:val="24"/>
      <w:lang w:val="en-GB"/>
    </w:rPr>
  </w:style>
  <w:style w:type="paragraph" w:customStyle="1" w:styleId="a14">
    <w:name w:val="טקסט הגדרת מונח ממה"/>
    <w:link w:val="a15"/>
    <w:qFormat/>
    <w:rsid w:val="00B4321D"/>
    <w:pPr>
      <w:suppressAutoHyphens/>
      <w:autoSpaceDE w:val="0"/>
      <w:autoSpaceDN w:val="0"/>
      <w:bidi/>
      <w:adjustRightInd w:val="0"/>
      <w:spacing w:before="60" w:after="60" w:line="312" w:lineRule="auto"/>
      <w:ind w:left="57" w:right="170"/>
      <w:jc w:val="left"/>
      <w:textAlignment w:val="center"/>
    </w:pPr>
    <w:rPr>
      <w:rFonts w:ascii="Calibri" w:eastAsia="DengXian" w:hAnsi="Calibri" w:cs="Calibri"/>
      <w:color w:val="002060"/>
      <w:sz w:val="24"/>
      <w:lang w:val="en-GB"/>
    </w:rPr>
  </w:style>
  <w:style w:type="character" w:customStyle="1" w:styleId="a15">
    <w:name w:val="טקסט הגדרת מונח ממה תו"/>
    <w:basedOn w:val="DefaultParagraphFont"/>
    <w:link w:val="a14"/>
    <w:rsid w:val="00B4321D"/>
    <w:rPr>
      <w:rFonts w:ascii="Calibri" w:eastAsia="DengXian" w:hAnsi="Calibri" w:cs="Calibri"/>
      <w:color w:val="002060"/>
      <w:sz w:val="24"/>
      <w:lang w:val="en-GB"/>
    </w:rPr>
  </w:style>
  <w:style w:type="paragraph" w:customStyle="1" w:styleId="a16">
    <w:name w:val="מבוא ממה"/>
    <w:basedOn w:val="Normal"/>
    <w:next w:val="Normal"/>
    <w:link w:val="a17"/>
    <w:autoRedefine/>
    <w:qFormat/>
    <w:rsid w:val="00B4321D"/>
    <w:pPr>
      <w:pageBreakBefore/>
      <w:widowControl w:val="0"/>
      <w:shd w:val="clear" w:color="F3F7FF" w:fill="FFFFFF" w:themeFill="background1"/>
      <w:spacing w:before="120" w:line="276" w:lineRule="auto"/>
      <w:ind w:left="1134"/>
      <w:outlineLvl w:val="0"/>
    </w:pPr>
    <w:rPr>
      <w:rFonts w:ascii="Calibri" w:eastAsia="Calibri" w:hAnsi="Calibri" w:cs="Calibri"/>
      <w:color w:val="FFFFFF" w:themeColor="background1"/>
      <w:position w:val="6"/>
      <w:sz w:val="2"/>
      <w:szCs w:val="2"/>
      <w:u w:color="FFFFFF"/>
    </w:rPr>
  </w:style>
  <w:style w:type="character" w:customStyle="1" w:styleId="a17">
    <w:name w:val="מבוא ממה תו"/>
    <w:basedOn w:val="DefaultParagraphFont"/>
    <w:link w:val="a16"/>
    <w:rsid w:val="00B4321D"/>
    <w:rPr>
      <w:rFonts w:ascii="Calibri" w:eastAsia="Calibri" w:hAnsi="Calibri" w:cs="Calibri"/>
      <w:color w:val="FFFFFF" w:themeColor="background1"/>
      <w:position w:val="6"/>
      <w:sz w:val="2"/>
      <w:szCs w:val="2"/>
      <w:u w:color="FFFFFF"/>
      <w:shd w:val="clear" w:color="F3F7FF" w:fill="FFFFFF" w:themeFill="background1"/>
    </w:rPr>
  </w:style>
  <w:style w:type="paragraph" w:customStyle="1" w:styleId="a18">
    <w:name w:val="מראה מקום ממה"/>
    <w:basedOn w:val="Normal"/>
    <w:next w:val="Normal"/>
    <w:link w:val="a19"/>
    <w:qFormat/>
    <w:rsid w:val="00B4321D"/>
    <w:pPr>
      <w:widowControl w:val="0"/>
      <w:pBdr>
        <w:top w:val="single" w:sz="18" w:space="1" w:color="4F81BD" w:themeColor="accent1"/>
      </w:pBdr>
      <w:shd w:val="solid" w:color="F3F7FF" w:fill="auto"/>
      <w:spacing w:before="120" w:line="240" w:lineRule="auto"/>
      <w:ind w:left="1134"/>
    </w:pPr>
    <w:rPr>
      <w:rFonts w:ascii="Calibri" w:eastAsia="Calibri" w:hAnsi="Calibri" w:cs="Calibri"/>
      <w:b/>
      <w:bCs/>
      <w:color w:val="002060"/>
      <w:sz w:val="18"/>
      <w:szCs w:val="18"/>
    </w:rPr>
  </w:style>
  <w:style w:type="character" w:customStyle="1" w:styleId="a19">
    <w:name w:val="מראה מקום ממה תו"/>
    <w:basedOn w:val="DefaultParagraphFont"/>
    <w:link w:val="a18"/>
    <w:rsid w:val="00B4321D"/>
    <w:rPr>
      <w:rFonts w:ascii="Calibri" w:eastAsia="Calibri" w:hAnsi="Calibri" w:cs="Calibri"/>
      <w:b/>
      <w:bCs/>
      <w:color w:val="002060"/>
      <w:sz w:val="18"/>
      <w:szCs w:val="18"/>
      <w:shd w:val="solid" w:color="F3F7FF" w:fill="auto"/>
    </w:rPr>
  </w:style>
  <w:style w:type="paragraph" w:customStyle="1" w:styleId="a20">
    <w:name w:val="כותרת עליונה ממה"/>
    <w:basedOn w:val="Normal"/>
    <w:next w:val="Normal"/>
    <w:link w:val="a21"/>
    <w:qFormat/>
    <w:rsid w:val="00B4321D"/>
    <w:pPr>
      <w:spacing w:line="240" w:lineRule="auto"/>
      <w:ind w:left="737"/>
      <w:jc w:val="left"/>
    </w:pPr>
    <w:rPr>
      <w:rFonts w:ascii="Calibri" w:eastAsia="Calibri" w:hAnsi="Calibri" w:cs="Calibri"/>
      <w:color w:val="002060"/>
      <w:sz w:val="18"/>
      <w:szCs w:val="18"/>
    </w:rPr>
  </w:style>
  <w:style w:type="character" w:customStyle="1" w:styleId="a21">
    <w:name w:val="כותרת עליונה ממה תו"/>
    <w:basedOn w:val="DefaultParagraphFont"/>
    <w:link w:val="a20"/>
    <w:rsid w:val="00B4321D"/>
    <w:rPr>
      <w:rFonts w:ascii="Calibri" w:eastAsia="Calibri" w:hAnsi="Calibri" w:cs="Calibri"/>
      <w:color w:val="002060"/>
      <w:sz w:val="18"/>
      <w:szCs w:val="18"/>
    </w:rPr>
  </w:style>
  <w:style w:type="paragraph" w:customStyle="1" w:styleId="13">
    <w:name w:val="כותרת 1 ממה"/>
    <w:basedOn w:val="Normal"/>
    <w:next w:val="Normal"/>
    <w:link w:val="14"/>
    <w:qFormat/>
    <w:rsid w:val="00B4321D"/>
    <w:pPr>
      <w:keepNext/>
      <w:widowControl w:val="0"/>
      <w:numPr>
        <w:numId w:val="1"/>
      </w:numPr>
      <w:spacing w:before="240" w:after="120" w:line="440" w:lineRule="exact"/>
      <w:jc w:val="left"/>
      <w:outlineLvl w:val="0"/>
    </w:pPr>
    <w:rPr>
      <w:rFonts w:ascii="Calibri" w:eastAsia="Calibri" w:hAnsi="Calibri" w:cs="Calibri"/>
      <w:b/>
      <w:bCs/>
      <w:color w:val="002060"/>
      <w:sz w:val="40"/>
      <w:szCs w:val="40"/>
    </w:rPr>
  </w:style>
  <w:style w:type="character" w:customStyle="1" w:styleId="14">
    <w:name w:val="כותרת 1 ממה תו"/>
    <w:basedOn w:val="DefaultParagraphFont"/>
    <w:link w:val="13"/>
    <w:rsid w:val="00B4321D"/>
    <w:rPr>
      <w:rFonts w:ascii="Calibri" w:eastAsia="Calibri" w:hAnsi="Calibri" w:cs="Calibri"/>
      <w:b/>
      <w:bCs/>
      <w:color w:val="002060"/>
      <w:sz w:val="40"/>
      <w:szCs w:val="40"/>
    </w:rPr>
  </w:style>
  <w:style w:type="paragraph" w:customStyle="1" w:styleId="20">
    <w:name w:val="כותרת 2 ממה"/>
    <w:basedOn w:val="Normal"/>
    <w:next w:val="Normal"/>
    <w:link w:val="21"/>
    <w:qFormat/>
    <w:rsid w:val="00B4321D"/>
    <w:pPr>
      <w:keepNext/>
      <w:widowControl w:val="0"/>
      <w:numPr>
        <w:numId w:val="2"/>
      </w:numPr>
      <w:spacing w:before="240" w:line="280" w:lineRule="exact"/>
      <w:jc w:val="left"/>
      <w:outlineLvl w:val="1"/>
    </w:pPr>
    <w:rPr>
      <w:rFonts w:ascii="Calibri" w:eastAsia="Calibri" w:hAnsi="Calibri" w:cs="Calibri"/>
      <w:b/>
      <w:bCs/>
      <w:color w:val="002060"/>
      <w:sz w:val="36"/>
      <w:szCs w:val="36"/>
    </w:rPr>
  </w:style>
  <w:style w:type="character" w:customStyle="1" w:styleId="21">
    <w:name w:val="כותרת 2 ממה תו"/>
    <w:basedOn w:val="2"/>
    <w:link w:val="20"/>
    <w:rsid w:val="00B4321D"/>
    <w:rPr>
      <w:rFonts w:ascii="Calibri" w:eastAsia="Calibri" w:hAnsi="Calibri" w:cs="Calibri"/>
      <w:b/>
      <w:bCs/>
      <w:color w:val="002060"/>
      <w:sz w:val="36"/>
      <w:szCs w:val="36"/>
    </w:rPr>
  </w:style>
  <w:style w:type="paragraph" w:customStyle="1" w:styleId="30">
    <w:name w:val="כותרת 3 ממה"/>
    <w:basedOn w:val="Normal"/>
    <w:next w:val="Normal"/>
    <w:link w:val="31"/>
    <w:qFormat/>
    <w:rsid w:val="00B4321D"/>
    <w:pPr>
      <w:widowControl w:val="0"/>
      <w:numPr>
        <w:numId w:val="3"/>
      </w:numPr>
      <w:spacing w:before="240" w:line="280" w:lineRule="exact"/>
      <w:jc w:val="left"/>
    </w:pPr>
    <w:rPr>
      <w:rFonts w:ascii="Calibri" w:eastAsia="Calibri" w:hAnsi="Calibri" w:cs="Calibri"/>
      <w:b/>
      <w:bCs/>
      <w:color w:val="002060"/>
      <w:sz w:val="28"/>
      <w:szCs w:val="28"/>
      <w:u w:val="single"/>
    </w:rPr>
  </w:style>
  <w:style w:type="character" w:customStyle="1" w:styleId="31">
    <w:name w:val="כותרת 3 ממה תו"/>
    <w:basedOn w:val="3"/>
    <w:link w:val="30"/>
    <w:rsid w:val="00B4321D"/>
    <w:rPr>
      <w:rFonts w:ascii="Calibri" w:eastAsia="Calibri" w:hAnsi="Calibri" w:cs="Calibri"/>
      <w:b/>
      <w:bCs/>
      <w:color w:val="002060"/>
      <w:sz w:val="28"/>
      <w:szCs w:val="28"/>
      <w:u w:val="single"/>
    </w:rPr>
  </w:style>
  <w:style w:type="paragraph" w:customStyle="1" w:styleId="40">
    <w:name w:val="כותרת 4 ממה"/>
    <w:basedOn w:val="Normal"/>
    <w:next w:val="Normal"/>
    <w:link w:val="41"/>
    <w:qFormat/>
    <w:rsid w:val="00B4321D"/>
    <w:pPr>
      <w:keepNext/>
      <w:widowControl w:val="0"/>
      <w:spacing w:before="240" w:line="280" w:lineRule="exact"/>
      <w:ind w:left="1134"/>
      <w:jc w:val="left"/>
      <w:outlineLvl w:val="3"/>
    </w:pPr>
    <w:rPr>
      <w:rFonts w:ascii="Calibri" w:eastAsia="Calibri" w:hAnsi="Calibri" w:cs="Calibri"/>
      <w:color w:val="002060"/>
      <w:sz w:val="28"/>
      <w:szCs w:val="28"/>
    </w:rPr>
  </w:style>
  <w:style w:type="character" w:customStyle="1" w:styleId="41">
    <w:name w:val="כותרת 4 ממה תו"/>
    <w:basedOn w:val="DefaultParagraphFont"/>
    <w:link w:val="40"/>
    <w:rsid w:val="00B4321D"/>
    <w:rPr>
      <w:rFonts w:ascii="Calibri" w:eastAsia="Calibri" w:hAnsi="Calibri" w:cs="Calibri"/>
      <w:color w:val="002060"/>
      <w:sz w:val="28"/>
      <w:szCs w:val="28"/>
    </w:rPr>
  </w:style>
  <w:style w:type="paragraph" w:customStyle="1" w:styleId="15">
    <w:name w:val="רשימה1 ממה"/>
    <w:basedOn w:val="Normal"/>
    <w:link w:val="16"/>
    <w:qFormat/>
    <w:rsid w:val="00B4321D"/>
    <w:pPr>
      <w:widowControl w:val="0"/>
      <w:numPr>
        <w:numId w:val="4"/>
      </w:numPr>
      <w:spacing w:line="280" w:lineRule="exact"/>
    </w:pPr>
    <w:rPr>
      <w:rFonts w:ascii="Calibri" w:eastAsia="Calibri" w:hAnsi="Calibri" w:cs="Calibri"/>
      <w:color w:val="002060"/>
      <w:sz w:val="24"/>
    </w:rPr>
  </w:style>
  <w:style w:type="character" w:customStyle="1" w:styleId="16">
    <w:name w:val="רשימה1 ממה תו"/>
    <w:basedOn w:val="DefaultParagraphFont"/>
    <w:link w:val="15"/>
    <w:rsid w:val="00B4321D"/>
    <w:rPr>
      <w:rFonts w:ascii="Calibri" w:eastAsia="Calibri" w:hAnsi="Calibri" w:cs="Calibri"/>
      <w:color w:val="002060"/>
      <w:sz w:val="24"/>
    </w:rPr>
  </w:style>
  <w:style w:type="paragraph" w:customStyle="1" w:styleId="22">
    <w:name w:val="רשימה2 ממה"/>
    <w:basedOn w:val="Normal"/>
    <w:link w:val="23"/>
    <w:qFormat/>
    <w:rsid w:val="00B4321D"/>
    <w:pPr>
      <w:widowControl w:val="0"/>
      <w:spacing w:line="280" w:lineRule="exact"/>
      <w:ind w:left="1871"/>
    </w:pPr>
    <w:rPr>
      <w:rFonts w:ascii="Calibri" w:eastAsia="Calibri" w:hAnsi="Calibri" w:cs="Calibri"/>
      <w:color w:val="002060"/>
      <w:sz w:val="24"/>
    </w:rPr>
  </w:style>
  <w:style w:type="character" w:customStyle="1" w:styleId="23">
    <w:name w:val="רשימה2 ממה תו"/>
    <w:basedOn w:val="DefaultParagraphFont"/>
    <w:link w:val="22"/>
    <w:rsid w:val="00B4321D"/>
    <w:rPr>
      <w:rFonts w:ascii="Calibri" w:eastAsia="Calibri" w:hAnsi="Calibri" w:cs="Calibri"/>
      <w:color w:val="002060"/>
      <w:sz w:val="24"/>
    </w:rPr>
  </w:style>
  <w:style w:type="paragraph" w:customStyle="1" w:styleId="32">
    <w:name w:val="רשימה3 ממה"/>
    <w:basedOn w:val="Normal"/>
    <w:link w:val="33"/>
    <w:qFormat/>
    <w:rsid w:val="00B4321D"/>
    <w:pPr>
      <w:widowControl w:val="0"/>
      <w:numPr>
        <w:numId w:val="5"/>
      </w:numPr>
      <w:spacing w:line="280" w:lineRule="exact"/>
    </w:pPr>
    <w:rPr>
      <w:rFonts w:ascii="Calibri" w:eastAsia="Calibri" w:hAnsi="Calibri" w:cs="Calibri"/>
      <w:color w:val="002060"/>
      <w:sz w:val="24"/>
    </w:rPr>
  </w:style>
  <w:style w:type="character" w:customStyle="1" w:styleId="33">
    <w:name w:val="רשימה3 ממה תו"/>
    <w:basedOn w:val="DefaultParagraphFont"/>
    <w:link w:val="32"/>
    <w:rsid w:val="00B4321D"/>
    <w:rPr>
      <w:rFonts w:ascii="Calibri" w:eastAsia="Calibri" w:hAnsi="Calibri" w:cs="Calibri"/>
      <w:color w:val="002060"/>
      <w:sz w:val="24"/>
    </w:rPr>
  </w:style>
  <w:style w:type="paragraph" w:customStyle="1" w:styleId="42">
    <w:name w:val="רשימה4 ממה"/>
    <w:basedOn w:val="Normal"/>
    <w:link w:val="43"/>
    <w:qFormat/>
    <w:rsid w:val="00B4321D"/>
    <w:pPr>
      <w:widowControl w:val="0"/>
      <w:spacing w:line="280" w:lineRule="exact"/>
      <w:ind w:left="2552"/>
    </w:pPr>
    <w:rPr>
      <w:rFonts w:ascii="Calibri" w:eastAsia="Calibri" w:hAnsi="Calibri" w:cs="Calibri"/>
      <w:color w:val="002060"/>
      <w:sz w:val="24"/>
    </w:rPr>
  </w:style>
  <w:style w:type="character" w:customStyle="1" w:styleId="43">
    <w:name w:val="רשימה4 ממה תו"/>
    <w:basedOn w:val="DefaultParagraphFont"/>
    <w:link w:val="42"/>
    <w:rsid w:val="00B4321D"/>
    <w:rPr>
      <w:rFonts w:ascii="Calibri" w:eastAsia="Calibri" w:hAnsi="Calibri" w:cs="Calibri"/>
      <w:color w:val="002060"/>
      <w:sz w:val="24"/>
    </w:rPr>
  </w:style>
  <w:style w:type="paragraph" w:customStyle="1" w:styleId="50">
    <w:name w:val="רשימה5 ממה"/>
    <w:basedOn w:val="Normal"/>
    <w:link w:val="51"/>
    <w:qFormat/>
    <w:rsid w:val="00B4321D"/>
    <w:pPr>
      <w:widowControl w:val="0"/>
      <w:numPr>
        <w:numId w:val="6"/>
      </w:numPr>
      <w:spacing w:line="280" w:lineRule="exact"/>
    </w:pPr>
    <w:rPr>
      <w:rFonts w:ascii="Calibri" w:eastAsia="Calibri" w:hAnsi="Calibri" w:cs="Calibri"/>
      <w:color w:val="002060"/>
      <w:sz w:val="24"/>
    </w:rPr>
  </w:style>
  <w:style w:type="character" w:customStyle="1" w:styleId="51">
    <w:name w:val="רשימה5 ממה תו"/>
    <w:basedOn w:val="DefaultParagraphFont"/>
    <w:link w:val="50"/>
    <w:rsid w:val="00B4321D"/>
    <w:rPr>
      <w:rFonts w:ascii="Calibri" w:eastAsia="Calibri" w:hAnsi="Calibri" w:cs="Calibri"/>
      <w:color w:val="002060"/>
      <w:sz w:val="24"/>
    </w:rPr>
  </w:style>
  <w:style w:type="paragraph" w:customStyle="1" w:styleId="a22">
    <w:name w:val="הערת שוליים ממה"/>
    <w:basedOn w:val="Normal"/>
    <w:link w:val="a23"/>
    <w:qFormat/>
    <w:rsid w:val="00B4321D"/>
    <w:pPr>
      <w:widowControl w:val="0"/>
      <w:spacing w:line="280" w:lineRule="exact"/>
      <w:ind w:left="1985" w:hanging="851"/>
    </w:pPr>
    <w:rPr>
      <w:rFonts w:ascii="Calibri" w:eastAsia="Calibri" w:hAnsi="Calibri" w:cs="Calibri"/>
      <w:color w:val="002060"/>
      <w:sz w:val="24"/>
      <w:szCs w:val="20"/>
    </w:rPr>
  </w:style>
  <w:style w:type="character" w:customStyle="1" w:styleId="a23">
    <w:name w:val="הערת שוליים ממה תו"/>
    <w:basedOn w:val="DefaultParagraphFont"/>
    <w:link w:val="a22"/>
    <w:rsid w:val="00B4321D"/>
    <w:rPr>
      <w:rFonts w:ascii="Calibri" w:eastAsia="Calibri" w:hAnsi="Calibri" w:cs="Calibri"/>
      <w:color w:val="002060"/>
      <w:sz w:val="24"/>
      <w:szCs w:val="20"/>
    </w:rPr>
  </w:style>
  <w:style w:type="paragraph" w:customStyle="1" w:styleId="a24">
    <w:name w:val="הערת סיום ממה"/>
    <w:basedOn w:val="Normal"/>
    <w:link w:val="a25"/>
    <w:qFormat/>
    <w:rsid w:val="00B4321D"/>
    <w:pPr>
      <w:widowControl w:val="0"/>
      <w:spacing w:line="240" w:lineRule="auto"/>
      <w:ind w:left="1134"/>
    </w:pPr>
    <w:rPr>
      <w:rFonts w:ascii="Calibri" w:eastAsia="Calibri" w:hAnsi="Calibri" w:cs="Calibri"/>
      <w:color w:val="002060"/>
      <w:sz w:val="24"/>
      <w:szCs w:val="20"/>
    </w:rPr>
  </w:style>
  <w:style w:type="character" w:customStyle="1" w:styleId="a25">
    <w:name w:val="הערת סיום ממה תו"/>
    <w:basedOn w:val="DefaultParagraphFont"/>
    <w:link w:val="a24"/>
    <w:rsid w:val="00B4321D"/>
    <w:rPr>
      <w:rFonts w:ascii="Calibri" w:eastAsia="Calibri" w:hAnsi="Calibri" w:cs="Calibri"/>
      <w:color w:val="002060"/>
      <w:sz w:val="24"/>
      <w:szCs w:val="20"/>
    </w:rPr>
  </w:style>
  <w:style w:type="paragraph" w:customStyle="1" w:styleId="17">
    <w:name w:val="ליקוי/ממצא חיובי/המלצה1 ממה"/>
    <w:next w:val="Normal"/>
    <w:link w:val="18"/>
    <w:qFormat/>
    <w:rsid w:val="00B4321D"/>
    <w:pPr>
      <w:keepNext/>
      <w:keepLines/>
      <w:widowControl w:val="0"/>
      <w:pBdr>
        <w:bottom w:val="single" w:sz="2" w:space="1" w:color="002060"/>
      </w:pBdr>
      <w:bidi/>
      <w:spacing w:after="0" w:line="280" w:lineRule="exact"/>
      <w:ind w:left="1134"/>
      <w:outlineLvl w:val="8"/>
    </w:pPr>
    <w:rPr>
      <w:rFonts w:ascii="Calibri" w:eastAsia="Calibri" w:hAnsi="Calibri" w:cs="Calibri"/>
      <w:color w:val="002060"/>
      <w:sz w:val="24"/>
    </w:rPr>
  </w:style>
  <w:style w:type="character" w:customStyle="1" w:styleId="18">
    <w:name w:val="ליקוי/ממצא חיובי/המלצה1 ממה תו"/>
    <w:basedOn w:val="DefaultParagraphFont"/>
    <w:link w:val="17"/>
    <w:rsid w:val="00B4321D"/>
    <w:rPr>
      <w:rFonts w:ascii="Calibri" w:eastAsia="Calibri" w:hAnsi="Calibri" w:cs="Calibri"/>
      <w:color w:val="002060"/>
      <w:sz w:val="24"/>
    </w:rPr>
  </w:style>
  <w:style w:type="paragraph" w:customStyle="1" w:styleId="24">
    <w:name w:val="ליקוי/ממצא חיובי/המלצה2 ממה"/>
    <w:basedOn w:val="Normal"/>
    <w:next w:val="Normal"/>
    <w:link w:val="25"/>
    <w:qFormat/>
    <w:rsid w:val="00B4321D"/>
    <w:pPr>
      <w:keepNext/>
      <w:keepLines/>
      <w:widowControl w:val="0"/>
      <w:pBdr>
        <w:bottom w:val="single" w:sz="2" w:space="1" w:color="002060"/>
      </w:pBdr>
      <w:spacing w:line="280" w:lineRule="exact"/>
      <w:ind w:left="1871"/>
      <w:outlineLvl w:val="8"/>
    </w:pPr>
    <w:rPr>
      <w:rFonts w:ascii="Calibri" w:eastAsia="Calibri" w:hAnsi="Calibri" w:cs="Calibri"/>
      <w:color w:val="002060"/>
      <w:sz w:val="24"/>
    </w:rPr>
  </w:style>
  <w:style w:type="character" w:customStyle="1" w:styleId="25">
    <w:name w:val="ליקוי/ממצא חיובי/המלצה2 ממה תו"/>
    <w:basedOn w:val="18"/>
    <w:link w:val="24"/>
    <w:rsid w:val="00B4321D"/>
    <w:rPr>
      <w:rFonts w:ascii="Calibri" w:eastAsia="Calibri" w:hAnsi="Calibri" w:cs="Calibri"/>
      <w:color w:val="002060"/>
      <w:sz w:val="24"/>
    </w:rPr>
  </w:style>
  <w:style w:type="paragraph" w:customStyle="1" w:styleId="34">
    <w:name w:val="ליקוי/ממצא חיובי/המלצה3 ממה"/>
    <w:basedOn w:val="Normal"/>
    <w:link w:val="35"/>
    <w:qFormat/>
    <w:rsid w:val="00B4321D"/>
    <w:pPr>
      <w:keepNext/>
      <w:keepLines/>
      <w:widowControl w:val="0"/>
      <w:pBdr>
        <w:bottom w:val="single" w:sz="4" w:space="1" w:color="002060"/>
      </w:pBdr>
      <w:spacing w:line="280" w:lineRule="exact"/>
      <w:ind w:left="2552"/>
      <w:outlineLvl w:val="8"/>
    </w:pPr>
    <w:rPr>
      <w:rFonts w:ascii="Calibri" w:eastAsia="Calibri" w:hAnsi="Calibri" w:cs="Calibri"/>
      <w:color w:val="002060"/>
      <w:sz w:val="24"/>
    </w:rPr>
  </w:style>
  <w:style w:type="character" w:customStyle="1" w:styleId="35">
    <w:name w:val="ליקוי/ממצא חיובי/המלצה3 ממה תו"/>
    <w:basedOn w:val="DefaultParagraphFont"/>
    <w:link w:val="34"/>
    <w:rsid w:val="00B4321D"/>
    <w:rPr>
      <w:rFonts w:ascii="Calibri" w:eastAsia="Calibri" w:hAnsi="Calibri" w:cs="Calibri"/>
      <w:color w:val="002060"/>
      <w:sz w:val="24"/>
    </w:rPr>
  </w:style>
  <w:style w:type="paragraph" w:customStyle="1" w:styleId="a26">
    <w:name w:val="נבנצאל ממה"/>
    <w:basedOn w:val="Normal"/>
    <w:next w:val="Normal"/>
    <w:link w:val="a27"/>
    <w:uiPriority w:val="99"/>
    <w:qFormat/>
    <w:rsid w:val="00B4321D"/>
    <w:pPr>
      <w:keepNext/>
      <w:spacing w:line="280" w:lineRule="exact"/>
      <w:jc w:val="left"/>
    </w:pPr>
    <w:rPr>
      <w:rFonts w:ascii="Calibri" w:eastAsia="Calibri" w:hAnsi="Calibri" w:cs="Calibri"/>
      <w:color w:val="002060"/>
      <w:szCs w:val="20"/>
    </w:rPr>
  </w:style>
  <w:style w:type="character" w:customStyle="1" w:styleId="a27">
    <w:name w:val="נבנצאל ממה תו"/>
    <w:basedOn w:val="DefaultParagraphFont"/>
    <w:link w:val="a26"/>
    <w:uiPriority w:val="99"/>
    <w:rsid w:val="00B4321D"/>
    <w:rPr>
      <w:rFonts w:ascii="Calibri" w:eastAsia="Calibri" w:hAnsi="Calibri" w:cs="Calibri"/>
      <w:color w:val="002060"/>
      <w:szCs w:val="20"/>
    </w:rPr>
  </w:style>
  <w:style w:type="paragraph" w:customStyle="1" w:styleId="a28">
    <w:name w:val="רגיל ממה"/>
    <w:basedOn w:val="Normal"/>
    <w:link w:val="a29"/>
    <w:qFormat/>
    <w:rsid w:val="00B4321D"/>
    <w:pPr>
      <w:widowControl w:val="0"/>
      <w:spacing w:line="280" w:lineRule="exact"/>
      <w:ind w:left="1134"/>
    </w:pPr>
    <w:rPr>
      <w:rFonts w:ascii="Calibri" w:eastAsia="Calibri" w:hAnsi="Calibri" w:cs="Calibri"/>
      <w:color w:val="002060"/>
      <w:sz w:val="24"/>
    </w:rPr>
  </w:style>
  <w:style w:type="character" w:customStyle="1" w:styleId="a29">
    <w:name w:val="רגיל ממה תו"/>
    <w:basedOn w:val="DefaultParagraphFont"/>
    <w:link w:val="a28"/>
    <w:rsid w:val="00B4321D"/>
    <w:rPr>
      <w:rFonts w:ascii="Calibri" w:eastAsia="Calibri" w:hAnsi="Calibri" w:cs="Calibri"/>
      <w:color w:val="002060"/>
      <w:sz w:val="24"/>
    </w:rPr>
  </w:style>
  <w:style w:type="paragraph" w:customStyle="1" w:styleId="a30">
    <w:name w:val="סיכום ממה"/>
    <w:basedOn w:val="Normal"/>
    <w:next w:val="Normal"/>
    <w:link w:val="a31"/>
    <w:qFormat/>
    <w:rsid w:val="00B4321D"/>
    <w:pPr>
      <w:spacing w:line="276" w:lineRule="auto"/>
      <w:ind w:left="1140"/>
    </w:pPr>
    <w:rPr>
      <w:rFonts w:ascii="Calibri" w:eastAsia="Calibri" w:hAnsi="Calibri" w:cs="Calibri"/>
      <w:b/>
      <w:bCs/>
      <w:color w:val="FFFFFF" w:themeColor="background1"/>
      <w:sz w:val="2"/>
      <w:szCs w:val="2"/>
    </w:rPr>
  </w:style>
  <w:style w:type="character" w:customStyle="1" w:styleId="a31">
    <w:name w:val="סיכום ממה תו"/>
    <w:basedOn w:val="DefaultParagraphFont"/>
    <w:link w:val="a30"/>
    <w:rsid w:val="00B4321D"/>
    <w:rPr>
      <w:rFonts w:ascii="Calibri" w:eastAsia="Calibri" w:hAnsi="Calibri" w:cs="Calibri"/>
      <w:b/>
      <w:bCs/>
      <w:color w:val="FFFFFF" w:themeColor="background1"/>
      <w:sz w:val="2"/>
      <w:szCs w:val="2"/>
    </w:rPr>
  </w:style>
  <w:style w:type="paragraph" w:customStyle="1" w:styleId="a32">
    <w:name w:val="טקסט סיכום ממה"/>
    <w:basedOn w:val="Normal"/>
    <w:next w:val="Normal"/>
    <w:qFormat/>
    <w:rsid w:val="00B4321D"/>
    <w:pPr>
      <w:widowControl w:val="0"/>
      <w:spacing w:after="240" w:line="280" w:lineRule="exact"/>
      <w:ind w:left="1140"/>
    </w:pPr>
    <w:rPr>
      <w:rFonts w:ascii="Calibri" w:eastAsia="Calibri" w:hAnsi="Calibri" w:cs="Calibri"/>
      <w:bCs/>
      <w:color w:val="002060"/>
      <w:sz w:val="24"/>
    </w:rPr>
  </w:style>
  <w:style w:type="paragraph" w:customStyle="1" w:styleId="a33">
    <w:name w:val="סיכום ביניים ממה"/>
    <w:basedOn w:val="Normal"/>
    <w:next w:val="Normal"/>
    <w:qFormat/>
    <w:rsid w:val="00B4321D"/>
    <w:pPr>
      <w:widowControl w:val="0"/>
      <w:spacing w:before="240" w:after="240"/>
      <w:ind w:left="1134"/>
    </w:pPr>
    <w:rPr>
      <w:rFonts w:ascii="Calibri" w:eastAsia="Calibri" w:hAnsi="Calibri" w:cs="Calibri"/>
      <w:noProof/>
      <w:color w:val="002060"/>
      <w:sz w:val="24"/>
    </w:rPr>
  </w:style>
  <w:style w:type="paragraph" w:customStyle="1" w:styleId="a34">
    <w:name w:val="טקסט סיכום ביניים ממה"/>
    <w:basedOn w:val="Normal"/>
    <w:next w:val="Normal"/>
    <w:qFormat/>
    <w:rsid w:val="00B4321D"/>
    <w:pPr>
      <w:widowControl w:val="0"/>
      <w:spacing w:after="240" w:line="280" w:lineRule="exact"/>
      <w:ind w:left="1134"/>
    </w:pPr>
    <w:rPr>
      <w:rFonts w:ascii="Calibri" w:eastAsia="Calibri" w:hAnsi="Calibri" w:cs="Calibri"/>
      <w:bCs/>
      <w:color w:val="002060"/>
      <w:sz w:val="24"/>
    </w:rPr>
  </w:style>
  <w:style w:type="paragraph" w:customStyle="1" w:styleId="a35">
    <w:name w:val="תרשים ממה"/>
    <w:basedOn w:val="Normal"/>
    <w:next w:val="Normal"/>
    <w:link w:val="a36"/>
    <w:qFormat/>
    <w:rsid w:val="00B4321D"/>
    <w:pPr>
      <w:keepNext/>
      <w:keepLines/>
      <w:widowControl w:val="0"/>
      <w:numPr>
        <w:numId w:val="7"/>
      </w:numPr>
      <w:spacing w:line="280" w:lineRule="exact"/>
      <w:jc w:val="center"/>
      <w:outlineLvl w:val="6"/>
    </w:pPr>
    <w:rPr>
      <w:rFonts w:ascii="Calibri" w:eastAsia="Calibri" w:hAnsi="Calibri" w:cs="Calibri"/>
      <w:b/>
      <w:bCs/>
      <w:color w:val="002060"/>
      <w:sz w:val="24"/>
    </w:rPr>
  </w:style>
  <w:style w:type="character" w:customStyle="1" w:styleId="a36">
    <w:name w:val="תרשים ממה תו"/>
    <w:basedOn w:val="DefaultParagraphFont"/>
    <w:link w:val="a35"/>
    <w:rsid w:val="00B4321D"/>
    <w:rPr>
      <w:rFonts w:ascii="Calibri" w:eastAsia="Calibri" w:hAnsi="Calibri" w:cs="Calibri"/>
      <w:b/>
      <w:bCs/>
      <w:color w:val="002060"/>
      <w:sz w:val="24"/>
    </w:rPr>
  </w:style>
  <w:style w:type="paragraph" w:customStyle="1" w:styleId="a37">
    <w:name w:val="תמונה ממה"/>
    <w:basedOn w:val="Normal"/>
    <w:next w:val="Normal"/>
    <w:link w:val="a38"/>
    <w:qFormat/>
    <w:rsid w:val="00B4321D"/>
    <w:pPr>
      <w:keepNext/>
      <w:keepLines/>
      <w:widowControl w:val="0"/>
      <w:numPr>
        <w:numId w:val="8"/>
      </w:numPr>
      <w:spacing w:line="280" w:lineRule="exact"/>
      <w:jc w:val="center"/>
      <w:outlineLvl w:val="6"/>
    </w:pPr>
    <w:rPr>
      <w:rFonts w:ascii="Calibri" w:eastAsia="Calibri" w:hAnsi="Calibri" w:cs="Calibri"/>
      <w:b/>
      <w:bCs/>
      <w:color w:val="002060"/>
      <w:sz w:val="24"/>
    </w:rPr>
  </w:style>
  <w:style w:type="character" w:customStyle="1" w:styleId="a38">
    <w:name w:val="תמונה ממה תו"/>
    <w:basedOn w:val="DefaultParagraphFont"/>
    <w:link w:val="a37"/>
    <w:rsid w:val="00B4321D"/>
    <w:rPr>
      <w:rFonts w:ascii="Calibri" w:eastAsia="Calibri" w:hAnsi="Calibri" w:cs="Calibri"/>
      <w:b/>
      <w:bCs/>
      <w:color w:val="002060"/>
      <w:sz w:val="24"/>
    </w:rPr>
  </w:style>
  <w:style w:type="paragraph" w:customStyle="1" w:styleId="a39">
    <w:name w:val="לוח ממה"/>
    <w:basedOn w:val="Normal"/>
    <w:next w:val="Normal"/>
    <w:link w:val="a40"/>
    <w:qFormat/>
    <w:rsid w:val="00B4321D"/>
    <w:pPr>
      <w:keepNext/>
      <w:keepLines/>
      <w:widowControl w:val="0"/>
      <w:numPr>
        <w:numId w:val="9"/>
      </w:numPr>
      <w:spacing w:line="280" w:lineRule="exact"/>
      <w:jc w:val="center"/>
      <w:outlineLvl w:val="6"/>
    </w:pPr>
    <w:rPr>
      <w:rFonts w:ascii="Calibri" w:eastAsia="Calibri" w:hAnsi="Calibri" w:cs="Calibri"/>
      <w:b/>
      <w:bCs/>
      <w:color w:val="002060"/>
      <w:sz w:val="24"/>
    </w:rPr>
  </w:style>
  <w:style w:type="character" w:customStyle="1" w:styleId="a40">
    <w:name w:val="לוח ממה תו"/>
    <w:basedOn w:val="DefaultParagraphFont"/>
    <w:link w:val="a39"/>
    <w:rsid w:val="00B4321D"/>
    <w:rPr>
      <w:rFonts w:ascii="Calibri" w:eastAsia="Calibri" w:hAnsi="Calibri" w:cs="Calibri"/>
      <w:b/>
      <w:bCs/>
      <w:color w:val="002060"/>
      <w:sz w:val="24"/>
    </w:rPr>
  </w:style>
  <w:style w:type="paragraph" w:customStyle="1" w:styleId="a41">
    <w:name w:val="מפה ממה"/>
    <w:basedOn w:val="Normal"/>
    <w:next w:val="Normal"/>
    <w:link w:val="a42"/>
    <w:qFormat/>
    <w:rsid w:val="00B4321D"/>
    <w:pPr>
      <w:keepNext/>
      <w:keepLines/>
      <w:widowControl w:val="0"/>
      <w:numPr>
        <w:numId w:val="10"/>
      </w:numPr>
      <w:spacing w:line="280" w:lineRule="exact"/>
      <w:jc w:val="center"/>
      <w:outlineLvl w:val="6"/>
    </w:pPr>
    <w:rPr>
      <w:rFonts w:ascii="Calibri" w:eastAsia="Calibri" w:hAnsi="Calibri" w:cs="Calibri"/>
      <w:b/>
      <w:bCs/>
      <w:color w:val="002060"/>
      <w:sz w:val="24"/>
    </w:rPr>
  </w:style>
  <w:style w:type="character" w:customStyle="1" w:styleId="a42">
    <w:name w:val="מפה ממה תו"/>
    <w:basedOn w:val="DefaultParagraphFont"/>
    <w:link w:val="a41"/>
    <w:rsid w:val="00B4321D"/>
    <w:rPr>
      <w:rFonts w:ascii="Calibri" w:eastAsia="Calibri" w:hAnsi="Calibri" w:cs="Calibri"/>
      <w:b/>
      <w:bCs/>
      <w:color w:val="002060"/>
      <w:sz w:val="24"/>
    </w:rPr>
  </w:style>
  <w:style w:type="paragraph" w:customStyle="1" w:styleId="a43">
    <w:name w:val="מקור ממה"/>
    <w:basedOn w:val="Normal"/>
    <w:next w:val="Normal"/>
    <w:qFormat/>
    <w:rsid w:val="00B4321D"/>
    <w:pPr>
      <w:keepNext/>
      <w:keepLines/>
      <w:widowControl w:val="0"/>
      <w:ind w:left="1134"/>
    </w:pPr>
    <w:rPr>
      <w:rFonts w:ascii="Calibri" w:eastAsia="Calibri" w:hAnsi="Calibri" w:cs="Calibri"/>
      <w:color w:val="002060"/>
      <w:szCs w:val="20"/>
    </w:rPr>
  </w:style>
  <w:style w:type="paragraph" w:customStyle="1" w:styleId="a44">
    <w:name w:val="אובייקט ממה"/>
    <w:basedOn w:val="Normal"/>
    <w:next w:val="Normal"/>
    <w:qFormat/>
    <w:rsid w:val="00B4321D"/>
    <w:pPr>
      <w:keepNext/>
      <w:widowControl w:val="0"/>
      <w:spacing w:line="269" w:lineRule="auto"/>
      <w:ind w:left="1134"/>
    </w:pPr>
    <w:rPr>
      <w:rFonts w:ascii="Calibri" w:eastAsia="Calibri" w:hAnsi="Calibri" w:cs="Calibri"/>
      <w:noProof/>
      <w:color w:val="002060"/>
      <w:sz w:val="24"/>
    </w:rPr>
  </w:style>
  <w:style w:type="paragraph" w:customStyle="1" w:styleId="a45">
    <w:name w:val="רכיבי המבוא ממה"/>
    <w:basedOn w:val="Normal"/>
    <w:link w:val="a46"/>
    <w:qFormat/>
    <w:rsid w:val="00B4321D"/>
    <w:pPr>
      <w:pBdr>
        <w:bottom w:val="single" w:sz="8" w:space="1" w:color="F2F2F2"/>
      </w:pBdr>
      <w:spacing w:before="60" w:after="60" w:line="280" w:lineRule="exact"/>
      <w:ind w:left="170" w:right="57"/>
    </w:pPr>
    <w:rPr>
      <w:rFonts w:ascii="Calibri" w:eastAsia="Calibri" w:hAnsi="Calibri" w:cs="Calibri"/>
      <w:color w:val="002060"/>
      <w:szCs w:val="20"/>
    </w:rPr>
  </w:style>
  <w:style w:type="character" w:customStyle="1" w:styleId="a46">
    <w:name w:val="רכיבי המבוא ממה תו"/>
    <w:basedOn w:val="DefaultParagraphFont"/>
    <w:link w:val="a45"/>
    <w:rsid w:val="00B4321D"/>
    <w:rPr>
      <w:rFonts w:ascii="Calibri" w:eastAsia="Calibri" w:hAnsi="Calibri" w:cs="Calibri"/>
      <w:color w:val="002060"/>
      <w:szCs w:val="20"/>
    </w:rPr>
  </w:style>
  <w:style w:type="paragraph" w:customStyle="1" w:styleId="a47">
    <w:name w:val="אייקון במבוא ממה"/>
    <w:basedOn w:val="Normal"/>
    <w:link w:val="a48"/>
    <w:qFormat/>
    <w:rsid w:val="00B4321D"/>
    <w:pPr>
      <w:pBdr>
        <w:bottom w:val="single" w:sz="8" w:space="1" w:color="F2F2F2"/>
      </w:pBdr>
      <w:spacing w:line="240" w:lineRule="auto"/>
      <w:jc w:val="center"/>
    </w:pPr>
    <w:rPr>
      <w:rFonts w:ascii="Calibri" w:eastAsia="Calibri" w:hAnsi="Calibri" w:cs="Calibri"/>
      <w:bCs/>
      <w:color w:val="002060"/>
      <w:sz w:val="24"/>
      <w:szCs w:val="20"/>
    </w:rPr>
  </w:style>
  <w:style w:type="character" w:customStyle="1" w:styleId="a48">
    <w:name w:val="אייקון במבוא ממה תו"/>
    <w:basedOn w:val="DefaultParagraphFont"/>
    <w:link w:val="a47"/>
    <w:rsid w:val="00B4321D"/>
    <w:rPr>
      <w:rFonts w:ascii="Calibri" w:eastAsia="Calibri" w:hAnsi="Calibri" w:cs="Calibri"/>
      <w:bCs/>
      <w:color w:val="002060"/>
      <w:sz w:val="24"/>
      <w:szCs w:val="20"/>
    </w:rPr>
  </w:style>
  <w:style w:type="paragraph" w:customStyle="1" w:styleId="739">
    <w:name w:val="73א טקסט רץ 9"/>
    <w:basedOn w:val="Normal"/>
    <w:link w:val="7390"/>
    <w:qFormat/>
    <w:rsid w:val="00B4321D"/>
    <w:pPr>
      <w:spacing w:after="180" w:line="260" w:lineRule="exact"/>
    </w:pPr>
    <w:rPr>
      <w:rFonts w:ascii="Tahoma" w:hAnsi="Tahoma" w:cs="Tahoma"/>
      <w:color w:val="0D0D0D" w:themeColor="text1" w:themeTint="F2"/>
      <w:sz w:val="18"/>
      <w:szCs w:val="18"/>
    </w:rPr>
  </w:style>
  <w:style w:type="character" w:customStyle="1" w:styleId="7390">
    <w:name w:val="73א טקסט רץ 9 תו"/>
    <w:basedOn w:val="DefaultParagraphFont"/>
    <w:link w:val="739"/>
    <w:rsid w:val="00B4321D"/>
    <w:rPr>
      <w:rFonts w:ascii="Tahoma" w:hAnsi="Tahoma" w:cs="Tahoma"/>
      <w:color w:val="0D0D0D" w:themeColor="text1" w:themeTint="F2"/>
      <w:sz w:val="18"/>
      <w:szCs w:val="18"/>
    </w:rPr>
  </w:style>
  <w:style w:type="paragraph" w:customStyle="1" w:styleId="71">
    <w:name w:val="71ג הערות שוליים"/>
    <w:basedOn w:val="FootnoteText"/>
    <w:link w:val="71Char"/>
    <w:qFormat/>
    <w:rsid w:val="009A6817"/>
    <w:pPr>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DefaultParagraphFont"/>
    <w:link w:val="71"/>
    <w:rsid w:val="009A6817"/>
    <w:rPr>
      <w:rFonts w:ascii="Tahoma" w:hAnsi="Tahoma" w:cs="Tahoma"/>
      <w:color w:val="0D0D0D" w:themeColor="text1" w:themeTint="F2"/>
      <w:sz w:val="14"/>
      <w:szCs w:val="14"/>
    </w:rPr>
  </w:style>
  <w:style w:type="paragraph" w:customStyle="1" w:styleId="2021">
    <w:name w:val="מספרים גדולים בטבלת תקציר 2021"/>
    <w:basedOn w:val="Normal"/>
    <w:link w:val="2021Char"/>
    <w:qFormat/>
    <w:rsid w:val="00BE22D7"/>
    <w:pPr>
      <w:spacing w:before="120" w:line="240" w:lineRule="auto"/>
      <w:jc w:val="left"/>
      <w:outlineLvl w:val="0"/>
    </w:pPr>
    <w:rPr>
      <w:rFonts w:ascii="Tahoma" w:hAnsi="Tahoma" w:eastAsiaTheme="minorEastAsia" w:cs="Tahoma"/>
      <w:b/>
      <w:bCs/>
      <w:color w:val="0D0D0D" w:themeColor="text1" w:themeTint="F2"/>
      <w:sz w:val="36"/>
      <w:szCs w:val="36"/>
    </w:rPr>
  </w:style>
  <w:style w:type="character" w:customStyle="1" w:styleId="2021Char">
    <w:name w:val="מספרים גדולים בטבלת תקציר 2021 Char"/>
    <w:basedOn w:val="DefaultParagraphFont"/>
    <w:link w:val="2021"/>
    <w:rsid w:val="00BE22D7"/>
    <w:rPr>
      <w:rFonts w:ascii="Tahoma" w:hAnsi="Tahoma" w:eastAsiaTheme="minorEastAsia" w:cs="Tahoma"/>
      <w:b/>
      <w:bCs/>
      <w:color w:val="0D0D0D" w:themeColor="text1" w:themeTint="F2"/>
      <w:sz w:val="36"/>
      <w:szCs w:val="36"/>
    </w:rPr>
  </w:style>
  <w:style w:type="paragraph" w:customStyle="1" w:styleId="732021">
    <w:name w:val="73א כיתוב בתוך טבלת תקציר 2021"/>
    <w:basedOn w:val="Normal"/>
    <w:link w:val="7320210"/>
    <w:qFormat/>
    <w:rsid w:val="00BE22D7"/>
    <w:pPr>
      <w:keepNext/>
      <w:spacing w:before="60" w:after="180" w:line="260" w:lineRule="exact"/>
      <w:jc w:val="left"/>
      <w:outlineLvl w:val="0"/>
    </w:pPr>
    <w:rPr>
      <w:rFonts w:ascii="Tahoma" w:hAnsi="Tahoma" w:eastAsiaTheme="minorEastAsia" w:cs="Tahoma"/>
      <w:color w:val="0D0D0D" w:themeColor="text1" w:themeTint="F2"/>
      <w:w w:val="90"/>
      <w:sz w:val="18"/>
      <w:szCs w:val="18"/>
    </w:rPr>
  </w:style>
  <w:style w:type="character" w:customStyle="1" w:styleId="7320210">
    <w:name w:val="73א כיתוב בתוך טבלת תקציר 2021 תו"/>
    <w:basedOn w:val="DefaultParagraphFont"/>
    <w:link w:val="732021"/>
    <w:rsid w:val="00BE22D7"/>
    <w:rPr>
      <w:rFonts w:ascii="Tahoma" w:hAnsi="Tahoma" w:eastAsiaTheme="minorEastAsia" w:cs="Tahoma"/>
      <w:color w:val="0D0D0D" w:themeColor="text1" w:themeTint="F2"/>
      <w:w w:val="90"/>
      <w:sz w:val="18"/>
      <w:szCs w:val="18"/>
    </w:rPr>
  </w:style>
  <w:style w:type="paragraph" w:customStyle="1" w:styleId="73">
    <w:name w:val="73א הזחה ראשונה ללא מספר"/>
    <w:basedOn w:val="Normal"/>
    <w:qFormat/>
    <w:rsid w:val="00BE22D7"/>
    <w:pPr>
      <w:spacing w:after="180" w:line="260" w:lineRule="exact"/>
      <w:ind w:left="397"/>
    </w:pPr>
    <w:rPr>
      <w:rFonts w:ascii="Tahoma" w:hAnsi="Tahoma" w:cs="Tahoma"/>
      <w:color w:val="0D0D0D" w:themeColor="text1" w:themeTint="F2"/>
      <w:sz w:val="18"/>
      <w:szCs w:val="18"/>
    </w:rPr>
  </w:style>
  <w:style w:type="paragraph" w:customStyle="1" w:styleId="730">
    <w:name w:val="73א פעולות ביקורת"/>
    <w:basedOn w:val="Normal"/>
    <w:qFormat/>
    <w:rsid w:val="00BE22D7"/>
    <w:pPr>
      <w:keepNext/>
      <w:keepLines/>
      <w:pBdr>
        <w:top w:val="double" w:sz="12" w:space="5" w:color="auto"/>
      </w:pBdr>
      <w:spacing w:before="480" w:after="360" w:line="240" w:lineRule="atLeast"/>
      <w:jc w:val="left"/>
    </w:pPr>
    <w:rPr>
      <w:rFonts w:ascii="Tahoma" w:hAnsi="Tahoma" w:eastAsiaTheme="minorEastAsia" w:cs="Tahoma"/>
      <w:b/>
      <w:bCs/>
      <w:noProof/>
      <w:color w:val="00305F"/>
      <w:sz w:val="31"/>
      <w:szCs w:val="31"/>
      <w:lang w:val="he-IL"/>
    </w:rPr>
  </w:style>
  <w:style w:type="character" w:customStyle="1" w:styleId="737">
    <w:name w:val="73א כותרת 7 הדגשת קטע בטקסט רץ תו"/>
    <w:basedOn w:val="DefaultParagraphFont"/>
    <w:link w:val="7370"/>
    <w:rsid w:val="00BE22D7"/>
    <w:rPr>
      <w:rFonts w:ascii="Tahoma" w:hAnsi="Tahoma" w:cs="Tahoma"/>
      <w:bCs/>
      <w:color w:val="0D0D0D" w:themeColor="text1" w:themeTint="F2"/>
      <w:sz w:val="18"/>
      <w:szCs w:val="18"/>
    </w:rPr>
  </w:style>
  <w:style w:type="paragraph" w:customStyle="1" w:styleId="7370">
    <w:name w:val="73א כותרת 7 הדגשת קטע בטקסט רץ"/>
    <w:basedOn w:val="739"/>
    <w:link w:val="737"/>
    <w:qFormat/>
    <w:rsid w:val="00BE22D7"/>
    <w:rPr>
      <w:bCs/>
    </w:rPr>
  </w:style>
  <w:style w:type="paragraph" w:customStyle="1" w:styleId="731">
    <w:name w:val="73א מקרא+הערות לתרשים/לוח/תמונה"/>
    <w:basedOn w:val="Normal"/>
    <w:link w:val="732"/>
    <w:qFormat/>
    <w:rsid w:val="00BE22D7"/>
    <w:pPr>
      <w:spacing w:before="120" w:after="240" w:line="260" w:lineRule="exact"/>
    </w:pPr>
    <w:rPr>
      <w:rFonts w:ascii="Tahoma" w:hAnsi="Tahoma" w:cs="Tahoma"/>
      <w:color w:val="0D0D0D" w:themeColor="text1" w:themeTint="F2"/>
      <w:sz w:val="16"/>
      <w:szCs w:val="16"/>
    </w:rPr>
  </w:style>
  <w:style w:type="character" w:customStyle="1" w:styleId="732">
    <w:name w:val="73א מקרא+הערות לתרשים/לוח/תמונה תו"/>
    <w:basedOn w:val="DefaultParagraphFont"/>
    <w:link w:val="731"/>
    <w:rsid w:val="00BE22D7"/>
    <w:rPr>
      <w:rFonts w:ascii="Tahoma" w:hAnsi="Tahoma" w:cs="Tahoma"/>
      <w:color w:val="0D0D0D" w:themeColor="text1" w:themeTint="F2"/>
      <w:sz w:val="16"/>
      <w:szCs w:val="16"/>
    </w:rPr>
  </w:style>
  <w:style w:type="paragraph" w:customStyle="1" w:styleId="733">
    <w:name w:val="73א כותרת לבנה בתוך תבנית אדומה בתקציר"/>
    <w:basedOn w:val="Normal"/>
    <w:link w:val="734"/>
    <w:qFormat/>
    <w:rsid w:val="00BE22D7"/>
    <w:pPr>
      <w:keepNext/>
      <w:keepLines/>
      <w:spacing w:line="240" w:lineRule="atLeast"/>
      <w:ind w:left="170" w:right="113"/>
      <w:jc w:val="left"/>
    </w:pPr>
    <w:rPr>
      <w:rFonts w:ascii="Tahoma" w:hAnsi="Tahoma" w:cs="Tahoma"/>
      <w:b/>
      <w:bCs/>
      <w:color w:val="FFFFFF" w:themeColor="background1"/>
      <w:sz w:val="22"/>
      <w:szCs w:val="22"/>
    </w:rPr>
  </w:style>
  <w:style w:type="character" w:customStyle="1" w:styleId="734">
    <w:name w:val="73א כותרת לבנה בתוך תבנית אדומה בתקציר תו"/>
    <w:basedOn w:val="DefaultParagraphFont"/>
    <w:link w:val="733"/>
    <w:rsid w:val="00BE22D7"/>
    <w:rPr>
      <w:rFonts w:ascii="Tahoma" w:hAnsi="Tahoma" w:cs="Tahoma"/>
      <w:b/>
      <w:bCs/>
      <w:color w:val="FFFFFF" w:themeColor="background1"/>
      <w:sz w:val="22"/>
      <w:szCs w:val="22"/>
    </w:rPr>
  </w:style>
  <w:style w:type="character" w:styleId="PageNumber">
    <w:name w:val="page number"/>
    <w:basedOn w:val="DefaultParagraphFont"/>
    <w:uiPriority w:val="99"/>
    <w:semiHidden/>
    <w:unhideWhenUsed/>
    <w:rsid w:val="005C3049"/>
  </w:style>
  <w:style w:type="paragraph" w:customStyle="1" w:styleId="a49">
    <w:name w:val="כותרת תרשים"/>
    <w:basedOn w:val="Normal"/>
    <w:next w:val="Normal"/>
    <w:link w:val="a50"/>
    <w:qFormat/>
    <w:rsid w:val="00960A4D"/>
    <w:pPr>
      <w:keepNext/>
      <w:keepLines/>
      <w:numPr>
        <w:numId w:val="28"/>
      </w:numPr>
      <w:ind w:left="717"/>
      <w:jc w:val="center"/>
      <w:outlineLvl w:val="4"/>
    </w:pPr>
    <w:rPr>
      <w:bCs/>
      <w:sz w:val="24"/>
    </w:rPr>
  </w:style>
  <w:style w:type="character" w:customStyle="1" w:styleId="a50">
    <w:name w:val="כותרת תרשים תו"/>
    <w:basedOn w:val="DefaultParagraphFont"/>
    <w:link w:val="a49"/>
    <w:rsid w:val="00960A4D"/>
    <w:rPr>
      <w:bCs/>
      <w:sz w:val="24"/>
    </w:rPr>
  </w:style>
  <w:style w:type="paragraph" w:styleId="Subtitle">
    <w:name w:val="Subtitle"/>
    <w:basedOn w:val="Normal"/>
    <w:link w:val="a51"/>
    <w:qFormat/>
    <w:rsid w:val="005B126E"/>
    <w:pPr>
      <w:spacing w:line="360" w:lineRule="auto"/>
      <w:jc w:val="center"/>
    </w:pPr>
    <w:rPr>
      <w:rFonts w:ascii="Arial" w:eastAsia="Times New Roman" w:hAnsi="Arial" w:cs="Narkisim"/>
      <w:snapToGrid w:val="0"/>
      <w:lang w:eastAsia="he-IL"/>
    </w:rPr>
  </w:style>
  <w:style w:type="character" w:customStyle="1" w:styleId="a51">
    <w:name w:val="כותרת משנה תו"/>
    <w:basedOn w:val="DefaultParagraphFont"/>
    <w:link w:val="Subtitle"/>
    <w:rsid w:val="005B126E"/>
    <w:rPr>
      <w:rFonts w:ascii="Arial" w:eastAsia="Times New Roman" w:hAnsi="Arial" w:cs="Narkisim"/>
      <w:snapToGrid w:val="0"/>
      <w:lang w:eastAsia="he-IL"/>
    </w:rPr>
  </w:style>
  <w:style w:type="table" w:styleId="PlainTable2">
    <w:name w:val="Plain Table 2"/>
    <w:basedOn w:val="TableNormal"/>
    <w:uiPriority w:val="42"/>
    <w:rsid w:val="005B126E"/>
    <w:pPr>
      <w:spacing w:after="0" w:line="240" w:lineRule="auto"/>
      <w:jc w:val="left"/>
    </w:pPr>
    <w:rPr>
      <w:rFonts w:asciiTheme="minorHAnsi" w:hAnsiTheme="minorHAnsi" w:cstheme="minorBidi"/>
      <w:kern w:val="2"/>
      <w:sz w:val="22"/>
      <w:szCs w:val="22"/>
      <w:lang w:val=""/>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52">
    <w:name w:val="הצבעה_תוצאות"/>
    <w:basedOn w:val="Normal"/>
    <w:next w:val="Normal"/>
    <w:rsid w:val="005B126E"/>
    <w:pPr>
      <w:spacing w:line="360" w:lineRule="auto"/>
      <w:ind w:firstLine="720"/>
      <w:jc w:val="center"/>
    </w:pPr>
    <w:rPr>
      <w:rFonts w:ascii="David" w:eastAsia="Times New Roman" w:hAnsi="David"/>
      <w:sz w:val="24"/>
    </w:rPr>
  </w:style>
  <w:style w:type="character" w:styleId="Strong">
    <w:name w:val="Strong"/>
    <w:basedOn w:val="DefaultParagraphFont"/>
    <w:uiPriority w:val="22"/>
    <w:qFormat/>
    <w:rsid w:val="005B126E"/>
    <w:rPr>
      <w:b/>
      <w:bCs/>
    </w:rPr>
  </w:style>
  <w:style w:type="character" w:customStyle="1" w:styleId="ms-1">
    <w:name w:val="ms-1"/>
    <w:basedOn w:val="DefaultParagraphFont"/>
    <w:rsid w:val="005B126E"/>
  </w:style>
  <w:style w:type="character" w:customStyle="1" w:styleId="max-w-full">
    <w:name w:val="max-w-full"/>
    <w:basedOn w:val="DefaultParagraphFont"/>
    <w:rsid w:val="005B126E"/>
  </w:style>
  <w:style w:type="character" w:customStyle="1" w:styleId="Bodytext211pt">
    <w:name w:val="Body text (2) + 11 pt"/>
    <w:aliases w:val="Bold"/>
    <w:basedOn w:val="DefaultParagraphFont"/>
    <w:rsid w:val="005B126E"/>
    <w:rPr>
      <w:rFonts w:ascii="David" w:eastAsia="David" w:hAnsi="David" w:cs="David"/>
      <w:b/>
      <w:bCs/>
      <w:i w:val="0"/>
      <w:iCs w:val="0"/>
      <w:smallCaps w:val="0"/>
      <w:strike w:val="0"/>
      <w:color w:val="000000"/>
      <w:spacing w:val="0"/>
      <w:w w:val="100"/>
      <w:position w:val="0"/>
      <w:sz w:val="22"/>
      <w:szCs w:val="22"/>
      <w:u w:val="none"/>
      <w:lang w:val="he-IL" w:eastAsia="he-IL" w:bidi="he-IL"/>
    </w:rPr>
  </w:style>
  <w:style w:type="character" w:customStyle="1" w:styleId="Bodytext2">
    <w:name w:val="Body text (2)"/>
    <w:basedOn w:val="DefaultParagraphFont"/>
    <w:rsid w:val="005B126E"/>
    <w:rPr>
      <w:rFonts w:ascii="David" w:eastAsia="David" w:hAnsi="David" w:cs="David"/>
      <w:b w:val="0"/>
      <w:bCs w:val="0"/>
      <w:i w:val="0"/>
      <w:iCs w:val="0"/>
      <w:smallCaps w:val="0"/>
      <w:strike w:val="0"/>
      <w:color w:val="000000"/>
      <w:spacing w:val="0"/>
      <w:w w:val="100"/>
      <w:position w:val="0"/>
      <w:sz w:val="24"/>
      <w:szCs w:val="24"/>
      <w:u w:val="none"/>
      <w:lang w:val="he-IL" w:eastAsia="he-IL" w:bidi="he-IL"/>
    </w:rPr>
  </w:style>
  <w:style w:type="character" w:styleId="Emphasis">
    <w:name w:val="Emphasis"/>
    <w:basedOn w:val="DefaultParagraphFont"/>
    <w:uiPriority w:val="20"/>
    <w:qFormat/>
    <w:rsid w:val="005B126E"/>
    <w:rPr>
      <w:i/>
      <w:iCs/>
    </w:rPr>
  </w:style>
  <w:style w:type="table" w:styleId="GridTableLight">
    <w:name w:val="Grid Table Light"/>
    <w:basedOn w:val="TableNormal"/>
    <w:uiPriority w:val="40"/>
    <w:rsid w:val="005B126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710">
    <w:name w:val="כותרת 71"/>
    <w:basedOn w:val="Normal"/>
    <w:link w:val="Heading7Char"/>
    <w:rsid w:val="005B126E"/>
  </w:style>
  <w:style w:type="character" w:customStyle="1" w:styleId="Heading7Char">
    <w:name w:val="Heading 7 Char"/>
    <w:basedOn w:val="DefaultParagraphFont"/>
    <w:link w:val="710"/>
    <w:locked/>
    <w:rsid w:val="005B126E"/>
  </w:style>
  <w:style w:type="paragraph" w:customStyle="1" w:styleId="a53">
    <w:name w:val="כותרת מידת תיקון הליקוי"/>
    <w:basedOn w:val="Normal"/>
    <w:qFormat/>
    <w:rsid w:val="005B126E"/>
    <w:pPr>
      <w:keepNext/>
      <w:keepLines/>
      <w:jc w:val="center"/>
      <w:outlineLvl w:val="8"/>
    </w:pPr>
    <w:rPr>
      <w:b/>
      <w:bCs/>
      <w:noProof/>
    </w:rPr>
  </w:style>
  <w:style w:type="character" w:customStyle="1" w:styleId="a54">
    <w:name w:val="תרשים מידת תיקון הליקוי תו"/>
    <w:basedOn w:val="DefaultParagraphFont"/>
    <w:link w:val="a55"/>
    <w:locked/>
    <w:rsid w:val="005B126E"/>
  </w:style>
  <w:style w:type="paragraph" w:customStyle="1" w:styleId="a55">
    <w:name w:val="תרשים מידת תיקון הליקוי"/>
    <w:next w:val="Normal"/>
    <w:link w:val="a54"/>
    <w:qFormat/>
    <w:rsid w:val="005B126E"/>
    <w:pPr>
      <w:keepNext/>
      <w:keepLines/>
      <w:bidi/>
      <w:spacing w:before="120" w:after="0" w:line="240" w:lineRule="auto"/>
      <w:jc w:val="center"/>
    </w:pPr>
  </w:style>
  <w:style w:type="paragraph" w:customStyle="1" w:styleId="19">
    <w:name w:val="פסקה 1"/>
    <w:basedOn w:val="Normal"/>
    <w:link w:val="110"/>
    <w:rsid w:val="005B126E"/>
    <w:pPr>
      <w:spacing w:after="120" w:line="320" w:lineRule="atLeast"/>
      <w:ind w:left="360"/>
    </w:pPr>
    <w:rPr>
      <w:rFonts w:ascii="David" w:eastAsia="Rubik" w:hAnsi="David"/>
      <w:sz w:val="24"/>
    </w:rPr>
  </w:style>
  <w:style w:type="character" w:customStyle="1" w:styleId="110">
    <w:name w:val="פסקה 1 תו"/>
    <w:basedOn w:val="DefaultParagraphFont"/>
    <w:link w:val="19"/>
    <w:rsid w:val="005B126E"/>
    <w:rPr>
      <w:rFonts w:ascii="David" w:eastAsia="Rubik" w:hAnsi="David"/>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1.png"/><Relationship Id="rId50" Type="http://schemas.openxmlformats.org/officeDocument/2006/relationships/image" Target="media/image44.jpeg"/><Relationship Id="rId55" Type="http://schemas.openxmlformats.org/officeDocument/2006/relationships/image" Target="cid:74C9C64E-300F-427C-A8E9-5201F8A0A58D" TargetMode="External"/><Relationship Id="rId63" Type="http://schemas.openxmlformats.org/officeDocument/2006/relationships/styles" Target="styles.xml"/><Relationship Id="rId7" Type="http://schemas.openxmlformats.org/officeDocument/2006/relationships/image" Target="media/image2.jpeg"/><Relationship Id="rId16" Type="http://schemas.openxmlformats.org/officeDocument/2006/relationships/image" Target="media/image11.jpeg"/><Relationship Id="rId2" Type="http://schemas.openxmlformats.org/officeDocument/2006/relationships/settings" Target="settings.xml"/><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png"/><Relationship Id="rId53" Type="http://schemas.openxmlformats.org/officeDocument/2006/relationships/image" Target="cid:62964BA4-29D2-4E2C-B65A-3BE1A7C14909" TargetMode="External"/><Relationship Id="rId58" Type="http://schemas.openxmlformats.org/officeDocument/2006/relationships/header" Target="header3.xml"/><Relationship Id="rId66" Type="http://schemas.openxmlformats.org/officeDocument/2006/relationships/customXml" Target="../customXml/item4.xml"/><Relationship Id="rId5" Type="http://schemas.openxmlformats.org/officeDocument/2006/relationships/customXml" Target="../customXml/item1.xml"/><Relationship Id="rId61" Type="http://schemas.openxmlformats.org/officeDocument/2006/relationships/theme" Target="theme/theme1.xml"/><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emf"/><Relationship Id="rId43" Type="http://schemas.openxmlformats.org/officeDocument/2006/relationships/image" Target="media/image38.jpeg"/><Relationship Id="rId48" Type="http://schemas.openxmlformats.org/officeDocument/2006/relationships/image" Target="media/image42.jpeg"/><Relationship Id="rId56" Type="http://schemas.openxmlformats.org/officeDocument/2006/relationships/header" Target="header1.xml"/><Relationship Id="rId64" Type="http://schemas.openxmlformats.org/officeDocument/2006/relationships/customXml" Target="../customXml/item2.xml"/><Relationship Id="rId51" Type="http://schemas.openxmlformats.org/officeDocument/2006/relationships/image" Target="media/image45.png"/><Relationship Id="rId8" Type="http://schemas.openxmlformats.org/officeDocument/2006/relationships/image" Target="media/image3.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cid:ii_mc1ssncv0" TargetMode="External"/><Relationship Id="rId59" Type="http://schemas.openxmlformats.org/officeDocument/2006/relationships/footer" Target="footer1.xml"/><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7.jpeg"/><Relationship Id="rId62" Type="http://schemas.openxmlformats.org/officeDocument/2006/relationships/numbering" Target="numbering.xml"/><Relationship Id="rId1" Type="http://schemas.openxmlformats.org/officeDocument/2006/relationships/footnotes" Target="footnotes.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emf"/><Relationship Id="rId49" Type="http://schemas.openxmlformats.org/officeDocument/2006/relationships/image" Target="media/image43.png"/><Relationship Id="rId57" Type="http://schemas.openxmlformats.org/officeDocument/2006/relationships/header" Target="header2.xml"/><Relationship Id="rId10" Type="http://schemas.openxmlformats.org/officeDocument/2006/relationships/image" Target="media/image5.jpeg"/><Relationship Id="rId31" Type="http://schemas.openxmlformats.org/officeDocument/2006/relationships/image" Target="media/image26.png"/><Relationship Id="rId44" Type="http://schemas.openxmlformats.org/officeDocument/2006/relationships/image" Target="media/image39.jpeg"/><Relationship Id="rId52" Type="http://schemas.openxmlformats.org/officeDocument/2006/relationships/image" Target="media/image46.jpeg"/><Relationship Id="rId60" Type="http://schemas.openxmlformats.org/officeDocument/2006/relationships/header" Target="header4.xml"/><Relationship Id="rId65" Type="http://schemas.openxmlformats.org/officeDocument/2006/relationships/customXml" Target="../customXml/item3.xml"/><Relationship Id="rId4" Type="http://schemas.openxmlformats.org/officeDocument/2006/relationships/fontTable" Target="fontTable.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s>
</file>

<file path=word/_rels/numbering.xml.rels><?xml version="1.0" encoding="utf-8" standalone="yes"?><Relationships xmlns="http://schemas.openxmlformats.org/package/2006/relationships"><Relationship Id="rId1" Type="http://schemas.openxmlformats.org/officeDocument/2006/relationships/image" Target="media/image48.png" /><Relationship Id="rId2" Type="http://schemas.openxmlformats.org/officeDocument/2006/relationships/image" Target="media/image49.png" /></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התאמה אישית 2">
      <a:majorFont>
        <a:latin typeface="Calibri"/>
        <a:ea typeface=""/>
        <a:cs typeface="Calibri"/>
      </a:majorFont>
      <a:minorFont>
        <a:latin typeface="Calibri"/>
        <a:ea typeface=""/>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0EBA528-AC16-460F-81EF-FE26E026700F}">
  <ds:schemaRefs>
    <ds:schemaRef ds:uri="http://schemas.openxmlformats.org/officeDocument/2006/bibliography"/>
  </ds:schemaRefs>
</ds:datastoreItem>
</file>

<file path=customXml/itemProps2.xml><?xml version="1.0" encoding="utf-8"?>
<ds:datastoreItem xmlns:ds="http://schemas.openxmlformats.org/officeDocument/2006/customXml" ds:itemID="{4427116E-14A2-4EC7-A74C-DA29DE893174}"/>
</file>

<file path=customXml/itemProps3.xml><?xml version="1.0" encoding="utf-8"?>
<ds:datastoreItem xmlns:ds="http://schemas.openxmlformats.org/officeDocument/2006/customXml" ds:itemID="{BDB74EF1-3FED-46C2-BE6D-7BA06FDC51B5}"/>
</file>

<file path=customXml/itemProps4.xml><?xml version="1.0" encoding="utf-8"?>
<ds:datastoreItem xmlns:ds="http://schemas.openxmlformats.org/officeDocument/2006/customXml" ds:itemID="{32ADCE21-F7B9-4629-94E0-0F636D5A159C}"/>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